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footer24.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6"/>
          <w:szCs w:val="16"/>
        </w:rPr>
      </w:pPr>
    </w:p>
    <w:p>
      <w:pPr>
        <w:spacing w:line="620" w:lineRule="exact" w:before="0"/>
        <w:ind w:left="1476" w:right="1808" w:firstLine="0"/>
        <w:jc w:val="center"/>
        <w:rPr>
          <w:rFonts w:ascii="黑体" w:hAnsi="黑体" w:cs="黑体" w:eastAsia="黑体" w:hint="default"/>
          <w:sz w:val="52"/>
          <w:szCs w:val="52"/>
        </w:rPr>
      </w:pPr>
      <w:bookmarkStart w:name="600718_2011_n" w:id="1"/>
      <w:bookmarkEnd w:id="1"/>
      <w:r>
        <w:rPr/>
      </w:r>
      <w:r>
        <w:rPr>
          <w:rFonts w:ascii="黑体" w:hAnsi="黑体" w:cs="黑体" w:eastAsia="黑体" w:hint="default"/>
          <w:b/>
          <w:bCs/>
          <w:color w:val="FF0000"/>
          <w:sz w:val="52"/>
          <w:szCs w:val="52"/>
        </w:rPr>
        <w:t>东软集团股份有限公司</w:t>
      </w:r>
      <w:r>
        <w:rPr>
          <w:rFonts w:ascii="黑体" w:hAnsi="黑体" w:cs="黑体" w:eastAsia="黑体" w:hint="default"/>
          <w:sz w:val="52"/>
          <w:szCs w:val="52"/>
        </w:rPr>
      </w:r>
    </w:p>
    <w:p>
      <w:pPr>
        <w:spacing w:before="256"/>
        <w:ind w:left="1476" w:right="1808" w:firstLine="0"/>
        <w:jc w:val="center"/>
        <w:rPr>
          <w:rFonts w:ascii="黑体" w:hAnsi="黑体" w:cs="黑体" w:eastAsia="黑体" w:hint="default"/>
          <w:sz w:val="52"/>
          <w:szCs w:val="52"/>
        </w:rPr>
      </w:pPr>
      <w:r>
        <w:rPr>
          <w:rFonts w:ascii="黑体" w:hAnsi="黑体" w:cs="黑体" w:eastAsia="黑体" w:hint="default"/>
          <w:b/>
          <w:bCs/>
          <w:color w:val="FF0000"/>
          <w:sz w:val="52"/>
          <w:szCs w:val="52"/>
        </w:rPr>
        <w:t>2011</w:t>
      </w:r>
      <w:r>
        <w:rPr>
          <w:rFonts w:ascii="黑体" w:hAnsi="黑体" w:cs="黑体" w:eastAsia="黑体" w:hint="default"/>
          <w:b/>
          <w:bCs/>
          <w:color w:val="FF0000"/>
          <w:spacing w:val="-134"/>
          <w:sz w:val="52"/>
          <w:szCs w:val="52"/>
        </w:rPr>
        <w:t> </w:t>
      </w:r>
      <w:r>
        <w:rPr>
          <w:rFonts w:ascii="黑体" w:hAnsi="黑体" w:cs="黑体" w:eastAsia="黑体" w:hint="default"/>
          <w:b/>
          <w:bCs/>
          <w:color w:val="FF0000"/>
          <w:sz w:val="52"/>
          <w:szCs w:val="52"/>
        </w:rPr>
        <w:t>年度报告</w:t>
      </w:r>
      <w:r>
        <w:rPr>
          <w:rFonts w:ascii="黑体" w:hAnsi="黑体" w:cs="黑体" w:eastAsia="黑体" w:hint="default"/>
          <w:sz w:val="52"/>
          <w:szCs w:val="52"/>
        </w:rPr>
      </w:r>
    </w:p>
    <w:p>
      <w:pPr>
        <w:spacing w:before="445"/>
        <w:ind w:left="1476" w:right="1807" w:firstLine="0"/>
        <w:jc w:val="center"/>
        <w:rPr>
          <w:rFonts w:ascii="黑体" w:hAnsi="黑体" w:cs="黑体" w:eastAsia="黑体" w:hint="default"/>
          <w:sz w:val="44"/>
          <w:szCs w:val="44"/>
        </w:rPr>
      </w:pPr>
      <w:r>
        <w:rPr>
          <w:rFonts w:ascii="黑体" w:hAnsi="黑体" w:cs="黑体" w:eastAsia="黑体" w:hint="default"/>
          <w:color w:val="FF0000"/>
          <w:sz w:val="44"/>
          <w:szCs w:val="44"/>
        </w:rPr>
        <w:t>股票代码：600718</w:t>
      </w:r>
      <w:r>
        <w:rPr>
          <w:rFonts w:ascii="黑体" w:hAnsi="黑体" w:cs="黑体" w:eastAsia="黑体" w:hint="default"/>
          <w:sz w:val="44"/>
          <w:szCs w:val="44"/>
        </w:rPr>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16"/>
          <w:szCs w:val="16"/>
        </w:rPr>
      </w:pPr>
    </w:p>
    <w:p>
      <w:pPr>
        <w:spacing w:line="420" w:lineRule="exact"/>
        <w:ind w:left="2404" w:right="0" w:firstLine="0"/>
        <w:rPr>
          <w:rFonts w:ascii="黑体" w:hAnsi="黑体" w:cs="黑体" w:eastAsia="黑体" w:hint="default"/>
          <w:sz w:val="20"/>
          <w:szCs w:val="20"/>
        </w:rPr>
      </w:pPr>
      <w:r>
        <w:rPr>
          <w:rFonts w:ascii="黑体" w:hAnsi="黑体" w:cs="黑体" w:eastAsia="黑体" w:hint="default"/>
          <w:position w:val="-7"/>
          <w:sz w:val="20"/>
          <w:szCs w:val="20"/>
        </w:rPr>
        <w:drawing>
          <wp:inline distT="0" distB="0" distL="0" distR="0">
            <wp:extent cx="2128412" cy="267271"/>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128412" cy="267271"/>
                    </a:xfrm>
                    <a:prstGeom prst="rect">
                      <a:avLst/>
                    </a:prstGeom>
                  </pic:spPr>
                </pic:pic>
              </a:graphicData>
            </a:graphic>
          </wp:inline>
        </w:drawing>
      </w:r>
      <w:r>
        <w:rPr>
          <w:rFonts w:ascii="黑体" w:hAnsi="黑体" w:cs="黑体" w:eastAsia="黑体" w:hint="default"/>
          <w:position w:val="-7"/>
          <w:sz w:val="20"/>
          <w:szCs w:val="20"/>
        </w:rPr>
      </w:r>
    </w:p>
    <w:p>
      <w:pPr>
        <w:spacing w:after="0" w:line="420" w:lineRule="exact"/>
        <w:rPr>
          <w:rFonts w:ascii="黑体" w:hAnsi="黑体" w:cs="黑体" w:eastAsia="黑体" w:hint="default"/>
          <w:sz w:val="20"/>
          <w:szCs w:val="20"/>
        </w:rPr>
        <w:sectPr>
          <w:type w:val="continuous"/>
          <w:pgSz w:w="11910" w:h="16840"/>
          <w:pgMar w:top="1600" w:bottom="280" w:left="1680" w:right="1680"/>
        </w:sectPr>
      </w:pPr>
    </w:p>
    <w:p>
      <w:pPr>
        <w:spacing w:line="240" w:lineRule="auto" w:before="4"/>
        <w:rPr>
          <w:rFonts w:ascii="黑体" w:hAnsi="黑体" w:cs="黑体" w:eastAsia="黑体" w:hint="default"/>
          <w:sz w:val="24"/>
          <w:szCs w:val="24"/>
        </w:rPr>
      </w:pPr>
    </w:p>
    <w:p>
      <w:pPr>
        <w:pStyle w:val="Heading1"/>
        <w:spacing w:line="240" w:lineRule="auto"/>
        <w:ind w:left="4310" w:right="4190"/>
        <w:jc w:val="center"/>
        <w:rPr>
          <w:rFonts w:ascii="黑体" w:hAnsi="黑体" w:cs="黑体" w:eastAsia="黑体" w:hint="default"/>
          <w:b w:val="0"/>
          <w:bCs w:val="0"/>
        </w:rPr>
      </w:pPr>
      <w:r>
        <w:rPr>
          <w:rFonts w:ascii="黑体" w:hAnsi="黑体" w:cs="黑体" w:eastAsia="黑体" w:hint="default"/>
        </w:rPr>
        <w:t>目录</w:t>
      </w:r>
      <w:r>
        <w:rPr>
          <w:rFonts w:ascii="黑体" w:hAnsi="黑体" w:cs="黑体" w:eastAsia="黑体" w:hint="default"/>
          <w:b w:val="0"/>
          <w:bCs w:val="0"/>
        </w:rPr>
      </w:r>
    </w:p>
    <w:sdt>
      <w:sdtPr>
        <w:docPartObj>
          <w:docPartGallery w:val="Table of Contents"/>
          <w:docPartUnique/>
        </w:docPartObj>
      </w:sdtPr>
      <w:sdtEndPr/>
      <w:sdtContent>
        <w:p>
          <w:pPr>
            <w:pStyle w:val="TOC2"/>
            <w:tabs>
              <w:tab w:pos="8611" w:val="right" w:leader="dot"/>
            </w:tabs>
            <w:spacing w:line="240" w:lineRule="auto" w:before="247"/>
            <w:ind w:right="0"/>
            <w:jc w:val="left"/>
            <w:rPr>
              <w:rFonts w:ascii="宋体" w:hAnsi="宋体" w:cs="宋体" w:eastAsia="宋体" w:hint="default"/>
              <w:b w:val="0"/>
              <w:bCs w:val="0"/>
              <w:i w:val="0"/>
              <w:sz w:val="24"/>
              <w:szCs w:val="24"/>
            </w:rPr>
          </w:pPr>
          <w:hyperlink w:history="true" w:anchor="_TOC_250011">
            <w:r>
              <w:rPr>
                <w:i w:val="0"/>
                <w:sz w:val="24"/>
                <w:szCs w:val="24"/>
              </w:rPr>
              <w:t>一、重要提示</w:t>
            </w:r>
            <w:r>
              <w:rPr>
                <w:rFonts w:ascii="Times New Roman" w:hAnsi="Times New Roman" w:cs="Times New Roman" w:eastAsia="Times New Roman" w:hint="default"/>
                <w:b w:val="0"/>
                <w:bCs w:val="0"/>
                <w:i w:val="0"/>
                <w:sz w:val="24"/>
                <w:szCs w:val="24"/>
              </w:rPr>
              <w:tab/>
            </w:r>
            <w:r>
              <w:rPr>
                <w:rFonts w:ascii="宋体" w:hAnsi="宋体" w:cs="宋体" w:eastAsia="宋体" w:hint="default"/>
                <w:b w:val="0"/>
                <w:bCs w:val="0"/>
                <w:i w:val="0"/>
                <w:sz w:val="24"/>
                <w:szCs w:val="24"/>
              </w:rPr>
              <w:t>3</w:t>
            </w:r>
          </w:hyperlink>
        </w:p>
        <w:p>
          <w:pPr>
            <w:pStyle w:val="TOC1"/>
            <w:tabs>
              <w:tab w:pos="8611" w:val="right" w:leader="dot"/>
            </w:tabs>
            <w:spacing w:line="240" w:lineRule="auto"/>
            <w:ind w:right="0"/>
            <w:jc w:val="left"/>
            <w:rPr>
              <w:rFonts w:ascii="宋体" w:hAnsi="宋体" w:cs="宋体" w:eastAsia="宋体" w:hint="default"/>
              <w:b w:val="0"/>
              <w:bCs w:val="0"/>
            </w:rPr>
          </w:pPr>
          <w:hyperlink w:history="true" w:anchor="_TOC_250010">
            <w:r>
              <w:rPr/>
              <w:t>二、公司基本情况</w:t>
            </w:r>
            <w:r>
              <w:rPr>
                <w:rFonts w:ascii="Times New Roman" w:hAnsi="Times New Roman" w:cs="Times New Roman" w:eastAsia="Times New Roman" w:hint="default"/>
                <w:b w:val="0"/>
                <w:bCs w:val="0"/>
              </w:rPr>
              <w:tab/>
            </w:r>
            <w:r>
              <w:rPr>
                <w:rFonts w:ascii="宋体" w:hAnsi="宋体" w:cs="宋体" w:eastAsia="宋体" w:hint="default"/>
                <w:b w:val="0"/>
                <w:bCs w:val="0"/>
              </w:rPr>
              <w:t>4</w:t>
            </w:r>
          </w:hyperlink>
        </w:p>
        <w:p>
          <w:pPr>
            <w:pStyle w:val="TOC1"/>
            <w:tabs>
              <w:tab w:pos="8611" w:val="right" w:leader="dot"/>
            </w:tabs>
            <w:spacing w:line="240" w:lineRule="auto"/>
            <w:ind w:right="0"/>
            <w:jc w:val="left"/>
            <w:rPr>
              <w:rFonts w:ascii="宋体" w:hAnsi="宋体" w:cs="宋体" w:eastAsia="宋体" w:hint="default"/>
              <w:b w:val="0"/>
              <w:bCs w:val="0"/>
            </w:rPr>
          </w:pPr>
          <w:hyperlink w:history="true" w:anchor="_TOC_250009">
            <w:r>
              <w:rPr/>
              <w:t>三、会计数据和业务数据摘要</w:t>
            </w:r>
            <w:r>
              <w:rPr>
                <w:rFonts w:ascii="Times New Roman" w:hAnsi="Times New Roman" w:cs="Times New Roman" w:eastAsia="Times New Roman" w:hint="default"/>
                <w:b w:val="0"/>
                <w:bCs w:val="0"/>
              </w:rPr>
              <w:tab/>
            </w:r>
            <w:r>
              <w:rPr>
                <w:rFonts w:ascii="宋体" w:hAnsi="宋体" w:cs="宋体" w:eastAsia="宋体" w:hint="default"/>
                <w:b w:val="0"/>
                <w:bCs w:val="0"/>
              </w:rPr>
              <w:t>5</w:t>
            </w:r>
          </w:hyperlink>
        </w:p>
        <w:p>
          <w:pPr>
            <w:pStyle w:val="TOC1"/>
            <w:tabs>
              <w:tab w:pos="8611" w:val="right" w:leader="dot"/>
            </w:tabs>
            <w:spacing w:line="240" w:lineRule="auto"/>
            <w:ind w:right="0"/>
            <w:jc w:val="left"/>
            <w:rPr>
              <w:rFonts w:ascii="宋体" w:hAnsi="宋体" w:cs="宋体" w:eastAsia="宋体" w:hint="default"/>
              <w:b w:val="0"/>
              <w:bCs w:val="0"/>
            </w:rPr>
          </w:pPr>
          <w:hyperlink w:history="true" w:anchor="_TOC_250008">
            <w:r>
              <w:rPr/>
              <w:t>四、股本变动及股东情况</w:t>
            </w:r>
            <w:r>
              <w:rPr>
                <w:rFonts w:ascii="Times New Roman" w:hAnsi="Times New Roman" w:cs="Times New Roman" w:eastAsia="Times New Roman" w:hint="default"/>
                <w:b w:val="0"/>
                <w:bCs w:val="0"/>
              </w:rPr>
              <w:tab/>
            </w:r>
            <w:r>
              <w:rPr>
                <w:rFonts w:ascii="宋体" w:hAnsi="宋体" w:cs="宋体" w:eastAsia="宋体" w:hint="default"/>
                <w:b w:val="0"/>
                <w:bCs w:val="0"/>
              </w:rPr>
              <w:t>8</w:t>
            </w:r>
          </w:hyperlink>
        </w:p>
        <w:p>
          <w:pPr>
            <w:pStyle w:val="TOC1"/>
            <w:tabs>
              <w:tab w:pos="8611" w:val="right" w:leader="dot"/>
            </w:tabs>
            <w:spacing w:line="240" w:lineRule="auto"/>
            <w:ind w:right="0"/>
            <w:jc w:val="left"/>
            <w:rPr>
              <w:rFonts w:ascii="宋体" w:hAnsi="宋体" w:cs="宋体" w:eastAsia="宋体" w:hint="default"/>
              <w:b w:val="0"/>
              <w:bCs w:val="0"/>
            </w:rPr>
          </w:pPr>
          <w:hyperlink w:history="true" w:anchor="_TOC_250007">
            <w:r>
              <w:rPr/>
              <w:t>五、董事、监事和高级管理人员</w:t>
            </w:r>
            <w:r>
              <w:rPr>
                <w:rFonts w:ascii="Times New Roman" w:hAnsi="Times New Roman" w:cs="Times New Roman" w:eastAsia="Times New Roman" w:hint="default"/>
                <w:b w:val="0"/>
                <w:bCs w:val="0"/>
              </w:rPr>
              <w:tab/>
            </w:r>
            <w:r>
              <w:rPr>
                <w:rFonts w:ascii="宋体" w:hAnsi="宋体" w:cs="宋体" w:eastAsia="宋体" w:hint="default"/>
                <w:b w:val="0"/>
                <w:bCs w:val="0"/>
              </w:rPr>
              <w:t>14</w:t>
            </w:r>
          </w:hyperlink>
        </w:p>
        <w:p>
          <w:pPr>
            <w:pStyle w:val="TOC2"/>
            <w:tabs>
              <w:tab w:pos="8611" w:val="right" w:leader="dot"/>
            </w:tabs>
            <w:spacing w:line="240" w:lineRule="auto"/>
            <w:ind w:right="0"/>
            <w:jc w:val="left"/>
            <w:rPr>
              <w:rFonts w:ascii="宋体" w:hAnsi="宋体" w:cs="宋体" w:eastAsia="宋体" w:hint="default"/>
              <w:b w:val="0"/>
              <w:bCs w:val="0"/>
              <w:i w:val="0"/>
              <w:sz w:val="24"/>
              <w:szCs w:val="24"/>
            </w:rPr>
          </w:pPr>
          <w:hyperlink w:history="true" w:anchor="_TOC_250006">
            <w:r>
              <w:rPr>
                <w:i w:val="0"/>
                <w:sz w:val="24"/>
                <w:szCs w:val="24"/>
              </w:rPr>
              <w:t>六、公司治理结构</w:t>
            </w:r>
            <w:r>
              <w:rPr>
                <w:rFonts w:ascii="Times New Roman" w:hAnsi="Times New Roman" w:cs="Times New Roman" w:eastAsia="Times New Roman" w:hint="default"/>
                <w:b w:val="0"/>
                <w:bCs w:val="0"/>
                <w:i w:val="0"/>
                <w:sz w:val="24"/>
                <w:szCs w:val="24"/>
              </w:rPr>
              <w:tab/>
            </w:r>
            <w:r>
              <w:rPr>
                <w:rFonts w:ascii="宋体" w:hAnsi="宋体" w:cs="宋体" w:eastAsia="宋体" w:hint="default"/>
                <w:b w:val="0"/>
                <w:bCs w:val="0"/>
                <w:i w:val="0"/>
                <w:sz w:val="24"/>
                <w:szCs w:val="24"/>
              </w:rPr>
              <w:t>21</w:t>
            </w:r>
          </w:hyperlink>
        </w:p>
        <w:p>
          <w:pPr>
            <w:pStyle w:val="TOC2"/>
            <w:tabs>
              <w:tab w:pos="8611" w:val="right" w:leader="dot"/>
            </w:tabs>
            <w:spacing w:line="240" w:lineRule="auto"/>
            <w:ind w:right="0"/>
            <w:jc w:val="left"/>
            <w:rPr>
              <w:rFonts w:ascii="宋体" w:hAnsi="宋体" w:cs="宋体" w:eastAsia="宋体" w:hint="default"/>
              <w:b w:val="0"/>
              <w:bCs w:val="0"/>
              <w:i w:val="0"/>
              <w:sz w:val="24"/>
              <w:szCs w:val="24"/>
            </w:rPr>
          </w:pPr>
          <w:hyperlink w:history="true" w:anchor="_TOC_250005">
            <w:r>
              <w:rPr>
                <w:i w:val="0"/>
                <w:sz w:val="24"/>
                <w:szCs w:val="24"/>
              </w:rPr>
              <w:t>七、股东大会情况简介</w:t>
            </w:r>
            <w:r>
              <w:rPr>
                <w:rFonts w:ascii="Times New Roman" w:hAnsi="Times New Roman" w:cs="Times New Roman" w:eastAsia="Times New Roman" w:hint="default"/>
                <w:b w:val="0"/>
                <w:bCs w:val="0"/>
                <w:i w:val="0"/>
                <w:sz w:val="24"/>
                <w:szCs w:val="24"/>
              </w:rPr>
              <w:tab/>
            </w:r>
            <w:r>
              <w:rPr>
                <w:rFonts w:ascii="宋体" w:hAnsi="宋体" w:cs="宋体" w:eastAsia="宋体" w:hint="default"/>
                <w:b w:val="0"/>
                <w:bCs w:val="0"/>
                <w:i w:val="0"/>
                <w:sz w:val="24"/>
                <w:szCs w:val="24"/>
              </w:rPr>
              <w:t>27</w:t>
            </w:r>
          </w:hyperlink>
        </w:p>
        <w:p>
          <w:pPr>
            <w:pStyle w:val="TOC2"/>
            <w:tabs>
              <w:tab w:pos="8611" w:val="right" w:leader="dot"/>
            </w:tabs>
            <w:spacing w:line="240" w:lineRule="auto"/>
            <w:ind w:right="0"/>
            <w:jc w:val="left"/>
            <w:rPr>
              <w:rFonts w:ascii="宋体" w:hAnsi="宋体" w:cs="宋体" w:eastAsia="宋体" w:hint="default"/>
              <w:b w:val="0"/>
              <w:bCs w:val="0"/>
              <w:i w:val="0"/>
              <w:sz w:val="24"/>
              <w:szCs w:val="24"/>
            </w:rPr>
          </w:pPr>
          <w:hyperlink w:history="true" w:anchor="_TOC_250004">
            <w:r>
              <w:rPr>
                <w:i w:val="0"/>
                <w:sz w:val="24"/>
                <w:szCs w:val="24"/>
              </w:rPr>
              <w:t>八、董事会报告</w:t>
            </w:r>
            <w:r>
              <w:rPr>
                <w:rFonts w:ascii="Times New Roman" w:hAnsi="Times New Roman" w:cs="Times New Roman" w:eastAsia="Times New Roman" w:hint="default"/>
                <w:b w:val="0"/>
                <w:bCs w:val="0"/>
                <w:i w:val="0"/>
                <w:sz w:val="24"/>
                <w:szCs w:val="24"/>
              </w:rPr>
              <w:tab/>
            </w:r>
            <w:r>
              <w:rPr>
                <w:rFonts w:ascii="宋体" w:hAnsi="宋体" w:cs="宋体" w:eastAsia="宋体" w:hint="default"/>
                <w:b w:val="0"/>
                <w:bCs w:val="0"/>
                <w:i w:val="0"/>
                <w:sz w:val="24"/>
                <w:szCs w:val="24"/>
              </w:rPr>
              <w:t>28</w:t>
            </w:r>
          </w:hyperlink>
        </w:p>
        <w:p>
          <w:pPr>
            <w:pStyle w:val="TOC2"/>
            <w:tabs>
              <w:tab w:pos="8611" w:val="right" w:leader="dot"/>
            </w:tabs>
            <w:spacing w:line="240" w:lineRule="auto"/>
            <w:ind w:right="0"/>
            <w:jc w:val="left"/>
            <w:rPr>
              <w:rFonts w:ascii="宋体" w:hAnsi="宋体" w:cs="宋体" w:eastAsia="宋体" w:hint="default"/>
              <w:b w:val="0"/>
              <w:bCs w:val="0"/>
              <w:i w:val="0"/>
              <w:sz w:val="24"/>
              <w:szCs w:val="24"/>
            </w:rPr>
          </w:pPr>
          <w:hyperlink w:history="true" w:anchor="_TOC_250003">
            <w:r>
              <w:rPr>
                <w:i w:val="0"/>
                <w:sz w:val="24"/>
                <w:szCs w:val="24"/>
              </w:rPr>
              <w:t>九、监事会报告</w:t>
            </w:r>
            <w:r>
              <w:rPr>
                <w:rFonts w:ascii="Times New Roman" w:hAnsi="Times New Roman" w:cs="Times New Roman" w:eastAsia="Times New Roman" w:hint="default"/>
                <w:b w:val="0"/>
                <w:bCs w:val="0"/>
                <w:i w:val="0"/>
                <w:sz w:val="24"/>
                <w:szCs w:val="24"/>
              </w:rPr>
              <w:tab/>
            </w:r>
            <w:r>
              <w:rPr>
                <w:rFonts w:ascii="宋体" w:hAnsi="宋体" w:cs="宋体" w:eastAsia="宋体" w:hint="default"/>
                <w:b w:val="0"/>
                <w:bCs w:val="0"/>
                <w:i w:val="0"/>
                <w:sz w:val="24"/>
                <w:szCs w:val="24"/>
              </w:rPr>
              <w:t>48</w:t>
            </w:r>
          </w:hyperlink>
        </w:p>
        <w:p>
          <w:pPr>
            <w:pStyle w:val="TOC2"/>
            <w:tabs>
              <w:tab w:pos="8611" w:val="right" w:leader="dot"/>
            </w:tabs>
            <w:spacing w:line="240" w:lineRule="auto"/>
            <w:ind w:right="0"/>
            <w:jc w:val="left"/>
            <w:rPr>
              <w:rFonts w:ascii="宋体" w:hAnsi="宋体" w:cs="宋体" w:eastAsia="宋体" w:hint="default"/>
              <w:b w:val="0"/>
              <w:bCs w:val="0"/>
              <w:i w:val="0"/>
              <w:sz w:val="24"/>
              <w:szCs w:val="24"/>
            </w:rPr>
          </w:pPr>
          <w:hyperlink w:history="true" w:anchor="_TOC_250002">
            <w:r>
              <w:rPr>
                <w:i w:val="0"/>
                <w:sz w:val="24"/>
                <w:szCs w:val="24"/>
              </w:rPr>
              <w:t>十、重要事项</w:t>
            </w:r>
            <w:r>
              <w:rPr>
                <w:rFonts w:ascii="Times New Roman" w:hAnsi="Times New Roman" w:cs="Times New Roman" w:eastAsia="Times New Roman" w:hint="default"/>
                <w:b w:val="0"/>
                <w:bCs w:val="0"/>
                <w:i w:val="0"/>
                <w:sz w:val="24"/>
                <w:szCs w:val="24"/>
              </w:rPr>
              <w:tab/>
            </w:r>
            <w:r>
              <w:rPr>
                <w:rFonts w:ascii="宋体" w:hAnsi="宋体" w:cs="宋体" w:eastAsia="宋体" w:hint="default"/>
                <w:b w:val="0"/>
                <w:bCs w:val="0"/>
                <w:i w:val="0"/>
                <w:sz w:val="24"/>
                <w:szCs w:val="24"/>
              </w:rPr>
              <w:t>50</w:t>
            </w:r>
          </w:hyperlink>
        </w:p>
        <w:p>
          <w:pPr>
            <w:pStyle w:val="TOC2"/>
            <w:tabs>
              <w:tab w:pos="8611" w:val="right" w:leader="dot"/>
            </w:tabs>
            <w:spacing w:line="240" w:lineRule="auto"/>
            <w:ind w:right="0"/>
            <w:jc w:val="left"/>
            <w:rPr>
              <w:rFonts w:ascii="宋体" w:hAnsi="宋体" w:cs="宋体" w:eastAsia="宋体" w:hint="default"/>
              <w:b w:val="0"/>
              <w:bCs w:val="0"/>
              <w:i w:val="0"/>
              <w:sz w:val="24"/>
              <w:szCs w:val="24"/>
            </w:rPr>
          </w:pPr>
          <w:hyperlink w:history="true" w:anchor="_TOC_250001">
            <w:r>
              <w:rPr>
                <w:i w:val="0"/>
                <w:sz w:val="24"/>
                <w:szCs w:val="24"/>
              </w:rPr>
              <w:t>十一、财务会计报告</w:t>
            </w:r>
            <w:r>
              <w:rPr>
                <w:rFonts w:ascii="Times New Roman" w:hAnsi="Times New Roman" w:cs="Times New Roman" w:eastAsia="Times New Roman" w:hint="default"/>
                <w:b w:val="0"/>
                <w:bCs w:val="0"/>
                <w:i w:val="0"/>
                <w:sz w:val="24"/>
                <w:szCs w:val="24"/>
              </w:rPr>
              <w:tab/>
            </w:r>
            <w:r>
              <w:rPr>
                <w:rFonts w:ascii="宋体" w:hAnsi="宋体" w:cs="宋体" w:eastAsia="宋体" w:hint="default"/>
                <w:b w:val="0"/>
                <w:bCs w:val="0"/>
                <w:i w:val="0"/>
                <w:sz w:val="24"/>
                <w:szCs w:val="24"/>
              </w:rPr>
              <w:t>59</w:t>
            </w:r>
          </w:hyperlink>
        </w:p>
        <w:p>
          <w:pPr>
            <w:pStyle w:val="TOC2"/>
            <w:tabs>
              <w:tab w:pos="8611" w:val="right" w:leader="dot"/>
            </w:tabs>
            <w:spacing w:line="240" w:lineRule="auto"/>
            <w:ind w:right="0"/>
            <w:jc w:val="left"/>
            <w:rPr>
              <w:rFonts w:ascii="宋体" w:hAnsi="宋体" w:cs="宋体" w:eastAsia="宋体" w:hint="default"/>
              <w:b w:val="0"/>
              <w:bCs w:val="0"/>
              <w:i w:val="0"/>
              <w:sz w:val="24"/>
              <w:szCs w:val="24"/>
            </w:rPr>
          </w:pPr>
          <w:hyperlink w:history="true" w:anchor="_TOC_250000">
            <w:r>
              <w:rPr>
                <w:i w:val="0"/>
                <w:sz w:val="24"/>
                <w:szCs w:val="24"/>
              </w:rPr>
              <w:t>十二、备查文件目录</w:t>
            </w:r>
            <w:r>
              <w:rPr>
                <w:rFonts w:ascii="Times New Roman" w:hAnsi="Times New Roman" w:cs="Times New Roman" w:eastAsia="Times New Roman" w:hint="default"/>
                <w:b w:val="0"/>
                <w:bCs w:val="0"/>
                <w:i w:val="0"/>
                <w:sz w:val="24"/>
                <w:szCs w:val="24"/>
              </w:rPr>
              <w:tab/>
            </w:r>
            <w:r>
              <w:rPr>
                <w:rFonts w:ascii="宋体" w:hAnsi="宋体" w:cs="宋体" w:eastAsia="宋体" w:hint="default"/>
                <w:b w:val="0"/>
                <w:bCs w:val="0"/>
                <w:i w:val="0"/>
                <w:sz w:val="24"/>
                <w:szCs w:val="24"/>
              </w:rPr>
              <w:t>60</w:t>
            </w:r>
          </w:hyperlink>
        </w:p>
      </w:sdtContent>
    </w:sdt>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57"/>
        <w:ind w:left="118" w:right="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headerReference w:type="default" r:id="rId6"/>
          <w:footerReference w:type="default" r:id="rId7"/>
          <w:pgSz w:w="11910" w:h="16840"/>
          <w:pgMar w:header="1012" w:footer="480" w:top="1360" w:bottom="660" w:left="1300" w:right="1420"/>
          <w:pgNumType w:start="2"/>
        </w:sectPr>
      </w:pPr>
    </w:p>
    <w:p>
      <w:pPr>
        <w:spacing w:line="240" w:lineRule="auto" w:before="4"/>
        <w:rPr>
          <w:rFonts w:ascii="黑体" w:hAnsi="黑体" w:cs="黑体" w:eastAsia="黑体" w:hint="default"/>
          <w:sz w:val="21"/>
          <w:szCs w:val="21"/>
        </w:rPr>
      </w:pPr>
    </w:p>
    <w:p>
      <w:pPr>
        <w:pStyle w:val="Heading2"/>
        <w:spacing w:line="240" w:lineRule="auto"/>
        <w:ind w:right="0"/>
        <w:jc w:val="both"/>
        <w:rPr>
          <w:b w:val="0"/>
          <w:bCs w:val="0"/>
        </w:rPr>
      </w:pPr>
      <w:bookmarkStart w:name="_TOC_250011" w:id="2"/>
      <w:r>
        <w:rPr/>
        <w:t>一、重要提示</w:t>
      </w:r>
      <w:bookmarkEnd w:id="2"/>
      <w:r>
        <w:rPr>
          <w:b w:val="0"/>
          <w:bCs w:val="0"/>
        </w:rPr>
      </w:r>
    </w:p>
    <w:p>
      <w:pPr>
        <w:pStyle w:val="Heading5"/>
        <w:spacing w:line="312" w:lineRule="exact" w:before="164"/>
        <w:ind w:right="232"/>
        <w:jc w:val="both"/>
      </w:pPr>
      <w:r>
        <w:rPr>
          <w:spacing w:val="-3"/>
        </w:rPr>
        <w:t>（一）本公司董事会、监事会及其董事、监事、高级管理人员保证本报告所载资料不存</w:t>
      </w:r>
      <w:r>
        <w:rPr>
          <w:spacing w:val="-88"/>
        </w:rPr>
        <w:t> </w:t>
      </w:r>
      <w:r>
        <w:rPr>
          <w:spacing w:val="-88"/>
        </w:rPr>
      </w:r>
      <w:r>
        <w:rPr>
          <w:spacing w:val="-2"/>
        </w:rPr>
        <w:t>在任何虚假记载、误导性陈述或者重大遗漏，并对其内容的真实性、准确性和完整性负</w:t>
      </w:r>
      <w:r>
        <w:rPr>
          <w:spacing w:val="-95"/>
        </w:rPr>
        <w:t> </w:t>
      </w:r>
      <w:r>
        <w:rPr>
          <w:spacing w:val="-95"/>
        </w:rPr>
      </w:r>
      <w:r>
        <w:rPr/>
        <w:t>个别及连带责任。</w:t>
      </w:r>
    </w:p>
    <w:p>
      <w:pPr>
        <w:spacing w:line="312" w:lineRule="exact" w:before="0"/>
        <w:ind w:left="118" w:right="100" w:firstLine="0"/>
        <w:jc w:val="left"/>
        <w:rPr>
          <w:rFonts w:ascii="宋体" w:hAnsi="宋体" w:cs="宋体" w:eastAsia="宋体" w:hint="default"/>
          <w:sz w:val="24"/>
          <w:szCs w:val="24"/>
        </w:rPr>
      </w:pPr>
      <w:r>
        <w:rPr>
          <w:rFonts w:ascii="宋体" w:hAnsi="宋体" w:cs="宋体" w:eastAsia="宋体" w:hint="default"/>
          <w:spacing w:val="-2"/>
          <w:sz w:val="24"/>
          <w:szCs w:val="24"/>
        </w:rPr>
        <w:t>（二）董事石黑征三全权委托副董事长王勇峰出席并表决。独立董事高文全权委托独立</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董事薛澜出席并表决。</w:t>
      </w:r>
    </w:p>
    <w:p>
      <w:pPr>
        <w:spacing w:line="282" w:lineRule="exact" w:before="0"/>
        <w:ind w:left="118" w:right="0" w:firstLine="0"/>
        <w:jc w:val="both"/>
        <w:rPr>
          <w:rFonts w:ascii="宋体" w:hAnsi="宋体" w:cs="宋体" w:eastAsia="宋体" w:hint="default"/>
          <w:sz w:val="24"/>
          <w:szCs w:val="24"/>
        </w:rPr>
      </w:pPr>
      <w:r>
        <w:rPr>
          <w:rFonts w:ascii="宋体" w:hAnsi="宋体" w:cs="宋体" w:eastAsia="宋体" w:hint="default"/>
          <w:spacing w:val="-5"/>
          <w:sz w:val="24"/>
          <w:szCs w:val="24"/>
        </w:rPr>
        <w:t>（三）立信会计师事务所（特殊普通合伙）为本公司出具了标准无保留意见的审计报告。</w:t>
      </w:r>
    </w:p>
    <w:p>
      <w:pPr>
        <w:spacing w:line="312" w:lineRule="exact" w:before="29"/>
        <w:ind w:left="118" w:right="100" w:firstLine="0"/>
        <w:jc w:val="left"/>
        <w:rPr>
          <w:rFonts w:ascii="宋体" w:hAnsi="宋体" w:cs="宋体" w:eastAsia="宋体" w:hint="default"/>
          <w:sz w:val="24"/>
          <w:szCs w:val="24"/>
        </w:rPr>
      </w:pPr>
      <w:r>
        <w:rPr>
          <w:rFonts w:ascii="宋体" w:hAnsi="宋体" w:cs="宋体" w:eastAsia="宋体" w:hint="default"/>
          <w:spacing w:val="-2"/>
          <w:sz w:val="24"/>
          <w:szCs w:val="24"/>
        </w:rPr>
        <w:t>（四）公司董事长兼首席执行官刘积仁、高级副总裁兼首席财务官王莉及财务运营部部</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长陈雷声明：保证年度报告中财务报告的真实、完整。</w:t>
      </w:r>
    </w:p>
    <w:p>
      <w:pPr>
        <w:spacing w:line="282" w:lineRule="exact" w:before="0"/>
        <w:ind w:left="118" w:right="0" w:firstLine="0"/>
        <w:jc w:val="both"/>
        <w:rPr>
          <w:rFonts w:ascii="宋体" w:hAnsi="宋体" w:cs="宋体" w:eastAsia="宋体" w:hint="default"/>
          <w:sz w:val="24"/>
          <w:szCs w:val="24"/>
        </w:rPr>
      </w:pPr>
      <w:r>
        <w:rPr>
          <w:rFonts w:ascii="宋体" w:hAnsi="宋体" w:cs="宋体" w:eastAsia="宋体" w:hint="default"/>
          <w:sz w:val="24"/>
          <w:szCs w:val="24"/>
        </w:rPr>
        <w:t>（五）报告期内，本公司不存在被控股股东及其关联方非经营性占用资金的情况。</w:t>
      </w:r>
    </w:p>
    <w:p>
      <w:pPr>
        <w:spacing w:line="312" w:lineRule="exact" w:before="0"/>
        <w:ind w:left="118" w:right="0" w:firstLine="0"/>
        <w:jc w:val="both"/>
        <w:rPr>
          <w:rFonts w:ascii="宋体" w:hAnsi="宋体" w:cs="宋体" w:eastAsia="宋体" w:hint="default"/>
          <w:sz w:val="24"/>
          <w:szCs w:val="24"/>
        </w:rPr>
      </w:pPr>
      <w:r>
        <w:rPr>
          <w:rFonts w:ascii="宋体" w:hAnsi="宋体" w:cs="宋体" w:eastAsia="宋体" w:hint="default"/>
          <w:sz w:val="24"/>
          <w:szCs w:val="24"/>
        </w:rPr>
        <w:t>（六）报告期内，本公司不存在违反规定决策程序对外提供担保的情况。</w:t>
      </w:r>
    </w:p>
    <w:p>
      <w:pPr>
        <w:spacing w:line="312" w:lineRule="exact" w:before="29"/>
        <w:ind w:left="118" w:right="100" w:firstLine="0"/>
        <w:jc w:val="left"/>
        <w:rPr>
          <w:rFonts w:ascii="宋体" w:hAnsi="宋体" w:cs="宋体" w:eastAsia="宋体" w:hint="default"/>
          <w:sz w:val="24"/>
          <w:szCs w:val="24"/>
        </w:rPr>
      </w:pPr>
      <w:r>
        <w:rPr>
          <w:rFonts w:ascii="宋体" w:hAnsi="宋体" w:cs="宋体" w:eastAsia="宋体" w:hint="default"/>
          <w:spacing w:val="-2"/>
          <w:sz w:val="24"/>
          <w:szCs w:val="24"/>
        </w:rPr>
        <w:t>（七）本报告以东软集团股份有限公司（以下简称“东软”或“公司”或“集团”）为</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z w:val="24"/>
          <w:szCs w:val="24"/>
        </w:rPr>
        <w:t>主体，涵盖分公司、子公司。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pStyle w:val="BodyText"/>
        <w:spacing w:line="240" w:lineRule="auto"/>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0"/>
        <w:rPr>
          <w:rFonts w:ascii="黑体" w:hAnsi="黑体" w:cs="黑体" w:eastAsia="黑体" w:hint="default"/>
          <w:sz w:val="20"/>
          <w:szCs w:val="20"/>
        </w:rPr>
      </w:pPr>
    </w:p>
    <w:p>
      <w:pPr>
        <w:pStyle w:val="Heading2"/>
        <w:spacing w:line="240" w:lineRule="auto" w:before="154"/>
        <w:ind w:right="0"/>
        <w:jc w:val="left"/>
        <w:rPr>
          <w:b w:val="0"/>
          <w:bCs w:val="0"/>
        </w:rPr>
      </w:pPr>
      <w:bookmarkStart w:name="_TOC_250010" w:id="3"/>
      <w:r>
        <w:rPr/>
        <w:t>二、公司基本情况</w:t>
      </w:r>
      <w:bookmarkEnd w:id="3"/>
      <w:r>
        <w:rPr>
          <w:b w:val="0"/>
          <w:bCs w:val="0"/>
        </w:rPr>
      </w:r>
    </w:p>
    <w:p>
      <w:pPr>
        <w:pStyle w:val="Heading5"/>
        <w:spacing w:line="240" w:lineRule="auto" w:before="72"/>
        <w:ind w:right="0"/>
        <w:jc w:val="left"/>
      </w:pPr>
      <w:r>
        <w:rPr/>
        <w:t>（一）公司信息</w:t>
      </w:r>
    </w:p>
    <w:p>
      <w:pPr>
        <w:spacing w:line="240" w:lineRule="auto" w:before="11"/>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4650"/>
        <w:gridCol w:w="4650"/>
      </w:tblGrid>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公司的法定中文名称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东软集团股份有限公司</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公司的法定中文名称缩写</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东软集团</w:t>
            </w:r>
          </w:p>
        </w:tc>
      </w:tr>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公司的法定英文名称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sz w:val="21"/>
              </w:rPr>
              <w:t>Neusoft</w:t>
            </w:r>
            <w:r>
              <w:rPr>
                <w:rFonts w:ascii="宋体"/>
                <w:spacing w:val="-18"/>
                <w:sz w:val="21"/>
              </w:rPr>
              <w:t> </w:t>
            </w:r>
            <w:r>
              <w:rPr>
                <w:rFonts w:ascii="宋体"/>
                <w:sz w:val="21"/>
              </w:rPr>
              <w:t>Corporation</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公司的法定英文名称缩写</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sz w:val="21"/>
              </w:rPr>
              <w:t>Neusoft</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公司法定代表人</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刘积仁</w:t>
            </w:r>
          </w:p>
        </w:tc>
      </w:tr>
    </w:tbl>
    <w:p>
      <w:pPr>
        <w:spacing w:before="7"/>
        <w:ind w:left="118" w:right="0" w:firstLine="0"/>
        <w:jc w:val="left"/>
        <w:rPr>
          <w:rFonts w:ascii="宋体" w:hAnsi="宋体" w:cs="宋体" w:eastAsia="宋体" w:hint="default"/>
          <w:sz w:val="24"/>
          <w:szCs w:val="24"/>
        </w:rPr>
      </w:pPr>
      <w:r>
        <w:rPr>
          <w:rFonts w:ascii="宋体" w:hAnsi="宋体" w:cs="宋体" w:eastAsia="宋体" w:hint="default"/>
          <w:sz w:val="24"/>
          <w:szCs w:val="24"/>
        </w:rPr>
        <w:t>（二）联系人和联系方式</w:t>
      </w:r>
    </w:p>
    <w:p>
      <w:pPr>
        <w:spacing w:line="240" w:lineRule="auto" w:before="10"/>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1284"/>
        <w:gridCol w:w="3970"/>
        <w:gridCol w:w="4046"/>
      </w:tblGrid>
      <w:tr>
        <w:trPr>
          <w:trHeight w:val="328" w:hRule="exact"/>
        </w:trPr>
        <w:tc>
          <w:tcPr>
            <w:tcW w:w="1284" w:type="dxa"/>
            <w:tcBorders>
              <w:top w:val="single" w:sz="6" w:space="0" w:color="000000"/>
              <w:left w:val="single" w:sz="6" w:space="0" w:color="000000"/>
              <w:bottom w:val="single" w:sz="6" w:space="0" w:color="000000"/>
              <w:right w:val="single" w:sz="6" w:space="0" w:color="000000"/>
            </w:tcBorders>
          </w:tcPr>
          <w:p>
            <w:pP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326" w:hRule="exact"/>
        </w:trPr>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王楠</w:t>
            </w:r>
          </w:p>
        </w:tc>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张龙</w:t>
            </w:r>
          </w:p>
        </w:tc>
      </w:tr>
      <w:tr>
        <w:trPr>
          <w:trHeight w:val="328" w:hRule="exact"/>
        </w:trPr>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沈阳市浑南新区新秀街</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号</w:t>
            </w:r>
            <w:r>
              <w:rPr>
                <w:rFonts w:ascii="宋体" w:hAnsi="宋体" w:cs="宋体" w:eastAsia="宋体" w:hint="default"/>
                <w:spacing w:val="-1"/>
                <w:sz w:val="21"/>
                <w:szCs w:val="21"/>
              </w:rPr>
              <w:t> </w:t>
            </w:r>
            <w:r>
              <w:rPr>
                <w:rFonts w:ascii="宋体" w:hAnsi="宋体" w:cs="宋体" w:eastAsia="宋体" w:hint="default"/>
                <w:sz w:val="21"/>
                <w:szCs w:val="21"/>
              </w:rPr>
              <w:t>东软软件园</w:t>
            </w:r>
          </w:p>
        </w:tc>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沈阳市浑南新区新秀街</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号</w:t>
            </w:r>
            <w:r>
              <w:rPr>
                <w:rFonts w:ascii="宋体" w:hAnsi="宋体" w:cs="宋体" w:eastAsia="宋体" w:hint="default"/>
                <w:spacing w:val="-1"/>
                <w:sz w:val="21"/>
                <w:szCs w:val="21"/>
              </w:rPr>
              <w:t> </w:t>
            </w:r>
            <w:r>
              <w:rPr>
                <w:rFonts w:ascii="宋体" w:hAnsi="宋体" w:cs="宋体" w:eastAsia="宋体" w:hint="default"/>
                <w:sz w:val="21"/>
                <w:szCs w:val="21"/>
              </w:rPr>
              <w:t>东软软件园</w:t>
            </w:r>
          </w:p>
        </w:tc>
      </w:tr>
      <w:tr>
        <w:trPr>
          <w:trHeight w:val="326" w:hRule="exact"/>
        </w:trPr>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sz w:val="21"/>
              </w:rPr>
              <w:t>024-83662115</w:t>
            </w:r>
          </w:p>
        </w:tc>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sz w:val="21"/>
              </w:rPr>
              <w:t>024-83662115</w:t>
            </w:r>
          </w:p>
        </w:tc>
      </w:tr>
      <w:tr>
        <w:trPr>
          <w:trHeight w:val="328" w:hRule="exact"/>
        </w:trPr>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sz w:val="21"/>
              </w:rPr>
              <w:t>024-23783375</w:t>
            </w:r>
          </w:p>
        </w:tc>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sz w:val="21"/>
              </w:rPr>
              <w:t>024-23783375</w:t>
            </w:r>
          </w:p>
        </w:tc>
      </w:tr>
      <w:tr>
        <w:trPr>
          <w:trHeight w:val="328" w:hRule="exact"/>
        </w:trPr>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hyperlink r:id="rId8">
              <w:r>
                <w:rPr>
                  <w:rFonts w:ascii="宋体"/>
                  <w:sz w:val="21"/>
                </w:rPr>
                <w:t>investor@neusoft.com</w:t>
              </w:r>
            </w:hyperlink>
          </w:p>
        </w:tc>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hyperlink r:id="rId8">
              <w:r>
                <w:rPr>
                  <w:rFonts w:ascii="宋体"/>
                  <w:sz w:val="21"/>
                </w:rPr>
                <w:t>investor@neusoft.com</w:t>
              </w:r>
            </w:hyperlink>
          </w:p>
        </w:tc>
      </w:tr>
    </w:tbl>
    <w:p>
      <w:pPr>
        <w:spacing w:before="7"/>
        <w:ind w:left="118" w:right="0" w:firstLine="0"/>
        <w:jc w:val="left"/>
        <w:rPr>
          <w:rFonts w:ascii="宋体" w:hAnsi="宋体" w:cs="宋体" w:eastAsia="宋体" w:hint="default"/>
          <w:sz w:val="24"/>
          <w:szCs w:val="24"/>
        </w:rPr>
      </w:pPr>
      <w:r>
        <w:rPr>
          <w:rFonts w:ascii="宋体" w:hAnsi="宋体" w:cs="宋体" w:eastAsia="宋体" w:hint="default"/>
          <w:sz w:val="24"/>
          <w:szCs w:val="24"/>
        </w:rPr>
        <w:t>（三）基本情况简介</w:t>
      </w:r>
    </w:p>
    <w:p>
      <w:pPr>
        <w:spacing w:line="240" w:lineRule="auto" w:before="10"/>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4650"/>
        <w:gridCol w:w="4650"/>
      </w:tblGrid>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注册地址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沈阳市浑南新区新秀街</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sz w:val="21"/>
              </w:rPr>
              <w:t>110179</w:t>
            </w:r>
          </w:p>
        </w:tc>
      </w:tr>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沈阳市浑南新区新秀街</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号</w:t>
            </w:r>
            <w:r>
              <w:rPr>
                <w:rFonts w:ascii="宋体" w:hAnsi="宋体" w:cs="宋体" w:eastAsia="宋体" w:hint="default"/>
                <w:spacing w:val="-1"/>
                <w:sz w:val="21"/>
                <w:szCs w:val="21"/>
              </w:rPr>
              <w:t> </w:t>
            </w:r>
            <w:r>
              <w:rPr>
                <w:rFonts w:ascii="宋体" w:hAnsi="宋体" w:cs="宋体" w:eastAsia="宋体" w:hint="default"/>
                <w:sz w:val="21"/>
                <w:szCs w:val="21"/>
              </w:rPr>
              <w:t>东软软件园</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sz w:val="21"/>
              </w:rPr>
              <w:t>110179</w:t>
            </w:r>
          </w:p>
        </w:tc>
      </w:tr>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公司国际互联网网址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hyperlink r:id="rId9">
              <w:r>
                <w:rPr>
                  <w:rFonts w:ascii="宋体"/>
                  <w:sz w:val="21"/>
                </w:rPr>
                <w:t>http://www.neusoft.com</w:t>
              </w:r>
            </w:hyperlink>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hyperlink r:id="rId8">
              <w:r>
                <w:rPr>
                  <w:rFonts w:ascii="宋体"/>
                  <w:sz w:val="21"/>
                </w:rPr>
                <w:t>investor@neusoft.com</w:t>
              </w:r>
            </w:hyperlink>
          </w:p>
        </w:tc>
      </w:tr>
    </w:tbl>
    <w:p>
      <w:pPr>
        <w:spacing w:before="7"/>
        <w:ind w:left="118" w:right="0" w:firstLine="0"/>
        <w:jc w:val="left"/>
        <w:rPr>
          <w:rFonts w:ascii="宋体" w:hAnsi="宋体" w:cs="宋体" w:eastAsia="宋体" w:hint="default"/>
          <w:sz w:val="24"/>
          <w:szCs w:val="24"/>
        </w:rPr>
      </w:pPr>
      <w:r>
        <w:rPr>
          <w:rFonts w:ascii="宋体" w:hAnsi="宋体" w:cs="宋体" w:eastAsia="宋体" w:hint="default"/>
          <w:sz w:val="24"/>
          <w:szCs w:val="24"/>
        </w:rPr>
        <w:t>（四）信息披露及备置地点</w:t>
      </w:r>
    </w:p>
    <w:p>
      <w:pPr>
        <w:spacing w:line="240" w:lineRule="auto" w:before="11"/>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4650"/>
        <w:gridCol w:w="4650"/>
      </w:tblGrid>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公司选定的信息披露报纸名称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证券报》</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公司董事会办公室</w:t>
            </w:r>
          </w:p>
        </w:tc>
      </w:tr>
    </w:tbl>
    <w:p>
      <w:pPr>
        <w:spacing w:before="7"/>
        <w:ind w:left="118" w:right="0" w:firstLine="0"/>
        <w:jc w:val="left"/>
        <w:rPr>
          <w:rFonts w:ascii="宋体" w:hAnsi="宋体" w:cs="宋体" w:eastAsia="宋体" w:hint="default"/>
          <w:sz w:val="24"/>
          <w:szCs w:val="24"/>
        </w:rPr>
      </w:pPr>
      <w:r>
        <w:rPr>
          <w:rFonts w:ascii="宋体" w:hAnsi="宋体" w:cs="宋体" w:eastAsia="宋体" w:hint="default"/>
          <w:sz w:val="24"/>
          <w:szCs w:val="24"/>
        </w:rPr>
        <w:t>（五）公司股票简况</w:t>
      </w:r>
    </w:p>
    <w:p>
      <w:pPr>
        <w:spacing w:line="240" w:lineRule="auto" w:before="10"/>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1860"/>
        <w:gridCol w:w="1860"/>
        <w:gridCol w:w="1676"/>
        <w:gridCol w:w="1700"/>
        <w:gridCol w:w="2203"/>
      </w:tblGrid>
      <w:tr>
        <w:trPr>
          <w:trHeight w:val="328" w:hRule="exact"/>
        </w:trPr>
        <w:tc>
          <w:tcPr>
            <w:tcW w:w="9300" w:type="dxa"/>
            <w:gridSpan w:val="5"/>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公司股票简况</w:t>
            </w:r>
          </w:p>
        </w:tc>
      </w:tr>
      <w:tr>
        <w:trPr>
          <w:trHeight w:val="326"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股票种类</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股票上市交易所</w:t>
            </w:r>
          </w:p>
        </w:tc>
        <w:tc>
          <w:tcPr>
            <w:tcW w:w="167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股票简称</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股票代码</w:t>
            </w:r>
          </w:p>
        </w:tc>
        <w:tc>
          <w:tcPr>
            <w:tcW w:w="220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变更前股票简称</w:t>
            </w:r>
          </w:p>
        </w:tc>
      </w:tr>
      <w:tr>
        <w:trPr>
          <w:trHeight w:val="32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 w:right="0"/>
              <w:jc w:val="center"/>
              <w:rPr>
                <w:rFonts w:ascii="宋体" w:hAnsi="宋体" w:cs="宋体" w:eastAsia="宋体" w:hint="default"/>
                <w:sz w:val="21"/>
                <w:szCs w:val="21"/>
              </w:rPr>
            </w:pPr>
            <w:r>
              <w:rPr>
                <w:rFonts w:ascii="宋体" w:hAnsi="宋体" w:cs="宋体" w:eastAsia="宋体" w:hint="default"/>
                <w:sz w:val="21"/>
                <w:szCs w:val="21"/>
              </w:rPr>
              <w:t>A</w:t>
            </w:r>
            <w:r>
              <w:rPr>
                <w:rFonts w:ascii="宋体" w:hAnsi="宋体" w:cs="宋体" w:eastAsia="宋体" w:hint="default"/>
                <w:spacing w:val="-52"/>
                <w:sz w:val="21"/>
                <w:szCs w:val="21"/>
              </w:rPr>
              <w:t> </w:t>
            </w:r>
            <w:r>
              <w:rPr>
                <w:rFonts w:ascii="宋体" w:hAnsi="宋体" w:cs="宋体" w:eastAsia="宋体" w:hint="default"/>
                <w:sz w:val="21"/>
                <w:szCs w:val="21"/>
              </w:rPr>
              <w:t>股</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上海证券交易所</w:t>
            </w:r>
          </w:p>
        </w:tc>
        <w:tc>
          <w:tcPr>
            <w:tcW w:w="167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东软集团</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600718</w:t>
            </w:r>
          </w:p>
        </w:tc>
        <w:tc>
          <w:tcPr>
            <w:tcW w:w="220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东软股份、东大阿派</w:t>
            </w:r>
          </w:p>
        </w:tc>
      </w:tr>
    </w:tbl>
    <w:p>
      <w:pPr>
        <w:spacing w:before="7"/>
        <w:ind w:left="118" w:right="0" w:firstLine="0"/>
        <w:jc w:val="left"/>
        <w:rPr>
          <w:rFonts w:ascii="宋体" w:hAnsi="宋体" w:cs="宋体" w:eastAsia="宋体" w:hint="default"/>
          <w:sz w:val="24"/>
          <w:szCs w:val="24"/>
        </w:rPr>
      </w:pPr>
      <w:r>
        <w:rPr>
          <w:rFonts w:ascii="宋体" w:hAnsi="宋体" w:cs="宋体" w:eastAsia="宋体" w:hint="default"/>
          <w:sz w:val="24"/>
          <w:szCs w:val="24"/>
        </w:rPr>
        <w:t>（六）其他有关资料</w:t>
      </w:r>
    </w:p>
    <w:p>
      <w:pPr>
        <w:spacing w:line="240" w:lineRule="auto" w:before="10"/>
        <w:rPr>
          <w:rFonts w:ascii="宋体" w:hAnsi="宋体" w:cs="宋体" w:eastAsia="宋体" w:hint="default"/>
          <w:sz w:val="2"/>
          <w:szCs w:val="2"/>
        </w:rPr>
      </w:pPr>
    </w:p>
    <w:tbl>
      <w:tblPr>
        <w:tblW w:w="0" w:type="auto"/>
        <w:jc w:val="left"/>
        <w:tblInd w:w="102" w:type="dxa"/>
        <w:tblLayout w:type="fixed"/>
        <w:tblCellMar>
          <w:top w:w="0" w:type="dxa"/>
          <w:left w:w="0" w:type="dxa"/>
          <w:bottom w:w="0" w:type="dxa"/>
          <w:right w:w="0" w:type="dxa"/>
        </w:tblCellMar>
        <w:tblLook w:val="01E0"/>
      </w:tblPr>
      <w:tblGrid>
        <w:gridCol w:w="4650"/>
        <w:gridCol w:w="4715"/>
      </w:tblGrid>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公司首次注册登记日期</w:t>
            </w:r>
          </w:p>
        </w:tc>
        <w:tc>
          <w:tcPr>
            <w:tcW w:w="471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1991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17</w:t>
            </w:r>
            <w:r>
              <w:rPr>
                <w:rFonts w:ascii="宋体" w:hAnsi="宋体" w:cs="宋体" w:eastAsia="宋体" w:hint="default"/>
                <w:spacing w:val="-52"/>
                <w:sz w:val="21"/>
                <w:szCs w:val="21"/>
              </w:rPr>
              <w:t> </w:t>
            </w:r>
            <w:r>
              <w:rPr>
                <w:rFonts w:ascii="宋体" w:hAnsi="宋体" w:cs="宋体" w:eastAsia="宋体" w:hint="default"/>
                <w:sz w:val="21"/>
                <w:szCs w:val="21"/>
              </w:rPr>
              <w:t>日</w:t>
            </w:r>
          </w:p>
        </w:tc>
      </w:tr>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公司首次注册登记地点</w:t>
            </w:r>
          </w:p>
        </w:tc>
        <w:tc>
          <w:tcPr>
            <w:tcW w:w="4715"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沈阳市和平区文化路</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号巷</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3"/>
                <w:sz w:val="21"/>
                <w:szCs w:val="21"/>
              </w:rPr>
              <w:t> </w:t>
            </w:r>
            <w:r>
              <w:rPr>
                <w:rFonts w:ascii="宋体" w:hAnsi="宋体" w:cs="宋体" w:eastAsia="宋体" w:hint="default"/>
                <w:sz w:val="21"/>
                <w:szCs w:val="21"/>
              </w:rPr>
              <w:t>号</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公司变更注册登记日期</w:t>
            </w:r>
          </w:p>
        </w:tc>
        <w:tc>
          <w:tcPr>
            <w:tcW w:w="471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公司变更注册登记地点</w:t>
            </w:r>
          </w:p>
        </w:tc>
        <w:tc>
          <w:tcPr>
            <w:tcW w:w="4715"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沈阳市浑南新区新秀街</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企业法人营业执照注册号</w:t>
            </w:r>
          </w:p>
        </w:tc>
        <w:tc>
          <w:tcPr>
            <w:tcW w:w="471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sz w:val="21"/>
              </w:rPr>
              <w:t>210100402001491</w:t>
            </w:r>
          </w:p>
        </w:tc>
      </w:tr>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税务登记号码</w:t>
            </w:r>
          </w:p>
        </w:tc>
        <w:tc>
          <w:tcPr>
            <w:tcW w:w="4715"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sz w:val="21"/>
              </w:rPr>
              <w:t>210132604608172</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471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sz w:val="21"/>
              </w:rPr>
              <w:t>60460817-2</w:t>
            </w:r>
          </w:p>
        </w:tc>
      </w:tr>
      <w:tr>
        <w:trPr>
          <w:trHeight w:val="63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公司聘请的会计师事务所名称</w:t>
            </w:r>
          </w:p>
        </w:tc>
        <w:tc>
          <w:tcPr>
            <w:tcW w:w="4715"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立信会计师事务所（特殊普通合伙）</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（原名称为“立信会计师事务所有限公司</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公司聘请的会计师事务所办公地址</w:t>
            </w:r>
          </w:p>
        </w:tc>
        <w:tc>
          <w:tcPr>
            <w:tcW w:w="471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上海市南京东路</w:t>
            </w:r>
            <w:r>
              <w:rPr>
                <w:rFonts w:ascii="宋体" w:hAnsi="宋体" w:cs="宋体" w:eastAsia="宋体" w:hint="default"/>
                <w:spacing w:val="-57"/>
                <w:sz w:val="21"/>
                <w:szCs w:val="21"/>
              </w:rPr>
              <w:t> </w:t>
            </w:r>
            <w:r>
              <w:rPr>
                <w:rFonts w:ascii="宋体" w:hAnsi="宋体" w:cs="宋体" w:eastAsia="宋体" w:hint="default"/>
                <w:sz w:val="21"/>
                <w:szCs w:val="21"/>
              </w:rPr>
              <w:t>61</w:t>
            </w:r>
            <w:r>
              <w:rPr>
                <w:rFonts w:ascii="宋体" w:hAnsi="宋体" w:cs="宋体" w:eastAsia="宋体" w:hint="default"/>
                <w:spacing w:val="-56"/>
                <w:sz w:val="21"/>
                <w:szCs w:val="21"/>
              </w:rPr>
              <w:t> </w:t>
            </w:r>
            <w:r>
              <w:rPr>
                <w:rFonts w:ascii="宋体" w:hAnsi="宋体" w:cs="宋体" w:eastAsia="宋体" w:hint="default"/>
                <w:sz w:val="21"/>
                <w:szCs w:val="21"/>
              </w:rPr>
              <w:t>号新黄浦金融大厦</w:t>
            </w:r>
            <w:r>
              <w:rPr>
                <w:rFonts w:ascii="宋体" w:hAnsi="宋体" w:cs="宋体" w:eastAsia="宋体" w:hint="default"/>
                <w:spacing w:val="-57"/>
                <w:sz w:val="21"/>
                <w:szCs w:val="21"/>
              </w:rPr>
              <w:t> </w:t>
            </w:r>
            <w:r>
              <w:rPr>
                <w:rFonts w:ascii="宋体" w:hAnsi="宋体" w:cs="宋体" w:eastAsia="宋体" w:hint="default"/>
                <w:sz w:val="21"/>
                <w:szCs w:val="21"/>
              </w:rPr>
              <w:t>4</w:t>
            </w:r>
            <w:r>
              <w:rPr>
                <w:rFonts w:ascii="宋体" w:hAnsi="宋体" w:cs="宋体" w:eastAsia="宋体" w:hint="default"/>
                <w:spacing w:val="-56"/>
                <w:sz w:val="21"/>
                <w:szCs w:val="21"/>
              </w:rPr>
              <w:t> </w:t>
            </w:r>
            <w:r>
              <w:rPr>
                <w:rFonts w:ascii="宋体" w:hAnsi="宋体" w:cs="宋体" w:eastAsia="宋体" w:hint="default"/>
                <w:sz w:val="21"/>
                <w:szCs w:val="21"/>
              </w:rPr>
              <w:t>楼</w:t>
            </w:r>
          </w:p>
        </w:tc>
      </w:tr>
    </w:tbl>
    <w:p>
      <w:pPr>
        <w:spacing w:line="240" w:lineRule="auto" w:before="3"/>
        <w:rPr>
          <w:rFonts w:ascii="宋体" w:hAnsi="宋体" w:cs="宋体" w:eastAsia="宋体" w:hint="default"/>
          <w:sz w:val="17"/>
          <w:szCs w:val="17"/>
        </w:rPr>
      </w:pPr>
    </w:p>
    <w:p>
      <w:pPr>
        <w:pStyle w:val="BodyText"/>
        <w:spacing w:line="240" w:lineRule="auto"/>
        <w:ind w:left="118" w:right="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000"/>
        </w:sect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20"/>
          <w:szCs w:val="20"/>
        </w:rPr>
      </w:pPr>
    </w:p>
    <w:p>
      <w:pPr>
        <w:pStyle w:val="Heading2"/>
        <w:spacing w:line="240" w:lineRule="auto"/>
        <w:ind w:left="218" w:right="218"/>
        <w:jc w:val="left"/>
        <w:rPr>
          <w:b w:val="0"/>
          <w:bCs w:val="0"/>
        </w:rPr>
      </w:pPr>
      <w:bookmarkStart w:name="_TOC_250009" w:id="4"/>
      <w:r>
        <w:rPr/>
        <w:t>三、会计数据和业务数据摘要</w:t>
      </w:r>
      <w:bookmarkEnd w:id="4"/>
      <w:r>
        <w:rPr>
          <w:b w:val="0"/>
          <w:bCs w:val="0"/>
        </w:rPr>
      </w:r>
    </w:p>
    <w:p>
      <w:pPr>
        <w:spacing w:line="240" w:lineRule="auto" w:before="1"/>
        <w:rPr>
          <w:rFonts w:ascii="黑体" w:hAnsi="黑体" w:cs="黑体" w:eastAsia="黑体" w:hint="default"/>
          <w:b/>
          <w:bCs/>
          <w:sz w:val="13"/>
          <w:szCs w:val="13"/>
        </w:rPr>
      </w:pPr>
    </w:p>
    <w:p>
      <w:pPr>
        <w:spacing w:after="0" w:line="240" w:lineRule="auto"/>
        <w:rPr>
          <w:rFonts w:ascii="黑体" w:hAnsi="黑体" w:cs="黑体" w:eastAsia="黑体" w:hint="default"/>
          <w:sz w:val="13"/>
          <w:szCs w:val="13"/>
        </w:rPr>
        <w:sectPr>
          <w:pgSz w:w="11910" w:h="16840"/>
          <w:pgMar w:header="1012" w:footer="480" w:top="1360" w:bottom="660" w:left="1200" w:right="1180"/>
        </w:sectPr>
      </w:pPr>
    </w:p>
    <w:p>
      <w:pPr>
        <w:pStyle w:val="Heading4"/>
        <w:spacing w:line="240" w:lineRule="auto"/>
        <w:ind w:left="218" w:right="0"/>
        <w:jc w:val="left"/>
        <w:rPr>
          <w:b w:val="0"/>
          <w:bCs w:val="0"/>
        </w:rPr>
      </w:pPr>
      <w:r>
        <w:rPr>
          <w:w w:val="95"/>
        </w:rPr>
        <w:t>（一）主要会计数据</w:t>
      </w:r>
      <w:r>
        <w:rPr>
          <w:b w:val="0"/>
          <w:bCs w:val="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17"/>
          <w:szCs w:val="17"/>
        </w:rPr>
      </w:pPr>
    </w:p>
    <w:p>
      <w:pPr>
        <w:pStyle w:val="BodyText"/>
        <w:spacing w:line="240" w:lineRule="auto" w:before="0"/>
        <w:ind w:left="218" w:right="0"/>
        <w:jc w:val="left"/>
        <w:rPr>
          <w:rFonts w:ascii="宋体" w:hAnsi="宋体" w:cs="宋体" w:eastAsia="宋体" w:hint="default"/>
        </w:rPr>
      </w:pPr>
      <w:r>
        <w:rPr>
          <w:rFonts w:ascii="宋体" w:hAnsi="宋体" w:cs="宋体" w:eastAsia="宋体" w:hint="default"/>
        </w:rPr>
        <w:t>单位：元</w:t>
      </w:r>
      <w:r>
        <w:rPr>
          <w:rFonts w:ascii="宋体" w:hAnsi="宋体" w:cs="宋体" w:eastAsia="宋体" w:hint="default"/>
          <w:spacing w:val="-2"/>
        </w:rPr>
        <w:t> </w:t>
      </w:r>
      <w:r>
        <w:rPr>
          <w:rFonts w:ascii="宋体" w:hAnsi="宋体" w:cs="宋体" w:eastAsia="宋体" w:hint="default"/>
        </w:rPr>
        <w:t>币种：人民币</w:t>
      </w:r>
    </w:p>
    <w:p>
      <w:pPr>
        <w:spacing w:after="0" w:line="240" w:lineRule="auto"/>
        <w:jc w:val="left"/>
        <w:rPr>
          <w:rFonts w:ascii="宋体" w:hAnsi="宋体" w:cs="宋体" w:eastAsia="宋体" w:hint="default"/>
        </w:rPr>
        <w:sectPr>
          <w:type w:val="continuous"/>
          <w:pgSz w:w="11910" w:h="16840"/>
          <w:pgMar w:top="1600" w:bottom="280" w:left="1200" w:right="1180"/>
          <w:cols w:num="2" w:equalWidth="0">
            <w:col w:w="2387" w:space="4478"/>
            <w:col w:w="2665"/>
          </w:cols>
        </w:sectPr>
      </w:pPr>
    </w:p>
    <w:p>
      <w:pPr>
        <w:spacing w:line="240" w:lineRule="auto" w:before="13"/>
        <w:rPr>
          <w:rFonts w:ascii="宋体" w:hAnsi="宋体" w:cs="宋体" w:eastAsia="宋体" w:hint="default"/>
          <w:sz w:val="3"/>
          <w:szCs w:val="3"/>
        </w:rPr>
      </w:pPr>
    </w:p>
    <w:tbl>
      <w:tblPr>
        <w:tblW w:w="0" w:type="auto"/>
        <w:jc w:val="left"/>
        <w:tblInd w:w="202" w:type="dxa"/>
        <w:tblLayout w:type="fixed"/>
        <w:tblCellMar>
          <w:top w:w="0" w:type="dxa"/>
          <w:left w:w="0" w:type="dxa"/>
          <w:bottom w:w="0" w:type="dxa"/>
          <w:right w:w="0" w:type="dxa"/>
        </w:tblCellMar>
        <w:tblLook w:val="01E0"/>
      </w:tblPr>
      <w:tblGrid>
        <w:gridCol w:w="5543"/>
        <w:gridCol w:w="3538"/>
      </w:tblGrid>
      <w:tr>
        <w:trPr>
          <w:trHeight w:val="328" w:hRule="exact"/>
        </w:trPr>
        <w:tc>
          <w:tcPr>
            <w:tcW w:w="55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353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26" w:hRule="exact"/>
        </w:trPr>
        <w:tc>
          <w:tcPr>
            <w:tcW w:w="554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3538"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00"/>
              <w:jc w:val="right"/>
              <w:rPr>
                <w:rFonts w:ascii="宋体" w:hAnsi="宋体" w:cs="宋体" w:eastAsia="宋体" w:hint="default"/>
                <w:sz w:val="21"/>
                <w:szCs w:val="21"/>
              </w:rPr>
            </w:pPr>
            <w:r>
              <w:rPr>
                <w:rFonts w:ascii="宋体"/>
                <w:sz w:val="21"/>
              </w:rPr>
              <w:t>310,300,179</w:t>
            </w:r>
          </w:p>
        </w:tc>
      </w:tr>
      <w:tr>
        <w:trPr>
          <w:trHeight w:val="328" w:hRule="exact"/>
        </w:trPr>
        <w:tc>
          <w:tcPr>
            <w:tcW w:w="55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353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00"/>
              <w:jc w:val="right"/>
              <w:rPr>
                <w:rFonts w:ascii="宋体" w:hAnsi="宋体" w:cs="宋体" w:eastAsia="宋体" w:hint="default"/>
                <w:sz w:val="21"/>
                <w:szCs w:val="21"/>
              </w:rPr>
            </w:pPr>
            <w:r>
              <w:rPr>
                <w:rFonts w:ascii="宋体"/>
                <w:sz w:val="21"/>
              </w:rPr>
              <w:t>492,886,660</w:t>
            </w:r>
          </w:p>
        </w:tc>
      </w:tr>
      <w:tr>
        <w:trPr>
          <w:trHeight w:val="326" w:hRule="exact"/>
        </w:trPr>
        <w:tc>
          <w:tcPr>
            <w:tcW w:w="554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3538"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00"/>
              <w:jc w:val="right"/>
              <w:rPr>
                <w:rFonts w:ascii="宋体" w:hAnsi="宋体" w:cs="宋体" w:eastAsia="宋体" w:hint="default"/>
                <w:sz w:val="21"/>
                <w:szCs w:val="21"/>
              </w:rPr>
            </w:pPr>
            <w:r>
              <w:rPr>
                <w:rFonts w:ascii="宋体"/>
                <w:sz w:val="21"/>
              </w:rPr>
              <w:t>417,068,980</w:t>
            </w:r>
          </w:p>
        </w:tc>
      </w:tr>
      <w:tr>
        <w:trPr>
          <w:trHeight w:val="328" w:hRule="exact"/>
        </w:trPr>
        <w:tc>
          <w:tcPr>
            <w:tcW w:w="55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353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00"/>
              <w:jc w:val="right"/>
              <w:rPr>
                <w:rFonts w:ascii="宋体" w:hAnsi="宋体" w:cs="宋体" w:eastAsia="宋体" w:hint="default"/>
                <w:sz w:val="21"/>
                <w:szCs w:val="21"/>
              </w:rPr>
            </w:pPr>
            <w:r>
              <w:rPr>
                <w:rFonts w:ascii="宋体"/>
                <w:spacing w:val="-1"/>
                <w:sz w:val="21"/>
              </w:rPr>
              <w:t>286,807,569</w:t>
            </w:r>
            <w:r>
              <w:rPr>
                <w:rFonts w:ascii="宋体"/>
                <w:sz w:val="21"/>
              </w:rPr>
            </w:r>
          </w:p>
        </w:tc>
      </w:tr>
      <w:tr>
        <w:trPr>
          <w:trHeight w:val="328" w:hRule="exact"/>
        </w:trPr>
        <w:tc>
          <w:tcPr>
            <w:tcW w:w="554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3538"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99"/>
              <w:jc w:val="right"/>
              <w:rPr>
                <w:rFonts w:ascii="宋体" w:hAnsi="宋体" w:cs="宋体" w:eastAsia="宋体" w:hint="default"/>
                <w:sz w:val="21"/>
                <w:szCs w:val="21"/>
              </w:rPr>
            </w:pPr>
            <w:r>
              <w:rPr>
                <w:rFonts w:ascii="宋体"/>
                <w:sz w:val="21"/>
              </w:rPr>
              <w:t>300,196,604</w:t>
            </w:r>
          </w:p>
        </w:tc>
      </w:tr>
    </w:tbl>
    <w:p>
      <w:pPr>
        <w:spacing w:line="240" w:lineRule="auto" w:before="6"/>
        <w:rPr>
          <w:rFonts w:ascii="宋体" w:hAnsi="宋体" w:cs="宋体" w:eastAsia="宋体" w:hint="default"/>
          <w:sz w:val="9"/>
          <w:szCs w:val="9"/>
        </w:rPr>
      </w:pPr>
    </w:p>
    <w:p>
      <w:pPr>
        <w:spacing w:after="0" w:line="240" w:lineRule="auto"/>
        <w:rPr>
          <w:rFonts w:ascii="宋体" w:hAnsi="宋体" w:cs="宋体" w:eastAsia="宋体" w:hint="default"/>
          <w:sz w:val="9"/>
          <w:szCs w:val="9"/>
        </w:rPr>
        <w:sectPr>
          <w:type w:val="continuous"/>
          <w:pgSz w:w="11910" w:h="16840"/>
          <w:pgMar w:top="1600" w:bottom="280" w:left="1200" w:right="1180"/>
        </w:sectPr>
      </w:pPr>
    </w:p>
    <w:p>
      <w:pPr>
        <w:pStyle w:val="Heading4"/>
        <w:spacing w:line="240" w:lineRule="auto"/>
        <w:ind w:left="218" w:right="0"/>
        <w:jc w:val="left"/>
        <w:rPr>
          <w:b w:val="0"/>
          <w:bCs w:val="0"/>
        </w:rPr>
      </w:pPr>
      <w:r>
        <w:rPr>
          <w:w w:val="95"/>
        </w:rPr>
        <w:t>（二）非经常性损益项目和金额</w:t>
      </w:r>
      <w:r>
        <w:rPr>
          <w:b w:val="0"/>
          <w:bCs w:val="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1"/>
        <w:rPr>
          <w:rFonts w:ascii="宋体" w:hAnsi="宋体" w:cs="宋体" w:eastAsia="宋体" w:hint="default"/>
          <w:b/>
          <w:bCs/>
          <w:sz w:val="14"/>
          <w:szCs w:val="14"/>
        </w:rPr>
      </w:pPr>
    </w:p>
    <w:p>
      <w:pPr>
        <w:pStyle w:val="BodyText"/>
        <w:spacing w:line="240" w:lineRule="auto" w:before="0"/>
        <w:ind w:left="218" w:right="0"/>
        <w:jc w:val="left"/>
        <w:rPr>
          <w:rFonts w:ascii="宋体" w:hAnsi="宋体" w:cs="宋体" w:eastAsia="宋体" w:hint="default"/>
        </w:rPr>
      </w:pPr>
      <w:r>
        <w:rPr>
          <w:rFonts w:ascii="宋体" w:hAnsi="宋体" w:cs="宋体" w:eastAsia="宋体" w:hint="default"/>
        </w:rPr>
        <w:t>单位：元</w:t>
      </w:r>
      <w:r>
        <w:rPr>
          <w:rFonts w:ascii="宋体" w:hAnsi="宋体" w:cs="宋体" w:eastAsia="宋体" w:hint="default"/>
          <w:spacing w:val="-2"/>
        </w:rPr>
        <w:t> </w:t>
      </w:r>
      <w:r>
        <w:rPr>
          <w:rFonts w:ascii="宋体" w:hAnsi="宋体" w:cs="宋体" w:eastAsia="宋体" w:hint="default"/>
        </w:rPr>
        <w:t>币种：人民币</w:t>
      </w:r>
    </w:p>
    <w:p>
      <w:pPr>
        <w:spacing w:after="0" w:line="240" w:lineRule="auto"/>
        <w:jc w:val="left"/>
        <w:rPr>
          <w:rFonts w:ascii="宋体" w:hAnsi="宋体" w:cs="宋体" w:eastAsia="宋体" w:hint="default"/>
        </w:rPr>
        <w:sectPr>
          <w:type w:val="continuous"/>
          <w:pgSz w:w="11910" w:h="16840"/>
          <w:pgMar w:top="1600" w:bottom="280" w:left="1200" w:right="1180"/>
          <w:cols w:num="2" w:equalWidth="0">
            <w:col w:w="3592" w:space="3273"/>
            <w:col w:w="2665"/>
          </w:cols>
        </w:sectPr>
      </w:pPr>
    </w:p>
    <w:tbl>
      <w:tblPr>
        <w:tblW w:w="0" w:type="auto"/>
        <w:jc w:val="left"/>
        <w:tblInd w:w="103" w:type="dxa"/>
        <w:tblLayout w:type="fixed"/>
        <w:tblCellMar>
          <w:top w:w="0" w:type="dxa"/>
          <w:left w:w="0" w:type="dxa"/>
          <w:bottom w:w="0" w:type="dxa"/>
          <w:right w:w="0" w:type="dxa"/>
        </w:tblCellMar>
        <w:tblLook w:val="01E0"/>
      </w:tblPr>
      <w:tblGrid>
        <w:gridCol w:w="3072"/>
        <w:gridCol w:w="1376"/>
        <w:gridCol w:w="2117"/>
        <w:gridCol w:w="1376"/>
        <w:gridCol w:w="1344"/>
      </w:tblGrid>
      <w:tr>
        <w:trPr>
          <w:trHeight w:val="256" w:hRule="exact"/>
        </w:trPr>
        <w:tc>
          <w:tcPr>
            <w:tcW w:w="3072" w:type="dxa"/>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688" w:right="0"/>
              <w:jc w:val="left"/>
              <w:rPr>
                <w:rFonts w:ascii="宋体" w:hAnsi="宋体" w:cs="宋体" w:eastAsia="宋体" w:hint="default"/>
                <w:sz w:val="21"/>
                <w:szCs w:val="21"/>
              </w:rPr>
            </w:pPr>
            <w:r>
              <w:rPr>
                <w:rFonts w:ascii="宋体" w:hAnsi="宋体" w:cs="宋体" w:eastAsia="宋体" w:hint="default"/>
                <w:sz w:val="21"/>
                <w:szCs w:val="21"/>
              </w:rPr>
              <w:t>非经常性损益项目</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23" w:lineRule="exact"/>
              <w:ind w:right="126"/>
              <w:jc w:val="righ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年金额</w:t>
            </w:r>
          </w:p>
        </w:tc>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23" w:lineRule="exact"/>
              <w:ind w:right="1"/>
              <w:jc w:val="center"/>
              <w:rPr>
                <w:rFonts w:ascii="宋体" w:hAnsi="宋体" w:cs="宋体" w:eastAsia="宋体" w:hint="default"/>
                <w:sz w:val="21"/>
                <w:szCs w:val="21"/>
              </w:rPr>
            </w:pPr>
            <w:r>
              <w:rPr>
                <w:rFonts w:ascii="宋体" w:hAnsi="宋体" w:cs="宋体" w:eastAsia="宋体" w:hint="default"/>
                <w:sz w:val="21"/>
                <w:szCs w:val="21"/>
              </w:rPr>
              <w:t>说明</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23" w:lineRule="exact"/>
              <w:ind w:right="126"/>
              <w:jc w:val="righ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年金额</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23" w:lineRule="exact"/>
              <w:ind w:right="110"/>
              <w:jc w:val="righ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年金额</w:t>
            </w:r>
          </w:p>
        </w:tc>
      </w:tr>
      <w:tr>
        <w:trPr>
          <w:trHeight w:val="734" w:hRule="exact"/>
        </w:trPr>
        <w:tc>
          <w:tcPr>
            <w:tcW w:w="3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8"/>
                <w:szCs w:val="18"/>
              </w:rPr>
            </w:pPr>
            <w:r>
              <w:rPr>
                <w:rFonts w:ascii="宋体"/>
                <w:sz w:val="18"/>
              </w:rPr>
              <w:t>18,180,599</w:t>
            </w:r>
          </w:p>
        </w:tc>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9" w:right="90"/>
              <w:jc w:val="both"/>
              <w:rPr>
                <w:rFonts w:ascii="宋体" w:hAnsi="宋体" w:cs="宋体" w:eastAsia="宋体" w:hint="default"/>
                <w:sz w:val="18"/>
                <w:szCs w:val="18"/>
              </w:rPr>
            </w:pPr>
            <w:r>
              <w:rPr>
                <w:rFonts w:ascii="宋体" w:hAnsi="宋体" w:cs="宋体" w:eastAsia="宋体" w:hint="default"/>
                <w:spacing w:val="-8"/>
                <w:sz w:val="18"/>
                <w:szCs w:val="18"/>
              </w:rPr>
              <w:t>处置固定资产、无形资产</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0"/>
                <w:sz w:val="18"/>
                <w:szCs w:val="18"/>
              </w:rPr>
              <w:t>及长期股权投资形成的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损益</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8"/>
                <w:szCs w:val="18"/>
              </w:rPr>
            </w:pPr>
            <w:r>
              <w:rPr>
                <w:rFonts w:ascii="宋体"/>
                <w:sz w:val="18"/>
              </w:rPr>
              <w:t>43,302,916</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8"/>
                <w:szCs w:val="18"/>
              </w:rPr>
            </w:pPr>
            <w:r>
              <w:rPr>
                <w:rFonts w:ascii="宋体"/>
                <w:sz w:val="18"/>
              </w:rPr>
              <w:t>-7,903,766</w:t>
            </w:r>
          </w:p>
        </w:tc>
      </w:tr>
      <w:tr>
        <w:trPr>
          <w:trHeight w:val="976" w:hRule="exact"/>
        </w:trPr>
        <w:tc>
          <w:tcPr>
            <w:tcW w:w="30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98"/>
              <w:jc w:val="both"/>
              <w:rPr>
                <w:rFonts w:ascii="宋体" w:hAnsi="宋体" w:cs="宋体" w:eastAsia="宋体" w:hint="default"/>
                <w:sz w:val="18"/>
                <w:szCs w:val="18"/>
              </w:rPr>
            </w:pPr>
            <w:r>
              <w:rPr>
                <w:rFonts w:ascii="宋体" w:hAnsi="宋体" w:cs="宋体" w:eastAsia="宋体" w:hint="default"/>
                <w:spacing w:val="-2"/>
                <w:sz w:val="18"/>
                <w:szCs w:val="18"/>
              </w:rPr>
              <w:t>计入当期损益的政府补助，但与公司</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2"/>
                <w:sz w:val="18"/>
                <w:szCs w:val="18"/>
              </w:rPr>
              <w:t>正常经营业务密切相关，符合国家政</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2"/>
                <w:sz w:val="18"/>
                <w:szCs w:val="18"/>
              </w:rPr>
              <w:t>策规定、按照一定标准定额或定量持</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续享受的政府补助除外</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98"/>
              <w:jc w:val="right"/>
              <w:rPr>
                <w:rFonts w:ascii="宋体" w:hAnsi="宋体" w:cs="宋体" w:eastAsia="宋体" w:hint="default"/>
                <w:sz w:val="18"/>
                <w:szCs w:val="18"/>
              </w:rPr>
            </w:pPr>
            <w:r>
              <w:rPr>
                <w:rFonts w:ascii="宋体"/>
                <w:sz w:val="18"/>
              </w:rPr>
              <w:t>105,173,354</w:t>
            </w:r>
          </w:p>
        </w:tc>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3"/>
              <w:ind w:left="99" w:right="90"/>
              <w:jc w:val="both"/>
              <w:rPr>
                <w:rFonts w:ascii="宋体" w:hAnsi="宋体" w:cs="宋体" w:eastAsia="宋体" w:hint="default"/>
                <w:sz w:val="18"/>
                <w:szCs w:val="18"/>
              </w:rPr>
            </w:pPr>
            <w:r>
              <w:rPr>
                <w:rFonts w:ascii="宋体" w:hAnsi="宋体" w:cs="宋体" w:eastAsia="宋体" w:hint="default"/>
                <w:spacing w:val="10"/>
                <w:sz w:val="18"/>
                <w:szCs w:val="18"/>
              </w:rPr>
              <w:t>主要为计入损益的科研</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0"/>
                <w:sz w:val="18"/>
                <w:szCs w:val="18"/>
              </w:rPr>
              <w:t>项目政府补助以及政府</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拨付的各项基金补贴</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98"/>
              <w:jc w:val="right"/>
              <w:rPr>
                <w:rFonts w:ascii="宋体" w:hAnsi="宋体" w:cs="宋体" w:eastAsia="宋体" w:hint="default"/>
                <w:sz w:val="18"/>
                <w:szCs w:val="18"/>
              </w:rPr>
            </w:pPr>
            <w:r>
              <w:rPr>
                <w:rFonts w:ascii="宋体"/>
                <w:sz w:val="18"/>
              </w:rPr>
              <w:t>109,335,552</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98"/>
              <w:jc w:val="right"/>
              <w:rPr>
                <w:rFonts w:ascii="宋体" w:hAnsi="宋体" w:cs="宋体" w:eastAsia="宋体" w:hint="default"/>
                <w:sz w:val="18"/>
                <w:szCs w:val="18"/>
              </w:rPr>
            </w:pPr>
            <w:r>
              <w:rPr>
                <w:rFonts w:ascii="宋体"/>
                <w:sz w:val="18"/>
              </w:rPr>
              <w:t>38,968,688</w:t>
            </w:r>
          </w:p>
        </w:tc>
      </w:tr>
      <w:tr>
        <w:trPr>
          <w:trHeight w:val="1214" w:hRule="exact"/>
        </w:trPr>
        <w:tc>
          <w:tcPr>
            <w:tcW w:w="3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4" w:lineRule="auto"/>
              <w:ind w:left="100" w:right="87"/>
              <w:jc w:val="left"/>
              <w:rPr>
                <w:rFonts w:ascii="宋体" w:hAnsi="宋体" w:cs="宋体" w:eastAsia="宋体" w:hint="default"/>
                <w:sz w:val="18"/>
                <w:szCs w:val="18"/>
              </w:rPr>
            </w:pPr>
            <w:r>
              <w:rPr>
                <w:rFonts w:ascii="宋体" w:hAnsi="宋体" w:cs="宋体" w:eastAsia="宋体" w:hint="default"/>
                <w:spacing w:val="10"/>
                <w:sz w:val="18"/>
                <w:szCs w:val="18"/>
              </w:rPr>
              <w:t>计入当期损益的对非金融企业收取</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的资金占用费</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9,946,738</w:t>
            </w:r>
          </w:p>
        </w:tc>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9" w:right="90"/>
              <w:jc w:val="both"/>
              <w:rPr>
                <w:rFonts w:ascii="宋体" w:hAnsi="宋体" w:cs="宋体" w:eastAsia="宋体" w:hint="default"/>
                <w:sz w:val="18"/>
                <w:szCs w:val="18"/>
              </w:rPr>
            </w:pPr>
            <w:r>
              <w:rPr>
                <w:rFonts w:ascii="宋体" w:hAnsi="宋体" w:cs="宋体" w:eastAsia="宋体" w:hint="default"/>
                <w:spacing w:val="10"/>
                <w:sz w:val="18"/>
                <w:szCs w:val="18"/>
              </w:rPr>
              <w:t>收取南海东软信息技术</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8"/>
                <w:sz w:val="18"/>
                <w:szCs w:val="18"/>
              </w:rPr>
              <w:t>职业学院、成都东软信息</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0"/>
                <w:sz w:val="18"/>
                <w:szCs w:val="18"/>
              </w:rPr>
              <w:t>技术职业学院以前期资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0"/>
                <w:sz w:val="18"/>
                <w:szCs w:val="18"/>
              </w:rPr>
              <w:t>产转让款延期付款部分</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的资金占用费</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9,897,547</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sz w:val="18"/>
              </w:rPr>
              <w:t>7,730,763</w:t>
            </w:r>
          </w:p>
        </w:tc>
      </w:tr>
      <w:tr>
        <w:trPr>
          <w:trHeight w:val="976" w:hRule="exact"/>
        </w:trPr>
        <w:tc>
          <w:tcPr>
            <w:tcW w:w="30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87"/>
              <w:jc w:val="both"/>
              <w:rPr>
                <w:rFonts w:ascii="宋体" w:hAnsi="宋体" w:cs="宋体" w:eastAsia="宋体" w:hint="default"/>
                <w:sz w:val="18"/>
                <w:szCs w:val="18"/>
              </w:rPr>
            </w:pPr>
            <w:r>
              <w:rPr>
                <w:rFonts w:ascii="宋体" w:hAnsi="宋体" w:cs="宋体" w:eastAsia="宋体" w:hint="default"/>
                <w:spacing w:val="-2"/>
                <w:sz w:val="18"/>
                <w:szCs w:val="18"/>
              </w:rPr>
              <w:t>企业取得子公司、联营企业及合营企</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0"/>
                <w:sz w:val="18"/>
                <w:szCs w:val="18"/>
              </w:rPr>
              <w:t>业的投资成本小于取得投资时应享</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0"/>
                <w:sz w:val="18"/>
                <w:szCs w:val="18"/>
              </w:rPr>
              <w:t>有被投资单位可辨认净资产公允价</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值产生的收益</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w:t>
            </w:r>
          </w:p>
        </w:tc>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00"/>
              <w:jc w:val="right"/>
              <w:rPr>
                <w:rFonts w:ascii="宋体" w:hAnsi="宋体" w:cs="宋体" w:eastAsia="宋体" w:hint="default"/>
                <w:sz w:val="18"/>
                <w:szCs w:val="18"/>
              </w:rPr>
            </w:pPr>
            <w:r>
              <w:rPr>
                <w:rFonts w:ascii="宋体" w:hAnsi="宋体" w:cs="宋体" w:eastAsia="宋体" w:hint="default"/>
                <w:sz w:val="18"/>
                <w:szCs w:val="18"/>
              </w:rPr>
              <w:t>—</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98"/>
              <w:jc w:val="right"/>
              <w:rPr>
                <w:rFonts w:ascii="宋体" w:hAnsi="宋体" w:cs="宋体" w:eastAsia="宋体" w:hint="default"/>
                <w:sz w:val="18"/>
                <w:szCs w:val="18"/>
              </w:rPr>
            </w:pPr>
            <w:r>
              <w:rPr>
                <w:rFonts w:ascii="宋体"/>
                <w:sz w:val="18"/>
              </w:rPr>
              <w:t>26,753</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right="9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p>
        </w:tc>
      </w:tr>
      <w:tr>
        <w:trPr>
          <w:trHeight w:val="734" w:hRule="exact"/>
        </w:trPr>
        <w:tc>
          <w:tcPr>
            <w:tcW w:w="3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8"/>
                <w:szCs w:val="18"/>
              </w:rPr>
            </w:pPr>
            <w:r>
              <w:rPr>
                <w:rFonts w:ascii="宋体"/>
                <w:sz w:val="18"/>
              </w:rPr>
              <w:t>24,934,400</w:t>
            </w:r>
          </w:p>
        </w:tc>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9" w:right="90"/>
              <w:jc w:val="both"/>
              <w:rPr>
                <w:rFonts w:ascii="宋体" w:hAnsi="宋体" w:cs="宋体" w:eastAsia="宋体" w:hint="default"/>
                <w:sz w:val="18"/>
                <w:szCs w:val="18"/>
              </w:rPr>
            </w:pPr>
            <w:r>
              <w:rPr>
                <w:rFonts w:ascii="宋体" w:hAnsi="宋体" w:cs="宋体" w:eastAsia="宋体" w:hint="default"/>
                <w:spacing w:val="10"/>
                <w:sz w:val="18"/>
                <w:szCs w:val="18"/>
              </w:rPr>
              <w:t>以无形资产技术使用权</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投资</w:t>
            </w:r>
            <w:r>
              <w:rPr>
                <w:rFonts w:ascii="宋体" w:hAnsi="宋体" w:cs="宋体" w:eastAsia="宋体" w:hint="default"/>
                <w:spacing w:val="-46"/>
                <w:sz w:val="18"/>
                <w:szCs w:val="18"/>
              </w:rPr>
              <w:t> </w:t>
            </w:r>
            <w:r>
              <w:rPr>
                <w:rFonts w:ascii="宋体" w:hAnsi="宋体" w:cs="宋体" w:eastAsia="宋体" w:hint="default"/>
                <w:sz w:val="18"/>
                <w:szCs w:val="18"/>
              </w:rPr>
              <w:t>Appconomy,</w:t>
            </w:r>
            <w:r>
              <w:rPr>
                <w:rFonts w:ascii="宋体" w:hAnsi="宋体" w:cs="宋体" w:eastAsia="宋体" w:hint="default"/>
                <w:spacing w:val="-34"/>
                <w:sz w:val="18"/>
                <w:szCs w:val="18"/>
              </w:rPr>
              <w:t> </w:t>
            </w:r>
            <w:r>
              <w:rPr>
                <w:rFonts w:ascii="宋体" w:hAnsi="宋体" w:cs="宋体" w:eastAsia="宋体" w:hint="default"/>
                <w:sz w:val="18"/>
                <w:szCs w:val="18"/>
              </w:rPr>
              <w:t>Inc.产</w:t>
            </w:r>
            <w:r>
              <w:rPr>
                <w:rFonts w:ascii="宋体" w:hAnsi="宋体" w:cs="宋体" w:eastAsia="宋体" w:hint="default"/>
                <w:sz w:val="18"/>
                <w:szCs w:val="18"/>
              </w:rPr>
              <w:t> 生的损益</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9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9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p>
        </w:tc>
      </w:tr>
      <w:tr>
        <w:trPr>
          <w:trHeight w:val="1456" w:hRule="exact"/>
        </w:trPr>
        <w:tc>
          <w:tcPr>
            <w:tcW w:w="30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87"/>
              <w:jc w:val="both"/>
              <w:rPr>
                <w:rFonts w:ascii="宋体" w:hAnsi="宋体" w:cs="宋体" w:eastAsia="宋体" w:hint="default"/>
                <w:sz w:val="18"/>
                <w:szCs w:val="18"/>
              </w:rPr>
            </w:pPr>
            <w:r>
              <w:rPr>
                <w:rFonts w:ascii="宋体" w:hAnsi="宋体" w:cs="宋体" w:eastAsia="宋体" w:hint="default"/>
                <w:spacing w:val="10"/>
                <w:sz w:val="18"/>
                <w:szCs w:val="18"/>
              </w:rPr>
              <w:t>除同公司正常经营业务相关的有效</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2"/>
                <w:sz w:val="18"/>
                <w:szCs w:val="18"/>
              </w:rPr>
              <w:t>套期保值业务外，持有交易性金融资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2"/>
                <w:sz w:val="18"/>
                <w:szCs w:val="18"/>
              </w:rPr>
              <w:t>产、交易性金融负债产生的公允价值</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0"/>
                <w:sz w:val="18"/>
                <w:szCs w:val="18"/>
              </w:rPr>
              <w:t>变动损益，以及处置交易性金融资</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2"/>
                <w:sz w:val="18"/>
                <w:szCs w:val="18"/>
              </w:rPr>
              <w:t>产、交易性金融负债和可供出售金融</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资产取得的投资收益</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98"/>
              <w:jc w:val="right"/>
              <w:rPr>
                <w:rFonts w:ascii="宋体" w:hAnsi="宋体" w:cs="宋体" w:eastAsia="宋体" w:hint="default"/>
                <w:sz w:val="18"/>
                <w:szCs w:val="18"/>
              </w:rPr>
            </w:pPr>
            <w:r>
              <w:rPr>
                <w:rFonts w:ascii="宋体"/>
                <w:sz w:val="18"/>
              </w:rPr>
              <w:t>950,557</w:t>
            </w:r>
          </w:p>
        </w:tc>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4" w:lineRule="auto"/>
              <w:ind w:left="99" w:right="100"/>
              <w:jc w:val="both"/>
              <w:rPr>
                <w:rFonts w:ascii="宋体" w:hAnsi="宋体" w:cs="宋体" w:eastAsia="宋体" w:hint="default"/>
                <w:sz w:val="18"/>
                <w:szCs w:val="18"/>
              </w:rPr>
            </w:pPr>
            <w:r>
              <w:rPr>
                <w:rFonts w:ascii="宋体" w:hAnsi="宋体" w:cs="宋体" w:eastAsia="宋体" w:hint="default"/>
                <w:spacing w:val="-8"/>
                <w:sz w:val="18"/>
                <w:szCs w:val="18"/>
              </w:rPr>
              <w:t>交易性金融资产（远期结</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8"/>
                <w:sz w:val="18"/>
                <w:szCs w:val="18"/>
              </w:rPr>
              <w:t>汇合同）的公允价值变动</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收益</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98"/>
              <w:jc w:val="right"/>
              <w:rPr>
                <w:rFonts w:ascii="宋体" w:hAnsi="宋体" w:cs="宋体" w:eastAsia="宋体" w:hint="default"/>
                <w:sz w:val="18"/>
                <w:szCs w:val="18"/>
              </w:rPr>
            </w:pPr>
            <w:r>
              <w:rPr>
                <w:rFonts w:ascii="宋体"/>
                <w:sz w:val="18"/>
              </w:rPr>
              <w:t>-694,314</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98"/>
              <w:jc w:val="right"/>
              <w:rPr>
                <w:rFonts w:ascii="宋体" w:hAnsi="宋体" w:cs="宋体" w:eastAsia="宋体" w:hint="default"/>
                <w:sz w:val="18"/>
                <w:szCs w:val="18"/>
              </w:rPr>
            </w:pPr>
            <w:r>
              <w:rPr>
                <w:rFonts w:ascii="宋体"/>
                <w:sz w:val="18"/>
              </w:rPr>
              <w:t>83,998,795</w:t>
            </w:r>
          </w:p>
        </w:tc>
      </w:tr>
      <w:tr>
        <w:trPr>
          <w:trHeight w:val="494" w:hRule="exact"/>
        </w:trPr>
        <w:tc>
          <w:tcPr>
            <w:tcW w:w="30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87"/>
              <w:jc w:val="left"/>
              <w:rPr>
                <w:rFonts w:ascii="宋体" w:hAnsi="宋体" w:cs="宋体" w:eastAsia="宋体" w:hint="default"/>
                <w:sz w:val="18"/>
                <w:szCs w:val="18"/>
              </w:rPr>
            </w:pPr>
            <w:r>
              <w:rPr>
                <w:rFonts w:ascii="宋体" w:hAnsi="宋体" w:cs="宋体" w:eastAsia="宋体" w:hint="default"/>
                <w:spacing w:val="10"/>
                <w:sz w:val="18"/>
                <w:szCs w:val="18"/>
              </w:rPr>
              <w:t>单独进行减值测试的应收款项减值</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准备转回</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18"/>
                <w:szCs w:val="18"/>
              </w:rPr>
            </w:pPr>
            <w:r>
              <w:rPr>
                <w:rFonts w:ascii="宋体" w:hAnsi="宋体" w:cs="宋体" w:eastAsia="宋体" w:hint="default"/>
                <w:sz w:val="18"/>
                <w:szCs w:val="18"/>
              </w:rPr>
              <w:t>—</w:t>
            </w:r>
          </w:p>
        </w:tc>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00"/>
              <w:jc w:val="right"/>
              <w:rPr>
                <w:rFonts w:ascii="宋体" w:hAnsi="宋体" w:cs="宋体" w:eastAsia="宋体" w:hint="default"/>
                <w:sz w:val="18"/>
                <w:szCs w:val="18"/>
              </w:rPr>
            </w:pPr>
            <w:r>
              <w:rPr>
                <w:rFonts w:ascii="宋体" w:hAnsi="宋体" w:cs="宋体" w:eastAsia="宋体" w:hint="default"/>
                <w:sz w:val="18"/>
                <w:szCs w:val="18"/>
              </w:rPr>
              <w:t>—</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18"/>
                <w:szCs w:val="18"/>
              </w:rPr>
            </w:pPr>
            <w:r>
              <w:rPr>
                <w:rFonts w:ascii="宋体"/>
                <w:sz w:val="18"/>
              </w:rPr>
              <w:t>6,600,000</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18"/>
                <w:szCs w:val="18"/>
              </w:rPr>
            </w:pPr>
            <w:r>
              <w:rPr>
                <w:rFonts w:ascii="宋体"/>
                <w:sz w:val="18"/>
              </w:rPr>
              <w:t>13,400,000</w:t>
            </w:r>
          </w:p>
        </w:tc>
      </w:tr>
      <w:tr>
        <w:trPr>
          <w:trHeight w:val="496" w:hRule="exact"/>
        </w:trPr>
        <w:tc>
          <w:tcPr>
            <w:tcW w:w="30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00" w:right="87"/>
              <w:jc w:val="left"/>
              <w:rPr>
                <w:rFonts w:ascii="宋体" w:hAnsi="宋体" w:cs="宋体" w:eastAsia="宋体" w:hint="default"/>
                <w:sz w:val="18"/>
                <w:szCs w:val="18"/>
              </w:rPr>
            </w:pPr>
            <w:r>
              <w:rPr>
                <w:rFonts w:ascii="宋体" w:hAnsi="宋体" w:cs="宋体" w:eastAsia="宋体" w:hint="default"/>
                <w:spacing w:val="10"/>
                <w:sz w:val="18"/>
                <w:szCs w:val="18"/>
              </w:rPr>
              <w:t>除上述各项之外的其他营业外收入</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和支出</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98"/>
              <w:jc w:val="right"/>
              <w:rPr>
                <w:rFonts w:ascii="宋体" w:hAnsi="宋体" w:cs="宋体" w:eastAsia="宋体" w:hint="default"/>
                <w:sz w:val="18"/>
                <w:szCs w:val="18"/>
              </w:rPr>
            </w:pPr>
            <w:r>
              <w:rPr>
                <w:rFonts w:ascii="宋体"/>
                <w:sz w:val="18"/>
              </w:rPr>
              <w:t>1,313,927</w:t>
            </w:r>
          </w:p>
        </w:tc>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100"/>
              <w:jc w:val="right"/>
              <w:rPr>
                <w:rFonts w:ascii="宋体" w:hAnsi="宋体" w:cs="宋体" w:eastAsia="宋体" w:hint="default"/>
                <w:sz w:val="18"/>
                <w:szCs w:val="18"/>
              </w:rPr>
            </w:pPr>
            <w:r>
              <w:rPr>
                <w:rFonts w:ascii="宋体" w:hAnsi="宋体" w:cs="宋体" w:eastAsia="宋体" w:hint="default"/>
                <w:sz w:val="18"/>
                <w:szCs w:val="18"/>
              </w:rPr>
              <w:t>—</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98"/>
              <w:jc w:val="right"/>
              <w:rPr>
                <w:rFonts w:ascii="宋体" w:hAnsi="宋体" w:cs="宋体" w:eastAsia="宋体" w:hint="default"/>
                <w:sz w:val="18"/>
                <w:szCs w:val="18"/>
              </w:rPr>
            </w:pPr>
            <w:r>
              <w:rPr>
                <w:rFonts w:ascii="宋体"/>
                <w:sz w:val="18"/>
              </w:rPr>
              <w:t>-1,945,474</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98"/>
              <w:jc w:val="right"/>
              <w:rPr>
                <w:rFonts w:ascii="宋体" w:hAnsi="宋体" w:cs="宋体" w:eastAsia="宋体" w:hint="default"/>
                <w:sz w:val="18"/>
                <w:szCs w:val="18"/>
              </w:rPr>
            </w:pPr>
            <w:r>
              <w:rPr>
                <w:rFonts w:ascii="宋体"/>
                <w:sz w:val="18"/>
              </w:rPr>
              <w:t>2,295,537</w:t>
            </w:r>
          </w:p>
        </w:tc>
      </w:tr>
      <w:tr>
        <w:trPr>
          <w:trHeight w:val="734" w:hRule="exact"/>
        </w:trPr>
        <w:tc>
          <w:tcPr>
            <w:tcW w:w="3072"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1"/>
              <w:ind w:left="100" w:right="87"/>
              <w:jc w:val="left"/>
              <w:rPr>
                <w:rFonts w:ascii="宋体" w:hAnsi="宋体" w:cs="宋体" w:eastAsia="宋体" w:hint="default"/>
                <w:sz w:val="18"/>
                <w:szCs w:val="18"/>
              </w:rPr>
            </w:pPr>
            <w:r>
              <w:rPr>
                <w:rFonts w:ascii="宋体" w:hAnsi="宋体" w:cs="宋体" w:eastAsia="宋体" w:hint="default"/>
                <w:spacing w:val="10"/>
                <w:sz w:val="18"/>
                <w:szCs w:val="18"/>
              </w:rPr>
              <w:t>其他符合非经常性损益定义的损益</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项目</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98"/>
              <w:jc w:val="right"/>
              <w:rPr>
                <w:rFonts w:ascii="宋体" w:hAnsi="宋体" w:cs="宋体" w:eastAsia="宋体" w:hint="default"/>
                <w:sz w:val="18"/>
                <w:szCs w:val="18"/>
              </w:rPr>
            </w:pPr>
            <w:r>
              <w:rPr>
                <w:rFonts w:ascii="宋体"/>
                <w:sz w:val="18"/>
              </w:rPr>
              <w:t>1,221,899</w:t>
            </w:r>
          </w:p>
        </w:tc>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9" w:right="90"/>
              <w:jc w:val="both"/>
              <w:rPr>
                <w:rFonts w:ascii="宋体" w:hAnsi="宋体" w:cs="宋体" w:eastAsia="宋体" w:hint="default"/>
                <w:sz w:val="18"/>
                <w:szCs w:val="18"/>
              </w:rPr>
            </w:pPr>
            <w:r>
              <w:rPr>
                <w:rFonts w:ascii="宋体" w:hAnsi="宋体" w:cs="宋体" w:eastAsia="宋体" w:hint="default"/>
                <w:spacing w:val="10"/>
                <w:sz w:val="18"/>
                <w:szCs w:val="18"/>
              </w:rPr>
              <w:t>主要为公司收购北京利</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0"/>
                <w:sz w:val="18"/>
                <w:szCs w:val="18"/>
              </w:rPr>
              <w:t>博赛社保信息技术有限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公司时产生的投资收益</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9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9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p>
        </w:tc>
      </w:tr>
      <w:tr>
        <w:trPr>
          <w:trHeight w:val="256" w:hRule="exact"/>
        </w:trPr>
        <w:tc>
          <w:tcPr>
            <w:tcW w:w="307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8"/>
                <w:szCs w:val="18"/>
              </w:rPr>
            </w:pPr>
            <w:r>
              <w:rPr>
                <w:rFonts w:ascii="宋体" w:hAnsi="宋体" w:cs="宋体" w:eastAsia="宋体" w:hint="default"/>
                <w:sz w:val="18"/>
                <w:szCs w:val="18"/>
              </w:rPr>
              <w:t>少数股东损益影响额</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98"/>
              <w:jc w:val="right"/>
              <w:rPr>
                <w:rFonts w:ascii="宋体" w:hAnsi="宋体" w:cs="宋体" w:eastAsia="宋体" w:hint="default"/>
                <w:sz w:val="18"/>
                <w:szCs w:val="18"/>
              </w:rPr>
            </w:pPr>
            <w:r>
              <w:rPr>
                <w:rFonts w:ascii="宋体"/>
                <w:sz w:val="18"/>
              </w:rPr>
              <w:t>-11,201,619</w:t>
            </w:r>
          </w:p>
        </w:tc>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100"/>
              <w:jc w:val="right"/>
              <w:rPr>
                <w:rFonts w:ascii="宋体" w:hAnsi="宋体" w:cs="宋体" w:eastAsia="宋体" w:hint="default"/>
                <w:sz w:val="18"/>
                <w:szCs w:val="18"/>
              </w:rPr>
            </w:pPr>
            <w:r>
              <w:rPr>
                <w:rFonts w:ascii="宋体" w:hAnsi="宋体" w:cs="宋体" w:eastAsia="宋体" w:hint="default"/>
                <w:sz w:val="18"/>
                <w:szCs w:val="18"/>
              </w:rPr>
              <w:t>—</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98"/>
              <w:jc w:val="right"/>
              <w:rPr>
                <w:rFonts w:ascii="宋体" w:hAnsi="宋体" w:cs="宋体" w:eastAsia="宋体" w:hint="default"/>
                <w:sz w:val="18"/>
                <w:szCs w:val="18"/>
              </w:rPr>
            </w:pPr>
            <w:r>
              <w:rPr>
                <w:rFonts w:ascii="宋体"/>
                <w:sz w:val="18"/>
              </w:rPr>
              <w:t>-21,764,898</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98"/>
              <w:jc w:val="right"/>
              <w:rPr>
                <w:rFonts w:ascii="宋体" w:hAnsi="宋体" w:cs="宋体" w:eastAsia="宋体" w:hint="default"/>
                <w:sz w:val="18"/>
                <w:szCs w:val="18"/>
              </w:rPr>
            </w:pPr>
            <w:r>
              <w:rPr>
                <w:rFonts w:ascii="宋体"/>
                <w:sz w:val="18"/>
              </w:rPr>
              <w:t>-10,030,006</w:t>
            </w:r>
          </w:p>
        </w:tc>
      </w:tr>
      <w:tr>
        <w:trPr>
          <w:trHeight w:val="254" w:hRule="exact"/>
        </w:trPr>
        <w:tc>
          <w:tcPr>
            <w:tcW w:w="3072"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left="100"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right="98"/>
              <w:jc w:val="right"/>
              <w:rPr>
                <w:rFonts w:ascii="宋体" w:hAnsi="宋体" w:cs="宋体" w:eastAsia="宋体" w:hint="default"/>
                <w:sz w:val="18"/>
                <w:szCs w:val="18"/>
              </w:rPr>
            </w:pPr>
            <w:r>
              <w:rPr>
                <w:rFonts w:ascii="宋体"/>
                <w:sz w:val="18"/>
              </w:rPr>
              <w:t>-20,258,444</w:t>
            </w:r>
          </w:p>
        </w:tc>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right="100"/>
              <w:jc w:val="right"/>
              <w:rPr>
                <w:rFonts w:ascii="宋体" w:hAnsi="宋体" w:cs="宋体" w:eastAsia="宋体" w:hint="default"/>
                <w:sz w:val="18"/>
                <w:szCs w:val="18"/>
              </w:rPr>
            </w:pPr>
            <w:r>
              <w:rPr>
                <w:rFonts w:ascii="宋体" w:hAnsi="宋体" w:cs="宋体" w:eastAsia="宋体" w:hint="default"/>
                <w:sz w:val="18"/>
                <w:szCs w:val="18"/>
              </w:rPr>
              <w:t>—</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right="98"/>
              <w:jc w:val="right"/>
              <w:rPr>
                <w:rFonts w:ascii="宋体" w:hAnsi="宋体" w:cs="宋体" w:eastAsia="宋体" w:hint="default"/>
                <w:sz w:val="18"/>
                <w:szCs w:val="18"/>
              </w:rPr>
            </w:pPr>
            <w:r>
              <w:rPr>
                <w:rFonts w:ascii="宋体"/>
                <w:sz w:val="18"/>
              </w:rPr>
              <w:t>-17,278,655</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17" w:lineRule="exact"/>
              <w:ind w:right="98"/>
              <w:jc w:val="right"/>
              <w:rPr>
                <w:rFonts w:ascii="宋体" w:hAnsi="宋体" w:cs="宋体" w:eastAsia="宋体" w:hint="default"/>
                <w:sz w:val="18"/>
                <w:szCs w:val="18"/>
              </w:rPr>
            </w:pPr>
            <w:r>
              <w:rPr>
                <w:rFonts w:ascii="宋体"/>
                <w:sz w:val="18"/>
              </w:rPr>
              <w:t>-9,690,610</w:t>
            </w:r>
          </w:p>
        </w:tc>
      </w:tr>
      <w:tr>
        <w:trPr>
          <w:trHeight w:val="256" w:hRule="exact"/>
        </w:trPr>
        <w:tc>
          <w:tcPr>
            <w:tcW w:w="307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98"/>
              <w:jc w:val="right"/>
              <w:rPr>
                <w:rFonts w:ascii="宋体" w:hAnsi="宋体" w:cs="宋体" w:eastAsia="宋体" w:hint="default"/>
                <w:sz w:val="18"/>
                <w:szCs w:val="18"/>
              </w:rPr>
            </w:pPr>
            <w:r>
              <w:rPr>
                <w:rFonts w:ascii="宋体"/>
                <w:sz w:val="18"/>
              </w:rPr>
              <w:t>130,261,411</w:t>
            </w:r>
          </w:p>
        </w:tc>
        <w:tc>
          <w:tcPr>
            <w:tcW w:w="2117"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100"/>
              <w:jc w:val="right"/>
              <w:rPr>
                <w:rFonts w:ascii="宋体" w:hAnsi="宋体" w:cs="宋体" w:eastAsia="宋体" w:hint="default"/>
                <w:sz w:val="18"/>
                <w:szCs w:val="18"/>
              </w:rPr>
            </w:pPr>
            <w:r>
              <w:rPr>
                <w:rFonts w:ascii="宋体" w:hAnsi="宋体" w:cs="宋体" w:eastAsia="宋体" w:hint="default"/>
                <w:sz w:val="18"/>
                <w:szCs w:val="18"/>
              </w:rPr>
              <w:t>—</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98"/>
              <w:jc w:val="right"/>
              <w:rPr>
                <w:rFonts w:ascii="宋体" w:hAnsi="宋体" w:cs="宋体" w:eastAsia="宋体" w:hint="default"/>
                <w:sz w:val="18"/>
                <w:szCs w:val="18"/>
              </w:rPr>
            </w:pPr>
            <w:r>
              <w:rPr>
                <w:rFonts w:ascii="宋体"/>
                <w:sz w:val="18"/>
              </w:rPr>
              <w:t>127,479,427</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98"/>
              <w:jc w:val="right"/>
              <w:rPr>
                <w:rFonts w:ascii="宋体" w:hAnsi="宋体" w:cs="宋体" w:eastAsia="宋体" w:hint="default"/>
                <w:sz w:val="18"/>
                <w:szCs w:val="18"/>
              </w:rPr>
            </w:pPr>
            <w:r>
              <w:rPr>
                <w:rFonts w:ascii="宋体"/>
                <w:sz w:val="18"/>
              </w:rPr>
              <w:t>118,769,401</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spacing w:line="240" w:lineRule="auto"/>
        <w:ind w:left="218" w:right="218"/>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type w:val="continuous"/>
          <w:pgSz w:w="11910" w:h="16840"/>
          <w:pgMar w:top="1600" w:bottom="280" w:left="1200" w:right="1180"/>
        </w:sectPr>
      </w:pPr>
    </w:p>
    <w:p>
      <w:pPr>
        <w:spacing w:line="240" w:lineRule="auto" w:before="7"/>
        <w:rPr>
          <w:rFonts w:ascii="黑体" w:hAnsi="黑体" w:cs="黑体" w:eastAsia="黑体" w:hint="default"/>
          <w:sz w:val="15"/>
          <w:szCs w:val="15"/>
        </w:rPr>
      </w:pPr>
    </w:p>
    <w:p>
      <w:pPr>
        <w:spacing w:after="0" w:line="240" w:lineRule="auto"/>
        <w:rPr>
          <w:rFonts w:ascii="黑体" w:hAnsi="黑体" w:cs="黑体" w:eastAsia="黑体" w:hint="default"/>
          <w:sz w:val="15"/>
          <w:szCs w:val="15"/>
        </w:rPr>
        <w:sectPr>
          <w:pgSz w:w="11910" w:h="16840"/>
          <w:pgMar w:header="1012" w:footer="480" w:top="1360" w:bottom="660" w:left="1300" w:right="1300"/>
        </w:sectPr>
      </w:pPr>
    </w:p>
    <w:p>
      <w:pPr>
        <w:pStyle w:val="Heading4"/>
        <w:spacing w:line="240" w:lineRule="auto"/>
        <w:ind w:right="0"/>
        <w:jc w:val="left"/>
        <w:rPr>
          <w:b w:val="0"/>
          <w:bCs w:val="0"/>
        </w:rPr>
      </w:pPr>
      <w:r>
        <w:rPr>
          <w:w w:val="95"/>
        </w:rPr>
        <w:t>（三）报告期末公司前三年主要会计数据和财务指标</w:t>
      </w:r>
      <w:r>
        <w:rPr>
          <w:b w:val="0"/>
          <w:bCs w:val="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17"/>
          <w:szCs w:val="17"/>
        </w:rPr>
      </w:pPr>
    </w:p>
    <w:p>
      <w:pPr>
        <w:pStyle w:val="BodyText"/>
        <w:spacing w:line="240" w:lineRule="auto" w:before="0"/>
        <w:ind w:left="118" w:right="0"/>
        <w:jc w:val="left"/>
        <w:rPr>
          <w:rFonts w:ascii="宋体" w:hAnsi="宋体" w:cs="宋体" w:eastAsia="宋体" w:hint="default"/>
        </w:rPr>
      </w:pPr>
      <w:r>
        <w:rPr>
          <w:rFonts w:ascii="宋体" w:hAnsi="宋体" w:cs="宋体" w:eastAsia="宋体" w:hint="default"/>
        </w:rPr>
        <w:t>单位：元</w:t>
      </w:r>
      <w:r>
        <w:rPr>
          <w:rFonts w:ascii="宋体" w:hAnsi="宋体" w:cs="宋体" w:eastAsia="宋体" w:hint="default"/>
          <w:spacing w:val="-2"/>
        </w:rPr>
        <w:t> </w:t>
      </w:r>
      <w:r>
        <w:rPr>
          <w:rFonts w:ascii="宋体" w:hAnsi="宋体" w:cs="宋体" w:eastAsia="宋体" w:hint="default"/>
        </w:rPr>
        <w:t>币种：人民币</w:t>
      </w:r>
    </w:p>
    <w:p>
      <w:pPr>
        <w:spacing w:after="0" w:line="240" w:lineRule="auto"/>
        <w:jc w:val="left"/>
        <w:rPr>
          <w:rFonts w:ascii="宋体" w:hAnsi="宋体" w:cs="宋体" w:eastAsia="宋体" w:hint="default"/>
        </w:rPr>
        <w:sectPr>
          <w:type w:val="continuous"/>
          <w:pgSz w:w="11910" w:h="16840"/>
          <w:pgMar w:top="1600" w:bottom="280" w:left="1300" w:right="1300"/>
          <w:cols w:num="2" w:equalWidth="0">
            <w:col w:w="5660" w:space="1205"/>
            <w:col w:w="2445"/>
          </w:cols>
        </w:sectPr>
      </w:pPr>
    </w:p>
    <w:p>
      <w:pPr>
        <w:spacing w:line="240" w:lineRule="auto" w:before="13"/>
        <w:rPr>
          <w:rFonts w:ascii="宋体" w:hAnsi="宋体" w:cs="宋体" w:eastAsia="宋体" w:hint="default"/>
          <w:sz w:val="3"/>
          <w:szCs w:val="3"/>
        </w:rPr>
      </w:pPr>
    </w:p>
    <w:tbl>
      <w:tblPr>
        <w:tblW w:w="0" w:type="auto"/>
        <w:jc w:val="left"/>
        <w:tblInd w:w="123" w:type="dxa"/>
        <w:tblLayout w:type="fixed"/>
        <w:tblCellMar>
          <w:top w:w="0" w:type="dxa"/>
          <w:left w:w="0" w:type="dxa"/>
          <w:bottom w:w="0" w:type="dxa"/>
          <w:right w:w="0" w:type="dxa"/>
        </w:tblCellMar>
        <w:tblLook w:val="01E0"/>
      </w:tblPr>
      <w:tblGrid>
        <w:gridCol w:w="2310"/>
        <w:gridCol w:w="1386"/>
        <w:gridCol w:w="1386"/>
        <w:gridCol w:w="1192"/>
        <w:gridCol w:w="1386"/>
        <w:gridCol w:w="1386"/>
      </w:tblGrid>
      <w:tr>
        <w:trPr>
          <w:trHeight w:val="330" w:hRule="exact"/>
        </w:trPr>
        <w:tc>
          <w:tcPr>
            <w:tcW w:w="2310" w:type="dxa"/>
            <w:vMerge w:val="restart"/>
            <w:tcBorders>
              <w:top w:val="single" w:sz="6" w:space="0" w:color="000000"/>
              <w:left w:val="single" w:sz="6" w:space="0" w:color="000000"/>
              <w:right w:val="single" w:sz="6" w:space="0" w:color="000000"/>
            </w:tcBorders>
          </w:tcPr>
          <w:p>
            <w:pPr>
              <w:pStyle w:val="TableParagraph"/>
              <w:spacing w:line="240" w:lineRule="auto" w:before="153"/>
              <w:ind w:left="514" w:right="0"/>
              <w:jc w:val="left"/>
              <w:rPr>
                <w:rFonts w:ascii="宋体" w:hAnsi="宋体" w:cs="宋体" w:eastAsia="宋体" w:hint="default"/>
                <w:sz w:val="21"/>
                <w:szCs w:val="21"/>
              </w:rPr>
            </w:pPr>
            <w:r>
              <w:rPr>
                <w:rFonts w:ascii="宋体" w:hAnsi="宋体" w:cs="宋体" w:eastAsia="宋体" w:hint="default"/>
                <w:b/>
                <w:bCs/>
                <w:sz w:val="21"/>
                <w:szCs w:val="21"/>
              </w:rPr>
              <w:t>主要会计数据</w:t>
            </w:r>
            <w:r>
              <w:rPr>
                <w:rFonts w:ascii="宋体" w:hAnsi="宋体" w:cs="宋体" w:eastAsia="宋体" w:hint="default"/>
                <w:sz w:val="21"/>
                <w:szCs w:val="21"/>
              </w:rPr>
            </w:r>
          </w:p>
        </w:tc>
        <w:tc>
          <w:tcPr>
            <w:tcW w:w="1386" w:type="dxa"/>
            <w:vMerge w:val="restart"/>
            <w:tcBorders>
              <w:top w:val="single" w:sz="6" w:space="0" w:color="000000"/>
              <w:left w:val="single" w:sz="6" w:space="0" w:color="000000"/>
              <w:right w:val="single" w:sz="6" w:space="0" w:color="000000"/>
            </w:tcBorders>
          </w:tcPr>
          <w:p>
            <w:pPr>
              <w:pStyle w:val="TableParagraph"/>
              <w:spacing w:line="240" w:lineRule="auto" w:before="153"/>
              <w:ind w:left="343" w:right="0"/>
              <w:jc w:val="left"/>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7"/>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386" w:type="dxa"/>
            <w:vMerge w:val="restart"/>
            <w:tcBorders>
              <w:top w:val="single" w:sz="6" w:space="0" w:color="000000"/>
              <w:left w:val="single" w:sz="6" w:space="0" w:color="000000"/>
              <w:right w:val="single" w:sz="6" w:space="0" w:color="000000"/>
            </w:tcBorders>
          </w:tcPr>
          <w:p>
            <w:pPr>
              <w:pStyle w:val="TableParagraph"/>
              <w:spacing w:line="240" w:lineRule="auto" w:before="153"/>
              <w:ind w:left="342"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7"/>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192" w:type="dxa"/>
            <w:vMerge w:val="restart"/>
            <w:tcBorders>
              <w:top w:val="single" w:sz="6" w:space="0" w:color="000000"/>
              <w:left w:val="single" w:sz="6" w:space="0" w:color="000000"/>
              <w:right w:val="single" w:sz="6" w:space="0" w:color="000000"/>
            </w:tcBorders>
          </w:tcPr>
          <w:p>
            <w:pPr>
              <w:pStyle w:val="TableParagraph"/>
              <w:spacing w:line="273" w:lineRule="auto"/>
              <w:ind w:left="100" w:right="-5" w:firstLine="66"/>
              <w:jc w:val="left"/>
              <w:rPr>
                <w:rFonts w:ascii="宋体" w:hAnsi="宋体" w:cs="宋体" w:eastAsia="宋体" w:hint="default"/>
                <w:sz w:val="21"/>
                <w:szCs w:val="21"/>
              </w:rPr>
            </w:pPr>
            <w:r>
              <w:rPr>
                <w:rFonts w:ascii="宋体" w:hAnsi="宋体" w:cs="宋体" w:eastAsia="宋体" w:hint="default"/>
                <w:b/>
                <w:bCs/>
                <w:sz w:val="21"/>
                <w:szCs w:val="21"/>
              </w:rPr>
              <w:t>本年比上</w:t>
            </w:r>
            <w:r>
              <w:rPr>
                <w:rFonts w:ascii="宋体" w:hAnsi="宋体" w:cs="宋体" w:eastAsia="宋体" w:hint="default"/>
                <w:b/>
                <w:bCs/>
                <w:spacing w:val="1"/>
                <w:w w:val="99"/>
                <w:sz w:val="21"/>
                <w:szCs w:val="21"/>
              </w:rPr>
              <w:t> </w:t>
            </w:r>
            <w:r>
              <w:rPr>
                <w:rFonts w:ascii="宋体" w:hAnsi="宋体" w:cs="宋体" w:eastAsia="宋体" w:hint="default"/>
                <w:b/>
                <w:bCs/>
                <w:spacing w:val="-13"/>
                <w:sz w:val="21"/>
                <w:szCs w:val="21"/>
              </w:rPr>
              <w:t>年增减（%）</w:t>
            </w:r>
            <w:r>
              <w:rPr>
                <w:rFonts w:ascii="宋体" w:hAnsi="宋体" w:cs="宋体" w:eastAsia="宋体" w:hint="default"/>
                <w:spacing w:val="-13"/>
                <w:sz w:val="21"/>
                <w:szCs w:val="21"/>
              </w:rPr>
            </w:r>
          </w:p>
        </w:tc>
        <w:tc>
          <w:tcPr>
            <w:tcW w:w="2772" w:type="dxa"/>
            <w:gridSpan w:val="2"/>
            <w:tcBorders>
              <w:top w:val="single" w:sz="6" w:space="0" w:color="000000"/>
              <w:left w:val="single" w:sz="6" w:space="0" w:color="000000"/>
              <w:bottom w:val="single" w:sz="6" w:space="0" w:color="000000"/>
              <w:right w:val="single" w:sz="6"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7"/>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330" w:hRule="exact"/>
        </w:trPr>
        <w:tc>
          <w:tcPr>
            <w:tcW w:w="2310" w:type="dxa"/>
            <w:vMerge/>
            <w:tcBorders>
              <w:left w:val="single" w:sz="6" w:space="0" w:color="000000"/>
              <w:bottom w:val="single" w:sz="6" w:space="0" w:color="000000"/>
              <w:right w:val="single" w:sz="6" w:space="0" w:color="000000"/>
            </w:tcBorders>
          </w:tcPr>
          <w:p>
            <w:pPr/>
          </w:p>
        </w:tc>
        <w:tc>
          <w:tcPr>
            <w:tcW w:w="1386" w:type="dxa"/>
            <w:vMerge/>
            <w:tcBorders>
              <w:left w:val="single" w:sz="6" w:space="0" w:color="000000"/>
              <w:bottom w:val="single" w:sz="6" w:space="0" w:color="000000"/>
              <w:right w:val="single" w:sz="6" w:space="0" w:color="000000"/>
            </w:tcBorders>
          </w:tcPr>
          <w:p>
            <w:pPr/>
          </w:p>
        </w:tc>
        <w:tc>
          <w:tcPr>
            <w:tcW w:w="1386" w:type="dxa"/>
            <w:vMerge/>
            <w:tcBorders>
              <w:left w:val="single" w:sz="6" w:space="0" w:color="000000"/>
              <w:bottom w:val="single" w:sz="6" w:space="0" w:color="000000"/>
              <w:right w:val="single" w:sz="6" w:space="0" w:color="000000"/>
            </w:tcBorders>
          </w:tcPr>
          <w:p>
            <w:pPr/>
          </w:p>
        </w:tc>
        <w:tc>
          <w:tcPr>
            <w:tcW w:w="1192" w:type="dxa"/>
            <w:vMerge/>
            <w:tcBorders>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left="369" w:right="0"/>
              <w:jc w:val="left"/>
              <w:rPr>
                <w:rFonts w:ascii="宋体" w:hAnsi="宋体" w:cs="宋体" w:eastAsia="宋体" w:hint="default"/>
                <w:sz w:val="21"/>
                <w:szCs w:val="21"/>
              </w:rPr>
            </w:pPr>
            <w:r>
              <w:rPr>
                <w:rFonts w:ascii="宋体" w:hAnsi="宋体" w:cs="宋体" w:eastAsia="宋体" w:hint="default"/>
                <w:b/>
                <w:bCs/>
                <w:sz w:val="21"/>
                <w:szCs w:val="21"/>
              </w:rPr>
              <w:t>调整前</w:t>
            </w:r>
            <w:r>
              <w:rPr>
                <w:rFonts w:ascii="宋体" w:hAnsi="宋体" w:cs="宋体" w:eastAsia="宋体" w:hint="default"/>
                <w:sz w:val="21"/>
                <w:szCs w:val="21"/>
              </w:rPr>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left="369" w:right="0"/>
              <w:jc w:val="left"/>
              <w:rPr>
                <w:rFonts w:ascii="宋体" w:hAnsi="宋体" w:cs="宋体" w:eastAsia="宋体" w:hint="default"/>
                <w:sz w:val="21"/>
                <w:szCs w:val="21"/>
              </w:rPr>
            </w:pPr>
            <w:r>
              <w:rPr>
                <w:rFonts w:ascii="宋体" w:hAnsi="宋体" w:cs="宋体" w:eastAsia="宋体" w:hint="default"/>
                <w:b/>
                <w:bCs/>
                <w:sz w:val="21"/>
                <w:szCs w:val="21"/>
              </w:rPr>
              <w:t>调整后</w:t>
            </w:r>
            <w:r>
              <w:rPr>
                <w:rFonts w:ascii="宋体" w:hAnsi="宋体" w:cs="宋体" w:eastAsia="宋体" w:hint="default"/>
                <w:sz w:val="21"/>
                <w:szCs w:val="21"/>
              </w:rPr>
            </w:r>
          </w:p>
        </w:tc>
      </w:tr>
      <w:tr>
        <w:trPr>
          <w:trHeight w:val="328" w:hRule="exact"/>
        </w:trPr>
        <w:tc>
          <w:tcPr>
            <w:tcW w:w="231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营业总收入</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5,751,249,330</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4,937,696,440</w:t>
            </w:r>
          </w:p>
        </w:tc>
        <w:tc>
          <w:tcPr>
            <w:tcW w:w="1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16.48</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4,166,055,393</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4,166,055,393</w:t>
            </w:r>
          </w:p>
        </w:tc>
      </w:tr>
      <w:tr>
        <w:trPr>
          <w:trHeight w:val="326" w:hRule="exact"/>
        </w:trPr>
        <w:tc>
          <w:tcPr>
            <w:tcW w:w="231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310,300,179</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407,491,880</w:t>
            </w:r>
          </w:p>
        </w:tc>
        <w:tc>
          <w:tcPr>
            <w:tcW w:w="1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-23.85</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671,687,541</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671,687,541</w:t>
            </w:r>
          </w:p>
        </w:tc>
      </w:tr>
      <w:tr>
        <w:trPr>
          <w:trHeight w:val="328" w:hRule="exact"/>
        </w:trPr>
        <w:tc>
          <w:tcPr>
            <w:tcW w:w="231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492,886,660</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560,105,328</w:t>
            </w:r>
          </w:p>
        </w:tc>
        <w:tc>
          <w:tcPr>
            <w:tcW w:w="1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-12.00</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727,756,717</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727,756,717</w:t>
            </w:r>
          </w:p>
        </w:tc>
      </w:tr>
      <w:tr>
        <w:trPr>
          <w:trHeight w:val="638" w:hRule="exact"/>
        </w:trPr>
        <w:tc>
          <w:tcPr>
            <w:tcW w:w="231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20"/>
                <w:sz w:val="21"/>
                <w:szCs w:val="21"/>
              </w:rPr>
              <w:t>归属于上市</w:t>
            </w:r>
            <w:r>
              <w:rPr>
                <w:rFonts w:ascii="宋体" w:hAnsi="宋体" w:cs="宋体" w:eastAsia="宋体" w:hint="default"/>
                <w:spacing w:val="-76"/>
                <w:sz w:val="21"/>
                <w:szCs w:val="21"/>
              </w:rPr>
              <w:t> </w:t>
            </w:r>
            <w:r>
              <w:rPr>
                <w:rFonts w:ascii="宋体" w:hAnsi="宋体" w:cs="宋体" w:eastAsia="宋体" w:hint="default"/>
                <w:spacing w:val="18"/>
                <w:sz w:val="21"/>
                <w:szCs w:val="21"/>
              </w:rPr>
              <w:t>公司股东</w:t>
            </w:r>
            <w:r>
              <w:rPr>
                <w:rFonts w:ascii="宋体" w:hAnsi="宋体" w:cs="宋体" w:eastAsia="宋体" w:hint="default"/>
                <w:spacing w:val="-80"/>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的净利润</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417,068,980</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484,675,178</w:t>
            </w:r>
          </w:p>
        </w:tc>
        <w:tc>
          <w:tcPr>
            <w:tcW w:w="1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-13.95</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640,564,034</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640,590,492</w:t>
            </w:r>
          </w:p>
        </w:tc>
      </w:tr>
      <w:tr>
        <w:trPr>
          <w:trHeight w:val="952" w:hRule="exact"/>
        </w:trPr>
        <w:tc>
          <w:tcPr>
            <w:tcW w:w="231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0"/>
                <w:sz w:val="21"/>
                <w:szCs w:val="21"/>
              </w:rPr>
              <w:t>归属于上市</w:t>
            </w:r>
            <w:r>
              <w:rPr>
                <w:rFonts w:ascii="宋体" w:hAnsi="宋体" w:cs="宋体" w:eastAsia="宋体" w:hint="default"/>
                <w:spacing w:val="-76"/>
                <w:sz w:val="21"/>
                <w:szCs w:val="21"/>
              </w:rPr>
              <w:t> </w:t>
            </w:r>
            <w:r>
              <w:rPr>
                <w:rFonts w:ascii="宋体" w:hAnsi="宋体" w:cs="宋体" w:eastAsia="宋体" w:hint="default"/>
                <w:spacing w:val="18"/>
                <w:sz w:val="21"/>
                <w:szCs w:val="21"/>
              </w:rPr>
              <w:t>公司股东</w:t>
            </w:r>
            <w:r>
              <w:rPr>
                <w:rFonts w:ascii="宋体" w:hAnsi="宋体" w:cs="宋体" w:eastAsia="宋体" w:hint="default"/>
                <w:spacing w:val="-80"/>
                <w:sz w:val="21"/>
                <w:szCs w:val="21"/>
              </w:rPr>
              <w:t> </w:t>
            </w:r>
            <w:r>
              <w:rPr>
                <w:rFonts w:ascii="宋体" w:hAnsi="宋体" w:cs="宋体" w:eastAsia="宋体" w:hint="default"/>
                <w:sz w:val="21"/>
                <w:szCs w:val="21"/>
              </w:rPr>
            </w:r>
          </w:p>
          <w:p>
            <w:pPr>
              <w:pStyle w:val="TableParagraph"/>
              <w:spacing w:line="273" w:lineRule="auto" w:before="37"/>
              <w:ind w:left="100" w:right="74"/>
              <w:jc w:val="left"/>
              <w:rPr>
                <w:rFonts w:ascii="宋体" w:hAnsi="宋体" w:cs="宋体" w:eastAsia="宋体" w:hint="default"/>
                <w:sz w:val="21"/>
                <w:szCs w:val="21"/>
              </w:rPr>
            </w:pPr>
            <w:r>
              <w:rPr>
                <w:rFonts w:ascii="宋体" w:hAnsi="宋体" w:cs="宋体" w:eastAsia="宋体" w:hint="default"/>
                <w:spacing w:val="20"/>
                <w:sz w:val="21"/>
                <w:szCs w:val="21"/>
              </w:rPr>
              <w:t>的扣除非经</w:t>
            </w:r>
            <w:r>
              <w:rPr>
                <w:rFonts w:ascii="宋体" w:hAnsi="宋体" w:cs="宋体" w:eastAsia="宋体" w:hint="default"/>
                <w:spacing w:val="-78"/>
                <w:sz w:val="21"/>
                <w:szCs w:val="21"/>
              </w:rPr>
              <w:t> </w:t>
            </w:r>
            <w:r>
              <w:rPr>
                <w:rFonts w:ascii="宋体" w:hAnsi="宋体" w:cs="宋体" w:eastAsia="宋体" w:hint="default"/>
                <w:spacing w:val="18"/>
                <w:sz w:val="21"/>
                <w:szCs w:val="21"/>
              </w:rPr>
              <w:t>常性损益</w:t>
            </w:r>
            <w:r>
              <w:rPr>
                <w:rFonts w:ascii="宋体" w:hAnsi="宋体" w:cs="宋体" w:eastAsia="宋体" w:hint="default"/>
                <w:spacing w:val="-80"/>
                <w:sz w:val="21"/>
                <w:szCs w:val="21"/>
              </w:rPr>
              <w:t> </w:t>
            </w:r>
            <w:r>
              <w:rPr>
                <w:rFonts w:ascii="宋体" w:hAnsi="宋体" w:cs="宋体" w:eastAsia="宋体" w:hint="default"/>
                <w:sz w:val="21"/>
                <w:szCs w:val="21"/>
              </w:rPr>
              <w:t>的净利润</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286,807,569</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357,195,751</w:t>
            </w:r>
          </w:p>
        </w:tc>
        <w:tc>
          <w:tcPr>
            <w:tcW w:w="1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-19.71</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521,794,633</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521,821,091</w:t>
            </w:r>
          </w:p>
        </w:tc>
      </w:tr>
      <w:tr>
        <w:trPr>
          <w:trHeight w:val="638" w:hRule="exact"/>
        </w:trPr>
        <w:tc>
          <w:tcPr>
            <w:tcW w:w="231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20"/>
                <w:sz w:val="21"/>
                <w:szCs w:val="21"/>
              </w:rPr>
              <w:t>经营活动产</w:t>
            </w:r>
            <w:r>
              <w:rPr>
                <w:rFonts w:ascii="宋体" w:hAnsi="宋体" w:cs="宋体" w:eastAsia="宋体" w:hint="default"/>
                <w:spacing w:val="-76"/>
                <w:sz w:val="21"/>
                <w:szCs w:val="21"/>
              </w:rPr>
              <w:t> </w:t>
            </w:r>
            <w:r>
              <w:rPr>
                <w:rFonts w:ascii="宋体" w:hAnsi="宋体" w:cs="宋体" w:eastAsia="宋体" w:hint="default"/>
                <w:spacing w:val="18"/>
                <w:sz w:val="21"/>
                <w:szCs w:val="21"/>
              </w:rPr>
              <w:t>生的现金</w:t>
            </w:r>
            <w:r>
              <w:rPr>
                <w:rFonts w:ascii="宋体" w:hAnsi="宋体" w:cs="宋体" w:eastAsia="宋体" w:hint="default"/>
                <w:spacing w:val="-80"/>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流量净额</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300,196,604</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381,889,530</w:t>
            </w:r>
          </w:p>
        </w:tc>
        <w:tc>
          <w:tcPr>
            <w:tcW w:w="1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-21.39</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772,564,482</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772,564,482</w:t>
            </w:r>
          </w:p>
        </w:tc>
      </w:tr>
      <w:tr>
        <w:trPr>
          <w:trHeight w:val="455" w:hRule="exact"/>
        </w:trPr>
        <w:tc>
          <w:tcPr>
            <w:tcW w:w="2310" w:type="dxa"/>
            <w:vMerge w:val="restart"/>
            <w:tcBorders>
              <w:top w:val="single" w:sz="6" w:space="0" w:color="000000"/>
              <w:left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514" w:right="0"/>
              <w:jc w:val="left"/>
              <w:rPr>
                <w:rFonts w:ascii="宋体" w:hAnsi="宋体" w:cs="宋体" w:eastAsia="宋体" w:hint="default"/>
                <w:sz w:val="21"/>
                <w:szCs w:val="21"/>
              </w:rPr>
            </w:pPr>
            <w:r>
              <w:rPr>
                <w:rFonts w:ascii="宋体" w:hAnsi="宋体" w:cs="宋体" w:eastAsia="宋体" w:hint="default"/>
                <w:b/>
                <w:bCs/>
                <w:sz w:val="21"/>
                <w:szCs w:val="21"/>
              </w:rPr>
              <w:t>主要会计数据</w:t>
            </w:r>
            <w:r>
              <w:rPr>
                <w:rFonts w:ascii="宋体" w:hAnsi="宋体" w:cs="宋体" w:eastAsia="宋体" w:hint="default"/>
                <w:sz w:val="21"/>
                <w:szCs w:val="21"/>
              </w:rPr>
            </w:r>
          </w:p>
        </w:tc>
        <w:tc>
          <w:tcPr>
            <w:tcW w:w="1386" w:type="dxa"/>
            <w:vMerge w:val="restart"/>
            <w:tcBorders>
              <w:top w:val="single" w:sz="6" w:space="0" w:color="000000"/>
              <w:left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236" w:right="0"/>
              <w:jc w:val="left"/>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6"/>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386" w:type="dxa"/>
            <w:vMerge w:val="restart"/>
            <w:tcBorders>
              <w:top w:val="single" w:sz="6" w:space="0" w:color="000000"/>
              <w:left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237"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6"/>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192" w:type="dxa"/>
            <w:vMerge w:val="restart"/>
            <w:tcBorders>
              <w:top w:val="single" w:sz="6" w:space="0" w:color="000000"/>
              <w:left w:val="single" w:sz="6" w:space="0" w:color="000000"/>
              <w:right w:val="single" w:sz="6" w:space="0" w:color="000000"/>
            </w:tcBorders>
          </w:tcPr>
          <w:p>
            <w:pPr>
              <w:pStyle w:val="TableParagraph"/>
              <w:spacing w:line="261" w:lineRule="exact"/>
              <w:ind w:left="166" w:right="0"/>
              <w:jc w:val="left"/>
              <w:rPr>
                <w:rFonts w:ascii="宋体" w:hAnsi="宋体" w:cs="宋体" w:eastAsia="宋体" w:hint="default"/>
                <w:sz w:val="21"/>
                <w:szCs w:val="21"/>
              </w:rPr>
            </w:pPr>
            <w:r>
              <w:rPr>
                <w:rFonts w:ascii="宋体" w:hAnsi="宋体" w:cs="宋体" w:eastAsia="宋体" w:hint="default"/>
                <w:b/>
                <w:bCs/>
                <w:sz w:val="21"/>
                <w:szCs w:val="21"/>
              </w:rPr>
              <w:t>本年末比</w:t>
            </w:r>
            <w:r>
              <w:rPr>
                <w:rFonts w:ascii="宋体" w:hAnsi="宋体" w:cs="宋体" w:eastAsia="宋体" w:hint="default"/>
                <w:sz w:val="21"/>
                <w:szCs w:val="21"/>
              </w:rPr>
            </w:r>
          </w:p>
          <w:p>
            <w:pPr>
              <w:pStyle w:val="TableParagraph"/>
              <w:spacing w:line="273" w:lineRule="auto" w:before="37"/>
              <w:ind w:left="219" w:right="163" w:hanging="53"/>
              <w:jc w:val="left"/>
              <w:rPr>
                <w:rFonts w:ascii="宋体" w:hAnsi="宋体" w:cs="宋体" w:eastAsia="宋体" w:hint="default"/>
                <w:sz w:val="21"/>
                <w:szCs w:val="21"/>
              </w:rPr>
            </w:pPr>
            <w:r>
              <w:rPr>
                <w:rFonts w:ascii="宋体" w:hAnsi="宋体" w:cs="宋体" w:eastAsia="宋体" w:hint="default"/>
                <w:b/>
                <w:bCs/>
                <w:sz w:val="21"/>
                <w:szCs w:val="21"/>
              </w:rPr>
              <w:t>上年末增</w:t>
            </w:r>
            <w:r>
              <w:rPr>
                <w:rFonts w:ascii="宋体" w:hAnsi="宋体" w:cs="宋体" w:eastAsia="宋体" w:hint="default"/>
                <w:b/>
                <w:bCs/>
                <w:spacing w:val="1"/>
                <w:w w:val="99"/>
                <w:sz w:val="21"/>
                <w:szCs w:val="21"/>
              </w:rPr>
              <w:t> </w:t>
            </w:r>
            <w:r>
              <w:rPr>
                <w:rFonts w:ascii="宋体" w:hAnsi="宋体" w:cs="宋体" w:eastAsia="宋体" w:hint="default"/>
                <w:b/>
                <w:bCs/>
                <w:sz w:val="21"/>
                <w:szCs w:val="21"/>
              </w:rPr>
              <w:t>减（%）</w:t>
            </w:r>
            <w:r>
              <w:rPr>
                <w:rFonts w:ascii="宋体" w:hAnsi="宋体" w:cs="宋体" w:eastAsia="宋体" w:hint="default"/>
                <w:sz w:val="21"/>
                <w:szCs w:val="21"/>
              </w:rPr>
            </w:r>
          </w:p>
        </w:tc>
        <w:tc>
          <w:tcPr>
            <w:tcW w:w="277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0"/>
              <w:jc w:val="center"/>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7"/>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r>
      <w:tr>
        <w:trPr>
          <w:trHeight w:val="497" w:hRule="exact"/>
        </w:trPr>
        <w:tc>
          <w:tcPr>
            <w:tcW w:w="2310" w:type="dxa"/>
            <w:vMerge/>
            <w:tcBorders>
              <w:left w:val="single" w:sz="6" w:space="0" w:color="000000"/>
              <w:bottom w:val="single" w:sz="6" w:space="0" w:color="000000"/>
              <w:right w:val="single" w:sz="6" w:space="0" w:color="000000"/>
            </w:tcBorders>
          </w:tcPr>
          <w:p>
            <w:pPr/>
          </w:p>
        </w:tc>
        <w:tc>
          <w:tcPr>
            <w:tcW w:w="1386" w:type="dxa"/>
            <w:vMerge/>
            <w:tcBorders>
              <w:left w:val="single" w:sz="6" w:space="0" w:color="000000"/>
              <w:bottom w:val="single" w:sz="6" w:space="0" w:color="000000"/>
              <w:right w:val="single" w:sz="6" w:space="0" w:color="000000"/>
            </w:tcBorders>
          </w:tcPr>
          <w:p>
            <w:pPr/>
          </w:p>
        </w:tc>
        <w:tc>
          <w:tcPr>
            <w:tcW w:w="1386" w:type="dxa"/>
            <w:vMerge/>
            <w:tcBorders>
              <w:left w:val="single" w:sz="6" w:space="0" w:color="000000"/>
              <w:bottom w:val="single" w:sz="6" w:space="0" w:color="000000"/>
              <w:right w:val="single" w:sz="6" w:space="0" w:color="000000"/>
            </w:tcBorders>
          </w:tcPr>
          <w:p>
            <w:pPr/>
          </w:p>
        </w:tc>
        <w:tc>
          <w:tcPr>
            <w:tcW w:w="1192" w:type="dxa"/>
            <w:vMerge/>
            <w:tcBorders>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369" w:right="0"/>
              <w:jc w:val="left"/>
              <w:rPr>
                <w:rFonts w:ascii="宋体" w:hAnsi="宋体" w:cs="宋体" w:eastAsia="宋体" w:hint="default"/>
                <w:sz w:val="21"/>
                <w:szCs w:val="21"/>
              </w:rPr>
            </w:pPr>
            <w:r>
              <w:rPr>
                <w:rFonts w:ascii="宋体" w:hAnsi="宋体" w:cs="宋体" w:eastAsia="宋体" w:hint="default"/>
                <w:b/>
                <w:bCs/>
                <w:sz w:val="21"/>
                <w:szCs w:val="21"/>
              </w:rPr>
              <w:t>调整前</w:t>
            </w:r>
            <w:r>
              <w:rPr>
                <w:rFonts w:ascii="宋体" w:hAnsi="宋体" w:cs="宋体" w:eastAsia="宋体" w:hint="default"/>
                <w:sz w:val="21"/>
                <w:szCs w:val="21"/>
              </w:rPr>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369" w:right="0"/>
              <w:jc w:val="left"/>
              <w:rPr>
                <w:rFonts w:ascii="宋体" w:hAnsi="宋体" w:cs="宋体" w:eastAsia="宋体" w:hint="default"/>
                <w:sz w:val="21"/>
                <w:szCs w:val="21"/>
              </w:rPr>
            </w:pPr>
            <w:r>
              <w:rPr>
                <w:rFonts w:ascii="宋体" w:hAnsi="宋体" w:cs="宋体" w:eastAsia="宋体" w:hint="default"/>
                <w:b/>
                <w:bCs/>
                <w:sz w:val="21"/>
                <w:szCs w:val="21"/>
              </w:rPr>
              <w:t>调整后</w:t>
            </w:r>
            <w:r>
              <w:rPr>
                <w:rFonts w:ascii="宋体" w:hAnsi="宋体" w:cs="宋体" w:eastAsia="宋体" w:hint="default"/>
                <w:sz w:val="21"/>
                <w:szCs w:val="21"/>
              </w:rPr>
            </w:r>
          </w:p>
        </w:tc>
      </w:tr>
      <w:tr>
        <w:trPr>
          <w:trHeight w:val="326" w:hRule="exact"/>
        </w:trPr>
        <w:tc>
          <w:tcPr>
            <w:tcW w:w="231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资产总额</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7,925,285,114</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6,858,879,805</w:t>
            </w:r>
          </w:p>
        </w:tc>
        <w:tc>
          <w:tcPr>
            <w:tcW w:w="1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15.55</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6,209,047,971</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6,209,047,971</w:t>
            </w:r>
          </w:p>
        </w:tc>
      </w:tr>
      <w:tr>
        <w:trPr>
          <w:trHeight w:val="328" w:hRule="exact"/>
        </w:trPr>
        <w:tc>
          <w:tcPr>
            <w:tcW w:w="231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负债总额</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2,910,161,846</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2,273,667,334</w:t>
            </w:r>
          </w:p>
        </w:tc>
        <w:tc>
          <w:tcPr>
            <w:tcW w:w="1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27.99</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1,936,157,245</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1,936,157,245</w:t>
            </w:r>
          </w:p>
        </w:tc>
      </w:tr>
      <w:tr>
        <w:trPr>
          <w:trHeight w:val="638" w:hRule="exact"/>
        </w:trPr>
        <w:tc>
          <w:tcPr>
            <w:tcW w:w="231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20"/>
                <w:sz w:val="21"/>
                <w:szCs w:val="21"/>
              </w:rPr>
              <w:t>归属于上市</w:t>
            </w:r>
            <w:r>
              <w:rPr>
                <w:rFonts w:ascii="宋体" w:hAnsi="宋体" w:cs="宋体" w:eastAsia="宋体" w:hint="default"/>
                <w:spacing w:val="-76"/>
                <w:sz w:val="21"/>
                <w:szCs w:val="21"/>
              </w:rPr>
              <w:t> </w:t>
            </w:r>
            <w:r>
              <w:rPr>
                <w:rFonts w:ascii="宋体" w:hAnsi="宋体" w:cs="宋体" w:eastAsia="宋体" w:hint="default"/>
                <w:spacing w:val="18"/>
                <w:sz w:val="21"/>
                <w:szCs w:val="21"/>
              </w:rPr>
              <w:t>公司股东</w:t>
            </w:r>
            <w:r>
              <w:rPr>
                <w:rFonts w:ascii="宋体" w:hAnsi="宋体" w:cs="宋体" w:eastAsia="宋体" w:hint="default"/>
                <w:spacing w:val="-80"/>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的所有者权益</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4,674,677,555</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4,280,208,312</w:t>
            </w:r>
          </w:p>
        </w:tc>
        <w:tc>
          <w:tcPr>
            <w:tcW w:w="1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9.22</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3,997,562,677</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3,997,589,135</w:t>
            </w:r>
          </w:p>
        </w:tc>
      </w:tr>
      <w:tr>
        <w:trPr>
          <w:trHeight w:val="328" w:hRule="exact"/>
        </w:trPr>
        <w:tc>
          <w:tcPr>
            <w:tcW w:w="231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总股本</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1,227,594,245</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1,227,594,245</w:t>
            </w:r>
          </w:p>
        </w:tc>
        <w:tc>
          <w:tcPr>
            <w:tcW w:w="1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98"/>
              <w:jc w:val="right"/>
              <w:rPr>
                <w:rFonts w:ascii="华文细黑" w:hAnsi="华文细黑" w:cs="华文细黑" w:eastAsia="华文细黑" w:hint="default"/>
                <w:sz w:val="18"/>
                <w:szCs w:val="18"/>
              </w:rPr>
            </w:pPr>
            <w:r>
              <w:rPr>
                <w:rFonts w:ascii="华文细黑" w:hAnsi="华文细黑" w:cs="华文细黑" w:eastAsia="华文细黑" w:hint="default"/>
                <w:sz w:val="18"/>
                <w:szCs w:val="18"/>
              </w:rPr>
              <w:t>—</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944,303,265</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944,303,265</w:t>
            </w:r>
          </w:p>
        </w:tc>
      </w:tr>
    </w:tbl>
    <w:p>
      <w:pPr>
        <w:spacing w:line="240" w:lineRule="auto" w:before="9"/>
        <w:rPr>
          <w:rFonts w:ascii="宋体" w:hAnsi="宋体" w:cs="宋体" w:eastAsia="宋体" w:hint="default"/>
          <w:sz w:val="5"/>
          <w:szCs w:val="5"/>
        </w:rPr>
      </w:pPr>
    </w:p>
    <w:p>
      <w:pPr>
        <w:pStyle w:val="BodyText"/>
        <w:spacing w:line="240" w:lineRule="auto"/>
        <w:ind w:left="0" w:right="114"/>
        <w:jc w:val="right"/>
        <w:rPr>
          <w:rFonts w:ascii="宋体" w:hAnsi="宋体" w:cs="宋体" w:eastAsia="宋体" w:hint="default"/>
        </w:rPr>
      </w:pPr>
      <w:r>
        <w:rPr>
          <w:rFonts w:ascii="宋体" w:hAnsi="宋体" w:cs="宋体" w:eastAsia="宋体" w:hint="default"/>
        </w:rPr>
        <w:t>单位：元</w:t>
      </w:r>
      <w:r>
        <w:rPr>
          <w:rFonts w:ascii="宋体" w:hAnsi="宋体" w:cs="宋体" w:eastAsia="宋体" w:hint="default"/>
          <w:spacing w:val="-2"/>
        </w:rPr>
        <w:t> </w:t>
      </w:r>
      <w:r>
        <w:rPr>
          <w:rFonts w:ascii="宋体" w:hAnsi="宋体" w:cs="宋体" w:eastAsia="宋体" w:hint="default"/>
        </w:rPr>
        <w:t>币种：人民币</w:t>
      </w:r>
    </w:p>
    <w:p>
      <w:pPr>
        <w:spacing w:line="240" w:lineRule="auto" w:before="13"/>
        <w:rPr>
          <w:rFonts w:ascii="宋体" w:hAnsi="宋体" w:cs="宋体" w:eastAsia="宋体" w:hint="default"/>
          <w:sz w:val="3"/>
          <w:szCs w:val="3"/>
        </w:rPr>
      </w:pPr>
    </w:p>
    <w:tbl>
      <w:tblPr>
        <w:tblW w:w="0" w:type="auto"/>
        <w:jc w:val="left"/>
        <w:tblInd w:w="123" w:type="dxa"/>
        <w:tblLayout w:type="fixed"/>
        <w:tblCellMar>
          <w:top w:w="0" w:type="dxa"/>
          <w:left w:w="0" w:type="dxa"/>
          <w:bottom w:w="0" w:type="dxa"/>
          <w:right w:w="0" w:type="dxa"/>
        </w:tblCellMar>
        <w:tblLook w:val="01E0"/>
      </w:tblPr>
      <w:tblGrid>
        <w:gridCol w:w="2809"/>
        <w:gridCol w:w="1241"/>
        <w:gridCol w:w="1168"/>
        <w:gridCol w:w="1843"/>
        <w:gridCol w:w="992"/>
        <w:gridCol w:w="992"/>
      </w:tblGrid>
      <w:tr>
        <w:trPr>
          <w:trHeight w:val="330" w:hRule="exact"/>
        </w:trPr>
        <w:tc>
          <w:tcPr>
            <w:tcW w:w="2809" w:type="dxa"/>
            <w:vMerge w:val="restart"/>
            <w:tcBorders>
              <w:top w:val="single" w:sz="6" w:space="0" w:color="000000"/>
              <w:left w:val="single" w:sz="6" w:space="0" w:color="000000"/>
              <w:right w:val="single" w:sz="6" w:space="0" w:color="000000"/>
            </w:tcBorders>
          </w:tcPr>
          <w:p>
            <w:pPr>
              <w:pStyle w:val="TableParagraph"/>
              <w:spacing w:line="240" w:lineRule="auto" w:before="152"/>
              <w:ind w:left="764" w:right="0"/>
              <w:jc w:val="left"/>
              <w:rPr>
                <w:rFonts w:ascii="宋体" w:hAnsi="宋体" w:cs="宋体" w:eastAsia="宋体" w:hint="default"/>
                <w:sz w:val="21"/>
                <w:szCs w:val="21"/>
              </w:rPr>
            </w:pPr>
            <w:r>
              <w:rPr>
                <w:rFonts w:ascii="宋体" w:hAnsi="宋体" w:cs="宋体" w:eastAsia="宋体" w:hint="default"/>
                <w:b/>
                <w:bCs/>
                <w:sz w:val="21"/>
                <w:szCs w:val="21"/>
              </w:rPr>
              <w:t>主要财务指标</w:t>
            </w:r>
            <w:r>
              <w:rPr>
                <w:rFonts w:ascii="宋体" w:hAnsi="宋体" w:cs="宋体" w:eastAsia="宋体" w:hint="default"/>
                <w:sz w:val="21"/>
                <w:szCs w:val="21"/>
              </w:rPr>
            </w:r>
          </w:p>
        </w:tc>
        <w:tc>
          <w:tcPr>
            <w:tcW w:w="1241" w:type="dxa"/>
            <w:vMerge w:val="restart"/>
            <w:tcBorders>
              <w:top w:val="single" w:sz="6" w:space="0" w:color="000000"/>
              <w:left w:val="single" w:sz="6" w:space="0" w:color="000000"/>
              <w:right w:val="single" w:sz="6" w:space="0" w:color="000000"/>
            </w:tcBorders>
          </w:tcPr>
          <w:p>
            <w:pPr>
              <w:pStyle w:val="TableParagraph"/>
              <w:spacing w:line="240" w:lineRule="auto" w:before="152"/>
              <w:ind w:left="271" w:right="0"/>
              <w:jc w:val="left"/>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7"/>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168" w:type="dxa"/>
            <w:vMerge w:val="restart"/>
            <w:tcBorders>
              <w:top w:val="single" w:sz="6" w:space="0" w:color="000000"/>
              <w:left w:val="single" w:sz="6" w:space="0" w:color="000000"/>
              <w:right w:val="single" w:sz="6" w:space="0" w:color="000000"/>
            </w:tcBorders>
          </w:tcPr>
          <w:p>
            <w:pPr>
              <w:pStyle w:val="TableParagraph"/>
              <w:spacing w:line="240" w:lineRule="auto" w:before="152"/>
              <w:ind w:left="233"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7"/>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843" w:type="dxa"/>
            <w:vMerge w:val="restart"/>
            <w:tcBorders>
              <w:top w:val="single" w:sz="6" w:space="0" w:color="000000"/>
              <w:left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b/>
                <w:bCs/>
                <w:sz w:val="21"/>
                <w:szCs w:val="21"/>
              </w:rPr>
              <w:t>本年比上年增减</w:t>
            </w:r>
            <w:r>
              <w:rPr>
                <w:rFonts w:ascii="宋体" w:hAnsi="宋体" w:cs="宋体" w:eastAsia="宋体" w:hint="default"/>
                <w:sz w:val="21"/>
                <w:szCs w:val="21"/>
              </w:rPr>
            </w:r>
          </w:p>
          <w:p>
            <w:pPr>
              <w:pStyle w:val="TableParagraph"/>
              <w:spacing w:line="240" w:lineRule="auto" w:before="37"/>
              <w:ind w:left="1" w:right="0"/>
              <w:jc w:val="center"/>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c>
        <w:tc>
          <w:tcPr>
            <w:tcW w:w="1985"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641"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7"/>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330" w:hRule="exact"/>
        </w:trPr>
        <w:tc>
          <w:tcPr>
            <w:tcW w:w="2809" w:type="dxa"/>
            <w:vMerge/>
            <w:tcBorders>
              <w:left w:val="single" w:sz="6" w:space="0" w:color="000000"/>
              <w:bottom w:val="single" w:sz="6" w:space="0" w:color="000000"/>
              <w:right w:val="single" w:sz="6" w:space="0" w:color="000000"/>
            </w:tcBorders>
          </w:tcPr>
          <w:p>
            <w:pPr/>
          </w:p>
        </w:tc>
        <w:tc>
          <w:tcPr>
            <w:tcW w:w="1241" w:type="dxa"/>
            <w:vMerge/>
            <w:tcBorders>
              <w:left w:val="single" w:sz="6" w:space="0" w:color="000000"/>
              <w:bottom w:val="single" w:sz="6" w:space="0" w:color="000000"/>
              <w:right w:val="single" w:sz="6" w:space="0" w:color="000000"/>
            </w:tcBorders>
          </w:tcPr>
          <w:p>
            <w:pPr/>
          </w:p>
        </w:tc>
        <w:tc>
          <w:tcPr>
            <w:tcW w:w="1168" w:type="dxa"/>
            <w:vMerge/>
            <w:tcBorders>
              <w:left w:val="single" w:sz="6" w:space="0" w:color="000000"/>
              <w:bottom w:val="single" w:sz="6" w:space="0" w:color="000000"/>
              <w:right w:val="single" w:sz="6" w:space="0" w:color="000000"/>
            </w:tcBorders>
          </w:tcPr>
          <w:p>
            <w:pPr/>
          </w:p>
        </w:tc>
        <w:tc>
          <w:tcPr>
            <w:tcW w:w="1843" w:type="dxa"/>
            <w:vMerge/>
            <w:tcBorders>
              <w:left w:val="single" w:sz="6" w:space="0" w:color="000000"/>
              <w:bottom w:val="single" w:sz="6" w:space="0" w:color="000000"/>
              <w:right w:val="single" w:sz="6" w:space="0" w:color="000000"/>
            </w:tcBorders>
          </w:tcPr>
          <w:p>
            <w:pP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72" w:right="0"/>
              <w:jc w:val="left"/>
              <w:rPr>
                <w:rFonts w:ascii="宋体" w:hAnsi="宋体" w:cs="宋体" w:eastAsia="宋体" w:hint="default"/>
                <w:sz w:val="21"/>
                <w:szCs w:val="21"/>
              </w:rPr>
            </w:pPr>
            <w:r>
              <w:rPr>
                <w:rFonts w:ascii="宋体" w:hAnsi="宋体" w:cs="宋体" w:eastAsia="宋体" w:hint="default"/>
                <w:b/>
                <w:bCs/>
                <w:sz w:val="21"/>
                <w:szCs w:val="21"/>
              </w:rPr>
              <w:t>调整前</w:t>
            </w:r>
            <w:r>
              <w:rPr>
                <w:rFonts w:ascii="宋体" w:hAnsi="宋体" w:cs="宋体" w:eastAsia="宋体" w:hint="default"/>
                <w:sz w:val="21"/>
                <w:szCs w:val="21"/>
              </w:rPr>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72" w:right="0"/>
              <w:jc w:val="left"/>
              <w:rPr>
                <w:rFonts w:ascii="宋体" w:hAnsi="宋体" w:cs="宋体" w:eastAsia="宋体" w:hint="default"/>
                <w:sz w:val="21"/>
                <w:szCs w:val="21"/>
              </w:rPr>
            </w:pPr>
            <w:r>
              <w:rPr>
                <w:rFonts w:ascii="宋体" w:hAnsi="宋体" w:cs="宋体" w:eastAsia="宋体" w:hint="default"/>
                <w:b/>
                <w:bCs/>
                <w:sz w:val="21"/>
                <w:szCs w:val="21"/>
              </w:rPr>
              <w:t>调整后</w:t>
            </w:r>
            <w:r>
              <w:rPr>
                <w:rFonts w:ascii="宋体" w:hAnsi="宋体" w:cs="宋体" w:eastAsia="宋体" w:hint="default"/>
                <w:sz w:val="21"/>
                <w:szCs w:val="21"/>
              </w:rPr>
            </w:r>
          </w:p>
        </w:tc>
      </w:tr>
      <w:tr>
        <w:trPr>
          <w:trHeight w:val="326"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基本每股收益（元／股）</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0.34</w:t>
            </w:r>
          </w:p>
        </w:tc>
        <w:tc>
          <w:tcPr>
            <w:tcW w:w="11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0.39</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-13.95</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0.52</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7"/>
              <w:jc w:val="right"/>
              <w:rPr>
                <w:rFonts w:ascii="宋体" w:hAnsi="宋体" w:cs="宋体" w:eastAsia="宋体" w:hint="default"/>
                <w:sz w:val="18"/>
                <w:szCs w:val="18"/>
              </w:rPr>
            </w:pPr>
            <w:r>
              <w:rPr>
                <w:rFonts w:ascii="宋体"/>
                <w:sz w:val="18"/>
              </w:rPr>
              <w:t>0.52</w:t>
            </w:r>
          </w:p>
        </w:tc>
      </w:tr>
      <w:tr>
        <w:trPr>
          <w:trHeight w:val="328"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稀释每股收益（元／股）</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0.34</w:t>
            </w:r>
          </w:p>
        </w:tc>
        <w:tc>
          <w:tcPr>
            <w:tcW w:w="11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0.39</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-13.95</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0.52</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7"/>
              <w:jc w:val="right"/>
              <w:rPr>
                <w:rFonts w:ascii="宋体" w:hAnsi="宋体" w:cs="宋体" w:eastAsia="宋体" w:hint="default"/>
                <w:sz w:val="18"/>
                <w:szCs w:val="18"/>
              </w:rPr>
            </w:pPr>
            <w:r>
              <w:rPr>
                <w:rFonts w:ascii="宋体"/>
                <w:sz w:val="18"/>
              </w:rPr>
              <w:t>0.52</w:t>
            </w:r>
          </w:p>
        </w:tc>
      </w:tr>
      <w:tr>
        <w:trPr>
          <w:trHeight w:val="638"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用最新股本计算的每股收益</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（元/股）</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0.34</w:t>
            </w:r>
          </w:p>
        </w:tc>
        <w:tc>
          <w:tcPr>
            <w:tcW w:w="11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0.39</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-13.95</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0.52</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7"/>
              <w:jc w:val="right"/>
              <w:rPr>
                <w:rFonts w:ascii="宋体" w:hAnsi="宋体" w:cs="宋体" w:eastAsia="宋体" w:hint="default"/>
                <w:sz w:val="18"/>
                <w:szCs w:val="18"/>
              </w:rPr>
            </w:pPr>
            <w:r>
              <w:rPr>
                <w:rFonts w:ascii="宋体"/>
                <w:sz w:val="18"/>
              </w:rPr>
              <w:t>0.52</w:t>
            </w:r>
          </w:p>
        </w:tc>
      </w:tr>
      <w:tr>
        <w:trPr>
          <w:trHeight w:val="640"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扣除非经常性损益后的基本</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每股收益（元／股）</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0.23</w:t>
            </w:r>
          </w:p>
        </w:tc>
        <w:tc>
          <w:tcPr>
            <w:tcW w:w="11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0.29</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-19.71</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0.43</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7"/>
              <w:jc w:val="right"/>
              <w:rPr>
                <w:rFonts w:ascii="宋体" w:hAnsi="宋体" w:cs="宋体" w:eastAsia="宋体" w:hint="default"/>
                <w:sz w:val="18"/>
                <w:szCs w:val="18"/>
              </w:rPr>
            </w:pPr>
            <w:r>
              <w:rPr>
                <w:rFonts w:ascii="宋体"/>
                <w:sz w:val="18"/>
              </w:rPr>
              <w:t>0.43</w:t>
            </w:r>
          </w:p>
        </w:tc>
      </w:tr>
      <w:tr>
        <w:trPr>
          <w:trHeight w:val="326"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9.34</w:t>
            </w:r>
          </w:p>
        </w:tc>
        <w:tc>
          <w:tcPr>
            <w:tcW w:w="11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11.67</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hAnsi="宋体" w:cs="宋体" w:eastAsia="宋体" w:hint="default"/>
                <w:sz w:val="18"/>
                <w:szCs w:val="18"/>
              </w:rPr>
              <w:t>下降</w:t>
            </w:r>
            <w:r>
              <w:rPr>
                <w:rFonts w:ascii="宋体" w:hAnsi="宋体" w:cs="宋体" w:eastAsia="宋体" w:hint="default"/>
                <w:spacing w:val="-46"/>
                <w:sz w:val="18"/>
                <w:szCs w:val="18"/>
              </w:rPr>
              <w:t> </w:t>
            </w:r>
            <w:r>
              <w:rPr>
                <w:rFonts w:ascii="宋体" w:hAnsi="宋体" w:cs="宋体" w:eastAsia="宋体" w:hint="default"/>
                <w:sz w:val="18"/>
                <w:szCs w:val="18"/>
              </w:rPr>
              <w:t>2.33</w:t>
            </w:r>
            <w:r>
              <w:rPr>
                <w:rFonts w:ascii="宋体" w:hAnsi="宋体" w:cs="宋体" w:eastAsia="宋体" w:hint="default"/>
                <w:spacing w:val="-46"/>
                <w:sz w:val="18"/>
                <w:szCs w:val="18"/>
              </w:rPr>
              <w:t> </w:t>
            </w:r>
            <w:r>
              <w:rPr>
                <w:rFonts w:ascii="宋体" w:hAnsi="宋体" w:cs="宋体" w:eastAsia="宋体" w:hint="default"/>
                <w:sz w:val="18"/>
                <w:szCs w:val="18"/>
              </w:rPr>
              <w:t>个百分点</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17.21</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7"/>
              <w:jc w:val="right"/>
              <w:rPr>
                <w:rFonts w:ascii="宋体" w:hAnsi="宋体" w:cs="宋体" w:eastAsia="宋体" w:hint="default"/>
                <w:sz w:val="18"/>
                <w:szCs w:val="18"/>
              </w:rPr>
            </w:pPr>
            <w:r>
              <w:rPr>
                <w:rFonts w:ascii="宋体"/>
                <w:sz w:val="18"/>
              </w:rPr>
              <w:t>17.21</w:t>
            </w:r>
          </w:p>
        </w:tc>
      </w:tr>
      <w:tr>
        <w:trPr>
          <w:trHeight w:val="640"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扣除非经常性损益后的加权</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平均净资产收益率（%）</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6.42</w:t>
            </w:r>
          </w:p>
        </w:tc>
        <w:tc>
          <w:tcPr>
            <w:tcW w:w="11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8.60</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下降</w:t>
            </w:r>
            <w:r>
              <w:rPr>
                <w:rFonts w:ascii="宋体" w:hAnsi="宋体" w:cs="宋体" w:eastAsia="宋体" w:hint="default"/>
                <w:spacing w:val="-46"/>
                <w:sz w:val="18"/>
                <w:szCs w:val="18"/>
              </w:rPr>
              <w:t> </w:t>
            </w:r>
            <w:r>
              <w:rPr>
                <w:rFonts w:ascii="宋体" w:hAnsi="宋体" w:cs="宋体" w:eastAsia="宋体" w:hint="default"/>
                <w:sz w:val="18"/>
                <w:szCs w:val="18"/>
              </w:rPr>
              <w:t>2.18</w:t>
            </w:r>
            <w:r>
              <w:rPr>
                <w:rFonts w:ascii="宋体" w:hAnsi="宋体" w:cs="宋体" w:eastAsia="宋体" w:hint="default"/>
                <w:spacing w:val="-46"/>
                <w:sz w:val="18"/>
                <w:szCs w:val="18"/>
              </w:rPr>
              <w:t> </w:t>
            </w:r>
            <w:r>
              <w:rPr>
                <w:rFonts w:ascii="宋体" w:hAnsi="宋体" w:cs="宋体" w:eastAsia="宋体" w:hint="default"/>
                <w:sz w:val="18"/>
                <w:szCs w:val="18"/>
              </w:rPr>
              <w:t>个百分点</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14.02</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7"/>
              <w:jc w:val="right"/>
              <w:rPr>
                <w:rFonts w:ascii="宋体" w:hAnsi="宋体" w:cs="宋体" w:eastAsia="宋体" w:hint="default"/>
                <w:sz w:val="18"/>
                <w:szCs w:val="18"/>
              </w:rPr>
            </w:pPr>
            <w:r>
              <w:rPr>
                <w:rFonts w:ascii="宋体"/>
                <w:sz w:val="18"/>
              </w:rPr>
              <w:t>14.02</w:t>
            </w:r>
          </w:p>
        </w:tc>
      </w:tr>
      <w:tr>
        <w:trPr>
          <w:trHeight w:val="638"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每股经营活动产生的现金流</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量净额（元／股）</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0.24</w:t>
            </w:r>
          </w:p>
        </w:tc>
        <w:tc>
          <w:tcPr>
            <w:tcW w:w="11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0.31</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-21.39</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0.82</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7"/>
              <w:jc w:val="right"/>
              <w:rPr>
                <w:rFonts w:ascii="宋体" w:hAnsi="宋体" w:cs="宋体" w:eastAsia="宋体" w:hint="default"/>
                <w:sz w:val="18"/>
                <w:szCs w:val="18"/>
              </w:rPr>
            </w:pPr>
            <w:r>
              <w:rPr>
                <w:rFonts w:ascii="宋体"/>
                <w:sz w:val="18"/>
              </w:rPr>
              <w:t>0.82</w:t>
            </w:r>
          </w:p>
        </w:tc>
      </w:tr>
      <w:tr>
        <w:trPr>
          <w:trHeight w:val="640"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764" w:right="0"/>
              <w:jc w:val="left"/>
              <w:rPr>
                <w:rFonts w:ascii="宋体" w:hAnsi="宋体" w:cs="宋体" w:eastAsia="宋体" w:hint="default"/>
                <w:sz w:val="21"/>
                <w:szCs w:val="21"/>
              </w:rPr>
            </w:pPr>
            <w:r>
              <w:rPr>
                <w:rFonts w:ascii="宋体" w:hAnsi="宋体" w:cs="宋体" w:eastAsia="宋体" w:hint="default"/>
                <w:b/>
                <w:bCs/>
                <w:sz w:val="21"/>
                <w:szCs w:val="21"/>
              </w:rPr>
              <w:t>主要财务指标</w:t>
            </w:r>
            <w:r>
              <w:rPr>
                <w:rFonts w:ascii="宋体" w:hAnsi="宋体" w:cs="宋体" w:eastAsia="宋体" w:hint="default"/>
                <w:sz w:val="21"/>
                <w:szCs w:val="21"/>
              </w:rPr>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65" w:right="0"/>
              <w:jc w:val="left"/>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6"/>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1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125"/>
              <w:jc w:val="righ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6"/>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b/>
                <w:bCs/>
                <w:sz w:val="21"/>
                <w:szCs w:val="21"/>
              </w:rPr>
              <w:t>本年末比上年末</w:t>
            </w:r>
            <w:r>
              <w:rPr>
                <w:rFonts w:ascii="宋体" w:hAnsi="宋体" w:cs="宋体" w:eastAsia="宋体" w:hint="default"/>
                <w:sz w:val="21"/>
                <w:szCs w:val="21"/>
              </w:rPr>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b/>
                <w:bCs/>
                <w:sz w:val="21"/>
                <w:szCs w:val="21"/>
              </w:rPr>
              <w:t>增减（%）</w:t>
            </w:r>
            <w:r>
              <w:rPr>
                <w:rFonts w:ascii="宋体" w:hAnsi="宋体" w:cs="宋体" w:eastAsia="宋体" w:hint="default"/>
                <w:sz w:val="21"/>
                <w:szCs w:val="21"/>
              </w:rPr>
            </w:r>
          </w:p>
        </w:tc>
        <w:tc>
          <w:tcPr>
            <w:tcW w:w="198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536"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7"/>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r>
      <w:tr>
        <w:trPr>
          <w:trHeight w:val="638"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归属于上市公司股东的每股</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净资产（元／股）</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3.81</w:t>
            </w:r>
          </w:p>
        </w:tc>
        <w:tc>
          <w:tcPr>
            <w:tcW w:w="11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3.49</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9.22</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4.23</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7"/>
              <w:jc w:val="right"/>
              <w:rPr>
                <w:rFonts w:ascii="宋体" w:hAnsi="宋体" w:cs="宋体" w:eastAsia="宋体" w:hint="default"/>
                <w:sz w:val="18"/>
                <w:szCs w:val="18"/>
              </w:rPr>
            </w:pPr>
            <w:r>
              <w:rPr>
                <w:rFonts w:ascii="宋体"/>
                <w:sz w:val="18"/>
              </w:rPr>
              <w:t>4.23</w:t>
            </w:r>
          </w:p>
        </w:tc>
      </w:tr>
      <w:tr>
        <w:trPr>
          <w:trHeight w:val="328" w:hRule="exact"/>
        </w:trPr>
        <w:tc>
          <w:tcPr>
            <w:tcW w:w="280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资产负债率（%）</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36.72</w:t>
            </w:r>
          </w:p>
        </w:tc>
        <w:tc>
          <w:tcPr>
            <w:tcW w:w="11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33.15</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hAnsi="宋体" w:cs="宋体" w:eastAsia="宋体" w:hint="default"/>
                <w:sz w:val="18"/>
                <w:szCs w:val="18"/>
              </w:rPr>
              <w:t>上升</w:t>
            </w:r>
            <w:r>
              <w:rPr>
                <w:rFonts w:ascii="宋体" w:hAnsi="宋体" w:cs="宋体" w:eastAsia="宋体" w:hint="default"/>
                <w:spacing w:val="-46"/>
                <w:sz w:val="18"/>
                <w:szCs w:val="18"/>
              </w:rPr>
              <w:t> </w:t>
            </w:r>
            <w:r>
              <w:rPr>
                <w:rFonts w:ascii="宋体" w:hAnsi="宋体" w:cs="宋体" w:eastAsia="宋体" w:hint="default"/>
                <w:sz w:val="18"/>
                <w:szCs w:val="18"/>
              </w:rPr>
              <w:t>3.57</w:t>
            </w:r>
            <w:r>
              <w:rPr>
                <w:rFonts w:ascii="宋体" w:hAnsi="宋体" w:cs="宋体" w:eastAsia="宋体" w:hint="default"/>
                <w:spacing w:val="-46"/>
                <w:sz w:val="18"/>
                <w:szCs w:val="18"/>
              </w:rPr>
              <w:t> </w:t>
            </w:r>
            <w:r>
              <w:rPr>
                <w:rFonts w:ascii="宋体" w:hAnsi="宋体" w:cs="宋体" w:eastAsia="宋体" w:hint="default"/>
                <w:sz w:val="18"/>
                <w:szCs w:val="18"/>
              </w:rPr>
              <w:t>个百分点</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31.18</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7"/>
              <w:jc w:val="right"/>
              <w:rPr>
                <w:rFonts w:ascii="宋体" w:hAnsi="宋体" w:cs="宋体" w:eastAsia="宋体" w:hint="default"/>
                <w:sz w:val="18"/>
                <w:szCs w:val="18"/>
              </w:rPr>
            </w:pPr>
            <w:r>
              <w:rPr>
                <w:rFonts w:ascii="宋体"/>
                <w:sz w:val="18"/>
              </w:rPr>
              <w:t>31.18</w:t>
            </w:r>
          </w:p>
        </w:tc>
      </w:tr>
    </w:tbl>
    <w:p>
      <w:pPr>
        <w:spacing w:line="240" w:lineRule="auto" w:before="9"/>
        <w:rPr>
          <w:rFonts w:ascii="宋体" w:hAnsi="宋体" w:cs="宋体" w:eastAsia="宋体" w:hint="default"/>
          <w:sz w:val="27"/>
          <w:szCs w:val="27"/>
        </w:rPr>
      </w:pPr>
    </w:p>
    <w:p>
      <w:pPr>
        <w:pStyle w:val="BodyText"/>
        <w:spacing w:line="240" w:lineRule="auto"/>
        <w:ind w:left="118" w:right="112"/>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type w:val="continuous"/>
          <w:pgSz w:w="11910" w:h="16840"/>
          <w:pgMar w:top="1600" w:bottom="280" w:left="1300" w:right="1300"/>
        </w:sectPr>
      </w:pPr>
    </w:p>
    <w:p>
      <w:pPr>
        <w:spacing w:line="240" w:lineRule="auto" w:before="6"/>
        <w:rPr>
          <w:rFonts w:ascii="黑体" w:hAnsi="黑体" w:cs="黑体" w:eastAsia="黑体" w:hint="default"/>
          <w:sz w:val="15"/>
          <w:szCs w:val="15"/>
        </w:rPr>
      </w:pPr>
    </w:p>
    <w:p>
      <w:pPr>
        <w:pStyle w:val="Heading5"/>
        <w:spacing w:line="312" w:lineRule="exact" w:before="56"/>
        <w:ind w:left="218" w:right="233"/>
        <w:jc w:val="both"/>
      </w:pPr>
      <w:r>
        <w:rPr/>
        <w:t>注：1、根据财政部发布的《企业会计准则解释第</w:t>
      </w:r>
      <w:r>
        <w:rPr>
          <w:spacing w:val="-57"/>
        </w:rPr>
        <w:t> </w:t>
      </w:r>
      <w:r>
        <w:rPr/>
        <w:t>4</w:t>
      </w:r>
      <w:r>
        <w:rPr>
          <w:spacing w:val="-57"/>
        </w:rPr>
        <w:t> </w:t>
      </w:r>
      <w:r>
        <w:rPr/>
        <w:t>号》的相关规定，2009</w:t>
      </w:r>
      <w:r>
        <w:rPr>
          <w:spacing w:val="-57"/>
        </w:rPr>
        <w:t> </w:t>
      </w:r>
      <w:r>
        <w:rPr/>
        <w:t>年调整后的</w:t>
      </w:r>
      <w:r>
        <w:rPr/>
        <w:t> </w:t>
      </w:r>
      <w:r>
        <w:rPr>
          <w:spacing w:val="-2"/>
        </w:rPr>
        <w:t>归属于上市公司股东的净利润、归属于上市公司股东的扣除非经常性损益的净利润、归</w:t>
      </w:r>
      <w:r>
        <w:rPr>
          <w:spacing w:val="-96"/>
        </w:rPr>
        <w:t> </w:t>
      </w:r>
      <w:r>
        <w:rPr>
          <w:spacing w:val="-96"/>
        </w:rPr>
      </w:r>
      <w:r>
        <w:rPr/>
        <w:t>属于母公司的所有者权益均为追溯调整后数据；</w:t>
      </w:r>
    </w:p>
    <w:p>
      <w:pPr>
        <w:spacing w:line="312" w:lineRule="exact" w:before="0"/>
        <w:ind w:left="218" w:right="233" w:firstLine="480"/>
        <w:jc w:val="both"/>
        <w:rPr>
          <w:rFonts w:ascii="宋体" w:hAnsi="宋体" w:cs="宋体" w:eastAsia="宋体" w:hint="default"/>
          <w:sz w:val="24"/>
          <w:szCs w:val="24"/>
        </w:rPr>
      </w:pPr>
      <w:r>
        <w:rPr>
          <w:rFonts w:ascii="宋体" w:hAnsi="宋体" w:cs="宋体" w:eastAsia="宋体" w:hint="default"/>
          <w:sz w:val="24"/>
          <w:szCs w:val="24"/>
        </w:rPr>
        <w:t>2、根据相关规定，每股收益的计算，均按 1,227,594,245</w:t>
      </w:r>
      <w:r>
        <w:rPr>
          <w:rFonts w:ascii="宋体" w:hAnsi="宋体" w:cs="宋体" w:eastAsia="宋体" w:hint="default"/>
          <w:spacing w:val="-52"/>
          <w:sz w:val="24"/>
          <w:szCs w:val="24"/>
        </w:rPr>
        <w:t> </w:t>
      </w:r>
      <w:r>
        <w:rPr>
          <w:rFonts w:ascii="宋体" w:hAnsi="宋体" w:cs="宋体" w:eastAsia="宋体" w:hint="default"/>
          <w:sz w:val="24"/>
          <w:szCs w:val="24"/>
        </w:rPr>
        <w:t>股计算；每股经营现金</w:t>
      </w:r>
      <w:r>
        <w:rPr>
          <w:rFonts w:ascii="宋体" w:hAnsi="宋体" w:cs="宋体" w:eastAsia="宋体" w:hint="default"/>
          <w:sz w:val="24"/>
          <w:szCs w:val="24"/>
        </w:rPr>
        <w:t> 流量、每股净资产的计算，2011</w:t>
      </w:r>
      <w:r>
        <w:rPr>
          <w:rFonts w:ascii="宋体" w:hAnsi="宋体" w:cs="宋体" w:eastAsia="宋体" w:hint="default"/>
          <w:spacing w:val="-52"/>
          <w:sz w:val="24"/>
          <w:szCs w:val="24"/>
        </w:rPr>
        <w:t> </w:t>
      </w:r>
      <w:r>
        <w:rPr>
          <w:rFonts w:ascii="宋体" w:hAnsi="宋体" w:cs="宋体" w:eastAsia="宋体" w:hint="default"/>
          <w:sz w:val="24"/>
          <w:szCs w:val="24"/>
        </w:rPr>
        <w:t>年度、2010</w:t>
      </w:r>
      <w:r>
        <w:rPr>
          <w:rFonts w:ascii="宋体" w:hAnsi="宋体" w:cs="宋体" w:eastAsia="宋体" w:hint="default"/>
          <w:spacing w:val="-52"/>
          <w:sz w:val="24"/>
          <w:szCs w:val="24"/>
        </w:rPr>
        <w:t> </w:t>
      </w:r>
      <w:r>
        <w:rPr>
          <w:rFonts w:ascii="宋体" w:hAnsi="宋体" w:cs="宋体" w:eastAsia="宋体" w:hint="default"/>
          <w:sz w:val="24"/>
          <w:szCs w:val="24"/>
        </w:rPr>
        <w:t>年度均按照</w:t>
      </w:r>
      <w:r>
        <w:rPr>
          <w:rFonts w:ascii="宋体" w:hAnsi="宋体" w:cs="宋体" w:eastAsia="宋体" w:hint="default"/>
          <w:spacing w:val="-52"/>
          <w:sz w:val="24"/>
          <w:szCs w:val="24"/>
        </w:rPr>
        <w:t> </w:t>
      </w:r>
      <w:r>
        <w:rPr>
          <w:rFonts w:ascii="宋体" w:hAnsi="宋体" w:cs="宋体" w:eastAsia="宋体" w:hint="default"/>
          <w:sz w:val="24"/>
          <w:szCs w:val="24"/>
        </w:rPr>
        <w:t>1,227,594,245</w:t>
      </w:r>
      <w:r>
        <w:rPr>
          <w:rFonts w:ascii="宋体" w:hAnsi="宋体" w:cs="宋体" w:eastAsia="宋体" w:hint="default"/>
          <w:spacing w:val="-52"/>
          <w:sz w:val="24"/>
          <w:szCs w:val="24"/>
        </w:rPr>
        <w:t> </w:t>
      </w:r>
      <w:r>
        <w:rPr>
          <w:rFonts w:ascii="宋体" w:hAnsi="宋体" w:cs="宋体" w:eastAsia="宋体" w:hint="default"/>
          <w:sz w:val="24"/>
          <w:szCs w:val="24"/>
        </w:rPr>
        <w:t>股计算，2009</w:t>
      </w:r>
      <w:r>
        <w:rPr>
          <w:rFonts w:ascii="宋体" w:hAnsi="宋体" w:cs="宋体" w:eastAsia="宋体" w:hint="default"/>
          <w:spacing w:val="-1"/>
          <w:sz w:val="24"/>
          <w:szCs w:val="24"/>
        </w:rPr>
        <w:t> </w:t>
      </w:r>
      <w:r>
        <w:rPr>
          <w:rFonts w:ascii="宋体" w:hAnsi="宋体" w:cs="宋体" w:eastAsia="宋体" w:hint="default"/>
          <w:sz w:val="24"/>
          <w:szCs w:val="24"/>
        </w:rPr>
        <w:t>年度按</w:t>
      </w:r>
      <w:r>
        <w:rPr>
          <w:rFonts w:ascii="宋体" w:hAnsi="宋体" w:cs="宋体" w:eastAsia="宋体" w:hint="default"/>
          <w:spacing w:val="-60"/>
          <w:sz w:val="24"/>
          <w:szCs w:val="24"/>
        </w:rPr>
        <w:t> </w:t>
      </w:r>
      <w:r>
        <w:rPr>
          <w:rFonts w:ascii="宋体" w:hAnsi="宋体" w:cs="宋体" w:eastAsia="宋体" w:hint="default"/>
          <w:sz w:val="24"/>
          <w:szCs w:val="24"/>
        </w:rPr>
        <w:t>944,303,265</w:t>
      </w:r>
      <w:r>
        <w:rPr>
          <w:rFonts w:ascii="宋体" w:hAnsi="宋体" w:cs="宋体" w:eastAsia="宋体" w:hint="default"/>
          <w:spacing w:val="-60"/>
          <w:sz w:val="24"/>
          <w:szCs w:val="24"/>
        </w:rPr>
        <w:t> </w:t>
      </w:r>
      <w:r>
        <w:rPr>
          <w:rFonts w:ascii="宋体" w:hAnsi="宋体" w:cs="宋体" w:eastAsia="宋体" w:hint="default"/>
          <w:sz w:val="24"/>
          <w:szCs w:val="24"/>
        </w:rPr>
        <w:t>股计算。</w:t>
      </w:r>
    </w:p>
    <w:p>
      <w:pPr>
        <w:spacing w:line="240" w:lineRule="auto" w:before="1"/>
        <w:rPr>
          <w:rFonts w:ascii="宋体" w:hAnsi="宋体" w:cs="宋体" w:eastAsia="宋体" w:hint="default"/>
          <w:sz w:val="10"/>
          <w:szCs w:val="10"/>
        </w:rPr>
      </w:pPr>
    </w:p>
    <w:p>
      <w:pPr>
        <w:spacing w:after="0" w:line="240" w:lineRule="auto"/>
        <w:rPr>
          <w:rFonts w:ascii="宋体" w:hAnsi="宋体" w:cs="宋体" w:eastAsia="宋体" w:hint="default"/>
          <w:sz w:val="10"/>
          <w:szCs w:val="10"/>
        </w:rPr>
        <w:sectPr>
          <w:pgSz w:w="11910" w:h="16840"/>
          <w:pgMar w:header="1012" w:footer="480" w:top="1360" w:bottom="660" w:left="1200" w:right="1180"/>
        </w:sectPr>
      </w:pPr>
    </w:p>
    <w:p>
      <w:pPr>
        <w:spacing w:before="26"/>
        <w:ind w:left="218" w:right="0" w:firstLine="0"/>
        <w:jc w:val="left"/>
        <w:rPr>
          <w:rFonts w:ascii="宋体" w:hAnsi="宋体" w:cs="宋体" w:eastAsia="宋体" w:hint="default"/>
          <w:sz w:val="24"/>
          <w:szCs w:val="24"/>
        </w:rPr>
      </w:pPr>
      <w:r>
        <w:rPr>
          <w:rFonts w:ascii="宋体" w:hAnsi="宋体" w:cs="宋体" w:eastAsia="宋体" w:hint="default"/>
          <w:b/>
          <w:bCs/>
          <w:w w:val="95"/>
          <w:sz w:val="24"/>
          <w:szCs w:val="24"/>
        </w:rPr>
        <w:t>（四）采用公允价值计量的项目</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17"/>
          <w:szCs w:val="17"/>
        </w:rPr>
      </w:pPr>
    </w:p>
    <w:p>
      <w:pPr>
        <w:pStyle w:val="BodyText"/>
        <w:spacing w:line="240" w:lineRule="auto" w:before="0"/>
        <w:ind w:left="218" w:right="0"/>
        <w:jc w:val="left"/>
        <w:rPr>
          <w:rFonts w:ascii="宋体" w:hAnsi="宋体" w:cs="宋体" w:eastAsia="宋体" w:hint="default"/>
        </w:rPr>
      </w:pPr>
      <w:r>
        <w:rPr>
          <w:rFonts w:ascii="宋体" w:hAnsi="宋体" w:cs="宋体" w:eastAsia="宋体" w:hint="default"/>
        </w:rPr>
        <w:t>单位：元</w:t>
      </w:r>
      <w:r>
        <w:rPr>
          <w:rFonts w:ascii="宋体" w:hAnsi="宋体" w:cs="宋体" w:eastAsia="宋体" w:hint="default"/>
          <w:spacing w:val="-2"/>
        </w:rPr>
        <w:t> </w:t>
      </w:r>
      <w:r>
        <w:rPr>
          <w:rFonts w:ascii="宋体" w:hAnsi="宋体" w:cs="宋体" w:eastAsia="宋体" w:hint="default"/>
        </w:rPr>
        <w:t>币种：人民币</w:t>
      </w:r>
    </w:p>
    <w:p>
      <w:pPr>
        <w:spacing w:after="0" w:line="240" w:lineRule="auto"/>
        <w:jc w:val="left"/>
        <w:rPr>
          <w:rFonts w:ascii="宋体" w:hAnsi="宋体" w:cs="宋体" w:eastAsia="宋体" w:hint="default"/>
        </w:rPr>
        <w:sectPr>
          <w:type w:val="continuous"/>
          <w:pgSz w:w="11910" w:h="16840"/>
          <w:pgMar w:top="1600" w:bottom="280" w:left="1200" w:right="1180"/>
          <w:cols w:num="2" w:equalWidth="0">
            <w:col w:w="3592" w:space="3273"/>
            <w:col w:w="2665"/>
          </w:cols>
        </w:sectPr>
      </w:pPr>
    </w:p>
    <w:p>
      <w:pPr>
        <w:spacing w:line="240" w:lineRule="auto" w:before="13"/>
        <w:rPr>
          <w:rFonts w:ascii="宋体" w:hAnsi="宋体" w:cs="宋体" w:eastAsia="宋体" w:hint="default"/>
          <w:sz w:val="3"/>
          <w:szCs w:val="3"/>
        </w:rPr>
      </w:pPr>
    </w:p>
    <w:tbl>
      <w:tblPr>
        <w:tblW w:w="0" w:type="auto"/>
        <w:jc w:val="left"/>
        <w:tblInd w:w="103" w:type="dxa"/>
        <w:tblLayout w:type="fixed"/>
        <w:tblCellMar>
          <w:top w:w="0" w:type="dxa"/>
          <w:left w:w="0" w:type="dxa"/>
          <w:bottom w:w="0" w:type="dxa"/>
          <w:right w:w="0" w:type="dxa"/>
        </w:tblCellMar>
        <w:tblLook w:val="01E0"/>
      </w:tblPr>
      <w:tblGrid>
        <w:gridCol w:w="1858"/>
        <w:gridCol w:w="1656"/>
        <w:gridCol w:w="1559"/>
        <w:gridCol w:w="1699"/>
        <w:gridCol w:w="2514"/>
      </w:tblGrid>
      <w:tr>
        <w:trPr>
          <w:trHeight w:val="640" w:hRule="exact"/>
        </w:trPr>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b/>
                <w:bCs/>
                <w:sz w:val="21"/>
                <w:szCs w:val="21"/>
              </w:rPr>
              <w:t>项目名称</w:t>
            </w:r>
            <w:r>
              <w:rPr>
                <w:rFonts w:ascii="宋体" w:hAnsi="宋体" w:cs="宋体" w:eastAsia="宋体" w:hint="default"/>
                <w:sz w:val="21"/>
                <w:szCs w:val="21"/>
              </w:rPr>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398"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5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349"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418" w:right="0"/>
              <w:jc w:val="left"/>
              <w:rPr>
                <w:rFonts w:ascii="宋体" w:hAnsi="宋体" w:cs="宋体" w:eastAsia="宋体" w:hint="default"/>
                <w:sz w:val="21"/>
                <w:szCs w:val="21"/>
              </w:rPr>
            </w:pPr>
            <w:r>
              <w:rPr>
                <w:rFonts w:ascii="宋体" w:hAnsi="宋体" w:cs="宋体" w:eastAsia="宋体" w:hint="default"/>
                <w:b/>
                <w:bCs/>
                <w:sz w:val="21"/>
                <w:szCs w:val="21"/>
              </w:rPr>
              <w:t>当期变动</w:t>
            </w:r>
            <w:r>
              <w:rPr>
                <w:rFonts w:ascii="宋体" w:hAnsi="宋体" w:cs="宋体" w:eastAsia="宋体" w:hint="default"/>
                <w:sz w:val="21"/>
                <w:szCs w:val="21"/>
              </w:rPr>
            </w:r>
          </w:p>
        </w:tc>
        <w:tc>
          <w:tcPr>
            <w:tcW w:w="251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6" w:right="0"/>
              <w:jc w:val="center"/>
              <w:rPr>
                <w:rFonts w:ascii="宋体" w:hAnsi="宋体" w:cs="宋体" w:eastAsia="宋体" w:hint="default"/>
                <w:sz w:val="21"/>
                <w:szCs w:val="21"/>
              </w:rPr>
            </w:pPr>
            <w:r>
              <w:rPr>
                <w:rFonts w:ascii="宋体" w:hAnsi="宋体" w:cs="宋体" w:eastAsia="宋体" w:hint="default"/>
                <w:b/>
                <w:bCs/>
                <w:sz w:val="21"/>
                <w:szCs w:val="21"/>
              </w:rPr>
              <w:t>对当期利润（税后利润）</w:t>
            </w:r>
            <w:r>
              <w:rPr>
                <w:rFonts w:ascii="宋体" w:hAnsi="宋体" w:cs="宋体" w:eastAsia="宋体" w:hint="default"/>
                <w:sz w:val="21"/>
                <w:szCs w:val="21"/>
              </w:rPr>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b/>
                <w:bCs/>
                <w:sz w:val="21"/>
                <w:szCs w:val="21"/>
              </w:rPr>
              <w:t>的影响金额</w:t>
            </w:r>
            <w:r>
              <w:rPr>
                <w:rFonts w:ascii="宋体" w:hAnsi="宋体" w:cs="宋体" w:eastAsia="宋体" w:hint="default"/>
                <w:sz w:val="21"/>
                <w:szCs w:val="21"/>
              </w:rPr>
            </w:r>
          </w:p>
        </w:tc>
      </w:tr>
      <w:tr>
        <w:trPr>
          <w:trHeight w:val="326" w:hRule="exact"/>
        </w:trPr>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交易性金融资产</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98"/>
              <w:jc w:val="right"/>
              <w:rPr>
                <w:rFonts w:ascii="宋体" w:hAnsi="宋体" w:cs="宋体" w:eastAsia="宋体" w:hint="default"/>
                <w:sz w:val="21"/>
                <w:szCs w:val="21"/>
              </w:rPr>
            </w:pPr>
            <w:r>
              <w:rPr>
                <w:rFonts w:ascii="宋体"/>
                <w:spacing w:val="-1"/>
                <w:sz w:val="21"/>
              </w:rPr>
              <w:t>969,350</w:t>
            </w:r>
            <w:r>
              <w:rPr>
                <w:rFonts w:ascii="宋体"/>
                <w:sz w:val="21"/>
              </w:rPr>
            </w:r>
          </w:p>
        </w:tc>
        <w:tc>
          <w:tcPr>
            <w:tcW w:w="1559"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00"/>
              <w:jc w:val="right"/>
              <w:rPr>
                <w:rFonts w:ascii="宋体" w:hAnsi="宋体" w:cs="宋体" w:eastAsia="宋体" w:hint="default"/>
                <w:sz w:val="21"/>
                <w:szCs w:val="21"/>
              </w:rPr>
            </w:pPr>
            <w:r>
              <w:rPr>
                <w:rFonts w:ascii="宋体"/>
                <w:spacing w:val="-1"/>
                <w:sz w:val="21"/>
              </w:rPr>
              <w:t>863,170</w:t>
            </w:r>
            <w:r>
              <w:rPr>
                <w:rFonts w:ascii="宋体"/>
                <w:sz w:val="21"/>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99"/>
              <w:jc w:val="right"/>
              <w:rPr>
                <w:rFonts w:ascii="宋体" w:hAnsi="宋体" w:cs="宋体" w:eastAsia="宋体" w:hint="default"/>
                <w:sz w:val="21"/>
                <w:szCs w:val="21"/>
              </w:rPr>
            </w:pPr>
            <w:r>
              <w:rPr>
                <w:rFonts w:ascii="宋体"/>
                <w:spacing w:val="-1"/>
                <w:sz w:val="21"/>
              </w:rPr>
              <w:t>-106,180</w:t>
            </w:r>
          </w:p>
        </w:tc>
        <w:tc>
          <w:tcPr>
            <w:tcW w:w="251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98"/>
              <w:jc w:val="right"/>
              <w:rPr>
                <w:rFonts w:ascii="宋体" w:hAnsi="宋体" w:cs="宋体" w:eastAsia="宋体" w:hint="default"/>
                <w:sz w:val="21"/>
                <w:szCs w:val="21"/>
              </w:rPr>
            </w:pPr>
            <w:r>
              <w:rPr>
                <w:rFonts w:ascii="宋体"/>
                <w:spacing w:val="-1"/>
                <w:sz w:val="21"/>
              </w:rPr>
              <w:t>-95,562</w:t>
            </w:r>
            <w:r>
              <w:rPr>
                <w:rFonts w:ascii="宋体"/>
                <w:sz w:val="21"/>
              </w:rPr>
            </w:r>
          </w:p>
        </w:tc>
      </w:tr>
      <w:tr>
        <w:trPr>
          <w:trHeight w:val="328" w:hRule="exact"/>
        </w:trPr>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交易性金融负债</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8"/>
              <w:jc w:val="right"/>
              <w:rPr>
                <w:rFonts w:ascii="宋体" w:hAnsi="宋体" w:cs="宋体" w:eastAsia="宋体" w:hint="default"/>
                <w:sz w:val="21"/>
                <w:szCs w:val="21"/>
              </w:rPr>
            </w:pPr>
            <w:r>
              <w:rPr>
                <w:rFonts w:ascii="宋体"/>
                <w:spacing w:val="-1"/>
                <w:sz w:val="21"/>
              </w:rPr>
              <w:t>1,227,304</w:t>
            </w:r>
            <w:r>
              <w:rPr>
                <w:rFonts w:ascii="宋体"/>
                <w:sz w:val="21"/>
              </w:rPr>
            </w:r>
          </w:p>
        </w:tc>
        <w:tc>
          <w:tcPr>
            <w:tcW w:w="155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00"/>
              <w:jc w:val="right"/>
              <w:rPr>
                <w:rFonts w:ascii="宋体" w:hAnsi="宋体" w:cs="宋体" w:eastAsia="宋体" w:hint="default"/>
                <w:sz w:val="21"/>
                <w:szCs w:val="21"/>
              </w:rPr>
            </w:pPr>
            <w:r>
              <w:rPr>
                <w:rFonts w:ascii="宋体"/>
                <w:spacing w:val="-1"/>
                <w:sz w:val="21"/>
              </w:rPr>
              <w:t>170,567</w:t>
            </w:r>
            <w:r>
              <w:rPr>
                <w:rFonts w:ascii="宋体"/>
                <w:sz w:val="21"/>
              </w:rPr>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9"/>
              <w:jc w:val="right"/>
              <w:rPr>
                <w:rFonts w:ascii="宋体" w:hAnsi="宋体" w:cs="宋体" w:eastAsia="宋体" w:hint="default"/>
                <w:sz w:val="21"/>
                <w:szCs w:val="21"/>
              </w:rPr>
            </w:pPr>
            <w:r>
              <w:rPr>
                <w:rFonts w:ascii="宋体"/>
                <w:spacing w:val="-1"/>
                <w:sz w:val="21"/>
              </w:rPr>
              <w:t>-1,056,737</w:t>
            </w:r>
            <w:r>
              <w:rPr>
                <w:rFonts w:ascii="宋体"/>
                <w:sz w:val="21"/>
              </w:rPr>
            </w:r>
          </w:p>
        </w:tc>
        <w:tc>
          <w:tcPr>
            <w:tcW w:w="251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8"/>
              <w:jc w:val="right"/>
              <w:rPr>
                <w:rFonts w:ascii="宋体" w:hAnsi="宋体" w:cs="宋体" w:eastAsia="宋体" w:hint="default"/>
                <w:sz w:val="21"/>
                <w:szCs w:val="21"/>
              </w:rPr>
            </w:pPr>
            <w:r>
              <w:rPr>
                <w:rFonts w:ascii="宋体"/>
                <w:spacing w:val="-1"/>
                <w:sz w:val="21"/>
              </w:rPr>
              <w:t>951,063</w:t>
            </w:r>
            <w:r>
              <w:rPr>
                <w:rFonts w:ascii="宋体"/>
                <w:sz w:val="21"/>
              </w:rPr>
            </w:r>
          </w:p>
        </w:tc>
      </w:tr>
      <w:tr>
        <w:trPr>
          <w:trHeight w:val="328" w:hRule="exact"/>
        </w:trPr>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99"/>
              <w:jc w:val="right"/>
              <w:rPr>
                <w:rFonts w:ascii="宋体" w:hAnsi="宋体" w:cs="宋体" w:eastAsia="宋体" w:hint="default"/>
                <w:sz w:val="21"/>
                <w:szCs w:val="21"/>
              </w:rPr>
            </w:pPr>
            <w:r>
              <w:rPr>
                <w:rFonts w:ascii="宋体" w:hAnsi="宋体" w:cs="宋体" w:eastAsia="宋体" w:hint="default"/>
                <w:sz w:val="21"/>
                <w:szCs w:val="21"/>
              </w:rPr>
              <w:t>—</w:t>
            </w:r>
          </w:p>
        </w:tc>
        <w:tc>
          <w:tcPr>
            <w:tcW w:w="1559"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99"/>
              <w:jc w:val="right"/>
              <w:rPr>
                <w:rFonts w:ascii="宋体" w:hAnsi="宋体" w:cs="宋体" w:eastAsia="宋体" w:hint="default"/>
                <w:sz w:val="21"/>
                <w:szCs w:val="21"/>
              </w:rPr>
            </w:pPr>
            <w:r>
              <w:rPr>
                <w:rFonts w:ascii="宋体" w:hAnsi="宋体" w:cs="宋体" w:eastAsia="宋体" w:hint="default"/>
                <w:sz w:val="21"/>
                <w:szCs w:val="21"/>
              </w:rPr>
              <w:t>—</w:t>
            </w:r>
          </w:p>
        </w:tc>
        <w:tc>
          <w:tcPr>
            <w:tcW w:w="1699"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02"/>
              <w:jc w:val="right"/>
              <w:rPr>
                <w:rFonts w:ascii="宋体" w:hAnsi="宋体" w:cs="宋体" w:eastAsia="宋体" w:hint="default"/>
                <w:sz w:val="21"/>
                <w:szCs w:val="21"/>
              </w:rPr>
            </w:pPr>
            <w:r>
              <w:rPr>
                <w:rFonts w:ascii="宋体" w:hAnsi="宋体" w:cs="宋体" w:eastAsia="宋体" w:hint="default"/>
                <w:sz w:val="21"/>
                <w:szCs w:val="21"/>
              </w:rPr>
              <w:t>—</w:t>
            </w:r>
          </w:p>
        </w:tc>
        <w:tc>
          <w:tcPr>
            <w:tcW w:w="251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98"/>
              <w:jc w:val="right"/>
              <w:rPr>
                <w:rFonts w:ascii="宋体" w:hAnsi="宋体" w:cs="宋体" w:eastAsia="宋体" w:hint="default"/>
                <w:sz w:val="21"/>
                <w:szCs w:val="21"/>
              </w:rPr>
            </w:pPr>
            <w:r>
              <w:rPr>
                <w:rFonts w:ascii="宋体"/>
                <w:spacing w:val="-1"/>
                <w:sz w:val="21"/>
              </w:rPr>
              <w:t>855,501</w:t>
            </w:r>
            <w:r>
              <w:rPr>
                <w:rFonts w:ascii="宋体"/>
                <w:sz w:val="21"/>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pStyle w:val="BodyText"/>
        <w:spacing w:line="240" w:lineRule="auto"/>
        <w:ind w:left="218" w:right="218"/>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type w:val="continuous"/>
          <w:pgSz w:w="11910" w:h="16840"/>
          <w:pgMar w:top="1600" w:bottom="280" w:left="1200" w:right="1180"/>
        </w:sect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20"/>
          <w:szCs w:val="20"/>
        </w:rPr>
      </w:pPr>
    </w:p>
    <w:p>
      <w:pPr>
        <w:pStyle w:val="Heading2"/>
        <w:spacing w:line="240" w:lineRule="auto"/>
        <w:ind w:left="1138" w:right="0"/>
        <w:jc w:val="left"/>
        <w:rPr>
          <w:b w:val="0"/>
          <w:bCs w:val="0"/>
        </w:rPr>
      </w:pPr>
      <w:bookmarkStart w:name="_TOC_250008" w:id="5"/>
      <w:r>
        <w:rPr/>
        <w:t>四、股本变动及股东情况</w:t>
      </w:r>
      <w:bookmarkEnd w:id="5"/>
      <w:r>
        <w:rPr>
          <w:b w:val="0"/>
          <w:bCs w:val="0"/>
        </w:rPr>
      </w:r>
    </w:p>
    <w:p>
      <w:pPr>
        <w:spacing w:line="240" w:lineRule="auto" w:before="1"/>
        <w:rPr>
          <w:rFonts w:ascii="黑体" w:hAnsi="黑体" w:cs="黑体" w:eastAsia="黑体" w:hint="default"/>
          <w:b/>
          <w:bCs/>
          <w:sz w:val="13"/>
          <w:szCs w:val="13"/>
        </w:rPr>
      </w:pPr>
    </w:p>
    <w:p>
      <w:pPr>
        <w:spacing w:after="0" w:line="240" w:lineRule="auto"/>
        <w:rPr>
          <w:rFonts w:ascii="黑体" w:hAnsi="黑体" w:cs="黑体" w:eastAsia="黑体" w:hint="default"/>
          <w:sz w:val="13"/>
          <w:szCs w:val="13"/>
        </w:rPr>
        <w:sectPr>
          <w:pgSz w:w="11910" w:h="16840"/>
          <w:pgMar w:header="1012" w:footer="480" w:top="1360" w:bottom="660" w:left="280" w:right="280"/>
        </w:sectPr>
      </w:pPr>
    </w:p>
    <w:p>
      <w:pPr>
        <w:spacing w:line="331" w:lineRule="auto" w:before="26"/>
        <w:ind w:left="1138" w:right="0" w:firstLine="0"/>
        <w:jc w:val="left"/>
        <w:rPr>
          <w:rFonts w:ascii="宋体" w:hAnsi="宋体" w:cs="宋体" w:eastAsia="宋体" w:hint="default"/>
          <w:sz w:val="24"/>
          <w:szCs w:val="24"/>
        </w:rPr>
      </w:pPr>
      <w:r>
        <w:rPr>
          <w:rFonts w:ascii="宋体" w:hAnsi="宋体" w:cs="宋体" w:eastAsia="宋体" w:hint="default"/>
          <w:b/>
          <w:bCs/>
          <w:w w:val="95"/>
          <w:sz w:val="24"/>
          <w:szCs w:val="24"/>
        </w:rPr>
        <w:t>（一）股本变动情况</w:t>
      </w:r>
      <w:r>
        <w:rPr>
          <w:rFonts w:ascii="宋体" w:hAnsi="宋体" w:cs="宋体" w:eastAsia="宋体" w:hint="default"/>
          <w:b/>
          <w:bCs/>
          <w:spacing w:val="-15"/>
          <w:w w:val="95"/>
          <w:sz w:val="24"/>
          <w:szCs w:val="24"/>
        </w:rPr>
        <w:t> </w:t>
      </w:r>
      <w:r>
        <w:rPr>
          <w:rFonts w:ascii="宋体" w:hAnsi="宋体" w:cs="宋体" w:eastAsia="宋体" w:hint="default"/>
          <w:sz w:val="24"/>
          <w:szCs w:val="24"/>
        </w:rPr>
        <w:t>1、股份变动情况表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pStyle w:val="BodyText"/>
        <w:spacing w:line="240" w:lineRule="auto" w:before="0"/>
        <w:ind w:left="1118" w:right="1116"/>
        <w:jc w:val="center"/>
        <w:rPr>
          <w:rFonts w:ascii="宋体" w:hAnsi="宋体" w:cs="宋体" w:eastAsia="宋体" w:hint="default"/>
        </w:rPr>
      </w:pPr>
      <w:r>
        <w:rPr>
          <w:rFonts w:ascii="宋体" w:hAnsi="宋体" w:cs="宋体" w:eastAsia="宋体" w:hint="default"/>
        </w:rPr>
        <w:t>单位：股</w:t>
      </w:r>
    </w:p>
    <w:p>
      <w:pPr>
        <w:spacing w:after="0" w:line="240" w:lineRule="auto"/>
        <w:jc w:val="center"/>
        <w:rPr>
          <w:rFonts w:ascii="宋体" w:hAnsi="宋体" w:cs="宋体" w:eastAsia="宋体" w:hint="default"/>
        </w:rPr>
        <w:sectPr>
          <w:type w:val="continuous"/>
          <w:pgSz w:w="11910" w:h="16840"/>
          <w:pgMar w:top="1600" w:bottom="280" w:left="280" w:right="280"/>
          <w:cols w:num="2" w:equalWidth="0">
            <w:col w:w="3307" w:space="4922"/>
            <w:col w:w="3121"/>
          </w:cols>
        </w:sectPr>
      </w:pPr>
    </w:p>
    <w:p>
      <w:pPr>
        <w:spacing w:line="240" w:lineRule="auto" w:before="13"/>
        <w:rPr>
          <w:rFonts w:ascii="宋体" w:hAnsi="宋体" w:cs="宋体" w:eastAsia="宋体"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1934"/>
        <w:gridCol w:w="1362"/>
        <w:gridCol w:w="992"/>
        <w:gridCol w:w="622"/>
        <w:gridCol w:w="425"/>
        <w:gridCol w:w="851"/>
        <w:gridCol w:w="1276"/>
        <w:gridCol w:w="1276"/>
        <w:gridCol w:w="1417"/>
        <w:gridCol w:w="950"/>
      </w:tblGrid>
      <w:tr>
        <w:trPr>
          <w:trHeight w:val="328" w:hRule="exact"/>
        </w:trPr>
        <w:tc>
          <w:tcPr>
            <w:tcW w:w="1934" w:type="dxa"/>
            <w:vMerge w:val="restart"/>
            <w:tcBorders>
              <w:top w:val="single" w:sz="6" w:space="0" w:color="000000"/>
              <w:left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54"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719"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448" w:type="dxa"/>
            <w:gridSpan w:val="5"/>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226"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236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725"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638" w:hRule="exact"/>
        </w:trPr>
        <w:tc>
          <w:tcPr>
            <w:tcW w:w="1934" w:type="dxa"/>
            <w:vMerge/>
            <w:tcBorders>
              <w:left w:val="single" w:sz="6" w:space="0" w:color="000000"/>
              <w:bottom w:val="single" w:sz="6" w:space="0" w:color="000000"/>
              <w:right w:val="single" w:sz="6" w:space="0" w:color="000000"/>
            </w:tcBorders>
          </w:tcPr>
          <w:p>
            <w:pPr/>
          </w:p>
        </w:tc>
        <w:tc>
          <w:tcPr>
            <w:tcW w:w="13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73"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62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0"/>
              <w:ind w:left="123" w:right="121"/>
              <w:jc w:val="left"/>
              <w:rPr>
                <w:rFonts w:ascii="宋体" w:hAnsi="宋体" w:cs="宋体" w:eastAsia="宋体" w:hint="default"/>
                <w:sz w:val="18"/>
                <w:szCs w:val="18"/>
              </w:rPr>
            </w:pPr>
            <w:r>
              <w:rPr>
                <w:rFonts w:ascii="宋体" w:hAnsi="宋体" w:cs="宋体" w:eastAsia="宋体" w:hint="default"/>
                <w:sz w:val="18"/>
                <w:szCs w:val="18"/>
              </w:rPr>
              <w:t>发行 新股</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0"/>
              <w:ind w:left="115" w:right="113"/>
              <w:jc w:val="left"/>
              <w:rPr>
                <w:rFonts w:ascii="宋体" w:hAnsi="宋体" w:cs="宋体" w:eastAsia="宋体" w:hint="default"/>
                <w:sz w:val="18"/>
                <w:szCs w:val="18"/>
              </w:rPr>
            </w:pPr>
            <w:r>
              <w:rPr>
                <w:rFonts w:ascii="宋体" w:hAnsi="宋体" w:cs="宋体" w:eastAsia="宋体" w:hint="default"/>
                <w:sz w:val="18"/>
                <w:szCs w:val="18"/>
              </w:rPr>
              <w:t>送 股</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0"/>
              <w:ind w:left="237" w:right="146" w:hanging="90"/>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51"/>
              <w:jc w:val="right"/>
              <w:rPr>
                <w:rFonts w:ascii="宋体" w:hAnsi="宋体" w:cs="宋体" w:eastAsia="宋体" w:hint="default"/>
                <w:sz w:val="18"/>
                <w:szCs w:val="18"/>
              </w:rPr>
            </w:pPr>
            <w:r>
              <w:rPr>
                <w:rFonts w:ascii="宋体" w:hAnsi="宋体" w:cs="宋体" w:eastAsia="宋体" w:hint="default"/>
                <w:sz w:val="18"/>
                <w:szCs w:val="18"/>
              </w:rPr>
              <w:t>比例(%)</w:t>
            </w:r>
          </w:p>
        </w:tc>
      </w:tr>
      <w:tr>
        <w:trPr>
          <w:trHeight w:val="328" w:hRule="exact"/>
        </w:trPr>
        <w:tc>
          <w:tcPr>
            <w:tcW w:w="1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3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900,294,040</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73.3381</w:t>
            </w:r>
          </w:p>
        </w:tc>
        <w:tc>
          <w:tcPr>
            <w:tcW w:w="622"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-900,294,040</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7"/>
              <w:jc w:val="right"/>
              <w:rPr>
                <w:rFonts w:ascii="宋体" w:hAnsi="宋体" w:cs="宋体" w:eastAsia="宋体" w:hint="default"/>
                <w:sz w:val="15"/>
                <w:szCs w:val="15"/>
              </w:rPr>
            </w:pPr>
            <w:r>
              <w:rPr>
                <w:rFonts w:ascii="宋体"/>
                <w:spacing w:val="-1"/>
                <w:sz w:val="15"/>
              </w:rPr>
              <w:t>-900,294,040</w:t>
            </w:r>
          </w:p>
        </w:tc>
        <w:tc>
          <w:tcPr>
            <w:tcW w:w="1417"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1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1、国家持股</w:t>
            </w:r>
          </w:p>
        </w:tc>
        <w:tc>
          <w:tcPr>
            <w:tcW w:w="13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121,838,079</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9.9249</w:t>
            </w:r>
          </w:p>
        </w:tc>
        <w:tc>
          <w:tcPr>
            <w:tcW w:w="622"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-121,838,079</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-121,838,079</w:t>
            </w:r>
          </w:p>
        </w:tc>
        <w:tc>
          <w:tcPr>
            <w:tcW w:w="1417"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1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2、国有法人持股</w:t>
            </w:r>
          </w:p>
        </w:tc>
        <w:tc>
          <w:tcPr>
            <w:tcW w:w="13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216,361,562</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17.6248</w:t>
            </w:r>
          </w:p>
        </w:tc>
        <w:tc>
          <w:tcPr>
            <w:tcW w:w="622"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-216,361,562</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7"/>
              <w:jc w:val="right"/>
              <w:rPr>
                <w:rFonts w:ascii="宋体" w:hAnsi="宋体" w:cs="宋体" w:eastAsia="宋体" w:hint="default"/>
                <w:sz w:val="15"/>
                <w:szCs w:val="15"/>
              </w:rPr>
            </w:pPr>
            <w:r>
              <w:rPr>
                <w:rFonts w:ascii="宋体"/>
                <w:spacing w:val="-1"/>
                <w:sz w:val="15"/>
              </w:rPr>
              <w:t>-216,361,562</w:t>
            </w:r>
          </w:p>
        </w:tc>
        <w:tc>
          <w:tcPr>
            <w:tcW w:w="1417"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1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3、其他内资持股</w:t>
            </w:r>
          </w:p>
        </w:tc>
        <w:tc>
          <w:tcPr>
            <w:tcW w:w="13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382,071,106</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31.1236</w:t>
            </w:r>
          </w:p>
        </w:tc>
        <w:tc>
          <w:tcPr>
            <w:tcW w:w="622"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-382,071,106</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-382,071,106</w:t>
            </w:r>
          </w:p>
        </w:tc>
        <w:tc>
          <w:tcPr>
            <w:tcW w:w="1417"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1934"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98"/>
              <w:jc w:val="left"/>
              <w:rPr>
                <w:rFonts w:ascii="宋体" w:hAnsi="宋体" w:cs="宋体" w:eastAsia="宋体" w:hint="default"/>
                <w:sz w:val="18"/>
                <w:szCs w:val="18"/>
              </w:rPr>
            </w:pPr>
            <w:r>
              <w:rPr>
                <w:rFonts w:ascii="宋体" w:hAnsi="宋体" w:cs="宋体" w:eastAsia="宋体" w:hint="default"/>
                <w:spacing w:val="-9"/>
                <w:sz w:val="18"/>
                <w:szCs w:val="18"/>
              </w:rPr>
              <w:t>其中：境内非国有法人</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持股</w:t>
            </w:r>
          </w:p>
        </w:tc>
        <w:tc>
          <w:tcPr>
            <w:tcW w:w="13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15"/>
                <w:szCs w:val="15"/>
              </w:rPr>
            </w:pPr>
            <w:r>
              <w:rPr>
                <w:rFonts w:ascii="宋体"/>
                <w:spacing w:val="-1"/>
                <w:sz w:val="15"/>
              </w:rPr>
              <w:t>382,071,106</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15"/>
                <w:szCs w:val="15"/>
              </w:rPr>
            </w:pPr>
            <w:r>
              <w:rPr>
                <w:rFonts w:ascii="宋体"/>
                <w:spacing w:val="-1"/>
                <w:sz w:val="15"/>
              </w:rPr>
              <w:t>31.1236</w:t>
            </w:r>
          </w:p>
        </w:tc>
        <w:tc>
          <w:tcPr>
            <w:tcW w:w="622"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15"/>
                <w:szCs w:val="15"/>
              </w:rPr>
            </w:pPr>
            <w:r>
              <w:rPr>
                <w:rFonts w:ascii="宋体"/>
                <w:spacing w:val="-1"/>
                <w:sz w:val="15"/>
              </w:rPr>
              <w:t>-382,071,106</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7"/>
              <w:jc w:val="right"/>
              <w:rPr>
                <w:rFonts w:ascii="宋体" w:hAnsi="宋体" w:cs="宋体" w:eastAsia="宋体" w:hint="default"/>
                <w:sz w:val="15"/>
                <w:szCs w:val="15"/>
              </w:rPr>
            </w:pPr>
            <w:r>
              <w:rPr>
                <w:rFonts w:ascii="宋体"/>
                <w:spacing w:val="-1"/>
                <w:sz w:val="15"/>
              </w:rPr>
              <w:t>-382,071,106</w:t>
            </w:r>
          </w:p>
        </w:tc>
        <w:tc>
          <w:tcPr>
            <w:tcW w:w="1417"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1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7"/>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1362" w:type="dxa"/>
            <w:tcBorders>
              <w:top w:val="single" w:sz="6" w:space="0" w:color="000000"/>
              <w:left w:val="single" w:sz="6" w:space="0" w:color="000000"/>
              <w:bottom w:val="single" w:sz="6" w:space="0" w:color="000000"/>
              <w:right w:val="single" w:sz="6" w:space="0" w:color="000000"/>
            </w:tcBorders>
          </w:tcPr>
          <w:p>
            <w:pPr/>
          </w:p>
        </w:tc>
        <w:tc>
          <w:tcPr>
            <w:tcW w:w="992"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417"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1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4、外资持股</w:t>
            </w:r>
          </w:p>
        </w:tc>
        <w:tc>
          <w:tcPr>
            <w:tcW w:w="13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180,023,293</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14.6647</w:t>
            </w:r>
          </w:p>
        </w:tc>
        <w:tc>
          <w:tcPr>
            <w:tcW w:w="622"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-180,023,293</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7"/>
              <w:jc w:val="right"/>
              <w:rPr>
                <w:rFonts w:ascii="宋体" w:hAnsi="宋体" w:cs="宋体" w:eastAsia="宋体" w:hint="default"/>
                <w:sz w:val="15"/>
                <w:szCs w:val="15"/>
              </w:rPr>
            </w:pPr>
            <w:r>
              <w:rPr>
                <w:rFonts w:ascii="宋体"/>
                <w:spacing w:val="-1"/>
                <w:sz w:val="15"/>
              </w:rPr>
              <w:t>-180,023,293</w:t>
            </w:r>
          </w:p>
        </w:tc>
        <w:tc>
          <w:tcPr>
            <w:tcW w:w="1417"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1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3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180,023,293</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14.6647</w:t>
            </w:r>
          </w:p>
        </w:tc>
        <w:tc>
          <w:tcPr>
            <w:tcW w:w="622"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pacing w:val="-1"/>
                <w:sz w:val="15"/>
              </w:rPr>
              <w:t>-180,023,293</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宋体" w:hAnsi="宋体" w:cs="宋体" w:eastAsia="宋体" w:hint="default"/>
                <w:sz w:val="15"/>
                <w:szCs w:val="15"/>
              </w:rPr>
            </w:pPr>
            <w:r>
              <w:rPr>
                <w:rFonts w:ascii="宋体"/>
                <w:spacing w:val="-1"/>
                <w:sz w:val="15"/>
              </w:rPr>
              <w:t>-180,023,293</w:t>
            </w:r>
          </w:p>
        </w:tc>
        <w:tc>
          <w:tcPr>
            <w:tcW w:w="1417"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1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07"/>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1362" w:type="dxa"/>
            <w:tcBorders>
              <w:top w:val="single" w:sz="6" w:space="0" w:color="000000"/>
              <w:left w:val="single" w:sz="6" w:space="0" w:color="000000"/>
              <w:bottom w:val="single" w:sz="6" w:space="0" w:color="000000"/>
              <w:right w:val="single" w:sz="6" w:space="0" w:color="000000"/>
            </w:tcBorders>
          </w:tcPr>
          <w:p>
            <w:pPr/>
          </w:p>
        </w:tc>
        <w:tc>
          <w:tcPr>
            <w:tcW w:w="992"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417"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1934"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0"/>
              <w:ind w:left="100" w:right="98"/>
              <w:jc w:val="left"/>
              <w:rPr>
                <w:rFonts w:ascii="宋体" w:hAnsi="宋体" w:cs="宋体" w:eastAsia="宋体" w:hint="default"/>
                <w:sz w:val="18"/>
                <w:szCs w:val="18"/>
              </w:rPr>
            </w:pPr>
            <w:r>
              <w:rPr>
                <w:rFonts w:ascii="宋体" w:hAnsi="宋体" w:cs="宋体" w:eastAsia="宋体" w:hint="default"/>
                <w:spacing w:val="-9"/>
                <w:sz w:val="18"/>
                <w:szCs w:val="18"/>
              </w:rPr>
              <w:t>二、无限售条件流通股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份</w:t>
            </w:r>
          </w:p>
        </w:tc>
        <w:tc>
          <w:tcPr>
            <w:tcW w:w="13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15"/>
                <w:szCs w:val="15"/>
              </w:rPr>
            </w:pPr>
            <w:r>
              <w:rPr>
                <w:rFonts w:ascii="宋体"/>
                <w:spacing w:val="-1"/>
                <w:sz w:val="15"/>
              </w:rPr>
              <w:t>327,300,205</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15"/>
                <w:szCs w:val="15"/>
              </w:rPr>
            </w:pPr>
            <w:r>
              <w:rPr>
                <w:rFonts w:ascii="宋体"/>
                <w:spacing w:val="-1"/>
                <w:sz w:val="15"/>
              </w:rPr>
              <w:t>26.6619</w:t>
            </w:r>
          </w:p>
        </w:tc>
        <w:tc>
          <w:tcPr>
            <w:tcW w:w="622"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99"/>
              <w:jc w:val="right"/>
              <w:rPr>
                <w:rFonts w:ascii="宋体" w:hAnsi="宋体" w:cs="宋体" w:eastAsia="宋体" w:hint="default"/>
                <w:sz w:val="15"/>
                <w:szCs w:val="15"/>
              </w:rPr>
            </w:pPr>
            <w:r>
              <w:rPr>
                <w:rFonts w:ascii="宋体"/>
                <w:spacing w:val="-1"/>
                <w:sz w:val="15"/>
              </w:rPr>
              <w:t>900,294,040</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15"/>
                <w:szCs w:val="15"/>
              </w:rPr>
            </w:pPr>
            <w:r>
              <w:rPr>
                <w:rFonts w:ascii="宋体"/>
                <w:spacing w:val="-1"/>
                <w:sz w:val="15"/>
              </w:rPr>
              <w:t>900,294,040</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15"/>
                <w:szCs w:val="15"/>
              </w:rPr>
            </w:pPr>
            <w:r>
              <w:rPr>
                <w:rFonts w:ascii="宋体"/>
                <w:spacing w:val="-1"/>
                <w:sz w:val="15"/>
              </w:rPr>
              <w:t>1,227,594,245</w:t>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15"/>
                <w:szCs w:val="15"/>
              </w:rPr>
            </w:pPr>
            <w:r>
              <w:rPr>
                <w:rFonts w:ascii="宋体"/>
                <w:spacing w:val="-1"/>
                <w:sz w:val="15"/>
              </w:rPr>
              <w:t>100.0000</w:t>
            </w:r>
          </w:p>
        </w:tc>
      </w:tr>
      <w:tr>
        <w:trPr>
          <w:trHeight w:val="328" w:hRule="exact"/>
        </w:trPr>
        <w:tc>
          <w:tcPr>
            <w:tcW w:w="1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1、人民币普通股</w:t>
            </w:r>
          </w:p>
        </w:tc>
        <w:tc>
          <w:tcPr>
            <w:tcW w:w="13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327,300,205</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26.6619</w:t>
            </w:r>
          </w:p>
        </w:tc>
        <w:tc>
          <w:tcPr>
            <w:tcW w:w="622"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9"/>
              <w:jc w:val="right"/>
              <w:rPr>
                <w:rFonts w:ascii="宋体" w:hAnsi="宋体" w:cs="宋体" w:eastAsia="宋体" w:hint="default"/>
                <w:sz w:val="15"/>
                <w:szCs w:val="15"/>
              </w:rPr>
            </w:pPr>
            <w:r>
              <w:rPr>
                <w:rFonts w:ascii="宋体"/>
                <w:spacing w:val="-1"/>
                <w:sz w:val="15"/>
              </w:rPr>
              <w:t>900,294,040</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900,294,040</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1,227,594,245</w:t>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100.0000</w:t>
            </w:r>
          </w:p>
        </w:tc>
      </w:tr>
      <w:tr>
        <w:trPr>
          <w:trHeight w:val="326" w:hRule="exact"/>
        </w:trPr>
        <w:tc>
          <w:tcPr>
            <w:tcW w:w="1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2、境内上市的外资股</w:t>
            </w:r>
          </w:p>
        </w:tc>
        <w:tc>
          <w:tcPr>
            <w:tcW w:w="1362" w:type="dxa"/>
            <w:tcBorders>
              <w:top w:val="single" w:sz="6" w:space="0" w:color="000000"/>
              <w:left w:val="single" w:sz="6" w:space="0" w:color="000000"/>
              <w:bottom w:val="single" w:sz="6" w:space="0" w:color="000000"/>
              <w:right w:val="single" w:sz="6" w:space="0" w:color="000000"/>
            </w:tcBorders>
          </w:tcPr>
          <w:p>
            <w:pPr/>
          </w:p>
        </w:tc>
        <w:tc>
          <w:tcPr>
            <w:tcW w:w="992"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417"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1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3、境外上市的外资股</w:t>
            </w:r>
          </w:p>
        </w:tc>
        <w:tc>
          <w:tcPr>
            <w:tcW w:w="1362" w:type="dxa"/>
            <w:tcBorders>
              <w:top w:val="single" w:sz="6" w:space="0" w:color="000000"/>
              <w:left w:val="single" w:sz="6" w:space="0" w:color="000000"/>
              <w:bottom w:val="single" w:sz="6" w:space="0" w:color="000000"/>
              <w:right w:val="single" w:sz="6" w:space="0" w:color="000000"/>
            </w:tcBorders>
          </w:tcPr>
          <w:p>
            <w:pPr/>
          </w:p>
        </w:tc>
        <w:tc>
          <w:tcPr>
            <w:tcW w:w="992"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417"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1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362" w:type="dxa"/>
            <w:tcBorders>
              <w:top w:val="single" w:sz="6" w:space="0" w:color="000000"/>
              <w:left w:val="single" w:sz="6" w:space="0" w:color="000000"/>
              <w:bottom w:val="single" w:sz="6" w:space="0" w:color="000000"/>
              <w:right w:val="single" w:sz="6" w:space="0" w:color="000000"/>
            </w:tcBorders>
          </w:tcPr>
          <w:p>
            <w:pPr/>
          </w:p>
        </w:tc>
        <w:tc>
          <w:tcPr>
            <w:tcW w:w="992"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417" w:type="dxa"/>
            <w:tcBorders>
              <w:top w:val="single" w:sz="6" w:space="0" w:color="000000"/>
              <w:left w:val="single" w:sz="6" w:space="0" w:color="000000"/>
              <w:bottom w:val="single" w:sz="6" w:space="0" w:color="000000"/>
              <w:right w:val="single" w:sz="6" w:space="0" w:color="000000"/>
            </w:tcBorders>
          </w:tcPr>
          <w:p>
            <w:pPr/>
          </w:p>
        </w:tc>
        <w:tc>
          <w:tcPr>
            <w:tcW w:w="950"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1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3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1,227,594,245</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100.0000</w:t>
            </w:r>
          </w:p>
        </w:tc>
        <w:tc>
          <w:tcPr>
            <w:tcW w:w="622"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276" w:type="dxa"/>
            <w:tcBorders>
              <w:top w:val="single" w:sz="6" w:space="0" w:color="000000"/>
              <w:left w:val="single" w:sz="6" w:space="0" w:color="000000"/>
              <w:bottom w:val="single" w:sz="6" w:space="0" w:color="000000"/>
              <w:right w:val="single" w:sz="6" w:space="0" w:color="000000"/>
            </w:tcBorders>
          </w:tcPr>
          <w:p>
            <w:pP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1,227,594,245</w:t>
            </w:r>
            <w:r>
              <w:rPr>
                <w:rFonts w:ascii="宋体"/>
                <w:sz w:val="15"/>
              </w:rPr>
            </w:r>
          </w:p>
        </w:tc>
        <w:tc>
          <w:tcPr>
            <w:tcW w:w="9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宋体" w:hAnsi="宋体" w:cs="宋体" w:eastAsia="宋体" w:hint="default"/>
                <w:sz w:val="15"/>
                <w:szCs w:val="15"/>
              </w:rPr>
            </w:pPr>
            <w:r>
              <w:rPr>
                <w:rFonts w:ascii="宋体"/>
                <w:spacing w:val="-1"/>
                <w:sz w:val="15"/>
              </w:rPr>
              <w:t>100.0000</w:t>
            </w:r>
          </w:p>
        </w:tc>
      </w:tr>
    </w:tbl>
    <w:p>
      <w:pPr>
        <w:pStyle w:val="Heading5"/>
        <w:spacing w:line="313" w:lineRule="exact" w:before="85"/>
        <w:ind w:left="1618" w:right="0"/>
        <w:jc w:val="left"/>
      </w:pPr>
      <w:r>
        <w:rPr/>
        <w:t>201</w:t>
      </w:r>
      <w:r>
        <w:rPr>
          <w:spacing w:val="60"/>
        </w:rPr>
        <w:t>1年3月</w:t>
      </w:r>
      <w:r>
        <w:rPr/>
        <w:t>5</w:t>
      </w:r>
      <w:r>
        <w:rPr>
          <w:spacing w:val="-60"/>
        </w:rPr>
        <w:t> </w:t>
      </w:r>
      <w:r>
        <w:rPr/>
        <w:t>日</w:t>
      </w:r>
      <w:r>
        <w:rPr>
          <w:spacing w:val="-22"/>
        </w:rPr>
        <w:t>，</w:t>
      </w:r>
      <w:r>
        <w:rPr/>
        <w:t>本公司</w:t>
      </w:r>
      <w:r>
        <w:rPr>
          <w:spacing w:val="-22"/>
        </w:rPr>
        <w:t>在</w:t>
      </w:r>
      <w:r>
        <w:rPr/>
        <w:t>《中国证券报</w:t>
      </w:r>
      <w:r>
        <w:rPr>
          <w:spacing w:val="-120"/>
        </w:rPr>
        <w:t>》</w:t>
      </w:r>
      <w:r>
        <w:rPr>
          <w:spacing w:val="-142"/>
        </w:rPr>
        <w:t>、</w:t>
      </w:r>
      <w:r>
        <w:rPr>
          <w:spacing w:val="-1"/>
        </w:rPr>
        <w:t>《上海证券报</w:t>
      </w:r>
      <w:r>
        <w:rPr>
          <w:spacing w:val="-22"/>
        </w:rPr>
        <w:t>》</w:t>
      </w:r>
      <w:r>
        <w:rPr>
          <w:spacing w:val="-1"/>
        </w:rPr>
        <w:t>刊登</w:t>
      </w:r>
      <w:r>
        <w:rPr>
          <w:spacing w:val="-22"/>
        </w:rPr>
        <w:t>了</w:t>
      </w:r>
      <w:r>
        <w:rPr>
          <w:spacing w:val="-1"/>
        </w:rPr>
        <w:t>《关于有限售条</w:t>
      </w:r>
      <w:r>
        <w:rPr/>
      </w:r>
    </w:p>
    <w:p>
      <w:pPr>
        <w:spacing w:line="312" w:lineRule="exact" w:before="0"/>
        <w:ind w:left="1138" w:right="0" w:firstLine="0"/>
        <w:jc w:val="left"/>
        <w:rPr>
          <w:rFonts w:ascii="宋体" w:hAnsi="宋体" w:cs="宋体" w:eastAsia="宋体" w:hint="default"/>
          <w:sz w:val="24"/>
          <w:szCs w:val="24"/>
        </w:rPr>
      </w:pPr>
      <w:r>
        <w:rPr>
          <w:rFonts w:ascii="宋体" w:hAnsi="宋体" w:cs="宋体" w:eastAsia="宋体" w:hint="default"/>
          <w:sz w:val="24"/>
          <w:szCs w:val="24"/>
        </w:rPr>
        <w:t>件的流通股上市的公告</w:t>
      </w:r>
      <w:r>
        <w:rPr>
          <w:rFonts w:ascii="宋体" w:hAnsi="宋体" w:cs="宋体" w:eastAsia="宋体" w:hint="default"/>
          <w:spacing w:val="-120"/>
          <w:sz w:val="24"/>
          <w:szCs w:val="24"/>
        </w:rPr>
        <w:t>》</w:t>
      </w:r>
      <w:r>
        <w:rPr>
          <w:rFonts w:ascii="宋体" w:hAnsi="宋体" w:cs="宋体" w:eastAsia="宋体" w:hint="default"/>
          <w:spacing w:val="-111"/>
          <w:sz w:val="24"/>
          <w:szCs w:val="24"/>
        </w:rPr>
        <w:t>，</w:t>
      </w:r>
      <w:r>
        <w:rPr>
          <w:rFonts w:ascii="宋体" w:hAnsi="宋体" w:cs="宋体" w:eastAsia="宋体" w:hint="default"/>
          <w:sz w:val="24"/>
          <w:szCs w:val="24"/>
        </w:rPr>
        <w:t>东北大学科技产业集团有限公司等股东所持有的</w:t>
      </w:r>
      <w:r>
        <w:rPr>
          <w:rFonts w:ascii="宋体" w:hAnsi="宋体" w:cs="宋体" w:eastAsia="宋体" w:hint="default"/>
          <w:spacing w:val="-60"/>
          <w:sz w:val="24"/>
          <w:szCs w:val="24"/>
        </w:rPr>
        <w:t> </w:t>
      </w:r>
      <w:r>
        <w:rPr>
          <w:rFonts w:ascii="宋体" w:hAnsi="宋体" w:cs="宋体" w:eastAsia="宋体" w:hint="default"/>
          <w:sz w:val="24"/>
          <w:szCs w:val="24"/>
        </w:rPr>
        <w:t>900,294,040</w:t>
      </w:r>
    </w:p>
    <w:p>
      <w:pPr>
        <w:spacing w:line="312" w:lineRule="exact" w:before="0"/>
        <w:ind w:left="1138" w:right="0" w:firstLine="0"/>
        <w:jc w:val="left"/>
        <w:rPr>
          <w:rFonts w:ascii="宋体" w:hAnsi="宋体" w:cs="宋体" w:eastAsia="宋体" w:hint="default"/>
          <w:sz w:val="24"/>
          <w:szCs w:val="24"/>
        </w:rPr>
      </w:pPr>
      <w:r>
        <w:rPr>
          <w:rFonts w:ascii="宋体" w:hAnsi="宋体" w:cs="宋体" w:eastAsia="宋体" w:hint="default"/>
          <w:spacing w:val="23"/>
          <w:sz w:val="24"/>
          <w:szCs w:val="24"/>
        </w:rPr>
        <w:t>股有限售条件的流通股于 </w:t>
      </w:r>
      <w:r>
        <w:rPr>
          <w:rFonts w:ascii="宋体" w:hAnsi="宋体" w:cs="宋体" w:eastAsia="宋体" w:hint="default"/>
          <w:sz w:val="24"/>
          <w:szCs w:val="24"/>
        </w:rPr>
        <w:t>2011 年 3 月 14 </w:t>
      </w:r>
      <w:r>
        <w:rPr>
          <w:rFonts w:ascii="宋体" w:hAnsi="宋体" w:cs="宋体" w:eastAsia="宋体" w:hint="default"/>
          <w:spacing w:val="23"/>
          <w:sz w:val="24"/>
          <w:szCs w:val="24"/>
        </w:rPr>
        <w:t> </w:t>
      </w:r>
      <w:r>
        <w:rPr>
          <w:rFonts w:ascii="宋体" w:hAnsi="宋体" w:cs="宋体" w:eastAsia="宋体" w:hint="default"/>
          <w:spacing w:val="24"/>
          <w:sz w:val="24"/>
          <w:szCs w:val="24"/>
        </w:rPr>
        <w:t>日上市流通。至此，本公司总股本</w:t>
      </w:r>
      <w:r>
        <w:rPr>
          <w:rFonts w:ascii="宋体" w:hAnsi="宋体" w:cs="宋体" w:eastAsia="宋体" w:hint="default"/>
          <w:spacing w:val="-94"/>
          <w:sz w:val="24"/>
          <w:szCs w:val="24"/>
        </w:rPr>
        <w:t> </w:t>
      </w:r>
      <w:r>
        <w:rPr>
          <w:rFonts w:ascii="宋体" w:hAnsi="宋体" w:cs="宋体" w:eastAsia="宋体" w:hint="default"/>
          <w:sz w:val="24"/>
          <w:szCs w:val="24"/>
        </w:rPr>
      </w:r>
    </w:p>
    <w:p>
      <w:pPr>
        <w:spacing w:line="313" w:lineRule="exact" w:before="0"/>
        <w:ind w:left="1138" w:right="0" w:firstLine="0"/>
        <w:jc w:val="left"/>
        <w:rPr>
          <w:rFonts w:ascii="宋体" w:hAnsi="宋体" w:cs="宋体" w:eastAsia="宋体" w:hint="default"/>
          <w:sz w:val="24"/>
          <w:szCs w:val="24"/>
        </w:rPr>
      </w:pPr>
      <w:r>
        <w:rPr>
          <w:rFonts w:ascii="宋体" w:hAnsi="宋体" w:cs="宋体" w:eastAsia="宋体" w:hint="default"/>
          <w:sz w:val="24"/>
          <w:szCs w:val="24"/>
        </w:rPr>
        <w:t>1,227,594,245</w:t>
      </w:r>
      <w:r>
        <w:rPr>
          <w:rFonts w:ascii="宋体" w:hAnsi="宋体" w:cs="宋体" w:eastAsia="宋体" w:hint="default"/>
          <w:spacing w:val="-60"/>
          <w:sz w:val="24"/>
          <w:szCs w:val="24"/>
        </w:rPr>
        <w:t> </w:t>
      </w:r>
      <w:r>
        <w:rPr>
          <w:rFonts w:ascii="宋体" w:hAnsi="宋体" w:cs="宋体" w:eastAsia="宋体" w:hint="default"/>
          <w:sz w:val="24"/>
          <w:szCs w:val="24"/>
        </w:rPr>
        <w:t>股全部为无限售条件的流通股。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pStyle w:val="BodyText"/>
        <w:spacing w:line="240" w:lineRule="auto"/>
        <w:ind w:left="1138" w:right="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type w:val="continuous"/>
          <w:pgSz w:w="11910" w:h="16840"/>
          <w:pgMar w:top="1600" w:bottom="280" w:left="280" w:right="280"/>
        </w:sectPr>
      </w:pPr>
    </w:p>
    <w:p>
      <w:pPr>
        <w:spacing w:line="240" w:lineRule="auto" w:before="0"/>
        <w:rPr>
          <w:rFonts w:ascii="黑体" w:hAnsi="黑体" w:cs="黑体" w:eastAsia="黑体" w:hint="default"/>
          <w:sz w:val="25"/>
          <w:szCs w:val="25"/>
        </w:rPr>
      </w:pPr>
    </w:p>
    <w:p>
      <w:pPr>
        <w:spacing w:after="0" w:line="240" w:lineRule="auto"/>
        <w:rPr>
          <w:rFonts w:ascii="黑体" w:hAnsi="黑体" w:cs="黑体" w:eastAsia="黑体" w:hint="default"/>
          <w:sz w:val="25"/>
          <w:szCs w:val="25"/>
        </w:rPr>
        <w:sectPr>
          <w:pgSz w:w="11910" w:h="16840"/>
          <w:pgMar w:header="1012" w:footer="480" w:top="1360" w:bottom="660" w:left="960" w:right="960"/>
        </w:sectPr>
      </w:pPr>
    </w:p>
    <w:p>
      <w:pPr>
        <w:pStyle w:val="Heading5"/>
        <w:spacing w:line="240" w:lineRule="auto" w:before="26"/>
        <w:ind w:left="458" w:right="-20"/>
        <w:jc w:val="left"/>
      </w:pPr>
      <w:r>
        <w:rPr/>
        <w:t>2、限售股份变动情况</w:t>
      </w:r>
    </w:p>
    <w:p>
      <w:pPr>
        <w:spacing w:line="240" w:lineRule="auto" w:before="8"/>
        <w:rPr>
          <w:rFonts w:ascii="宋体" w:hAnsi="宋体" w:cs="宋体" w:eastAsia="宋体" w:hint="default"/>
          <w:sz w:val="27"/>
          <w:szCs w:val="27"/>
        </w:rPr>
      </w:pPr>
      <w:r>
        <w:rPr/>
        <w:br w:type="column"/>
      </w:r>
      <w:r>
        <w:rPr>
          <w:rFonts w:ascii="宋体"/>
          <w:sz w:val="27"/>
        </w:rPr>
      </w:r>
    </w:p>
    <w:p>
      <w:pPr>
        <w:pStyle w:val="BodyText"/>
        <w:spacing w:line="240" w:lineRule="auto" w:before="0"/>
        <w:ind w:left="458" w:right="0"/>
        <w:jc w:val="left"/>
        <w:rPr>
          <w:rFonts w:ascii="宋体" w:hAnsi="宋体" w:cs="宋体" w:eastAsia="宋体" w:hint="default"/>
        </w:rPr>
      </w:pPr>
      <w:r>
        <w:rPr>
          <w:rFonts w:ascii="宋体" w:hAnsi="宋体" w:cs="宋体" w:eastAsia="宋体" w:hint="default"/>
        </w:rPr>
        <w:t>单位：股</w:t>
      </w:r>
    </w:p>
    <w:p>
      <w:pPr>
        <w:spacing w:after="0" w:line="240" w:lineRule="auto"/>
        <w:jc w:val="left"/>
        <w:rPr>
          <w:rFonts w:ascii="宋体" w:hAnsi="宋体" w:cs="宋体" w:eastAsia="宋体" w:hint="default"/>
        </w:rPr>
        <w:sectPr>
          <w:type w:val="continuous"/>
          <w:pgSz w:w="11910" w:h="16840"/>
          <w:pgMar w:top="1600" w:bottom="280" w:left="960" w:right="960"/>
          <w:cols w:num="2" w:equalWidth="0">
            <w:col w:w="2739" w:space="5491"/>
            <w:col w:w="1760"/>
          </w:cols>
        </w:sectPr>
      </w:pPr>
    </w:p>
    <w:p>
      <w:pPr>
        <w:spacing w:line="240" w:lineRule="auto" w:before="13"/>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3324"/>
        <w:gridCol w:w="1378"/>
        <w:gridCol w:w="1379"/>
        <w:gridCol w:w="942"/>
        <w:gridCol w:w="991"/>
        <w:gridCol w:w="1736"/>
      </w:tblGrid>
      <w:tr>
        <w:trPr>
          <w:trHeight w:val="640" w:hRule="exact"/>
        </w:trPr>
        <w:tc>
          <w:tcPr>
            <w:tcW w:w="3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320" w:right="320" w:firstLine="180"/>
              <w:jc w:val="left"/>
              <w:rPr>
                <w:rFonts w:ascii="宋体" w:hAnsi="宋体" w:cs="宋体" w:eastAsia="宋体" w:hint="default"/>
                <w:sz w:val="18"/>
                <w:szCs w:val="18"/>
              </w:rPr>
            </w:pPr>
            <w:r>
              <w:rPr>
                <w:rFonts w:ascii="宋体" w:hAnsi="宋体" w:cs="宋体" w:eastAsia="宋体" w:hint="default"/>
                <w:sz w:val="18"/>
                <w:szCs w:val="18"/>
              </w:rPr>
              <w:t>年初 限售股数</w:t>
            </w:r>
          </w:p>
        </w:tc>
        <w:tc>
          <w:tcPr>
            <w:tcW w:w="1379"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321" w:right="320"/>
              <w:jc w:val="left"/>
              <w:rPr>
                <w:rFonts w:ascii="宋体" w:hAnsi="宋体" w:cs="宋体" w:eastAsia="宋体" w:hint="default"/>
                <w:sz w:val="18"/>
                <w:szCs w:val="18"/>
              </w:rPr>
            </w:pPr>
            <w:r>
              <w:rPr>
                <w:rFonts w:ascii="宋体" w:hAnsi="宋体" w:cs="宋体" w:eastAsia="宋体" w:hint="default"/>
                <w:sz w:val="18"/>
                <w:szCs w:val="18"/>
              </w:rPr>
              <w:t>本年解除 限售股数</w:t>
            </w:r>
          </w:p>
        </w:tc>
        <w:tc>
          <w:tcPr>
            <w:tcW w:w="94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3" w:right="102"/>
              <w:jc w:val="left"/>
              <w:rPr>
                <w:rFonts w:ascii="宋体" w:hAnsi="宋体" w:cs="宋体" w:eastAsia="宋体" w:hint="default"/>
                <w:sz w:val="18"/>
                <w:szCs w:val="18"/>
              </w:rPr>
            </w:pPr>
            <w:r>
              <w:rPr>
                <w:rFonts w:ascii="宋体" w:hAnsi="宋体" w:cs="宋体" w:eastAsia="宋体" w:hint="default"/>
                <w:sz w:val="18"/>
                <w:szCs w:val="18"/>
              </w:rPr>
              <w:t>本年增加 限售股数</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28" w:right="126" w:firstLine="180"/>
              <w:jc w:val="left"/>
              <w:rPr>
                <w:rFonts w:ascii="宋体" w:hAnsi="宋体" w:cs="宋体" w:eastAsia="宋体" w:hint="default"/>
                <w:sz w:val="18"/>
                <w:szCs w:val="18"/>
              </w:rPr>
            </w:pPr>
            <w:r>
              <w:rPr>
                <w:rFonts w:ascii="宋体" w:hAnsi="宋体" w:cs="宋体" w:eastAsia="宋体" w:hint="default"/>
                <w:sz w:val="18"/>
                <w:szCs w:val="18"/>
              </w:rPr>
              <w:t>年末 限售股数</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326" w:hRule="exact"/>
        </w:trPr>
        <w:tc>
          <w:tcPr>
            <w:tcW w:w="3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99" w:right="0"/>
              <w:jc w:val="left"/>
              <w:rPr>
                <w:rFonts w:ascii="宋体" w:hAnsi="宋体" w:cs="宋体" w:eastAsia="宋体" w:hint="default"/>
                <w:sz w:val="18"/>
                <w:szCs w:val="18"/>
              </w:rPr>
            </w:pPr>
            <w:r>
              <w:rPr>
                <w:rFonts w:ascii="宋体" w:hAnsi="宋体" w:cs="宋体" w:eastAsia="宋体" w:hint="default"/>
                <w:sz w:val="18"/>
                <w:szCs w:val="18"/>
              </w:rPr>
              <w:t>东北大学科技产业集团有限公司</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216,361,562</w:t>
            </w:r>
          </w:p>
        </w:tc>
        <w:tc>
          <w:tcPr>
            <w:tcW w:w="13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216,361,562</w:t>
            </w:r>
          </w:p>
        </w:tc>
        <w:tc>
          <w:tcPr>
            <w:tcW w:w="9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2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328" w:hRule="exact"/>
        </w:trPr>
        <w:tc>
          <w:tcPr>
            <w:tcW w:w="3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成都慧旭科技股份有限公司</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210,807,559</w:t>
            </w:r>
          </w:p>
        </w:tc>
        <w:tc>
          <w:tcPr>
            <w:tcW w:w="13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210,807,559</w:t>
            </w:r>
          </w:p>
        </w:tc>
        <w:tc>
          <w:tcPr>
            <w:tcW w:w="9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2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326" w:hRule="exact"/>
        </w:trPr>
        <w:tc>
          <w:tcPr>
            <w:tcW w:w="3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99" w:right="0"/>
              <w:jc w:val="left"/>
              <w:rPr>
                <w:rFonts w:ascii="宋体" w:hAnsi="宋体" w:cs="宋体" w:eastAsia="宋体" w:hint="default"/>
                <w:sz w:val="18"/>
                <w:szCs w:val="18"/>
              </w:rPr>
            </w:pPr>
            <w:r>
              <w:rPr>
                <w:rFonts w:ascii="宋体" w:hAnsi="宋体" w:cs="宋体" w:eastAsia="宋体" w:hint="default"/>
                <w:sz w:val="18"/>
                <w:szCs w:val="18"/>
              </w:rPr>
              <w:t>阿尔派电子（中国）有限公司</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171,263,547</w:t>
            </w:r>
          </w:p>
        </w:tc>
        <w:tc>
          <w:tcPr>
            <w:tcW w:w="13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171,263,547</w:t>
            </w:r>
          </w:p>
        </w:tc>
        <w:tc>
          <w:tcPr>
            <w:tcW w:w="9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2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328" w:hRule="exact"/>
        </w:trPr>
        <w:tc>
          <w:tcPr>
            <w:tcW w:w="3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宝钢集团有限公司</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121,838,079</w:t>
            </w:r>
          </w:p>
        </w:tc>
        <w:tc>
          <w:tcPr>
            <w:tcW w:w="13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121,838,079</w:t>
            </w:r>
          </w:p>
        </w:tc>
        <w:tc>
          <w:tcPr>
            <w:tcW w:w="9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2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326" w:hRule="exact"/>
        </w:trPr>
        <w:tc>
          <w:tcPr>
            <w:tcW w:w="3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99" w:right="0"/>
              <w:jc w:val="left"/>
              <w:rPr>
                <w:rFonts w:ascii="宋体" w:hAnsi="宋体" w:cs="宋体" w:eastAsia="宋体" w:hint="default"/>
                <w:sz w:val="18"/>
                <w:szCs w:val="18"/>
              </w:rPr>
            </w:pPr>
            <w:r>
              <w:rPr>
                <w:rFonts w:ascii="宋体" w:hAnsi="宋体" w:cs="宋体" w:eastAsia="宋体" w:hint="default"/>
                <w:sz w:val="18"/>
                <w:szCs w:val="18"/>
              </w:rPr>
              <w:t>东芝解决方案株式会社</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58,228,036</w:t>
            </w:r>
          </w:p>
        </w:tc>
        <w:tc>
          <w:tcPr>
            <w:tcW w:w="13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58,228,036</w:t>
            </w:r>
          </w:p>
        </w:tc>
        <w:tc>
          <w:tcPr>
            <w:tcW w:w="9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2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328" w:hRule="exact"/>
        </w:trPr>
        <w:tc>
          <w:tcPr>
            <w:tcW w:w="3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sz w:val="18"/>
              </w:rPr>
              <w:t>INTEL CAPITAL CORPORATION</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52,181,184</w:t>
            </w:r>
          </w:p>
        </w:tc>
        <w:tc>
          <w:tcPr>
            <w:tcW w:w="13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52,181,184</w:t>
            </w:r>
          </w:p>
        </w:tc>
        <w:tc>
          <w:tcPr>
            <w:tcW w:w="9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2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326" w:hRule="exact"/>
        </w:trPr>
        <w:tc>
          <w:tcPr>
            <w:tcW w:w="3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99" w:right="0"/>
              <w:jc w:val="left"/>
              <w:rPr>
                <w:rFonts w:ascii="宋体" w:hAnsi="宋体" w:cs="宋体" w:eastAsia="宋体" w:hint="default"/>
                <w:sz w:val="18"/>
                <w:szCs w:val="18"/>
              </w:rPr>
            </w:pPr>
            <w:r>
              <w:rPr>
                <w:rFonts w:ascii="宋体"/>
                <w:sz w:val="18"/>
              </w:rPr>
              <w:t>PHILIPS ELECTRONICS CHINA B.V.</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24,954,871</w:t>
            </w:r>
          </w:p>
        </w:tc>
        <w:tc>
          <w:tcPr>
            <w:tcW w:w="13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24,954,871</w:t>
            </w:r>
          </w:p>
        </w:tc>
        <w:tc>
          <w:tcPr>
            <w:tcW w:w="9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2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328" w:hRule="exact"/>
        </w:trPr>
        <w:tc>
          <w:tcPr>
            <w:tcW w:w="3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阿尔派株式会社</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20,057,144</w:t>
            </w:r>
          </w:p>
        </w:tc>
        <w:tc>
          <w:tcPr>
            <w:tcW w:w="13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20,057,144</w:t>
            </w:r>
          </w:p>
        </w:tc>
        <w:tc>
          <w:tcPr>
            <w:tcW w:w="9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2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326" w:hRule="exact"/>
        </w:trPr>
        <w:tc>
          <w:tcPr>
            <w:tcW w:w="3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99" w:right="0"/>
              <w:jc w:val="left"/>
              <w:rPr>
                <w:rFonts w:ascii="宋体" w:hAnsi="宋体" w:cs="宋体" w:eastAsia="宋体" w:hint="default"/>
                <w:sz w:val="18"/>
                <w:szCs w:val="18"/>
              </w:rPr>
            </w:pPr>
            <w:r>
              <w:rPr>
                <w:rFonts w:ascii="宋体"/>
                <w:sz w:val="18"/>
              </w:rPr>
              <w:t>SAP AG</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16,283,768</w:t>
            </w:r>
          </w:p>
        </w:tc>
        <w:tc>
          <w:tcPr>
            <w:tcW w:w="13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16,283,768</w:t>
            </w:r>
          </w:p>
        </w:tc>
        <w:tc>
          <w:tcPr>
            <w:tcW w:w="9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2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328" w:hRule="exact"/>
        </w:trPr>
        <w:tc>
          <w:tcPr>
            <w:tcW w:w="3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株式会社东芝</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8,318,290</w:t>
            </w:r>
          </w:p>
        </w:tc>
        <w:tc>
          <w:tcPr>
            <w:tcW w:w="13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8,318,290</w:t>
            </w:r>
          </w:p>
        </w:tc>
        <w:tc>
          <w:tcPr>
            <w:tcW w:w="9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2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5"/>
                <w:sz w:val="18"/>
                <w:szCs w:val="18"/>
              </w:rPr>
              <w:t> </w:t>
            </w:r>
            <w:r>
              <w:rPr>
                <w:rFonts w:ascii="宋体" w:hAnsi="宋体" w:cs="宋体" w:eastAsia="宋体" w:hint="default"/>
                <w:sz w:val="18"/>
                <w:szCs w:val="18"/>
              </w:rPr>
              <w:t>日</w:t>
            </w:r>
          </w:p>
        </w:tc>
      </w:tr>
      <w:tr>
        <w:trPr>
          <w:trHeight w:val="326" w:hRule="exact"/>
        </w:trPr>
        <w:tc>
          <w:tcPr>
            <w:tcW w:w="3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900,294,040</w:t>
            </w:r>
          </w:p>
        </w:tc>
        <w:tc>
          <w:tcPr>
            <w:tcW w:w="13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900,294,040</w:t>
            </w:r>
          </w:p>
        </w:tc>
        <w:tc>
          <w:tcPr>
            <w:tcW w:w="9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1576" w:hRule="exact"/>
        </w:trPr>
        <w:tc>
          <w:tcPr>
            <w:tcW w:w="3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6426" w:type="dxa"/>
            <w:gridSpan w:val="5"/>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99" w:right="101" w:firstLine="360"/>
              <w:jc w:val="left"/>
              <w:rPr>
                <w:rFonts w:ascii="宋体" w:hAnsi="宋体" w:cs="宋体" w:eastAsia="宋体" w:hint="default"/>
                <w:sz w:val="18"/>
                <w:szCs w:val="18"/>
              </w:rPr>
            </w:pPr>
            <w:r>
              <w:rPr>
                <w:rFonts w:ascii="宋体" w:hAnsi="宋体" w:cs="宋体" w:eastAsia="宋体" w:hint="default"/>
                <w:sz w:val="18"/>
                <w:szCs w:val="18"/>
              </w:rPr>
              <w:t>依据东北大学科技产业集团有限公司等十家有限售条件流通股股东在换股 </w:t>
            </w:r>
            <w:r>
              <w:rPr>
                <w:rFonts w:ascii="宋体" w:hAnsi="宋体" w:cs="宋体" w:eastAsia="宋体" w:hint="default"/>
                <w:spacing w:val="-7"/>
                <w:sz w:val="18"/>
                <w:szCs w:val="18"/>
              </w:rPr>
              <w:t>吸收合并之时作出的承诺，自</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5"/>
                <w:sz w:val="18"/>
                <w:szCs w:val="18"/>
              </w:rPr>
              <w:t> </w:t>
            </w:r>
            <w:r>
              <w:rPr>
                <w:rFonts w:ascii="宋体" w:hAnsi="宋体" w:cs="宋体" w:eastAsia="宋体" w:hint="default"/>
                <w:sz w:val="18"/>
                <w:szCs w:val="18"/>
              </w:rPr>
              <w:t>日起三年内不转让其所持有发行人</w:t>
            </w:r>
            <w:r>
              <w:rPr>
                <w:rFonts w:ascii="宋体" w:hAnsi="宋体" w:cs="宋体" w:eastAsia="宋体" w:hint="default"/>
                <w:sz w:val="18"/>
                <w:szCs w:val="18"/>
              </w:rPr>
              <w:t> 股份，限售期满后方可上市流通。</w:t>
            </w:r>
          </w:p>
          <w:p>
            <w:pPr>
              <w:pStyle w:val="TableParagraph"/>
              <w:spacing w:line="316" w:lineRule="auto" w:before="19"/>
              <w:ind w:left="99" w:right="101" w:firstLine="36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3</w:t>
            </w:r>
            <w:r>
              <w:rPr>
                <w:rFonts w:ascii="宋体" w:hAnsi="宋体" w:cs="宋体" w:eastAsia="宋体" w:hint="default"/>
                <w:spacing w:val="-54"/>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宋体" w:hAnsi="宋体" w:cs="宋体" w:eastAsia="宋体" w:hint="default"/>
                <w:sz w:val="18"/>
                <w:szCs w:val="18"/>
              </w:rPr>
              <w:t>14</w:t>
            </w:r>
            <w:r>
              <w:rPr>
                <w:rFonts w:ascii="宋体" w:hAnsi="宋体" w:cs="宋体" w:eastAsia="宋体" w:hint="default"/>
                <w:spacing w:val="-54"/>
                <w:sz w:val="18"/>
                <w:szCs w:val="18"/>
              </w:rPr>
              <w:t> </w:t>
            </w:r>
            <w:r>
              <w:rPr>
                <w:rFonts w:ascii="宋体" w:hAnsi="宋体" w:cs="宋体" w:eastAsia="宋体" w:hint="default"/>
                <w:sz w:val="18"/>
                <w:szCs w:val="18"/>
              </w:rPr>
              <w:t>日，公司上述十家有限售条件股东所持有限售条件流通股限</w:t>
            </w:r>
            <w:r>
              <w:rPr>
                <w:rFonts w:ascii="宋体" w:hAnsi="宋体" w:cs="宋体" w:eastAsia="宋体" w:hint="default"/>
                <w:sz w:val="18"/>
                <w:szCs w:val="18"/>
              </w:rPr>
              <w:t> 售期满并开始流通上市。</w:t>
            </w:r>
          </w:p>
        </w:tc>
      </w:tr>
    </w:tbl>
    <w:p>
      <w:pPr>
        <w:spacing w:line="240" w:lineRule="auto" w:before="6"/>
        <w:rPr>
          <w:rFonts w:ascii="宋体" w:hAnsi="宋体" w:cs="宋体" w:eastAsia="宋体" w:hint="default"/>
          <w:sz w:val="9"/>
          <w:szCs w:val="9"/>
        </w:rPr>
      </w:pPr>
    </w:p>
    <w:p>
      <w:pPr>
        <w:spacing w:line="333" w:lineRule="auto" w:before="26"/>
        <w:ind w:left="458" w:right="6506" w:firstLine="0"/>
        <w:jc w:val="left"/>
        <w:rPr>
          <w:rFonts w:ascii="宋体" w:hAnsi="宋体" w:cs="宋体" w:eastAsia="宋体" w:hint="default"/>
          <w:sz w:val="24"/>
          <w:szCs w:val="24"/>
        </w:rPr>
      </w:pPr>
      <w:r>
        <w:rPr>
          <w:rFonts w:ascii="宋体" w:hAnsi="宋体" w:cs="宋体" w:eastAsia="宋体" w:hint="default"/>
          <w:b/>
          <w:bCs/>
          <w:sz w:val="24"/>
          <w:szCs w:val="24"/>
        </w:rPr>
        <w:t>（二）证券发行与上市情况</w:t>
      </w:r>
      <w:r>
        <w:rPr>
          <w:rFonts w:ascii="宋体" w:hAnsi="宋体" w:cs="宋体" w:eastAsia="宋体" w:hint="default"/>
          <w:b/>
          <w:bCs/>
          <w:spacing w:val="1"/>
          <w:w w:val="99"/>
          <w:sz w:val="24"/>
          <w:szCs w:val="24"/>
        </w:rPr>
        <w:t> </w:t>
      </w:r>
      <w:r>
        <w:rPr>
          <w:rFonts w:ascii="宋体" w:hAnsi="宋体" w:cs="宋体" w:eastAsia="宋体" w:hint="default"/>
          <w:sz w:val="24"/>
          <w:szCs w:val="24"/>
        </w:rPr>
        <w:t>1、前三年历次证券发行情况</w:t>
      </w:r>
    </w:p>
    <w:p>
      <w:pPr>
        <w:pStyle w:val="Heading5"/>
        <w:spacing w:line="218" w:lineRule="exact"/>
        <w:ind w:left="938" w:right="1826"/>
        <w:jc w:val="left"/>
      </w:pPr>
      <w:r>
        <w:rPr/>
        <w:t>截止本报告期末至前三年，公司未有证券发行与上市情况。</w:t>
      </w:r>
    </w:p>
    <w:p>
      <w:pPr>
        <w:spacing w:line="310" w:lineRule="exact" w:before="155"/>
        <w:ind w:left="938" w:right="1826" w:hanging="480"/>
        <w:jc w:val="left"/>
        <w:rPr>
          <w:rFonts w:ascii="宋体" w:hAnsi="宋体" w:cs="宋体" w:eastAsia="宋体" w:hint="default"/>
          <w:sz w:val="24"/>
          <w:szCs w:val="24"/>
        </w:rPr>
      </w:pPr>
      <w:r>
        <w:rPr>
          <w:rFonts w:ascii="宋体" w:hAnsi="宋体" w:cs="宋体" w:eastAsia="宋体" w:hint="default"/>
          <w:sz w:val="24"/>
          <w:szCs w:val="24"/>
        </w:rPr>
        <w:t>2、公司股份总数及结构的变动情况 报告期内没有因送股、配股等原因引起公司股份总数及结构的变动。</w:t>
      </w:r>
    </w:p>
    <w:p>
      <w:pPr>
        <w:spacing w:line="310" w:lineRule="exact" w:before="126"/>
        <w:ind w:left="938" w:right="5666" w:hanging="480"/>
        <w:jc w:val="left"/>
        <w:rPr>
          <w:rFonts w:ascii="宋体" w:hAnsi="宋体" w:cs="宋体" w:eastAsia="宋体" w:hint="default"/>
          <w:sz w:val="24"/>
          <w:szCs w:val="24"/>
        </w:rPr>
      </w:pPr>
      <w:r>
        <w:rPr>
          <w:rFonts w:ascii="宋体" w:hAnsi="宋体" w:cs="宋体" w:eastAsia="宋体" w:hint="default"/>
          <w:sz w:val="24"/>
          <w:szCs w:val="24"/>
        </w:rPr>
        <w:t>3、现存的内部职工股情况 本报告期末公司无内部职工股。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p>
      <w:pPr>
        <w:pStyle w:val="BodyText"/>
        <w:spacing w:line="240" w:lineRule="auto"/>
        <w:ind w:left="458" w:right="1826"/>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type w:val="continuous"/>
          <w:pgSz w:w="11910" w:h="16840"/>
          <w:pgMar w:top="1600" w:bottom="280" w:left="960" w:right="960"/>
        </w:sectPr>
      </w:pPr>
    </w:p>
    <w:p>
      <w:pPr>
        <w:spacing w:line="240" w:lineRule="auto" w:before="11"/>
        <w:rPr>
          <w:rFonts w:ascii="黑体" w:hAnsi="黑体" w:cs="黑体" w:eastAsia="黑体" w:hint="default"/>
          <w:sz w:val="29"/>
          <w:szCs w:val="29"/>
        </w:rPr>
      </w:pPr>
    </w:p>
    <w:p>
      <w:pPr>
        <w:spacing w:after="0" w:line="240" w:lineRule="auto"/>
        <w:rPr>
          <w:rFonts w:ascii="黑体" w:hAnsi="黑体" w:cs="黑体" w:eastAsia="黑体" w:hint="default"/>
          <w:sz w:val="29"/>
          <w:szCs w:val="29"/>
        </w:rPr>
        <w:sectPr>
          <w:pgSz w:w="11910" w:h="16840"/>
          <w:pgMar w:header="1012" w:footer="480" w:top="1360" w:bottom="660" w:left="700" w:right="680"/>
        </w:sectPr>
      </w:pPr>
    </w:p>
    <w:p>
      <w:pPr>
        <w:spacing w:line="331" w:lineRule="auto" w:before="26"/>
        <w:ind w:left="718" w:right="0" w:firstLine="0"/>
        <w:jc w:val="left"/>
        <w:rPr>
          <w:rFonts w:ascii="宋体" w:hAnsi="宋体" w:cs="宋体" w:eastAsia="宋体" w:hint="default"/>
          <w:sz w:val="24"/>
          <w:szCs w:val="24"/>
        </w:rPr>
      </w:pPr>
      <w:r>
        <w:rPr>
          <w:rFonts w:ascii="宋体" w:hAnsi="宋体" w:cs="宋体" w:eastAsia="宋体" w:hint="default"/>
          <w:b/>
          <w:bCs/>
          <w:w w:val="95"/>
          <w:sz w:val="24"/>
          <w:szCs w:val="24"/>
        </w:rPr>
        <w:t>（三）股东和实际控制人情况</w:t>
      </w:r>
      <w:r>
        <w:rPr>
          <w:rFonts w:ascii="宋体" w:hAnsi="宋体" w:cs="宋体" w:eastAsia="宋体" w:hint="default"/>
          <w:b/>
          <w:bCs/>
          <w:spacing w:val="29"/>
          <w:w w:val="95"/>
          <w:sz w:val="24"/>
          <w:szCs w:val="24"/>
        </w:rPr>
        <w:t> </w:t>
      </w:r>
      <w:r>
        <w:rPr>
          <w:rFonts w:ascii="宋体" w:hAnsi="宋体" w:cs="宋体" w:eastAsia="宋体" w:hint="default"/>
          <w:sz w:val="24"/>
          <w:szCs w:val="24"/>
        </w:rPr>
        <w:t>1、股东数量和持股情况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pStyle w:val="BodyText"/>
        <w:spacing w:line="240" w:lineRule="auto" w:before="0"/>
        <w:ind w:left="718" w:right="0"/>
        <w:jc w:val="left"/>
        <w:rPr>
          <w:rFonts w:ascii="宋体" w:hAnsi="宋体" w:cs="宋体" w:eastAsia="宋体" w:hint="default"/>
        </w:rPr>
      </w:pPr>
      <w:r>
        <w:rPr>
          <w:rFonts w:ascii="宋体" w:hAnsi="宋体" w:cs="宋体" w:eastAsia="宋体" w:hint="default"/>
        </w:rPr>
        <w:t>单位：股</w:t>
      </w:r>
    </w:p>
    <w:p>
      <w:pPr>
        <w:spacing w:after="0" w:line="240" w:lineRule="auto"/>
        <w:jc w:val="left"/>
        <w:rPr>
          <w:rFonts w:ascii="宋体" w:hAnsi="宋体" w:cs="宋体" w:eastAsia="宋体" w:hint="default"/>
        </w:rPr>
        <w:sectPr>
          <w:type w:val="continuous"/>
          <w:pgSz w:w="11910" w:h="16840"/>
          <w:pgMar w:top="1600" w:bottom="280" w:left="700" w:right="680"/>
          <w:cols w:num="2" w:equalWidth="0">
            <w:col w:w="3851" w:space="4379"/>
            <w:col w:w="2300"/>
          </w:cols>
        </w:sectPr>
      </w:pPr>
    </w:p>
    <w:p>
      <w:pPr>
        <w:spacing w:line="240" w:lineRule="auto" w:before="13"/>
        <w:rPr>
          <w:rFonts w:ascii="宋体" w:hAnsi="宋体" w:cs="宋体" w:eastAsia="宋体" w:hint="default"/>
          <w:sz w:val="3"/>
          <w:szCs w:val="3"/>
        </w:rPr>
      </w:pPr>
    </w:p>
    <w:tbl>
      <w:tblPr>
        <w:tblW w:w="0" w:type="auto"/>
        <w:jc w:val="left"/>
        <w:tblInd w:w="105" w:type="dxa"/>
        <w:tblLayout w:type="fixed"/>
        <w:tblCellMar>
          <w:top w:w="0" w:type="dxa"/>
          <w:left w:w="0" w:type="dxa"/>
          <w:bottom w:w="0" w:type="dxa"/>
          <w:right w:w="0" w:type="dxa"/>
        </w:tblCellMar>
        <w:tblLook w:val="01E0"/>
      </w:tblPr>
      <w:tblGrid>
        <w:gridCol w:w="3042"/>
        <w:gridCol w:w="1157"/>
        <w:gridCol w:w="1134"/>
        <w:gridCol w:w="1418"/>
        <w:gridCol w:w="1427"/>
        <w:gridCol w:w="470"/>
        <w:gridCol w:w="499"/>
        <w:gridCol w:w="1134"/>
      </w:tblGrid>
      <w:tr>
        <w:trPr>
          <w:trHeight w:val="365" w:hRule="exact"/>
        </w:trPr>
        <w:tc>
          <w:tcPr>
            <w:tcW w:w="419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left="1350"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年末股东总数</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8"/>
              <w:jc w:val="right"/>
              <w:rPr>
                <w:rFonts w:ascii="宋体" w:hAnsi="宋体" w:cs="宋体" w:eastAsia="宋体" w:hint="default"/>
                <w:sz w:val="18"/>
                <w:szCs w:val="18"/>
              </w:rPr>
            </w:pPr>
            <w:r>
              <w:rPr>
                <w:rFonts w:ascii="宋体" w:hAnsi="宋体" w:cs="宋体" w:eastAsia="宋体" w:hint="default"/>
                <w:sz w:val="18"/>
                <w:szCs w:val="18"/>
              </w:rPr>
              <w:t>79,200</w:t>
            </w:r>
            <w:r>
              <w:rPr>
                <w:rFonts w:ascii="宋体" w:hAnsi="宋体" w:cs="宋体" w:eastAsia="宋体" w:hint="default"/>
                <w:spacing w:val="-46"/>
                <w:sz w:val="18"/>
                <w:szCs w:val="18"/>
              </w:rPr>
              <w:t> </w:t>
            </w:r>
            <w:r>
              <w:rPr>
                <w:rFonts w:ascii="宋体" w:hAnsi="宋体" w:cs="宋体" w:eastAsia="宋体" w:hint="default"/>
                <w:sz w:val="18"/>
                <w:szCs w:val="18"/>
              </w:rPr>
              <w:t>户</w:t>
            </w:r>
          </w:p>
        </w:tc>
        <w:tc>
          <w:tcPr>
            <w:tcW w:w="3815"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left="978" w:right="0"/>
              <w:jc w:val="left"/>
              <w:rPr>
                <w:rFonts w:ascii="宋体" w:hAnsi="宋体" w:cs="宋体" w:eastAsia="宋体" w:hint="default"/>
                <w:sz w:val="18"/>
                <w:szCs w:val="18"/>
              </w:rPr>
            </w:pPr>
            <w:r>
              <w:rPr>
                <w:rFonts w:ascii="宋体" w:hAnsi="宋体" w:cs="宋体" w:eastAsia="宋体" w:hint="default"/>
                <w:spacing w:val="14"/>
                <w:sz w:val="18"/>
                <w:szCs w:val="18"/>
              </w:rPr>
              <w:t>2012年2</w:t>
            </w:r>
            <w:r>
              <w:rPr>
                <w:rFonts w:ascii="宋体" w:hAnsi="宋体" w:cs="宋体" w:eastAsia="宋体" w:hint="default"/>
                <w:spacing w:val="-42"/>
                <w:sz w:val="18"/>
                <w:szCs w:val="18"/>
              </w:rPr>
              <w:t> </w:t>
            </w:r>
            <w:r>
              <w:rPr>
                <w:rFonts w:ascii="宋体" w:hAnsi="宋体" w:cs="宋体" w:eastAsia="宋体" w:hint="default"/>
                <w:sz w:val="18"/>
                <w:szCs w:val="18"/>
              </w:rPr>
              <w:t>月末股东总数</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left="254" w:right="0"/>
              <w:jc w:val="left"/>
              <w:rPr>
                <w:rFonts w:ascii="宋体" w:hAnsi="宋体" w:cs="宋体" w:eastAsia="宋体" w:hint="default"/>
                <w:sz w:val="18"/>
                <w:szCs w:val="18"/>
              </w:rPr>
            </w:pPr>
            <w:r>
              <w:rPr>
                <w:rFonts w:ascii="宋体" w:hAnsi="宋体" w:cs="宋体" w:eastAsia="宋体" w:hint="default"/>
                <w:sz w:val="18"/>
                <w:szCs w:val="18"/>
              </w:rPr>
              <w:t>77,775</w:t>
            </w:r>
            <w:r>
              <w:rPr>
                <w:rFonts w:ascii="宋体" w:hAnsi="宋体" w:cs="宋体" w:eastAsia="宋体" w:hint="default"/>
                <w:spacing w:val="-46"/>
                <w:sz w:val="18"/>
                <w:szCs w:val="18"/>
              </w:rPr>
              <w:t> </w:t>
            </w:r>
            <w:r>
              <w:rPr>
                <w:rFonts w:ascii="宋体" w:hAnsi="宋体" w:cs="宋体" w:eastAsia="宋体" w:hint="default"/>
                <w:sz w:val="18"/>
                <w:szCs w:val="18"/>
              </w:rPr>
              <w:t>户</w:t>
            </w:r>
          </w:p>
        </w:tc>
      </w:tr>
      <w:tr>
        <w:trPr>
          <w:trHeight w:val="433" w:hRule="exact"/>
        </w:trPr>
        <w:tc>
          <w:tcPr>
            <w:tcW w:w="10282" w:type="dxa"/>
            <w:gridSpan w:val="8"/>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宋体" w:hAnsi="宋体" w:cs="宋体" w:eastAsia="宋体" w:hint="default"/>
                <w:sz w:val="18"/>
                <w:szCs w:val="18"/>
              </w:rPr>
            </w:pPr>
            <w:r>
              <w:rPr>
                <w:rFonts w:ascii="宋体" w:hAnsi="宋体" w:cs="宋体" w:eastAsia="宋体" w:hint="default"/>
                <w:b/>
                <w:bCs/>
                <w:sz w:val="18"/>
                <w:szCs w:val="18"/>
              </w:rPr>
              <w:t>前十名股东持股情况</w:t>
            </w:r>
            <w:r>
              <w:rPr>
                <w:rFonts w:ascii="宋体" w:hAnsi="宋体" w:cs="宋体" w:eastAsia="宋体" w:hint="default"/>
                <w:sz w:val="18"/>
                <w:szCs w:val="18"/>
              </w:rPr>
            </w:r>
          </w:p>
        </w:tc>
      </w:tr>
      <w:tr>
        <w:trPr>
          <w:trHeight w:val="952" w:hRule="exact"/>
        </w:trPr>
        <w:tc>
          <w:tcPr>
            <w:tcW w:w="30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424" w:right="198" w:hanging="226"/>
              <w:jc w:val="left"/>
              <w:rPr>
                <w:rFonts w:ascii="宋体" w:hAnsi="宋体" w:cs="宋体" w:eastAsia="宋体" w:hint="default"/>
                <w:sz w:val="18"/>
                <w:szCs w:val="18"/>
              </w:rPr>
            </w:pPr>
            <w:r>
              <w:rPr>
                <w:rFonts w:ascii="宋体" w:hAnsi="宋体" w:cs="宋体" w:eastAsia="宋体" w:hint="default"/>
                <w:sz w:val="18"/>
                <w:szCs w:val="18"/>
              </w:rPr>
              <w:t>持股比例 (%)</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42"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4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报告期内增减</w:t>
            </w:r>
          </w:p>
        </w:tc>
        <w:tc>
          <w:tcPr>
            <w:tcW w:w="970" w:type="dxa"/>
            <w:gridSpan w:val="2"/>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17" w:right="115"/>
              <w:jc w:val="both"/>
              <w:rPr>
                <w:rFonts w:ascii="宋体" w:hAnsi="宋体" w:cs="宋体" w:eastAsia="宋体" w:hint="default"/>
                <w:sz w:val="18"/>
                <w:szCs w:val="18"/>
              </w:rPr>
            </w:pPr>
            <w:r>
              <w:rPr>
                <w:rFonts w:ascii="宋体" w:hAnsi="宋体" w:cs="宋体" w:eastAsia="宋体" w:hint="default"/>
                <w:sz w:val="18"/>
                <w:szCs w:val="18"/>
              </w:rPr>
              <w:t>持有有限 售条件股 份数量</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109" w:right="108"/>
              <w:jc w:val="left"/>
              <w:rPr>
                <w:rFonts w:ascii="宋体" w:hAnsi="宋体" w:cs="宋体" w:eastAsia="宋体" w:hint="default"/>
                <w:sz w:val="18"/>
                <w:szCs w:val="18"/>
              </w:rPr>
            </w:pPr>
            <w:r>
              <w:rPr>
                <w:rFonts w:ascii="宋体" w:hAnsi="宋体" w:cs="宋体" w:eastAsia="宋体" w:hint="default"/>
                <w:sz w:val="18"/>
                <w:szCs w:val="18"/>
              </w:rPr>
              <w:t>质押或冻结 的股份数量</w:t>
            </w:r>
          </w:p>
        </w:tc>
      </w:tr>
      <w:tr>
        <w:trPr>
          <w:trHeight w:val="326" w:hRule="exact"/>
        </w:trPr>
        <w:tc>
          <w:tcPr>
            <w:tcW w:w="30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东北大学科技产业集团有限公司</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17.6248</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313" w:right="0"/>
              <w:jc w:val="left"/>
              <w:rPr>
                <w:rFonts w:ascii="宋体" w:hAnsi="宋体" w:cs="宋体" w:eastAsia="宋体" w:hint="default"/>
                <w:sz w:val="18"/>
                <w:szCs w:val="18"/>
              </w:rPr>
            </w:pPr>
            <w:r>
              <w:rPr>
                <w:rFonts w:ascii="宋体"/>
                <w:sz w:val="18"/>
              </w:rPr>
              <w:t>216,361,562</w:t>
            </w:r>
          </w:p>
        </w:tc>
        <w:tc>
          <w:tcPr>
            <w:tcW w:w="14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97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640" w:hRule="exact"/>
        </w:trPr>
        <w:tc>
          <w:tcPr>
            <w:tcW w:w="30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阿尔派电子（中国）有限公司</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86"/>
              <w:jc w:val="left"/>
              <w:rPr>
                <w:rFonts w:ascii="宋体" w:hAnsi="宋体" w:cs="宋体" w:eastAsia="宋体" w:hint="default"/>
                <w:sz w:val="18"/>
                <w:szCs w:val="18"/>
              </w:rPr>
            </w:pPr>
            <w:r>
              <w:rPr>
                <w:rFonts w:ascii="宋体" w:hAnsi="宋体" w:cs="宋体" w:eastAsia="宋体" w:hint="default"/>
                <w:spacing w:val="9"/>
                <w:sz w:val="18"/>
                <w:szCs w:val="18"/>
              </w:rPr>
              <w:t>境内非国有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法人</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13.9512</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13" w:right="0"/>
              <w:jc w:val="left"/>
              <w:rPr>
                <w:rFonts w:ascii="宋体" w:hAnsi="宋体" w:cs="宋体" w:eastAsia="宋体" w:hint="default"/>
                <w:sz w:val="18"/>
                <w:szCs w:val="18"/>
              </w:rPr>
            </w:pPr>
            <w:r>
              <w:rPr>
                <w:rFonts w:ascii="宋体"/>
                <w:sz w:val="18"/>
              </w:rPr>
              <w:t>171,263,547</w:t>
            </w:r>
          </w:p>
        </w:tc>
        <w:tc>
          <w:tcPr>
            <w:tcW w:w="14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97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26" w:hRule="exact"/>
        </w:trPr>
        <w:tc>
          <w:tcPr>
            <w:tcW w:w="30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宝钢集团有限公司</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国家</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5.1320</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03" w:right="0"/>
              <w:jc w:val="left"/>
              <w:rPr>
                <w:rFonts w:ascii="宋体" w:hAnsi="宋体" w:cs="宋体" w:eastAsia="宋体" w:hint="default"/>
                <w:sz w:val="18"/>
                <w:szCs w:val="18"/>
              </w:rPr>
            </w:pPr>
            <w:r>
              <w:rPr>
                <w:rFonts w:ascii="宋体"/>
                <w:sz w:val="18"/>
              </w:rPr>
              <w:t>63,000,000</w:t>
            </w:r>
          </w:p>
        </w:tc>
        <w:tc>
          <w:tcPr>
            <w:tcW w:w="14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-58,838,079</w:t>
            </w:r>
          </w:p>
        </w:tc>
        <w:tc>
          <w:tcPr>
            <w:tcW w:w="97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28" w:hRule="exact"/>
        </w:trPr>
        <w:tc>
          <w:tcPr>
            <w:tcW w:w="30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东芝解决方案株式会社</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境外法人</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4.7433</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403" w:right="0"/>
              <w:jc w:val="left"/>
              <w:rPr>
                <w:rFonts w:ascii="宋体" w:hAnsi="宋体" w:cs="宋体" w:eastAsia="宋体" w:hint="default"/>
                <w:sz w:val="18"/>
                <w:szCs w:val="18"/>
              </w:rPr>
            </w:pPr>
            <w:r>
              <w:rPr>
                <w:rFonts w:ascii="宋体"/>
                <w:sz w:val="18"/>
              </w:rPr>
              <w:t>58,228,036</w:t>
            </w:r>
          </w:p>
        </w:tc>
        <w:tc>
          <w:tcPr>
            <w:tcW w:w="14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w:t>
            </w:r>
          </w:p>
        </w:tc>
        <w:tc>
          <w:tcPr>
            <w:tcW w:w="97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26" w:hRule="exact"/>
        </w:trPr>
        <w:tc>
          <w:tcPr>
            <w:tcW w:w="30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sz w:val="18"/>
              </w:rPr>
              <w:t>INTEL CAPITAL CORPORATION</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境外法人</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2.6045</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03" w:right="0"/>
              <w:jc w:val="left"/>
              <w:rPr>
                <w:rFonts w:ascii="宋体" w:hAnsi="宋体" w:cs="宋体" w:eastAsia="宋体" w:hint="default"/>
                <w:sz w:val="18"/>
                <w:szCs w:val="18"/>
              </w:rPr>
            </w:pPr>
            <w:r>
              <w:rPr>
                <w:rFonts w:ascii="宋体"/>
                <w:sz w:val="18"/>
              </w:rPr>
              <w:t>31,973,228</w:t>
            </w:r>
          </w:p>
        </w:tc>
        <w:tc>
          <w:tcPr>
            <w:tcW w:w="14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-20,207,956</w:t>
            </w:r>
          </w:p>
        </w:tc>
        <w:tc>
          <w:tcPr>
            <w:tcW w:w="97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28" w:hRule="exact"/>
        </w:trPr>
        <w:tc>
          <w:tcPr>
            <w:tcW w:w="30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sz w:val="18"/>
              </w:rPr>
              <w:t>PHILIPS ELECTRONICS CHINA B.V.</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境外法人</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2.0328</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403" w:right="0"/>
              <w:jc w:val="left"/>
              <w:rPr>
                <w:rFonts w:ascii="宋体" w:hAnsi="宋体" w:cs="宋体" w:eastAsia="宋体" w:hint="default"/>
                <w:sz w:val="18"/>
                <w:szCs w:val="18"/>
              </w:rPr>
            </w:pPr>
            <w:r>
              <w:rPr>
                <w:rFonts w:ascii="宋体"/>
                <w:sz w:val="18"/>
              </w:rPr>
              <w:t>24,954,871</w:t>
            </w:r>
          </w:p>
        </w:tc>
        <w:tc>
          <w:tcPr>
            <w:tcW w:w="14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w:t>
            </w:r>
          </w:p>
        </w:tc>
        <w:tc>
          <w:tcPr>
            <w:tcW w:w="97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26" w:hRule="exact"/>
        </w:trPr>
        <w:tc>
          <w:tcPr>
            <w:tcW w:w="30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阿尔派株式会社</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境外法人</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1.6339</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03" w:right="0"/>
              <w:jc w:val="left"/>
              <w:rPr>
                <w:rFonts w:ascii="宋体" w:hAnsi="宋体" w:cs="宋体" w:eastAsia="宋体" w:hint="default"/>
                <w:sz w:val="18"/>
                <w:szCs w:val="18"/>
              </w:rPr>
            </w:pPr>
            <w:r>
              <w:rPr>
                <w:rFonts w:ascii="宋体"/>
                <w:sz w:val="18"/>
              </w:rPr>
              <w:t>20,057,144</w:t>
            </w:r>
          </w:p>
        </w:tc>
        <w:tc>
          <w:tcPr>
            <w:tcW w:w="14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97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640" w:hRule="exact"/>
        </w:trPr>
        <w:tc>
          <w:tcPr>
            <w:tcW w:w="304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91"/>
              <w:jc w:val="left"/>
              <w:rPr>
                <w:rFonts w:ascii="宋体" w:hAnsi="宋体" w:cs="宋体" w:eastAsia="宋体" w:hint="default"/>
                <w:sz w:val="18"/>
                <w:szCs w:val="18"/>
              </w:rPr>
            </w:pPr>
            <w:r>
              <w:rPr>
                <w:rFonts w:ascii="宋体" w:hAnsi="宋体" w:cs="宋体" w:eastAsia="宋体" w:hint="default"/>
                <w:spacing w:val="8"/>
                <w:sz w:val="18"/>
                <w:szCs w:val="18"/>
              </w:rPr>
              <w:t>中国建设银行－博时主题行业股票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证券投资基金</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1.5477</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03" w:right="0"/>
              <w:jc w:val="left"/>
              <w:rPr>
                <w:rFonts w:ascii="宋体" w:hAnsi="宋体" w:cs="宋体" w:eastAsia="宋体" w:hint="default"/>
                <w:sz w:val="18"/>
                <w:szCs w:val="18"/>
              </w:rPr>
            </w:pPr>
            <w:r>
              <w:rPr>
                <w:rFonts w:ascii="宋体"/>
                <w:sz w:val="18"/>
              </w:rPr>
              <w:t>18,999,769</w:t>
            </w:r>
          </w:p>
        </w:tc>
        <w:tc>
          <w:tcPr>
            <w:tcW w:w="14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15,999,769</w:t>
            </w:r>
          </w:p>
        </w:tc>
        <w:tc>
          <w:tcPr>
            <w:tcW w:w="97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26" w:hRule="exact"/>
        </w:trPr>
        <w:tc>
          <w:tcPr>
            <w:tcW w:w="30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sz w:val="18"/>
              </w:rPr>
              <w:t>SAP AG</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境外法人</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1.3265</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03" w:right="0"/>
              <w:jc w:val="left"/>
              <w:rPr>
                <w:rFonts w:ascii="宋体" w:hAnsi="宋体" w:cs="宋体" w:eastAsia="宋体" w:hint="default"/>
                <w:sz w:val="18"/>
                <w:szCs w:val="18"/>
              </w:rPr>
            </w:pPr>
            <w:r>
              <w:rPr>
                <w:rFonts w:ascii="宋体"/>
                <w:sz w:val="18"/>
              </w:rPr>
              <w:t>16,283,768</w:t>
            </w:r>
          </w:p>
        </w:tc>
        <w:tc>
          <w:tcPr>
            <w:tcW w:w="14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97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28" w:hRule="exact"/>
        </w:trPr>
        <w:tc>
          <w:tcPr>
            <w:tcW w:w="30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全国社保基金一零三组合</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1.1812</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403" w:right="0"/>
              <w:jc w:val="left"/>
              <w:rPr>
                <w:rFonts w:ascii="宋体" w:hAnsi="宋体" w:cs="宋体" w:eastAsia="宋体" w:hint="default"/>
                <w:sz w:val="18"/>
                <w:szCs w:val="18"/>
              </w:rPr>
            </w:pPr>
            <w:r>
              <w:rPr>
                <w:rFonts w:ascii="宋体"/>
                <w:sz w:val="18"/>
              </w:rPr>
              <w:t>14,499,750</w:t>
            </w:r>
          </w:p>
        </w:tc>
        <w:tc>
          <w:tcPr>
            <w:tcW w:w="14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11,499,750</w:t>
            </w:r>
          </w:p>
        </w:tc>
        <w:tc>
          <w:tcPr>
            <w:tcW w:w="97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95" w:hRule="exact"/>
        </w:trPr>
        <w:tc>
          <w:tcPr>
            <w:tcW w:w="10282" w:type="dxa"/>
            <w:gridSpan w:val="8"/>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1" w:right="1"/>
              <w:jc w:val="center"/>
              <w:rPr>
                <w:rFonts w:ascii="宋体" w:hAnsi="宋体" w:cs="宋体" w:eastAsia="宋体" w:hint="default"/>
                <w:sz w:val="18"/>
                <w:szCs w:val="18"/>
              </w:rPr>
            </w:pPr>
            <w:r>
              <w:rPr>
                <w:rFonts w:ascii="宋体" w:hAnsi="宋体" w:cs="宋体" w:eastAsia="宋体" w:hint="default"/>
                <w:b/>
                <w:bCs/>
                <w:sz w:val="18"/>
                <w:szCs w:val="18"/>
              </w:rPr>
              <w:t>前十名无限售条件股东持股情况</w:t>
            </w:r>
            <w:r>
              <w:rPr>
                <w:rFonts w:ascii="宋体" w:hAnsi="宋体" w:cs="宋体" w:eastAsia="宋体" w:hint="default"/>
                <w:sz w:val="18"/>
                <w:szCs w:val="18"/>
              </w:rPr>
            </w:r>
          </w:p>
        </w:tc>
      </w:tr>
      <w:tr>
        <w:trPr>
          <w:trHeight w:val="326" w:hRule="exact"/>
        </w:trPr>
        <w:tc>
          <w:tcPr>
            <w:tcW w:w="419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55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88" w:right="0"/>
              <w:jc w:val="left"/>
              <w:rPr>
                <w:rFonts w:ascii="宋体" w:hAnsi="宋体" w:cs="宋体" w:eastAsia="宋体" w:hint="default"/>
                <w:sz w:val="18"/>
                <w:szCs w:val="18"/>
              </w:rPr>
            </w:pPr>
            <w:r>
              <w:rPr>
                <w:rFonts w:ascii="宋体" w:hAnsi="宋体" w:cs="宋体" w:eastAsia="宋体" w:hint="default"/>
                <w:sz w:val="18"/>
                <w:szCs w:val="18"/>
              </w:rPr>
              <w:t>持有无限售条件股份的数量</w:t>
            </w:r>
          </w:p>
        </w:tc>
        <w:tc>
          <w:tcPr>
            <w:tcW w:w="3530"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127" w:right="0"/>
              <w:jc w:val="left"/>
              <w:rPr>
                <w:rFonts w:ascii="宋体" w:hAnsi="宋体" w:cs="宋体" w:eastAsia="宋体" w:hint="default"/>
                <w:sz w:val="18"/>
                <w:szCs w:val="18"/>
              </w:rPr>
            </w:pPr>
            <w:r>
              <w:rPr>
                <w:rFonts w:ascii="宋体" w:hAnsi="宋体" w:cs="宋体" w:eastAsia="宋体" w:hint="default"/>
                <w:sz w:val="18"/>
                <w:szCs w:val="18"/>
              </w:rPr>
              <w:t>股份种类及数量</w:t>
            </w:r>
          </w:p>
        </w:tc>
      </w:tr>
      <w:tr>
        <w:trPr>
          <w:trHeight w:val="328" w:hRule="exact"/>
        </w:trPr>
        <w:tc>
          <w:tcPr>
            <w:tcW w:w="419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东北大学科技产业集团有限公司</w:t>
            </w:r>
          </w:p>
        </w:tc>
        <w:tc>
          <w:tcPr>
            <w:tcW w:w="255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447" w:right="0"/>
              <w:jc w:val="left"/>
              <w:rPr>
                <w:rFonts w:ascii="宋体" w:hAnsi="宋体" w:cs="宋体" w:eastAsia="宋体" w:hint="default"/>
                <w:sz w:val="18"/>
                <w:szCs w:val="18"/>
              </w:rPr>
            </w:pPr>
            <w:r>
              <w:rPr>
                <w:rFonts w:ascii="宋体"/>
                <w:sz w:val="18"/>
              </w:rPr>
              <w:t>216,361,562</w:t>
            </w:r>
          </w:p>
        </w:tc>
        <w:tc>
          <w:tcPr>
            <w:tcW w:w="1897"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399"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3"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528" w:right="0"/>
              <w:jc w:val="left"/>
              <w:rPr>
                <w:rFonts w:ascii="宋体" w:hAnsi="宋体" w:cs="宋体" w:eastAsia="宋体" w:hint="default"/>
                <w:sz w:val="18"/>
                <w:szCs w:val="18"/>
              </w:rPr>
            </w:pPr>
            <w:r>
              <w:rPr>
                <w:rFonts w:ascii="宋体"/>
                <w:sz w:val="18"/>
              </w:rPr>
              <w:t>216,361,562</w:t>
            </w:r>
          </w:p>
        </w:tc>
      </w:tr>
      <w:tr>
        <w:trPr>
          <w:trHeight w:val="326" w:hRule="exact"/>
        </w:trPr>
        <w:tc>
          <w:tcPr>
            <w:tcW w:w="419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阿尔派电子（中国）有限公司</w:t>
            </w:r>
          </w:p>
        </w:tc>
        <w:tc>
          <w:tcPr>
            <w:tcW w:w="255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447" w:right="0"/>
              <w:jc w:val="left"/>
              <w:rPr>
                <w:rFonts w:ascii="宋体" w:hAnsi="宋体" w:cs="宋体" w:eastAsia="宋体" w:hint="default"/>
                <w:sz w:val="18"/>
                <w:szCs w:val="18"/>
              </w:rPr>
            </w:pPr>
            <w:r>
              <w:rPr>
                <w:rFonts w:ascii="宋体"/>
                <w:sz w:val="18"/>
              </w:rPr>
              <w:t>171,263,547</w:t>
            </w:r>
          </w:p>
        </w:tc>
        <w:tc>
          <w:tcPr>
            <w:tcW w:w="1897"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399"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3"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528" w:right="0"/>
              <w:jc w:val="left"/>
              <w:rPr>
                <w:rFonts w:ascii="宋体" w:hAnsi="宋体" w:cs="宋体" w:eastAsia="宋体" w:hint="default"/>
                <w:sz w:val="18"/>
                <w:szCs w:val="18"/>
              </w:rPr>
            </w:pPr>
            <w:r>
              <w:rPr>
                <w:rFonts w:ascii="宋体"/>
                <w:sz w:val="18"/>
              </w:rPr>
              <w:t>171,263,547</w:t>
            </w:r>
          </w:p>
        </w:tc>
      </w:tr>
      <w:tr>
        <w:trPr>
          <w:trHeight w:val="328" w:hRule="exact"/>
        </w:trPr>
        <w:tc>
          <w:tcPr>
            <w:tcW w:w="419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宝钢集团有限公司</w:t>
            </w:r>
          </w:p>
        </w:tc>
        <w:tc>
          <w:tcPr>
            <w:tcW w:w="255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537" w:right="0"/>
              <w:jc w:val="left"/>
              <w:rPr>
                <w:rFonts w:ascii="宋体" w:hAnsi="宋体" w:cs="宋体" w:eastAsia="宋体" w:hint="default"/>
                <w:sz w:val="18"/>
                <w:szCs w:val="18"/>
              </w:rPr>
            </w:pPr>
            <w:r>
              <w:rPr>
                <w:rFonts w:ascii="宋体"/>
                <w:sz w:val="18"/>
              </w:rPr>
              <w:t>63,000,000</w:t>
            </w:r>
          </w:p>
        </w:tc>
        <w:tc>
          <w:tcPr>
            <w:tcW w:w="1897"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399"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3"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618" w:right="0"/>
              <w:jc w:val="left"/>
              <w:rPr>
                <w:rFonts w:ascii="宋体" w:hAnsi="宋体" w:cs="宋体" w:eastAsia="宋体" w:hint="default"/>
                <w:sz w:val="18"/>
                <w:szCs w:val="18"/>
              </w:rPr>
            </w:pPr>
            <w:r>
              <w:rPr>
                <w:rFonts w:ascii="宋体"/>
                <w:sz w:val="18"/>
              </w:rPr>
              <w:t>63,000,000</w:t>
            </w:r>
          </w:p>
        </w:tc>
      </w:tr>
      <w:tr>
        <w:trPr>
          <w:trHeight w:val="326" w:hRule="exact"/>
        </w:trPr>
        <w:tc>
          <w:tcPr>
            <w:tcW w:w="419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东芝解决方案株式会社</w:t>
            </w:r>
          </w:p>
        </w:tc>
        <w:tc>
          <w:tcPr>
            <w:tcW w:w="255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537" w:right="0"/>
              <w:jc w:val="left"/>
              <w:rPr>
                <w:rFonts w:ascii="宋体" w:hAnsi="宋体" w:cs="宋体" w:eastAsia="宋体" w:hint="default"/>
                <w:sz w:val="18"/>
                <w:szCs w:val="18"/>
              </w:rPr>
            </w:pPr>
            <w:r>
              <w:rPr>
                <w:rFonts w:ascii="宋体"/>
                <w:sz w:val="18"/>
              </w:rPr>
              <w:t>58,228,036</w:t>
            </w:r>
          </w:p>
        </w:tc>
        <w:tc>
          <w:tcPr>
            <w:tcW w:w="1897"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399"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3"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618" w:right="0"/>
              <w:jc w:val="left"/>
              <w:rPr>
                <w:rFonts w:ascii="宋体" w:hAnsi="宋体" w:cs="宋体" w:eastAsia="宋体" w:hint="default"/>
                <w:sz w:val="18"/>
                <w:szCs w:val="18"/>
              </w:rPr>
            </w:pPr>
            <w:r>
              <w:rPr>
                <w:rFonts w:ascii="宋体"/>
                <w:sz w:val="18"/>
              </w:rPr>
              <w:t>58,228,036</w:t>
            </w:r>
          </w:p>
        </w:tc>
      </w:tr>
      <w:tr>
        <w:trPr>
          <w:trHeight w:val="328" w:hRule="exact"/>
        </w:trPr>
        <w:tc>
          <w:tcPr>
            <w:tcW w:w="419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sz w:val="18"/>
              </w:rPr>
              <w:t>INTEL CAPITAL CORPORATION</w:t>
            </w:r>
          </w:p>
        </w:tc>
        <w:tc>
          <w:tcPr>
            <w:tcW w:w="255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537" w:right="0"/>
              <w:jc w:val="left"/>
              <w:rPr>
                <w:rFonts w:ascii="宋体" w:hAnsi="宋体" w:cs="宋体" w:eastAsia="宋体" w:hint="default"/>
                <w:sz w:val="18"/>
                <w:szCs w:val="18"/>
              </w:rPr>
            </w:pPr>
            <w:r>
              <w:rPr>
                <w:rFonts w:ascii="宋体"/>
                <w:sz w:val="18"/>
              </w:rPr>
              <w:t>31,973,228</w:t>
            </w:r>
          </w:p>
        </w:tc>
        <w:tc>
          <w:tcPr>
            <w:tcW w:w="1897"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399"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3"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618" w:right="0"/>
              <w:jc w:val="left"/>
              <w:rPr>
                <w:rFonts w:ascii="宋体" w:hAnsi="宋体" w:cs="宋体" w:eastAsia="宋体" w:hint="default"/>
                <w:sz w:val="18"/>
                <w:szCs w:val="18"/>
              </w:rPr>
            </w:pPr>
            <w:r>
              <w:rPr>
                <w:rFonts w:ascii="宋体"/>
                <w:sz w:val="18"/>
              </w:rPr>
              <w:t>31,973,228</w:t>
            </w:r>
          </w:p>
        </w:tc>
      </w:tr>
      <w:tr>
        <w:trPr>
          <w:trHeight w:val="326" w:hRule="exact"/>
        </w:trPr>
        <w:tc>
          <w:tcPr>
            <w:tcW w:w="419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sz w:val="18"/>
              </w:rPr>
              <w:t>PHILIPS ELECTRONICS CHINA B.V.</w:t>
            </w:r>
          </w:p>
        </w:tc>
        <w:tc>
          <w:tcPr>
            <w:tcW w:w="255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537" w:right="0"/>
              <w:jc w:val="left"/>
              <w:rPr>
                <w:rFonts w:ascii="宋体" w:hAnsi="宋体" w:cs="宋体" w:eastAsia="宋体" w:hint="default"/>
                <w:sz w:val="18"/>
                <w:szCs w:val="18"/>
              </w:rPr>
            </w:pPr>
            <w:r>
              <w:rPr>
                <w:rFonts w:ascii="宋体"/>
                <w:sz w:val="18"/>
              </w:rPr>
              <w:t>24,954,871</w:t>
            </w:r>
          </w:p>
        </w:tc>
        <w:tc>
          <w:tcPr>
            <w:tcW w:w="1897"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399"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3"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618" w:right="0"/>
              <w:jc w:val="left"/>
              <w:rPr>
                <w:rFonts w:ascii="宋体" w:hAnsi="宋体" w:cs="宋体" w:eastAsia="宋体" w:hint="default"/>
                <w:sz w:val="18"/>
                <w:szCs w:val="18"/>
              </w:rPr>
            </w:pPr>
            <w:r>
              <w:rPr>
                <w:rFonts w:ascii="宋体"/>
                <w:sz w:val="18"/>
              </w:rPr>
              <w:t>24,954,871</w:t>
            </w:r>
          </w:p>
        </w:tc>
      </w:tr>
      <w:tr>
        <w:trPr>
          <w:trHeight w:val="328" w:hRule="exact"/>
        </w:trPr>
        <w:tc>
          <w:tcPr>
            <w:tcW w:w="419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阿尔派株式会社</w:t>
            </w:r>
          </w:p>
        </w:tc>
        <w:tc>
          <w:tcPr>
            <w:tcW w:w="255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537" w:right="0"/>
              <w:jc w:val="left"/>
              <w:rPr>
                <w:rFonts w:ascii="宋体" w:hAnsi="宋体" w:cs="宋体" w:eastAsia="宋体" w:hint="default"/>
                <w:sz w:val="18"/>
                <w:szCs w:val="18"/>
              </w:rPr>
            </w:pPr>
            <w:r>
              <w:rPr>
                <w:rFonts w:ascii="宋体"/>
                <w:sz w:val="18"/>
              </w:rPr>
              <w:t>20,057,144</w:t>
            </w:r>
          </w:p>
        </w:tc>
        <w:tc>
          <w:tcPr>
            <w:tcW w:w="1897"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399"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3"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618" w:right="0"/>
              <w:jc w:val="left"/>
              <w:rPr>
                <w:rFonts w:ascii="宋体" w:hAnsi="宋体" w:cs="宋体" w:eastAsia="宋体" w:hint="default"/>
                <w:sz w:val="18"/>
                <w:szCs w:val="18"/>
              </w:rPr>
            </w:pPr>
            <w:r>
              <w:rPr>
                <w:rFonts w:ascii="宋体"/>
                <w:sz w:val="18"/>
              </w:rPr>
              <w:t>20,057,144</w:t>
            </w:r>
          </w:p>
        </w:tc>
      </w:tr>
      <w:tr>
        <w:trPr>
          <w:trHeight w:val="326" w:hRule="exact"/>
        </w:trPr>
        <w:tc>
          <w:tcPr>
            <w:tcW w:w="419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中国建设银行－博时主题行业股票证券投资基金</w:t>
            </w:r>
          </w:p>
        </w:tc>
        <w:tc>
          <w:tcPr>
            <w:tcW w:w="255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537" w:right="0"/>
              <w:jc w:val="left"/>
              <w:rPr>
                <w:rFonts w:ascii="宋体" w:hAnsi="宋体" w:cs="宋体" w:eastAsia="宋体" w:hint="default"/>
                <w:sz w:val="18"/>
                <w:szCs w:val="18"/>
              </w:rPr>
            </w:pPr>
            <w:r>
              <w:rPr>
                <w:rFonts w:ascii="宋体"/>
                <w:sz w:val="18"/>
              </w:rPr>
              <w:t>18,999,769</w:t>
            </w:r>
          </w:p>
        </w:tc>
        <w:tc>
          <w:tcPr>
            <w:tcW w:w="1897"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399"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3"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618" w:right="0"/>
              <w:jc w:val="left"/>
              <w:rPr>
                <w:rFonts w:ascii="宋体" w:hAnsi="宋体" w:cs="宋体" w:eastAsia="宋体" w:hint="default"/>
                <w:sz w:val="18"/>
                <w:szCs w:val="18"/>
              </w:rPr>
            </w:pPr>
            <w:r>
              <w:rPr>
                <w:rFonts w:ascii="宋体"/>
                <w:sz w:val="18"/>
              </w:rPr>
              <w:t>18,999,769</w:t>
            </w:r>
          </w:p>
        </w:tc>
      </w:tr>
      <w:tr>
        <w:trPr>
          <w:trHeight w:val="328" w:hRule="exact"/>
        </w:trPr>
        <w:tc>
          <w:tcPr>
            <w:tcW w:w="419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sz w:val="18"/>
              </w:rPr>
              <w:t>SAP AG</w:t>
            </w:r>
          </w:p>
        </w:tc>
        <w:tc>
          <w:tcPr>
            <w:tcW w:w="255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537" w:right="0"/>
              <w:jc w:val="left"/>
              <w:rPr>
                <w:rFonts w:ascii="宋体" w:hAnsi="宋体" w:cs="宋体" w:eastAsia="宋体" w:hint="default"/>
                <w:sz w:val="18"/>
                <w:szCs w:val="18"/>
              </w:rPr>
            </w:pPr>
            <w:r>
              <w:rPr>
                <w:rFonts w:ascii="宋体"/>
                <w:sz w:val="18"/>
              </w:rPr>
              <w:t>16,283,768</w:t>
            </w:r>
          </w:p>
        </w:tc>
        <w:tc>
          <w:tcPr>
            <w:tcW w:w="1897"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399"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3"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618" w:right="0"/>
              <w:jc w:val="left"/>
              <w:rPr>
                <w:rFonts w:ascii="宋体" w:hAnsi="宋体" w:cs="宋体" w:eastAsia="宋体" w:hint="default"/>
                <w:sz w:val="18"/>
                <w:szCs w:val="18"/>
              </w:rPr>
            </w:pPr>
            <w:r>
              <w:rPr>
                <w:rFonts w:ascii="宋体"/>
                <w:sz w:val="18"/>
              </w:rPr>
              <w:t>16,283,768</w:t>
            </w:r>
          </w:p>
        </w:tc>
      </w:tr>
      <w:tr>
        <w:trPr>
          <w:trHeight w:val="326" w:hRule="exact"/>
        </w:trPr>
        <w:tc>
          <w:tcPr>
            <w:tcW w:w="419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全国社保基金一零三组合</w:t>
            </w:r>
          </w:p>
        </w:tc>
        <w:tc>
          <w:tcPr>
            <w:tcW w:w="255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537" w:right="0"/>
              <w:jc w:val="left"/>
              <w:rPr>
                <w:rFonts w:ascii="宋体" w:hAnsi="宋体" w:cs="宋体" w:eastAsia="宋体" w:hint="default"/>
                <w:sz w:val="18"/>
                <w:szCs w:val="18"/>
              </w:rPr>
            </w:pPr>
            <w:r>
              <w:rPr>
                <w:rFonts w:ascii="宋体"/>
                <w:sz w:val="18"/>
              </w:rPr>
              <w:t>14,499,750</w:t>
            </w:r>
          </w:p>
        </w:tc>
        <w:tc>
          <w:tcPr>
            <w:tcW w:w="1897"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399"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3"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618" w:right="0"/>
              <w:jc w:val="left"/>
              <w:rPr>
                <w:rFonts w:ascii="宋体" w:hAnsi="宋体" w:cs="宋体" w:eastAsia="宋体" w:hint="default"/>
                <w:sz w:val="18"/>
                <w:szCs w:val="18"/>
              </w:rPr>
            </w:pPr>
            <w:r>
              <w:rPr>
                <w:rFonts w:ascii="宋体"/>
                <w:sz w:val="18"/>
              </w:rPr>
              <w:t>14,499,750</w:t>
            </w:r>
          </w:p>
        </w:tc>
      </w:tr>
      <w:tr>
        <w:trPr>
          <w:trHeight w:val="640" w:hRule="exact"/>
        </w:trPr>
        <w:tc>
          <w:tcPr>
            <w:tcW w:w="419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6083" w:type="dxa"/>
            <w:gridSpan w:val="6"/>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97"/>
              <w:jc w:val="left"/>
              <w:rPr>
                <w:rFonts w:ascii="宋体" w:hAnsi="宋体" w:cs="宋体" w:eastAsia="宋体" w:hint="default"/>
                <w:sz w:val="18"/>
                <w:szCs w:val="18"/>
              </w:rPr>
            </w:pPr>
            <w:r>
              <w:rPr>
                <w:rFonts w:ascii="宋体" w:hAnsi="宋体" w:cs="宋体" w:eastAsia="宋体" w:hint="default"/>
                <w:spacing w:val="-3"/>
                <w:sz w:val="18"/>
                <w:szCs w:val="18"/>
              </w:rPr>
              <w:t>阿尔派电子（中国）有限公司为阿尔派株式会社在中国设立的外商独资投资</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性公司。公司未知其他股东之间是否有关联关系，是否为一致行动人。</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pStyle w:val="BodyText"/>
        <w:spacing w:line="240" w:lineRule="auto"/>
        <w:ind w:left="718" w:right="666"/>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type w:val="continuous"/>
          <w:pgSz w:w="11910" w:h="16840"/>
          <w:pgMar w:top="1600" w:bottom="280" w:left="700" w:right="680"/>
        </w:sectPr>
      </w:pPr>
    </w:p>
    <w:p>
      <w:pPr>
        <w:spacing w:line="240" w:lineRule="auto" w:before="0"/>
        <w:rPr>
          <w:rFonts w:ascii="黑体" w:hAnsi="黑体" w:cs="黑体" w:eastAsia="黑体" w:hint="default"/>
          <w:sz w:val="25"/>
          <w:szCs w:val="25"/>
        </w:rPr>
      </w:pPr>
    </w:p>
    <w:p>
      <w:pPr>
        <w:pStyle w:val="Heading5"/>
        <w:spacing w:line="240" w:lineRule="auto" w:before="26"/>
        <w:ind w:left="398" w:right="0"/>
        <w:jc w:val="both"/>
      </w:pPr>
      <w:r>
        <w:rPr/>
        <w:t>2、控股股东及实际控制人情况</w:t>
      </w:r>
    </w:p>
    <w:p>
      <w:pPr>
        <w:spacing w:line="312" w:lineRule="exact" w:before="152"/>
        <w:ind w:left="398" w:right="0" w:firstLine="0"/>
        <w:jc w:val="left"/>
        <w:rPr>
          <w:rFonts w:ascii="宋体" w:hAnsi="宋体" w:cs="宋体" w:eastAsia="宋体" w:hint="default"/>
          <w:sz w:val="24"/>
          <w:szCs w:val="24"/>
        </w:rPr>
      </w:pPr>
      <w:r>
        <w:rPr>
          <w:rFonts w:ascii="宋体" w:hAnsi="宋体" w:cs="宋体" w:eastAsia="宋体" w:hint="default"/>
          <w:sz w:val="24"/>
          <w:szCs w:val="24"/>
        </w:rPr>
        <w:t>（1）截至目前，本公司各股东持股相对分散，不存在控股股东和实际控制人。公司第</w:t>
      </w:r>
      <w:r>
        <w:rPr>
          <w:rFonts w:ascii="宋体" w:hAnsi="宋体" w:cs="宋体" w:eastAsia="宋体" w:hint="default"/>
          <w:spacing w:val="-49"/>
          <w:sz w:val="24"/>
          <w:szCs w:val="24"/>
        </w:rPr>
        <w:t> </w:t>
      </w:r>
      <w:r>
        <w:rPr>
          <w:rFonts w:ascii="宋体" w:hAnsi="宋体" w:cs="宋体" w:eastAsia="宋体" w:hint="default"/>
          <w:spacing w:val="-49"/>
          <w:sz w:val="24"/>
          <w:szCs w:val="24"/>
        </w:rPr>
      </w:r>
      <w:r>
        <w:rPr>
          <w:rFonts w:ascii="宋体" w:hAnsi="宋体" w:cs="宋体" w:eastAsia="宋体" w:hint="default"/>
          <w:sz w:val="24"/>
          <w:szCs w:val="24"/>
        </w:rPr>
        <w:t>一大股东为东北大学科技产业集团有限公司，持股比例为</w:t>
      </w:r>
      <w:r>
        <w:rPr>
          <w:rFonts w:ascii="宋体" w:hAnsi="宋体" w:cs="宋体" w:eastAsia="宋体" w:hint="default"/>
          <w:spacing w:val="-60"/>
          <w:sz w:val="24"/>
          <w:szCs w:val="24"/>
        </w:rPr>
        <w:t> </w:t>
      </w:r>
      <w:r>
        <w:rPr>
          <w:rFonts w:ascii="宋体" w:hAnsi="宋体" w:cs="宋体" w:eastAsia="宋体" w:hint="default"/>
          <w:sz w:val="24"/>
          <w:szCs w:val="24"/>
        </w:rPr>
        <w:t>17.6248%。</w:t>
      </w:r>
    </w:p>
    <w:p>
      <w:pPr>
        <w:spacing w:before="94"/>
        <w:ind w:left="398" w:right="0" w:firstLine="0"/>
        <w:jc w:val="both"/>
        <w:rPr>
          <w:rFonts w:ascii="宋体" w:hAnsi="宋体" w:cs="宋体" w:eastAsia="宋体" w:hint="default"/>
          <w:sz w:val="24"/>
          <w:szCs w:val="24"/>
        </w:rPr>
      </w:pPr>
      <w:r>
        <w:rPr>
          <w:rFonts w:ascii="宋体" w:hAnsi="宋体" w:cs="宋体" w:eastAsia="宋体" w:hint="default"/>
          <w:sz w:val="24"/>
          <w:szCs w:val="24"/>
        </w:rPr>
        <w:t>（2）公司股东情况及控制关系的方框图</w:t>
      </w:r>
    </w:p>
    <w:p>
      <w:pPr>
        <w:spacing w:line="240" w:lineRule="auto" w:before="4"/>
        <w:rPr>
          <w:rFonts w:ascii="宋体" w:hAnsi="宋体" w:cs="宋体" w:eastAsia="宋体" w:hint="default"/>
          <w:sz w:val="5"/>
          <w:szCs w:val="5"/>
        </w:rPr>
      </w:pPr>
    </w:p>
    <w:p>
      <w:pPr>
        <w:spacing w:line="6645" w:lineRule="exact"/>
        <w:ind w:left="104" w:right="0" w:firstLine="0"/>
        <w:rPr>
          <w:rFonts w:ascii="宋体" w:hAnsi="宋体" w:cs="宋体" w:eastAsia="宋体" w:hint="default"/>
          <w:sz w:val="20"/>
          <w:szCs w:val="20"/>
        </w:rPr>
      </w:pPr>
      <w:r>
        <w:rPr>
          <w:rFonts w:ascii="宋体" w:hAnsi="宋体" w:cs="宋体" w:eastAsia="宋体" w:hint="default"/>
          <w:position w:val="-132"/>
          <w:sz w:val="20"/>
          <w:szCs w:val="20"/>
        </w:rPr>
        <w:drawing>
          <wp:inline distT="0" distB="0" distL="0" distR="0">
            <wp:extent cx="6495463" cy="4219575"/>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1" cstate="print"/>
                    <a:stretch>
                      <a:fillRect/>
                    </a:stretch>
                  </pic:blipFill>
                  <pic:spPr>
                    <a:xfrm>
                      <a:off x="0" y="0"/>
                      <a:ext cx="6495463" cy="4219575"/>
                    </a:xfrm>
                    <a:prstGeom prst="rect">
                      <a:avLst/>
                    </a:prstGeom>
                  </pic:spPr>
                </pic:pic>
              </a:graphicData>
            </a:graphic>
          </wp:inline>
        </w:drawing>
      </w:r>
      <w:r>
        <w:rPr>
          <w:rFonts w:ascii="宋体" w:hAnsi="宋体" w:cs="宋体" w:eastAsia="宋体" w:hint="default"/>
          <w:position w:val="-132"/>
          <w:sz w:val="20"/>
          <w:szCs w:val="20"/>
        </w:rPr>
      </w:r>
    </w:p>
    <w:p>
      <w:pPr>
        <w:spacing w:line="312" w:lineRule="exact" w:before="86"/>
        <w:ind w:left="398" w:right="0" w:firstLine="0"/>
        <w:jc w:val="both"/>
        <w:rPr>
          <w:rFonts w:ascii="宋体" w:hAnsi="宋体" w:cs="宋体" w:eastAsia="宋体" w:hint="default"/>
          <w:sz w:val="24"/>
          <w:szCs w:val="24"/>
        </w:rPr>
      </w:pPr>
      <w:r>
        <w:rPr>
          <w:rFonts w:ascii="宋体" w:hAnsi="宋体" w:cs="宋体" w:eastAsia="宋体" w:hint="default"/>
          <w:sz w:val="24"/>
          <w:szCs w:val="24"/>
        </w:rPr>
        <w:t>3、主要股东情况介绍</w:t>
      </w:r>
    </w:p>
    <w:p>
      <w:pPr>
        <w:spacing w:line="312" w:lineRule="exact" w:before="29"/>
        <w:ind w:left="880" w:right="0" w:firstLine="0"/>
        <w:jc w:val="left"/>
        <w:rPr>
          <w:rFonts w:ascii="宋体" w:hAnsi="宋体" w:cs="宋体" w:eastAsia="宋体" w:hint="default"/>
          <w:sz w:val="24"/>
          <w:szCs w:val="24"/>
        </w:rPr>
      </w:pPr>
      <w:r>
        <w:rPr>
          <w:rFonts w:ascii="宋体" w:hAnsi="宋体" w:cs="宋体" w:eastAsia="宋体" w:hint="default"/>
          <w:b/>
          <w:bCs/>
          <w:sz w:val="24"/>
          <w:szCs w:val="24"/>
        </w:rPr>
        <w:t>（1）东北大学科技产业集团有限公司</w:t>
      </w:r>
      <w:r>
        <w:rPr>
          <w:rFonts w:ascii="宋体" w:hAnsi="宋体" w:cs="宋体" w:eastAsia="宋体" w:hint="default"/>
          <w:b/>
          <w:bCs/>
          <w:spacing w:val="1"/>
          <w:w w:val="99"/>
          <w:sz w:val="24"/>
          <w:szCs w:val="24"/>
        </w:rPr>
        <w:t> </w:t>
      </w:r>
      <w:r>
        <w:rPr>
          <w:rFonts w:ascii="宋体" w:hAnsi="宋体" w:cs="宋体" w:eastAsia="宋体" w:hint="default"/>
          <w:spacing w:val="-2"/>
          <w:sz w:val="24"/>
          <w:szCs w:val="24"/>
        </w:rPr>
        <w:t>东北大学科技产业集团有限公司是按照国家教育部《关于积极发展高校科技产业的</w:t>
      </w:r>
    </w:p>
    <w:p>
      <w:pPr>
        <w:pStyle w:val="Heading5"/>
        <w:spacing w:line="281" w:lineRule="exact"/>
        <w:ind w:left="398" w:right="0"/>
        <w:jc w:val="both"/>
      </w:pPr>
      <w:r>
        <w:rPr/>
        <w:t>指导意见》的要求，经教育部“教技发函[2005]11号”文（2005年7月1日签发）批准，</w:t>
      </w:r>
    </w:p>
    <w:p>
      <w:pPr>
        <w:spacing w:line="310" w:lineRule="exact" w:before="31"/>
        <w:ind w:left="398" w:right="974" w:firstLine="0"/>
        <w:jc w:val="both"/>
        <w:rPr>
          <w:rFonts w:ascii="宋体" w:hAnsi="宋体" w:cs="宋体" w:eastAsia="宋体" w:hint="default"/>
          <w:sz w:val="24"/>
          <w:szCs w:val="24"/>
        </w:rPr>
      </w:pPr>
      <w:r>
        <w:rPr>
          <w:rFonts w:ascii="宋体" w:hAnsi="宋体" w:cs="宋体" w:eastAsia="宋体" w:hint="default"/>
          <w:spacing w:val="-2"/>
          <w:sz w:val="24"/>
          <w:szCs w:val="24"/>
        </w:rPr>
        <w:t>由东北大学产业发展公司（东北大学全民所有制企业）改制设立的国有独资有限责任公</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2"/>
          <w:sz w:val="24"/>
          <w:szCs w:val="24"/>
        </w:rPr>
        <w:t>司，东北大学为其唯一的出资人。东北大学科技产业集团有限公司统一代表东北大学持</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有投资企业的股权和经营性资产。</w:t>
      </w:r>
    </w:p>
    <w:p>
      <w:pPr>
        <w:spacing w:line="310" w:lineRule="exact" w:before="2"/>
        <w:ind w:left="880" w:right="6064" w:firstLine="0"/>
        <w:jc w:val="left"/>
        <w:rPr>
          <w:rFonts w:ascii="宋体" w:hAnsi="宋体" w:cs="宋体" w:eastAsia="宋体" w:hint="default"/>
          <w:sz w:val="24"/>
          <w:szCs w:val="24"/>
        </w:rPr>
      </w:pPr>
      <w:r>
        <w:rPr>
          <w:rFonts w:ascii="宋体" w:hAnsi="宋体" w:cs="宋体" w:eastAsia="宋体" w:hint="default"/>
          <w:sz w:val="24"/>
          <w:szCs w:val="24"/>
        </w:rPr>
        <w:t>成立日期：2005年8月5日 注册资本: 人民币500,000,000元</w:t>
      </w:r>
    </w:p>
    <w:p>
      <w:pPr>
        <w:spacing w:line="282" w:lineRule="exact" w:before="0"/>
        <w:ind w:left="880" w:right="0" w:firstLine="0"/>
        <w:jc w:val="left"/>
        <w:rPr>
          <w:rFonts w:ascii="宋体" w:hAnsi="宋体" w:cs="宋体" w:eastAsia="宋体" w:hint="default"/>
          <w:sz w:val="24"/>
          <w:szCs w:val="24"/>
        </w:rPr>
      </w:pPr>
      <w:r>
        <w:rPr>
          <w:rFonts w:ascii="宋体" w:hAnsi="宋体" w:cs="宋体" w:eastAsia="宋体" w:hint="default"/>
          <w:sz w:val="24"/>
          <w:szCs w:val="24"/>
        </w:rPr>
        <w:t>注册地址：沈阳市和平区文化路3号巷11号</w:t>
      </w:r>
    </w:p>
    <w:p>
      <w:pPr>
        <w:spacing w:line="237" w:lineRule="auto" w:before="1"/>
        <w:ind w:left="398" w:right="974" w:firstLine="482"/>
        <w:jc w:val="both"/>
        <w:rPr>
          <w:rFonts w:ascii="宋体" w:hAnsi="宋体" w:cs="宋体" w:eastAsia="宋体" w:hint="default"/>
          <w:sz w:val="24"/>
          <w:szCs w:val="24"/>
        </w:rPr>
      </w:pPr>
      <w:r>
        <w:rPr>
          <w:rFonts w:ascii="宋体" w:hAnsi="宋体" w:cs="宋体" w:eastAsia="宋体" w:hint="default"/>
          <w:spacing w:val="-2"/>
          <w:sz w:val="24"/>
          <w:szCs w:val="24"/>
        </w:rPr>
        <w:t>经营范围：计算机软硬件、机电一体化、高新技术产品、新材料、冶金技术产品的</w:t>
      </w:r>
      <w:r>
        <w:rPr>
          <w:rFonts w:ascii="宋体" w:hAnsi="宋体" w:cs="宋体" w:eastAsia="宋体" w:hint="default"/>
          <w:sz w:val="24"/>
          <w:szCs w:val="24"/>
        </w:rPr>
        <w:t> </w:t>
      </w:r>
      <w:r>
        <w:rPr>
          <w:rFonts w:ascii="宋体" w:hAnsi="宋体" w:cs="宋体" w:eastAsia="宋体" w:hint="default"/>
          <w:spacing w:val="-2"/>
          <w:sz w:val="24"/>
          <w:szCs w:val="24"/>
        </w:rPr>
        <w:t>研究开发、制造、技术工程承包，技术咨询、服务、转让、培训，自营和代理各类商品</w:t>
      </w:r>
      <w:r>
        <w:rPr>
          <w:rFonts w:ascii="宋体" w:hAnsi="宋体" w:cs="宋体" w:eastAsia="宋体" w:hint="default"/>
          <w:spacing w:val="-100"/>
          <w:sz w:val="24"/>
          <w:szCs w:val="24"/>
        </w:rPr>
        <w:t> </w:t>
      </w:r>
      <w:r>
        <w:rPr>
          <w:rFonts w:ascii="宋体" w:hAnsi="宋体" w:cs="宋体" w:eastAsia="宋体" w:hint="default"/>
          <w:spacing w:val="-100"/>
          <w:sz w:val="24"/>
          <w:szCs w:val="24"/>
        </w:rPr>
      </w:r>
      <w:r>
        <w:rPr>
          <w:rFonts w:ascii="宋体" w:hAnsi="宋体" w:cs="宋体" w:eastAsia="宋体" w:hint="default"/>
          <w:sz w:val="24"/>
          <w:szCs w:val="24"/>
        </w:rPr>
        <w:t>和技术的进出口，企业投资管理、企业资产管理、物业管理。</w:t>
      </w:r>
    </w:p>
    <w:p>
      <w:pPr>
        <w:spacing w:line="310" w:lineRule="exact" w:before="29"/>
        <w:ind w:left="880" w:right="0" w:firstLine="0"/>
        <w:jc w:val="left"/>
        <w:rPr>
          <w:rFonts w:ascii="宋体" w:hAnsi="宋体" w:cs="宋体" w:eastAsia="宋体" w:hint="default"/>
          <w:sz w:val="24"/>
          <w:szCs w:val="24"/>
        </w:rPr>
      </w:pPr>
      <w:r>
        <w:rPr>
          <w:rFonts w:ascii="宋体" w:hAnsi="宋体" w:cs="宋体" w:eastAsia="宋体" w:hint="default"/>
          <w:b/>
          <w:bCs/>
          <w:sz w:val="24"/>
          <w:szCs w:val="24"/>
        </w:rPr>
        <w:t>（2）宝钢集团有限公司</w:t>
      </w:r>
      <w:r>
        <w:rPr>
          <w:rFonts w:ascii="宋体" w:hAnsi="宋体" w:cs="宋体" w:eastAsia="宋体" w:hint="default"/>
          <w:b/>
          <w:bCs/>
          <w:spacing w:val="1"/>
          <w:w w:val="99"/>
          <w:sz w:val="24"/>
          <w:szCs w:val="24"/>
        </w:rPr>
        <w:t> </w:t>
      </w:r>
      <w:r>
        <w:rPr>
          <w:rFonts w:ascii="宋体" w:hAnsi="宋体" w:cs="宋体" w:eastAsia="宋体" w:hint="default"/>
          <w:spacing w:val="-2"/>
          <w:sz w:val="24"/>
          <w:szCs w:val="24"/>
        </w:rPr>
        <w:t>宝钢集团有限公司是国家单独出资，国务院国资委代表国务院履行出资人职责的国</w:t>
      </w:r>
    </w:p>
    <w:p>
      <w:pPr>
        <w:pStyle w:val="Heading5"/>
        <w:spacing w:line="284" w:lineRule="exact"/>
        <w:ind w:left="398" w:right="0"/>
        <w:jc w:val="both"/>
      </w:pPr>
      <w:r>
        <w:rPr/>
        <w:t>有独资公司，是国家授权投资的机构和国家控股公司。</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spacing w:line="240" w:lineRule="auto"/>
        <w:ind w:left="398" w:right="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020" w:right="440"/>
        </w:sectPr>
      </w:pPr>
    </w:p>
    <w:p>
      <w:pPr>
        <w:spacing w:line="240" w:lineRule="auto" w:before="6"/>
        <w:rPr>
          <w:rFonts w:ascii="黑体" w:hAnsi="黑体" w:cs="黑体" w:eastAsia="黑体" w:hint="default"/>
          <w:sz w:val="15"/>
          <w:szCs w:val="15"/>
        </w:rPr>
      </w:pPr>
    </w:p>
    <w:p>
      <w:pPr>
        <w:pStyle w:val="Heading5"/>
        <w:spacing w:line="312" w:lineRule="exact" w:before="56"/>
        <w:ind w:left="598" w:right="3566" w:firstLine="2"/>
        <w:jc w:val="left"/>
      </w:pPr>
      <w:r>
        <w:rPr/>
        <w:t>成立日期：1992年1月1日 注册资本：人民币5,108,262.1万元 注册地址：上海市浦东新区浦电路370号宝钢大厦</w:t>
      </w:r>
    </w:p>
    <w:p>
      <w:pPr>
        <w:spacing w:line="281" w:lineRule="exact" w:before="0"/>
        <w:ind w:left="118" w:right="0" w:firstLine="482"/>
        <w:jc w:val="left"/>
        <w:rPr>
          <w:rFonts w:ascii="宋体" w:hAnsi="宋体" w:cs="宋体" w:eastAsia="宋体" w:hint="default"/>
          <w:sz w:val="24"/>
          <w:szCs w:val="24"/>
        </w:rPr>
      </w:pPr>
      <w:r>
        <w:rPr>
          <w:rFonts w:ascii="宋体" w:hAnsi="宋体" w:cs="宋体" w:eastAsia="宋体" w:hint="default"/>
          <w:sz w:val="24"/>
          <w:szCs w:val="24"/>
        </w:rPr>
        <w:t>经营范围：经营国务院授权范围内的国有资产，并开展有关投资业务；钢铁、冶金</w:t>
      </w:r>
    </w:p>
    <w:p>
      <w:pPr>
        <w:spacing w:line="237" w:lineRule="auto" w:before="1"/>
        <w:ind w:left="118" w:right="149" w:firstLine="0"/>
        <w:jc w:val="both"/>
        <w:rPr>
          <w:rFonts w:ascii="宋体" w:hAnsi="宋体" w:cs="宋体" w:eastAsia="宋体" w:hint="default"/>
          <w:sz w:val="24"/>
          <w:szCs w:val="24"/>
        </w:rPr>
      </w:pPr>
      <w:r>
        <w:rPr>
          <w:rFonts w:ascii="宋体" w:hAnsi="宋体" w:cs="宋体" w:eastAsia="宋体" w:hint="default"/>
          <w:spacing w:val="-2"/>
          <w:sz w:val="24"/>
          <w:szCs w:val="24"/>
        </w:rPr>
        <w:t>矿产、化工（除危险品）、电力、码头、仓储、运输与钢铁相关的业务以及技术开发、</w:t>
      </w:r>
      <w:r>
        <w:rPr>
          <w:rFonts w:ascii="宋体" w:hAnsi="宋体" w:cs="宋体" w:eastAsia="宋体" w:hint="default"/>
          <w:spacing w:val="-114"/>
          <w:sz w:val="24"/>
          <w:szCs w:val="24"/>
        </w:rPr>
        <w:t> </w:t>
      </w:r>
      <w:r>
        <w:rPr>
          <w:rFonts w:ascii="宋体" w:hAnsi="宋体" w:cs="宋体" w:eastAsia="宋体" w:hint="default"/>
          <w:spacing w:val="-114"/>
          <w:sz w:val="24"/>
          <w:szCs w:val="24"/>
        </w:rPr>
      </w:r>
      <w:r>
        <w:rPr>
          <w:rFonts w:ascii="宋体" w:hAnsi="宋体" w:cs="宋体" w:eastAsia="宋体" w:hint="default"/>
          <w:spacing w:val="-8"/>
          <w:sz w:val="24"/>
          <w:szCs w:val="24"/>
        </w:rPr>
        <w:t>技术转让、技术服务和技术管理咨询业务，外经贸部批准的进出口业务，国内外贸易（除</w:t>
      </w:r>
      <w:r>
        <w:rPr>
          <w:rFonts w:ascii="宋体" w:hAnsi="宋体" w:cs="宋体" w:eastAsia="宋体" w:hint="default"/>
          <w:spacing w:val="-100"/>
          <w:sz w:val="24"/>
          <w:szCs w:val="24"/>
        </w:rPr>
        <w:t> </w:t>
      </w:r>
      <w:r>
        <w:rPr>
          <w:rFonts w:ascii="宋体" w:hAnsi="宋体" w:cs="宋体" w:eastAsia="宋体" w:hint="default"/>
          <w:spacing w:val="-100"/>
          <w:sz w:val="24"/>
          <w:szCs w:val="24"/>
        </w:rPr>
      </w:r>
      <w:r>
        <w:rPr>
          <w:rFonts w:ascii="宋体" w:hAnsi="宋体" w:cs="宋体" w:eastAsia="宋体" w:hint="default"/>
          <w:sz w:val="24"/>
          <w:szCs w:val="24"/>
        </w:rPr>
        <w:t>专项规定）及其服务。</w:t>
      </w:r>
    </w:p>
    <w:p>
      <w:pPr>
        <w:spacing w:line="312" w:lineRule="exact" w:before="27"/>
        <w:ind w:left="598" w:right="0" w:firstLine="2"/>
        <w:jc w:val="left"/>
        <w:rPr>
          <w:rFonts w:ascii="宋体" w:hAnsi="宋体" w:cs="宋体" w:eastAsia="宋体" w:hint="default"/>
          <w:sz w:val="24"/>
          <w:szCs w:val="24"/>
        </w:rPr>
      </w:pPr>
      <w:r>
        <w:rPr>
          <w:rFonts w:ascii="宋体" w:hAnsi="宋体" w:cs="宋体" w:eastAsia="宋体" w:hint="default"/>
          <w:b/>
          <w:bCs/>
          <w:sz w:val="24"/>
          <w:szCs w:val="24"/>
        </w:rPr>
        <w:t>（3）阿尔派株式会社</w:t>
      </w:r>
      <w:r>
        <w:rPr>
          <w:rFonts w:ascii="宋体" w:hAnsi="宋体" w:cs="宋体" w:eastAsia="宋体" w:hint="default"/>
          <w:b/>
          <w:bCs/>
          <w:w w:val="99"/>
          <w:sz w:val="24"/>
          <w:szCs w:val="24"/>
        </w:rPr>
        <w:t> </w:t>
      </w:r>
      <w:r>
        <w:rPr>
          <w:rFonts w:ascii="宋体" w:hAnsi="宋体" w:cs="宋体" w:eastAsia="宋体" w:hint="default"/>
          <w:spacing w:val="-2"/>
          <w:sz w:val="24"/>
          <w:szCs w:val="24"/>
        </w:rPr>
        <w:t>阿尔派株式会社依据日本法律设立并存续，是一家以生产汽车音响及汽车通信系统</w:t>
      </w:r>
    </w:p>
    <w:p>
      <w:pPr>
        <w:pStyle w:val="Heading5"/>
        <w:spacing w:line="281" w:lineRule="exact"/>
        <w:ind w:right="0"/>
        <w:jc w:val="both"/>
      </w:pPr>
      <w:r>
        <w:rPr/>
        <w:t>产品为主的专业汽车电子企业。阿尔派株式会社在日本东京证券交易所上市。</w:t>
      </w:r>
    </w:p>
    <w:p>
      <w:pPr>
        <w:spacing w:line="237" w:lineRule="auto" w:before="1"/>
        <w:ind w:left="598" w:right="3465" w:firstLine="0"/>
        <w:jc w:val="left"/>
        <w:rPr>
          <w:rFonts w:ascii="宋体" w:hAnsi="宋体" w:cs="宋体" w:eastAsia="宋体" w:hint="default"/>
          <w:sz w:val="24"/>
          <w:szCs w:val="24"/>
        </w:rPr>
      </w:pPr>
      <w:r>
        <w:rPr>
          <w:rFonts w:ascii="宋体" w:hAnsi="宋体" w:cs="宋体" w:eastAsia="宋体" w:hint="default"/>
          <w:sz w:val="24"/>
          <w:szCs w:val="24"/>
        </w:rPr>
        <w:t>成立日期：1967年5月10日 资本金额：25,920,599,127日元 注册地址：日本国东京都品川区西五反田1-1-8 主营业务：汽车音响及汽车通信系统产品的生产。</w:t>
      </w:r>
    </w:p>
    <w:p>
      <w:pPr>
        <w:spacing w:line="310" w:lineRule="exact" w:before="29"/>
        <w:ind w:left="598" w:right="0" w:firstLine="2"/>
        <w:jc w:val="left"/>
        <w:rPr>
          <w:rFonts w:ascii="宋体" w:hAnsi="宋体" w:cs="宋体" w:eastAsia="宋体" w:hint="default"/>
          <w:sz w:val="24"/>
          <w:szCs w:val="24"/>
        </w:rPr>
      </w:pPr>
      <w:r>
        <w:rPr>
          <w:rFonts w:ascii="宋体" w:hAnsi="宋体" w:cs="宋体" w:eastAsia="宋体" w:hint="default"/>
          <w:b/>
          <w:bCs/>
          <w:sz w:val="24"/>
          <w:szCs w:val="24"/>
        </w:rPr>
        <w:t>（4）阿尔派电子（中国）有限公司</w:t>
      </w:r>
      <w:r>
        <w:rPr>
          <w:rFonts w:ascii="宋体" w:hAnsi="宋体" w:cs="宋体" w:eastAsia="宋体" w:hint="default"/>
          <w:b/>
          <w:bCs/>
          <w:spacing w:val="1"/>
          <w:w w:val="99"/>
          <w:sz w:val="24"/>
          <w:szCs w:val="24"/>
        </w:rPr>
        <w:t> </w:t>
      </w:r>
      <w:r>
        <w:rPr>
          <w:rFonts w:ascii="宋体" w:hAnsi="宋体" w:cs="宋体" w:eastAsia="宋体" w:hint="default"/>
          <w:spacing w:val="-2"/>
          <w:sz w:val="24"/>
          <w:szCs w:val="24"/>
        </w:rPr>
        <w:t>阿尔派电子（中国）有限公司是日本阿尔派株式会社于1994年在中国北京投资创建</w:t>
      </w:r>
    </w:p>
    <w:p>
      <w:pPr>
        <w:pStyle w:val="Heading5"/>
        <w:spacing w:line="310" w:lineRule="exact" w:before="2"/>
        <w:ind w:left="598" w:right="5846" w:hanging="480"/>
        <w:jc w:val="left"/>
      </w:pPr>
      <w:r>
        <w:rPr/>
        <w:t>的外商独资投资性公司。 成立日期：1994年12月28日</w:t>
      </w:r>
    </w:p>
    <w:p>
      <w:pPr>
        <w:spacing w:line="310" w:lineRule="exact" w:before="2"/>
        <w:ind w:left="598" w:right="0" w:firstLine="0"/>
        <w:jc w:val="left"/>
        <w:rPr>
          <w:rFonts w:ascii="宋体" w:hAnsi="宋体" w:cs="宋体" w:eastAsia="宋体" w:hint="default"/>
          <w:sz w:val="24"/>
          <w:szCs w:val="24"/>
        </w:rPr>
      </w:pPr>
      <w:r>
        <w:rPr>
          <w:rFonts w:ascii="宋体" w:hAnsi="宋体" w:cs="宋体" w:eastAsia="宋体" w:hint="default"/>
          <w:sz w:val="24"/>
          <w:szCs w:val="24"/>
        </w:rPr>
        <w:t>注册资本：90,000,000美元 注册地址：北京市朝阳区建国路116号招商局大厦R2楼4层 </w:t>
      </w:r>
      <w:r>
        <w:rPr>
          <w:rFonts w:ascii="宋体" w:hAnsi="宋体" w:cs="宋体" w:eastAsia="宋体" w:hint="default"/>
          <w:spacing w:val="-2"/>
          <w:sz w:val="24"/>
          <w:szCs w:val="24"/>
        </w:rPr>
        <w:t>主营业务：从事阿尔派株式会社在中国国内的，包括汽车音响及有关零部件、汽车</w:t>
      </w:r>
    </w:p>
    <w:p>
      <w:pPr>
        <w:spacing w:line="310" w:lineRule="exact" w:before="2"/>
        <w:ind w:left="118" w:right="154" w:firstLine="0"/>
        <w:jc w:val="both"/>
        <w:rPr>
          <w:rFonts w:ascii="宋体" w:hAnsi="宋体" w:cs="宋体" w:eastAsia="宋体" w:hint="default"/>
          <w:sz w:val="24"/>
          <w:szCs w:val="24"/>
        </w:rPr>
      </w:pPr>
      <w:r>
        <w:rPr>
          <w:rFonts w:ascii="宋体" w:hAnsi="宋体" w:cs="宋体" w:eastAsia="宋体" w:hint="default"/>
          <w:spacing w:val="-2"/>
          <w:sz w:val="24"/>
          <w:szCs w:val="24"/>
        </w:rPr>
        <w:t>用通信机器及汽车导向系统产品、重要零部件在内的汽车电子领域的投资；为所投资企</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业生产的产品提供销售及服务。</w:t>
      </w:r>
    </w:p>
    <w:p>
      <w:pPr>
        <w:spacing w:line="282" w:lineRule="exact" w:before="0"/>
        <w:ind w:left="600" w:right="3566" w:firstLine="0"/>
        <w:jc w:val="left"/>
        <w:rPr>
          <w:rFonts w:ascii="宋体" w:hAnsi="宋体" w:cs="宋体" w:eastAsia="宋体" w:hint="default"/>
          <w:sz w:val="24"/>
          <w:szCs w:val="24"/>
        </w:rPr>
      </w:pPr>
      <w:r>
        <w:rPr>
          <w:rFonts w:ascii="宋体" w:hAnsi="宋体" w:cs="宋体" w:eastAsia="宋体" w:hint="default"/>
          <w:b/>
          <w:bCs/>
          <w:sz w:val="24"/>
          <w:szCs w:val="24"/>
        </w:rPr>
        <w:t>（5）株式会社东芝</w:t>
      </w:r>
      <w:r>
        <w:rPr>
          <w:rFonts w:ascii="宋体" w:hAnsi="宋体" w:cs="宋体" w:eastAsia="宋体" w:hint="default"/>
          <w:sz w:val="24"/>
          <w:szCs w:val="24"/>
        </w:rPr>
      </w:r>
    </w:p>
    <w:p>
      <w:pPr>
        <w:spacing w:line="310" w:lineRule="exact" w:before="31"/>
        <w:ind w:left="118" w:right="0" w:firstLine="480"/>
        <w:jc w:val="left"/>
        <w:rPr>
          <w:rFonts w:ascii="宋体" w:hAnsi="宋体" w:cs="宋体" w:eastAsia="宋体" w:hint="default"/>
          <w:sz w:val="24"/>
          <w:szCs w:val="24"/>
        </w:rPr>
      </w:pPr>
      <w:r>
        <w:rPr>
          <w:rFonts w:ascii="宋体" w:hAnsi="宋体" w:cs="宋体" w:eastAsia="宋体" w:hint="default"/>
          <w:spacing w:val="5"/>
          <w:sz w:val="24"/>
          <w:szCs w:val="24"/>
        </w:rPr>
        <w:t>株式会社东芝是依据日本法律设立并存续的公司。东芝在日本东京证券交易所上 </w:t>
      </w:r>
      <w:r>
        <w:rPr>
          <w:rFonts w:ascii="宋体" w:hAnsi="宋体" w:cs="宋体" w:eastAsia="宋体" w:hint="default"/>
          <w:sz w:val="24"/>
          <w:szCs w:val="24"/>
        </w:rPr>
        <w:t>市。</w:t>
      </w:r>
    </w:p>
    <w:p>
      <w:pPr>
        <w:spacing w:line="310" w:lineRule="exact" w:before="2"/>
        <w:ind w:left="598" w:right="5186" w:firstLine="0"/>
        <w:jc w:val="left"/>
        <w:rPr>
          <w:rFonts w:ascii="宋体" w:hAnsi="宋体" w:cs="宋体" w:eastAsia="宋体" w:hint="default"/>
          <w:sz w:val="24"/>
          <w:szCs w:val="24"/>
        </w:rPr>
      </w:pPr>
      <w:r>
        <w:rPr>
          <w:rFonts w:ascii="宋体" w:hAnsi="宋体" w:cs="宋体" w:eastAsia="宋体" w:hint="default"/>
          <w:sz w:val="24"/>
          <w:szCs w:val="24"/>
        </w:rPr>
        <w:t>成立日期：1875</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z w:val="24"/>
          <w:szCs w:val="24"/>
        </w:rPr>
        <w:t> 注册资本：439,901,268,477</w:t>
      </w:r>
      <w:r>
        <w:rPr>
          <w:rFonts w:ascii="宋体" w:hAnsi="宋体" w:cs="宋体" w:eastAsia="宋体" w:hint="default"/>
          <w:spacing w:val="-60"/>
          <w:sz w:val="24"/>
          <w:szCs w:val="24"/>
        </w:rPr>
        <w:t> </w:t>
      </w:r>
      <w:r>
        <w:rPr>
          <w:rFonts w:ascii="宋体" w:hAnsi="宋体" w:cs="宋体" w:eastAsia="宋体" w:hint="default"/>
          <w:sz w:val="24"/>
          <w:szCs w:val="24"/>
        </w:rPr>
        <w:t>日元</w:t>
      </w:r>
    </w:p>
    <w:p>
      <w:pPr>
        <w:spacing w:line="282" w:lineRule="exact" w:before="0"/>
        <w:ind w:left="598" w:right="0" w:firstLine="0"/>
        <w:jc w:val="left"/>
        <w:rPr>
          <w:rFonts w:ascii="宋体" w:hAnsi="宋体" w:cs="宋体" w:eastAsia="宋体" w:hint="default"/>
          <w:sz w:val="24"/>
          <w:szCs w:val="24"/>
        </w:rPr>
      </w:pPr>
      <w:r>
        <w:rPr>
          <w:rFonts w:ascii="宋体" w:hAnsi="宋体" w:cs="宋体" w:eastAsia="宋体" w:hint="default"/>
          <w:spacing w:val="10"/>
          <w:sz w:val="24"/>
          <w:szCs w:val="24"/>
        </w:rPr>
        <w:t>注册地址：日本国东京都港区芝浦一丁目1番1号</w:t>
      </w:r>
      <w:r>
        <w:rPr>
          <w:rFonts w:ascii="宋体" w:hAnsi="宋体" w:cs="宋体" w:eastAsia="宋体" w:hint="default"/>
          <w:spacing w:val="-60"/>
          <w:sz w:val="24"/>
          <w:szCs w:val="24"/>
        </w:rPr>
        <w:t> </w:t>
      </w:r>
      <w:r>
        <w:rPr>
          <w:rFonts w:ascii="宋体" w:hAnsi="宋体" w:cs="宋体" w:eastAsia="宋体" w:hint="default"/>
          <w:sz w:val="24"/>
          <w:szCs w:val="24"/>
        </w:rPr>
      </w:r>
    </w:p>
    <w:p>
      <w:pPr>
        <w:spacing w:line="311" w:lineRule="exact" w:before="0"/>
        <w:ind w:left="598" w:right="0" w:firstLine="0"/>
        <w:jc w:val="left"/>
        <w:rPr>
          <w:rFonts w:ascii="宋体" w:hAnsi="宋体" w:cs="宋体" w:eastAsia="宋体" w:hint="default"/>
          <w:sz w:val="24"/>
          <w:szCs w:val="24"/>
        </w:rPr>
      </w:pPr>
      <w:r>
        <w:rPr>
          <w:rFonts w:ascii="宋体" w:hAnsi="宋体" w:cs="宋体" w:eastAsia="宋体" w:hint="default"/>
          <w:sz w:val="24"/>
          <w:szCs w:val="24"/>
        </w:rPr>
        <w:t>主营业务：数码产品业务、电子部件业务、基础设施业务、家电产品业务等。</w:t>
      </w:r>
    </w:p>
    <w:p>
      <w:pPr>
        <w:spacing w:line="310" w:lineRule="exact" w:before="30"/>
        <w:ind w:left="600" w:right="0" w:firstLine="0"/>
        <w:jc w:val="left"/>
        <w:rPr>
          <w:rFonts w:ascii="宋体" w:hAnsi="宋体" w:cs="宋体" w:eastAsia="宋体" w:hint="default"/>
          <w:sz w:val="24"/>
          <w:szCs w:val="24"/>
        </w:rPr>
      </w:pPr>
      <w:r>
        <w:rPr>
          <w:rFonts w:ascii="宋体" w:hAnsi="宋体" w:cs="宋体" w:eastAsia="宋体" w:hint="default"/>
          <w:b/>
          <w:bCs/>
          <w:sz w:val="24"/>
          <w:szCs w:val="24"/>
        </w:rPr>
        <w:t>（6）东芝解决方案株式会社</w:t>
      </w:r>
      <w:r>
        <w:rPr>
          <w:rFonts w:ascii="宋体" w:hAnsi="宋体" w:cs="宋体" w:eastAsia="宋体" w:hint="default"/>
          <w:b/>
          <w:bCs/>
          <w:w w:val="99"/>
          <w:sz w:val="24"/>
          <w:szCs w:val="24"/>
        </w:rPr>
        <w:t> </w:t>
      </w:r>
      <w:r>
        <w:rPr>
          <w:rFonts w:ascii="宋体" w:hAnsi="宋体" w:cs="宋体" w:eastAsia="宋体" w:hint="default"/>
          <w:spacing w:val="4"/>
          <w:sz w:val="24"/>
          <w:szCs w:val="24"/>
        </w:rPr>
        <w:t>东芝解决方案株式会社是依据日本法律设立并存续的公司，其股东是株式会社东</w:t>
      </w:r>
      <w:r>
        <w:rPr>
          <w:rFonts w:ascii="宋体" w:hAnsi="宋体" w:cs="宋体" w:eastAsia="宋体" w:hint="default"/>
          <w:sz w:val="24"/>
          <w:szCs w:val="24"/>
        </w:rPr>
      </w:r>
    </w:p>
    <w:p>
      <w:pPr>
        <w:pStyle w:val="Heading5"/>
        <w:spacing w:line="282" w:lineRule="exact"/>
        <w:ind w:right="3566"/>
        <w:jc w:val="left"/>
      </w:pPr>
      <w:r>
        <w:rPr/>
        <w:t>芝。</w:t>
      </w:r>
    </w:p>
    <w:p>
      <w:pPr>
        <w:spacing w:line="312" w:lineRule="exact" w:before="0"/>
        <w:ind w:left="600" w:right="3566" w:firstLine="0"/>
        <w:jc w:val="left"/>
        <w:rPr>
          <w:rFonts w:ascii="宋体" w:hAnsi="宋体" w:cs="宋体" w:eastAsia="宋体" w:hint="default"/>
          <w:sz w:val="24"/>
          <w:szCs w:val="24"/>
        </w:rPr>
      </w:pPr>
      <w:r>
        <w:rPr>
          <w:rFonts w:ascii="宋体" w:hAnsi="宋体" w:cs="宋体" w:eastAsia="宋体" w:hint="default"/>
          <w:sz w:val="24"/>
          <w:szCs w:val="24"/>
        </w:rPr>
        <w:t>成立日期：2003年10月</w:t>
      </w:r>
    </w:p>
    <w:p>
      <w:pPr>
        <w:spacing w:line="310" w:lineRule="exact" w:before="30"/>
        <w:ind w:left="600" w:right="3684" w:hanging="3"/>
        <w:jc w:val="left"/>
        <w:rPr>
          <w:rFonts w:ascii="宋体" w:hAnsi="宋体" w:cs="宋体" w:eastAsia="宋体" w:hint="default"/>
          <w:sz w:val="24"/>
          <w:szCs w:val="24"/>
        </w:rPr>
      </w:pPr>
      <w:r>
        <w:rPr>
          <w:rFonts w:ascii="宋体" w:hAnsi="宋体" w:cs="宋体" w:eastAsia="宋体" w:hint="default"/>
          <w:sz w:val="24"/>
          <w:szCs w:val="24"/>
        </w:rPr>
        <w:t>注册资本：23,500,000,000</w:t>
      </w:r>
      <w:r>
        <w:rPr>
          <w:rFonts w:ascii="宋体" w:hAnsi="宋体" w:cs="宋体" w:eastAsia="宋体" w:hint="default"/>
          <w:spacing w:val="-60"/>
          <w:sz w:val="24"/>
          <w:szCs w:val="24"/>
        </w:rPr>
        <w:t> </w:t>
      </w:r>
      <w:r>
        <w:rPr>
          <w:rFonts w:ascii="宋体" w:hAnsi="宋体" w:cs="宋体" w:eastAsia="宋体" w:hint="default"/>
          <w:sz w:val="24"/>
          <w:szCs w:val="24"/>
        </w:rPr>
        <w:t>日元</w:t>
      </w:r>
      <w:r>
        <w:rPr>
          <w:rFonts w:ascii="宋体" w:hAnsi="宋体" w:cs="宋体" w:eastAsia="宋体" w:hint="default"/>
          <w:sz w:val="24"/>
          <w:szCs w:val="24"/>
        </w:rPr>
        <w:t> 注册地址：日本国东京都港区芝浦一丁目1番1号</w:t>
      </w:r>
    </w:p>
    <w:p>
      <w:pPr>
        <w:spacing w:line="282" w:lineRule="exact" w:before="0"/>
        <w:ind w:left="118" w:right="0" w:firstLine="482"/>
        <w:jc w:val="left"/>
        <w:rPr>
          <w:rFonts w:ascii="宋体" w:hAnsi="宋体" w:cs="宋体" w:eastAsia="宋体" w:hint="default"/>
          <w:sz w:val="24"/>
          <w:szCs w:val="24"/>
        </w:rPr>
      </w:pPr>
      <w:r>
        <w:rPr>
          <w:rFonts w:ascii="宋体" w:hAnsi="宋体" w:cs="宋体" w:eastAsia="宋体" w:hint="default"/>
          <w:sz w:val="24"/>
          <w:szCs w:val="24"/>
        </w:rPr>
        <w:t>主营业务：软件开发与解决方案的提供。软件应用到政府、道路、交通、播放等的</w:t>
      </w:r>
    </w:p>
    <w:p>
      <w:pPr>
        <w:spacing w:line="311" w:lineRule="exact" w:before="0"/>
        <w:ind w:left="118" w:right="0" w:firstLine="0"/>
        <w:jc w:val="left"/>
        <w:rPr>
          <w:rFonts w:ascii="宋体" w:hAnsi="宋体" w:cs="宋体" w:eastAsia="宋体" w:hint="default"/>
          <w:sz w:val="24"/>
          <w:szCs w:val="24"/>
        </w:rPr>
      </w:pPr>
      <w:r>
        <w:rPr>
          <w:rFonts w:ascii="宋体" w:hAnsi="宋体" w:cs="宋体" w:eastAsia="宋体" w:hint="default"/>
          <w:sz w:val="24"/>
          <w:szCs w:val="24"/>
        </w:rPr>
        <w:t>基础设施建设行业，同时应用到制造、产业、流通、服务、金融、电信、媒体等行业。</w:t>
      </w:r>
    </w:p>
    <w:p>
      <w:pPr>
        <w:spacing w:line="311" w:lineRule="exact" w:before="0"/>
        <w:ind w:left="600" w:right="0" w:firstLine="0"/>
        <w:jc w:val="left"/>
        <w:rPr>
          <w:rFonts w:ascii="宋体" w:hAnsi="宋体" w:cs="宋体" w:eastAsia="宋体" w:hint="default"/>
          <w:sz w:val="24"/>
          <w:szCs w:val="24"/>
        </w:rPr>
      </w:pPr>
      <w:r>
        <w:rPr>
          <w:rFonts w:ascii="宋体" w:hAnsi="宋体" w:cs="宋体" w:eastAsia="宋体" w:hint="default"/>
          <w:b/>
          <w:bCs/>
          <w:sz w:val="24"/>
          <w:szCs w:val="24"/>
        </w:rPr>
        <w:t>（7）PHILIPS ELECTRONICS CHINA</w:t>
      </w:r>
      <w:r>
        <w:rPr>
          <w:rFonts w:ascii="宋体" w:hAnsi="宋体" w:cs="宋体" w:eastAsia="宋体" w:hint="default"/>
          <w:b/>
          <w:bCs/>
          <w:spacing w:val="-24"/>
          <w:sz w:val="24"/>
          <w:szCs w:val="24"/>
        </w:rPr>
        <w:t> </w:t>
      </w:r>
      <w:r>
        <w:rPr>
          <w:rFonts w:ascii="宋体" w:hAnsi="宋体" w:cs="宋体" w:eastAsia="宋体" w:hint="default"/>
          <w:b/>
          <w:bCs/>
          <w:sz w:val="24"/>
          <w:szCs w:val="24"/>
        </w:rPr>
        <w:t>B.V.（飞利浦电子中国有限公司）</w:t>
      </w:r>
      <w:r>
        <w:rPr>
          <w:rFonts w:ascii="宋体" w:hAnsi="宋体" w:cs="宋体" w:eastAsia="宋体" w:hint="default"/>
          <w:sz w:val="24"/>
          <w:szCs w:val="24"/>
        </w:rPr>
      </w:r>
    </w:p>
    <w:p>
      <w:pPr>
        <w:spacing w:line="237" w:lineRule="auto" w:before="1"/>
        <w:ind w:left="118" w:right="153" w:firstLine="482"/>
        <w:jc w:val="both"/>
        <w:rPr>
          <w:rFonts w:ascii="宋体" w:hAnsi="宋体" w:cs="宋体" w:eastAsia="宋体" w:hint="default"/>
          <w:sz w:val="24"/>
          <w:szCs w:val="24"/>
        </w:rPr>
      </w:pPr>
      <w:r>
        <w:rPr>
          <w:rFonts w:ascii="宋体" w:hAnsi="宋体" w:cs="宋体" w:eastAsia="宋体" w:hint="default"/>
          <w:sz w:val="24"/>
          <w:szCs w:val="24"/>
        </w:rPr>
        <w:t>PHILIPS ELECTRONICS CHINA</w:t>
      </w:r>
      <w:r>
        <w:rPr>
          <w:rFonts w:ascii="宋体" w:hAnsi="宋体" w:cs="宋体" w:eastAsia="宋体" w:hint="default"/>
          <w:spacing w:val="-90"/>
          <w:sz w:val="24"/>
          <w:szCs w:val="24"/>
        </w:rPr>
        <w:t> </w:t>
      </w:r>
      <w:r>
        <w:rPr>
          <w:rFonts w:ascii="宋体" w:hAnsi="宋体" w:cs="宋体" w:eastAsia="宋体" w:hint="default"/>
          <w:sz w:val="24"/>
          <w:szCs w:val="24"/>
        </w:rPr>
        <w:t>B.V.是依据荷兰法律设立并存续的有限责任公司，隶</w:t>
      </w:r>
      <w:r>
        <w:rPr>
          <w:rFonts w:ascii="宋体" w:hAnsi="宋体" w:cs="宋体" w:eastAsia="宋体" w:hint="default"/>
          <w:spacing w:val="-1"/>
          <w:sz w:val="24"/>
          <w:szCs w:val="24"/>
        </w:rPr>
        <w:t> </w:t>
      </w:r>
      <w:r>
        <w:rPr>
          <w:rFonts w:ascii="宋体" w:hAnsi="宋体" w:cs="宋体" w:eastAsia="宋体" w:hint="default"/>
          <w:spacing w:val="-2"/>
          <w:sz w:val="24"/>
          <w:szCs w:val="24"/>
        </w:rPr>
        <w:t>属于皇家飞利浦电子股份有限公司，目前负责飞利浦在中国所有的投资和发展，总部在</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荷兰埃茵霍温。</w:t>
      </w:r>
    </w:p>
    <w:p>
      <w:pPr>
        <w:spacing w:line="312" w:lineRule="exact" w:before="0"/>
        <w:ind w:left="600" w:right="3566" w:firstLine="0"/>
        <w:jc w:val="left"/>
        <w:rPr>
          <w:rFonts w:ascii="宋体" w:hAnsi="宋体" w:cs="宋体" w:eastAsia="宋体" w:hint="default"/>
          <w:sz w:val="24"/>
          <w:szCs w:val="24"/>
        </w:rPr>
      </w:pPr>
      <w:r>
        <w:rPr>
          <w:rFonts w:ascii="宋体" w:hAnsi="宋体" w:cs="宋体" w:eastAsia="宋体" w:hint="default"/>
          <w:spacing w:val="15"/>
          <w:sz w:val="24"/>
          <w:szCs w:val="24"/>
        </w:rPr>
        <w:t>成立日期：1946年9月</w:t>
      </w:r>
      <w:r>
        <w:rPr>
          <w:rFonts w:ascii="宋体" w:hAnsi="宋体" w:cs="宋体" w:eastAsia="宋体" w:hint="default"/>
          <w:spacing w:val="-60"/>
          <w:sz w:val="24"/>
          <w:szCs w:val="24"/>
        </w:rPr>
        <w:t> </w:t>
      </w:r>
      <w:r>
        <w:rPr>
          <w:rFonts w:ascii="宋体" w:hAnsi="宋体" w:cs="宋体" w:eastAsia="宋体" w:hint="default"/>
          <w:spacing w:val="20"/>
          <w:sz w:val="24"/>
          <w:szCs w:val="24"/>
        </w:rPr>
        <w:t>12日</w:t>
      </w:r>
      <w:r>
        <w:rPr>
          <w:rFonts w:ascii="宋体" w:hAnsi="宋体" w:cs="宋体" w:eastAsia="宋体" w:hint="default"/>
          <w:spacing w:val="-60"/>
          <w:sz w:val="24"/>
          <w:szCs w:val="24"/>
        </w:rPr>
        <w:t> </w:t>
      </w:r>
      <w:r>
        <w:rPr>
          <w:rFonts w:ascii="宋体" w:hAnsi="宋体" w:cs="宋体" w:eastAsia="宋体" w:hint="default"/>
          <w:sz w:val="24"/>
          <w:szCs w:val="24"/>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p>
      <w:pPr>
        <w:pStyle w:val="BodyText"/>
        <w:spacing w:line="240" w:lineRule="auto"/>
        <w:ind w:left="118" w:right="3566"/>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260"/>
        </w:sectPr>
      </w:pPr>
    </w:p>
    <w:p>
      <w:pPr>
        <w:spacing w:line="240" w:lineRule="auto" w:before="6"/>
        <w:rPr>
          <w:rFonts w:ascii="黑体" w:hAnsi="黑体" w:cs="黑体" w:eastAsia="黑体" w:hint="default"/>
          <w:sz w:val="15"/>
          <w:szCs w:val="15"/>
        </w:rPr>
      </w:pPr>
    </w:p>
    <w:p>
      <w:pPr>
        <w:pStyle w:val="Heading5"/>
        <w:spacing w:line="237" w:lineRule="auto" w:before="28"/>
        <w:ind w:left="600" w:right="4244"/>
        <w:jc w:val="left"/>
      </w:pPr>
      <w:r>
        <w:rPr/>
        <w:t>法定股本：15,750,000</w:t>
      </w:r>
      <w:r>
        <w:rPr>
          <w:spacing w:val="-60"/>
        </w:rPr>
        <w:t> </w:t>
      </w:r>
      <w:r>
        <w:rPr/>
        <w:t>欧元</w:t>
      </w:r>
      <w:r>
        <w:rPr/>
        <w:t> 法定地址：Eindhoven, Groenewoudseweg 1 主营业务：医疗保健、优质生活、照明。</w:t>
      </w:r>
    </w:p>
    <w:p>
      <w:pPr>
        <w:spacing w:line="310" w:lineRule="exact" w:before="0"/>
        <w:ind w:left="600" w:right="100" w:firstLine="0"/>
        <w:jc w:val="left"/>
        <w:rPr>
          <w:rFonts w:ascii="宋体" w:hAnsi="宋体" w:cs="宋体" w:eastAsia="宋体" w:hint="default"/>
          <w:sz w:val="24"/>
          <w:szCs w:val="24"/>
        </w:rPr>
      </w:pPr>
      <w:r>
        <w:rPr>
          <w:rFonts w:ascii="宋体" w:hAnsi="宋体" w:cs="宋体" w:eastAsia="宋体" w:hint="default"/>
          <w:b/>
          <w:bCs/>
          <w:sz w:val="24"/>
          <w:szCs w:val="24"/>
        </w:rPr>
        <w:t>（8）SAP</w:t>
      </w:r>
      <w:r>
        <w:rPr>
          <w:rFonts w:ascii="宋体" w:hAnsi="宋体" w:cs="宋体" w:eastAsia="宋体" w:hint="default"/>
          <w:b/>
          <w:bCs/>
          <w:spacing w:val="-16"/>
          <w:sz w:val="24"/>
          <w:szCs w:val="24"/>
        </w:rPr>
        <w:t> </w:t>
      </w:r>
      <w:r>
        <w:rPr>
          <w:rFonts w:ascii="宋体" w:hAnsi="宋体" w:cs="宋体" w:eastAsia="宋体" w:hint="default"/>
          <w:b/>
          <w:bCs/>
          <w:sz w:val="24"/>
          <w:szCs w:val="24"/>
        </w:rPr>
        <w:t>AG（思爱普有限公司）</w:t>
      </w:r>
      <w:r>
        <w:rPr>
          <w:rFonts w:ascii="宋体" w:hAnsi="宋体" w:cs="宋体" w:eastAsia="宋体" w:hint="default"/>
          <w:sz w:val="24"/>
          <w:szCs w:val="24"/>
        </w:rPr>
      </w:r>
    </w:p>
    <w:p>
      <w:pPr>
        <w:spacing w:line="310" w:lineRule="exact" w:before="31"/>
        <w:ind w:left="118" w:right="100" w:firstLine="482"/>
        <w:jc w:val="left"/>
        <w:rPr>
          <w:rFonts w:ascii="宋体" w:hAnsi="宋体" w:cs="宋体" w:eastAsia="宋体" w:hint="default"/>
          <w:sz w:val="24"/>
          <w:szCs w:val="24"/>
        </w:rPr>
      </w:pPr>
      <w:r>
        <w:rPr>
          <w:rFonts w:ascii="宋体" w:hAnsi="宋体" w:cs="宋体" w:eastAsia="宋体" w:hint="default"/>
          <w:sz w:val="24"/>
          <w:szCs w:val="24"/>
        </w:rPr>
        <w:t>SAP</w:t>
      </w:r>
      <w:r>
        <w:rPr>
          <w:rFonts w:ascii="宋体" w:hAnsi="宋体" w:cs="宋体" w:eastAsia="宋体" w:hint="default"/>
          <w:spacing w:val="-57"/>
          <w:sz w:val="24"/>
          <w:szCs w:val="24"/>
        </w:rPr>
        <w:t> </w:t>
      </w:r>
      <w:r>
        <w:rPr>
          <w:rFonts w:ascii="宋体" w:hAnsi="宋体" w:cs="宋体" w:eastAsia="宋体" w:hint="default"/>
          <w:sz w:val="24"/>
          <w:szCs w:val="24"/>
        </w:rPr>
        <w:t>AG</w:t>
      </w:r>
      <w:r>
        <w:rPr>
          <w:rFonts w:ascii="宋体" w:hAnsi="宋体" w:cs="宋体" w:eastAsia="宋体" w:hint="default"/>
          <w:spacing w:val="6"/>
          <w:sz w:val="24"/>
          <w:szCs w:val="24"/>
        </w:rPr>
        <w:t> </w:t>
      </w:r>
      <w:r>
        <w:rPr>
          <w:rFonts w:ascii="宋体" w:hAnsi="宋体" w:cs="宋体" w:eastAsia="宋体" w:hint="default"/>
          <w:spacing w:val="-8"/>
          <w:sz w:val="24"/>
          <w:szCs w:val="24"/>
        </w:rPr>
        <w:t>依据德国法律组建。SAP</w:t>
      </w:r>
      <w:r>
        <w:rPr>
          <w:rFonts w:ascii="宋体" w:hAnsi="宋体" w:cs="宋体" w:eastAsia="宋体" w:hint="default"/>
          <w:spacing w:val="-57"/>
          <w:sz w:val="24"/>
          <w:szCs w:val="24"/>
        </w:rPr>
        <w:t> </w:t>
      </w:r>
      <w:r>
        <w:rPr>
          <w:rFonts w:ascii="宋体" w:hAnsi="宋体" w:cs="宋体" w:eastAsia="宋体" w:hint="default"/>
          <w:spacing w:val="-4"/>
          <w:sz w:val="24"/>
          <w:szCs w:val="24"/>
        </w:rPr>
        <w:t>为全球领先的业务软件提供商之一；按照市值排名，</w:t>
      </w:r>
      <w:r>
        <w:rPr>
          <w:rFonts w:ascii="宋体" w:hAnsi="宋体" w:cs="宋体" w:eastAsia="宋体" w:hint="default"/>
          <w:sz w:val="24"/>
          <w:szCs w:val="24"/>
        </w:rPr>
        <w:t> 为世界第三大的独立软件开发商。SAP</w:t>
      </w:r>
      <w:r>
        <w:rPr>
          <w:rFonts w:ascii="宋体" w:hAnsi="宋体" w:cs="宋体" w:eastAsia="宋体" w:hint="default"/>
          <w:spacing w:val="-58"/>
          <w:sz w:val="24"/>
          <w:szCs w:val="24"/>
        </w:rPr>
        <w:t> </w:t>
      </w:r>
      <w:r>
        <w:rPr>
          <w:rFonts w:ascii="宋体" w:hAnsi="宋体" w:cs="宋体" w:eastAsia="宋体" w:hint="default"/>
          <w:sz w:val="24"/>
          <w:szCs w:val="24"/>
        </w:rPr>
        <w:t>在</w:t>
      </w:r>
      <w:r>
        <w:rPr>
          <w:rFonts w:ascii="宋体" w:hAnsi="宋体" w:cs="宋体" w:eastAsia="宋体" w:hint="default"/>
          <w:spacing w:val="-58"/>
          <w:sz w:val="24"/>
          <w:szCs w:val="24"/>
        </w:rPr>
        <w:t> </w:t>
      </w:r>
      <w:r>
        <w:rPr>
          <w:rFonts w:ascii="宋体" w:hAnsi="宋体" w:cs="宋体" w:eastAsia="宋体" w:hint="default"/>
          <w:sz w:val="24"/>
          <w:szCs w:val="24"/>
        </w:rPr>
        <w:t>130</w:t>
      </w:r>
      <w:r>
        <w:rPr>
          <w:rFonts w:ascii="宋体" w:hAnsi="宋体" w:cs="宋体" w:eastAsia="宋体" w:hint="default"/>
          <w:spacing w:val="-59"/>
          <w:sz w:val="24"/>
          <w:szCs w:val="24"/>
        </w:rPr>
        <w:t> </w:t>
      </w:r>
      <w:r>
        <w:rPr>
          <w:rFonts w:ascii="宋体" w:hAnsi="宋体" w:cs="宋体" w:eastAsia="宋体" w:hint="default"/>
          <w:sz w:val="24"/>
          <w:szCs w:val="24"/>
        </w:rPr>
        <w:t>多个国家内拥有</w:t>
      </w:r>
      <w:r>
        <w:rPr>
          <w:rFonts w:ascii="宋体" w:hAnsi="宋体" w:cs="宋体" w:eastAsia="宋体" w:hint="default"/>
          <w:spacing w:val="-58"/>
          <w:sz w:val="24"/>
          <w:szCs w:val="24"/>
        </w:rPr>
        <w:t> </w:t>
      </w:r>
      <w:r>
        <w:rPr>
          <w:rFonts w:ascii="宋体" w:hAnsi="宋体" w:cs="宋体" w:eastAsia="宋体" w:hint="default"/>
          <w:sz w:val="24"/>
          <w:szCs w:val="24"/>
        </w:rPr>
        <w:t>183,000</w:t>
      </w:r>
      <w:r>
        <w:rPr>
          <w:rFonts w:ascii="宋体" w:hAnsi="宋体" w:cs="宋体" w:eastAsia="宋体" w:hint="default"/>
          <w:spacing w:val="-58"/>
          <w:sz w:val="24"/>
          <w:szCs w:val="24"/>
        </w:rPr>
        <w:t> </w:t>
      </w:r>
      <w:r>
        <w:rPr>
          <w:rFonts w:ascii="宋体" w:hAnsi="宋体" w:cs="宋体" w:eastAsia="宋体" w:hint="default"/>
          <w:sz w:val="24"/>
          <w:szCs w:val="24"/>
        </w:rPr>
        <w:t>多个客户，在欧</w:t>
      </w:r>
    </w:p>
    <w:p>
      <w:pPr>
        <w:spacing w:line="282" w:lineRule="exact" w:before="0"/>
        <w:ind w:left="118" w:right="0" w:firstLine="0"/>
        <w:jc w:val="left"/>
        <w:rPr>
          <w:rFonts w:ascii="宋体" w:hAnsi="宋体" w:cs="宋体" w:eastAsia="宋体" w:hint="default"/>
          <w:sz w:val="24"/>
          <w:szCs w:val="24"/>
        </w:rPr>
      </w:pPr>
      <w:r>
        <w:rPr>
          <w:rFonts w:ascii="宋体" w:hAnsi="宋体" w:cs="宋体" w:eastAsia="宋体" w:hint="default"/>
          <w:sz w:val="24"/>
          <w:szCs w:val="24"/>
        </w:rPr>
        <w:t>洲</w:t>
      </w:r>
      <w:r>
        <w:rPr>
          <w:rFonts w:ascii="宋体" w:hAnsi="宋体" w:cs="宋体" w:eastAsia="宋体" w:hint="default"/>
          <w:spacing w:val="-12"/>
          <w:sz w:val="24"/>
          <w:szCs w:val="24"/>
        </w:rPr>
        <w:t>、</w:t>
      </w:r>
      <w:r>
        <w:rPr>
          <w:rFonts w:ascii="宋体" w:hAnsi="宋体" w:cs="宋体" w:eastAsia="宋体" w:hint="default"/>
          <w:sz w:val="24"/>
          <w:szCs w:val="24"/>
        </w:rPr>
        <w:t>中东和非</w:t>
      </w:r>
      <w:r>
        <w:rPr>
          <w:rFonts w:ascii="宋体" w:hAnsi="宋体" w:cs="宋体" w:eastAsia="宋体" w:hint="default"/>
          <w:spacing w:val="-12"/>
          <w:sz w:val="24"/>
          <w:szCs w:val="24"/>
        </w:rPr>
        <w:t>洲</w:t>
      </w:r>
      <w:r>
        <w:rPr>
          <w:rFonts w:ascii="宋体" w:hAnsi="宋体" w:cs="宋体" w:eastAsia="宋体" w:hint="default"/>
          <w:sz w:val="24"/>
          <w:szCs w:val="24"/>
        </w:rPr>
        <w:t>（EMEA</w:t>
      </w:r>
      <w:r>
        <w:rPr>
          <w:rFonts w:ascii="宋体" w:hAnsi="宋体" w:cs="宋体" w:eastAsia="宋体" w:hint="default"/>
          <w:spacing w:val="-120"/>
          <w:sz w:val="24"/>
          <w:szCs w:val="24"/>
        </w:rPr>
        <w:t>）</w:t>
      </w:r>
      <w:r>
        <w:rPr>
          <w:rFonts w:ascii="宋体" w:hAnsi="宋体" w:cs="宋体" w:eastAsia="宋体" w:hint="default"/>
          <w:spacing w:val="-12"/>
          <w:sz w:val="24"/>
          <w:szCs w:val="24"/>
        </w:rPr>
        <w:t>、</w:t>
      </w:r>
      <w:r>
        <w:rPr>
          <w:rFonts w:ascii="宋体" w:hAnsi="宋体" w:cs="宋体" w:eastAsia="宋体" w:hint="default"/>
          <w:sz w:val="24"/>
          <w:szCs w:val="24"/>
        </w:rPr>
        <w:t>美国</w:t>
      </w:r>
      <w:r>
        <w:rPr>
          <w:rFonts w:ascii="宋体" w:hAnsi="宋体" w:cs="宋体" w:eastAsia="宋体" w:hint="default"/>
          <w:spacing w:val="-14"/>
          <w:sz w:val="24"/>
          <w:szCs w:val="24"/>
        </w:rPr>
        <w:t>、</w:t>
      </w:r>
      <w:r>
        <w:rPr>
          <w:rFonts w:ascii="宋体" w:hAnsi="宋体" w:cs="宋体" w:eastAsia="宋体" w:hint="default"/>
          <w:sz w:val="24"/>
          <w:szCs w:val="24"/>
        </w:rPr>
        <w:t>亚太及日本等</w:t>
      </w:r>
      <w:r>
        <w:rPr>
          <w:rFonts w:ascii="宋体" w:hAnsi="宋体" w:cs="宋体" w:eastAsia="宋体" w:hint="default"/>
          <w:spacing w:val="-60"/>
          <w:sz w:val="24"/>
          <w:szCs w:val="24"/>
        </w:rPr>
        <w:t> </w:t>
      </w:r>
      <w:r>
        <w:rPr>
          <w:rFonts w:ascii="宋体" w:hAnsi="宋体" w:cs="宋体" w:eastAsia="宋体" w:hint="default"/>
          <w:sz w:val="24"/>
          <w:szCs w:val="24"/>
        </w:rPr>
        <w:t>60</w:t>
      </w:r>
      <w:r>
        <w:rPr>
          <w:rFonts w:ascii="宋体" w:hAnsi="宋体" w:cs="宋体" w:eastAsia="宋体" w:hint="default"/>
          <w:spacing w:val="-60"/>
          <w:sz w:val="24"/>
          <w:szCs w:val="24"/>
        </w:rPr>
        <w:t> </w:t>
      </w:r>
      <w:r>
        <w:rPr>
          <w:rFonts w:ascii="宋体" w:hAnsi="宋体" w:cs="宋体" w:eastAsia="宋体" w:hint="default"/>
          <w:sz w:val="24"/>
          <w:szCs w:val="24"/>
        </w:rPr>
        <w:t>多个国家和地区拥有雇员</w:t>
      </w:r>
      <w:r>
        <w:rPr>
          <w:rFonts w:ascii="宋体" w:hAnsi="宋体" w:cs="宋体" w:eastAsia="宋体" w:hint="default"/>
          <w:spacing w:val="-60"/>
          <w:sz w:val="24"/>
          <w:szCs w:val="24"/>
        </w:rPr>
        <w:t> </w:t>
      </w:r>
      <w:r>
        <w:rPr>
          <w:rFonts w:ascii="宋体" w:hAnsi="宋体" w:cs="宋体" w:eastAsia="宋体" w:hint="default"/>
          <w:sz w:val="24"/>
          <w:szCs w:val="24"/>
        </w:rPr>
        <w:t>55,000</w:t>
      </w:r>
      <w:r>
        <w:rPr>
          <w:rFonts w:ascii="宋体" w:hAnsi="宋体" w:cs="宋体" w:eastAsia="宋体" w:hint="default"/>
          <w:spacing w:val="-60"/>
          <w:sz w:val="24"/>
          <w:szCs w:val="24"/>
        </w:rPr>
        <w:t> </w:t>
      </w:r>
      <w:r>
        <w:rPr>
          <w:rFonts w:ascii="宋体" w:hAnsi="宋体" w:cs="宋体" w:eastAsia="宋体" w:hint="default"/>
          <w:sz w:val="24"/>
          <w:szCs w:val="24"/>
        </w:rPr>
        <w:t>人。</w:t>
      </w:r>
    </w:p>
    <w:p>
      <w:pPr>
        <w:spacing w:line="310" w:lineRule="exact" w:before="31"/>
        <w:ind w:left="118" w:right="217" w:firstLine="0"/>
        <w:jc w:val="left"/>
        <w:rPr>
          <w:rFonts w:ascii="宋体" w:hAnsi="宋体" w:cs="宋体" w:eastAsia="宋体" w:hint="default"/>
          <w:sz w:val="24"/>
          <w:szCs w:val="24"/>
        </w:rPr>
      </w:pPr>
      <w:r>
        <w:rPr>
          <w:rFonts w:ascii="宋体" w:hAnsi="宋体" w:cs="宋体" w:eastAsia="宋体" w:hint="default"/>
          <w:sz w:val="24"/>
          <w:szCs w:val="24"/>
        </w:rPr>
        <w:t>目前，SAP</w:t>
      </w:r>
      <w:r>
        <w:rPr>
          <w:rFonts w:ascii="宋体" w:hAnsi="宋体" w:cs="宋体" w:eastAsia="宋体" w:hint="default"/>
          <w:spacing w:val="-51"/>
          <w:sz w:val="24"/>
          <w:szCs w:val="24"/>
        </w:rPr>
        <w:t> </w:t>
      </w:r>
      <w:r>
        <w:rPr>
          <w:rFonts w:ascii="宋体" w:hAnsi="宋体" w:cs="宋体" w:eastAsia="宋体" w:hint="default"/>
          <w:sz w:val="24"/>
          <w:szCs w:val="24"/>
        </w:rPr>
        <w:t>同时在德国法兰克福证券交易所和美国纽约证券交易所上市等数家证券交易</w:t>
      </w:r>
      <w:r>
        <w:rPr>
          <w:rFonts w:ascii="宋体" w:hAnsi="宋体" w:cs="宋体" w:eastAsia="宋体" w:hint="default"/>
          <w:sz w:val="24"/>
          <w:szCs w:val="24"/>
        </w:rPr>
        <w:t> 所上市。</w:t>
      </w:r>
    </w:p>
    <w:p>
      <w:pPr>
        <w:spacing w:line="310" w:lineRule="exact" w:before="2"/>
        <w:ind w:left="600" w:right="5504" w:firstLine="0"/>
        <w:jc w:val="left"/>
        <w:rPr>
          <w:rFonts w:ascii="宋体" w:hAnsi="宋体" w:cs="宋体" w:eastAsia="宋体" w:hint="default"/>
          <w:sz w:val="24"/>
          <w:szCs w:val="24"/>
        </w:rPr>
      </w:pPr>
      <w:r>
        <w:rPr>
          <w:rFonts w:ascii="宋体" w:hAnsi="宋体" w:cs="宋体" w:eastAsia="宋体" w:hint="default"/>
          <w:sz w:val="24"/>
          <w:szCs w:val="24"/>
        </w:rPr>
        <w:t>成立日期：1972</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z w:val="24"/>
          <w:szCs w:val="24"/>
        </w:rPr>
        <w:t> 注册资本：1,228,083,382</w:t>
      </w:r>
      <w:r>
        <w:rPr>
          <w:rFonts w:ascii="宋体" w:hAnsi="宋体" w:cs="宋体" w:eastAsia="宋体" w:hint="default"/>
          <w:spacing w:val="-60"/>
          <w:sz w:val="24"/>
          <w:szCs w:val="24"/>
        </w:rPr>
        <w:t> </w:t>
      </w:r>
      <w:r>
        <w:rPr>
          <w:rFonts w:ascii="宋体" w:hAnsi="宋体" w:cs="宋体" w:eastAsia="宋体" w:hint="default"/>
          <w:sz w:val="24"/>
          <w:szCs w:val="24"/>
        </w:rPr>
        <w:t>欧元</w:t>
      </w:r>
    </w:p>
    <w:p>
      <w:pPr>
        <w:spacing w:line="282" w:lineRule="exact" w:before="0"/>
        <w:ind w:left="600" w:right="100" w:firstLine="0"/>
        <w:jc w:val="left"/>
        <w:rPr>
          <w:rFonts w:ascii="宋体" w:hAnsi="宋体" w:cs="宋体" w:eastAsia="宋体" w:hint="default"/>
          <w:sz w:val="24"/>
          <w:szCs w:val="24"/>
        </w:rPr>
      </w:pPr>
      <w:r>
        <w:rPr>
          <w:rFonts w:ascii="宋体" w:hAnsi="宋体" w:cs="宋体" w:eastAsia="宋体" w:hint="default"/>
          <w:sz w:val="24"/>
          <w:szCs w:val="24"/>
        </w:rPr>
        <w:t>注册地址：SAP AG, Dietmar-Hopp-Allee 16, 69190 Walldorf, Germany</w:t>
      </w:r>
    </w:p>
    <w:p>
      <w:pPr>
        <w:spacing w:line="311" w:lineRule="exact" w:before="0"/>
        <w:ind w:left="600" w:right="100" w:firstLine="0"/>
        <w:jc w:val="left"/>
        <w:rPr>
          <w:rFonts w:ascii="宋体" w:hAnsi="宋体" w:cs="宋体" w:eastAsia="宋体" w:hint="default"/>
          <w:sz w:val="24"/>
          <w:szCs w:val="24"/>
        </w:rPr>
      </w:pPr>
      <w:r>
        <w:rPr>
          <w:rFonts w:ascii="宋体" w:hAnsi="宋体" w:cs="宋体" w:eastAsia="宋体" w:hint="default"/>
          <w:sz w:val="24"/>
          <w:szCs w:val="24"/>
        </w:rPr>
        <w:t>主营业务：商业软件解决方案的开发、销售与实施，相关的支持与咨询服务。</w:t>
      </w:r>
    </w:p>
    <w:p>
      <w:pPr>
        <w:spacing w:line="311" w:lineRule="exact" w:before="0"/>
        <w:ind w:left="600" w:right="100" w:firstLine="0"/>
        <w:jc w:val="left"/>
        <w:rPr>
          <w:rFonts w:ascii="宋体" w:hAnsi="宋体" w:cs="宋体" w:eastAsia="宋体" w:hint="default"/>
          <w:sz w:val="24"/>
          <w:szCs w:val="24"/>
        </w:rPr>
      </w:pPr>
      <w:r>
        <w:rPr>
          <w:rFonts w:ascii="宋体" w:hAnsi="宋体" w:cs="宋体" w:eastAsia="宋体" w:hint="default"/>
          <w:b/>
          <w:bCs/>
          <w:sz w:val="24"/>
          <w:szCs w:val="24"/>
        </w:rPr>
        <w:t>（9）INTEL CAPITAL</w:t>
      </w:r>
      <w:r>
        <w:rPr>
          <w:rFonts w:ascii="宋体" w:hAnsi="宋体" w:cs="宋体" w:eastAsia="宋体" w:hint="default"/>
          <w:b/>
          <w:bCs/>
          <w:spacing w:val="-17"/>
          <w:sz w:val="24"/>
          <w:szCs w:val="24"/>
        </w:rPr>
        <w:t> </w:t>
      </w:r>
      <w:r>
        <w:rPr>
          <w:rFonts w:ascii="宋体" w:hAnsi="宋体" w:cs="宋体" w:eastAsia="宋体" w:hint="default"/>
          <w:b/>
          <w:bCs/>
          <w:sz w:val="24"/>
          <w:szCs w:val="24"/>
        </w:rPr>
        <w:t>CORPORATION（英特尔投资股份有限公司）</w:t>
      </w:r>
      <w:r>
        <w:rPr>
          <w:rFonts w:ascii="宋体" w:hAnsi="宋体" w:cs="宋体" w:eastAsia="宋体" w:hint="default"/>
          <w:sz w:val="24"/>
          <w:szCs w:val="24"/>
        </w:rPr>
      </w:r>
    </w:p>
    <w:p>
      <w:pPr>
        <w:spacing w:line="237" w:lineRule="auto" w:before="1"/>
        <w:ind w:left="118" w:right="233" w:firstLine="482"/>
        <w:jc w:val="both"/>
        <w:rPr>
          <w:rFonts w:ascii="宋体" w:hAnsi="宋体" w:cs="宋体" w:eastAsia="宋体" w:hint="default"/>
          <w:sz w:val="24"/>
          <w:szCs w:val="24"/>
        </w:rPr>
      </w:pPr>
      <w:r>
        <w:rPr>
          <w:rFonts w:ascii="宋体" w:hAnsi="宋体" w:cs="宋体" w:eastAsia="宋体" w:hint="default"/>
          <w:sz w:val="24"/>
          <w:szCs w:val="24"/>
        </w:rPr>
        <w:t>INTEL CAPITAL CORPORATION </w:t>
      </w:r>
      <w:r>
        <w:rPr>
          <w:rFonts w:ascii="宋体" w:hAnsi="宋体" w:cs="宋体" w:eastAsia="宋体" w:hint="default"/>
          <w:spacing w:val="44"/>
          <w:sz w:val="24"/>
          <w:szCs w:val="24"/>
        </w:rPr>
        <w:t>是在美国纳斯达克证券交易所上市的</w:t>
      </w:r>
      <w:r>
        <w:rPr>
          <w:rFonts w:ascii="宋体" w:hAnsi="宋体" w:cs="宋体" w:eastAsia="宋体" w:hint="default"/>
          <w:spacing w:val="191"/>
          <w:sz w:val="24"/>
          <w:szCs w:val="24"/>
        </w:rPr>
        <w:t> </w:t>
      </w:r>
      <w:r>
        <w:rPr>
          <w:rFonts w:ascii="宋体" w:hAnsi="宋体" w:cs="宋体" w:eastAsia="宋体" w:hint="default"/>
          <w:sz w:val="24"/>
          <w:szCs w:val="24"/>
        </w:rPr>
        <w:t>INTEL</w:t>
      </w:r>
      <w:r>
        <w:rPr>
          <w:rFonts w:ascii="宋体" w:hAnsi="宋体" w:cs="宋体" w:eastAsia="宋体" w:hint="default"/>
          <w:sz w:val="24"/>
          <w:szCs w:val="24"/>
        </w:rPr>
        <w:t> CORPORATION</w:t>
      </w:r>
      <w:r>
        <w:rPr>
          <w:rFonts w:ascii="宋体" w:hAnsi="宋体" w:cs="宋体" w:eastAsia="宋体" w:hint="default"/>
          <w:spacing w:val="-57"/>
          <w:sz w:val="24"/>
          <w:szCs w:val="24"/>
        </w:rPr>
        <w:t> </w:t>
      </w:r>
      <w:r>
        <w:rPr>
          <w:rFonts w:ascii="宋体" w:hAnsi="宋体" w:cs="宋体" w:eastAsia="宋体" w:hint="default"/>
          <w:sz w:val="24"/>
          <w:szCs w:val="24"/>
        </w:rPr>
        <w:t>的全资子公司，作为</w:t>
      </w:r>
      <w:r>
        <w:rPr>
          <w:rFonts w:ascii="宋体" w:hAnsi="宋体" w:cs="宋体" w:eastAsia="宋体" w:hint="default"/>
          <w:spacing w:val="-57"/>
          <w:sz w:val="24"/>
          <w:szCs w:val="24"/>
        </w:rPr>
        <w:t> </w:t>
      </w:r>
      <w:r>
        <w:rPr>
          <w:rFonts w:ascii="宋体" w:hAnsi="宋体" w:cs="宋体" w:eastAsia="宋体" w:hint="default"/>
          <w:sz w:val="24"/>
          <w:szCs w:val="24"/>
        </w:rPr>
        <w:t>INTEL</w:t>
      </w:r>
      <w:r>
        <w:rPr>
          <w:rFonts w:ascii="宋体" w:hAnsi="宋体" w:cs="宋体" w:eastAsia="宋体" w:hint="default"/>
          <w:spacing w:val="-57"/>
          <w:sz w:val="24"/>
          <w:szCs w:val="24"/>
        </w:rPr>
        <w:t> </w:t>
      </w:r>
      <w:r>
        <w:rPr>
          <w:rFonts w:ascii="宋体" w:hAnsi="宋体" w:cs="宋体" w:eastAsia="宋体" w:hint="default"/>
          <w:sz w:val="24"/>
          <w:szCs w:val="24"/>
        </w:rPr>
        <w:t>的全球投资机构，在全球范围内向创新型的科</w:t>
      </w:r>
      <w:r>
        <w:rPr>
          <w:rFonts w:ascii="宋体" w:hAnsi="宋体" w:cs="宋体" w:eastAsia="宋体" w:hint="default"/>
          <w:sz w:val="24"/>
          <w:szCs w:val="24"/>
        </w:rPr>
        <w:t> 技公司和初创企业进行资本投资。</w:t>
      </w:r>
    </w:p>
    <w:p>
      <w:pPr>
        <w:spacing w:line="310" w:lineRule="exact" w:before="30"/>
        <w:ind w:left="600" w:right="5504" w:firstLine="0"/>
        <w:jc w:val="left"/>
        <w:rPr>
          <w:rFonts w:ascii="宋体" w:hAnsi="宋体" w:cs="宋体" w:eastAsia="宋体" w:hint="default"/>
          <w:sz w:val="24"/>
          <w:szCs w:val="24"/>
        </w:rPr>
      </w:pPr>
      <w:r>
        <w:rPr>
          <w:rFonts w:ascii="宋体" w:hAnsi="宋体" w:cs="宋体" w:eastAsia="宋体" w:hint="default"/>
          <w:spacing w:val="21"/>
          <w:sz w:val="24"/>
          <w:szCs w:val="24"/>
        </w:rPr>
        <w:t>成立日期：1998年4月6日</w:t>
      </w:r>
      <w:r>
        <w:rPr>
          <w:rFonts w:ascii="宋体" w:hAnsi="宋体" w:cs="宋体" w:eastAsia="宋体" w:hint="default"/>
          <w:spacing w:val="-114"/>
          <w:sz w:val="24"/>
          <w:szCs w:val="24"/>
        </w:rPr>
        <w:t> </w:t>
      </w:r>
      <w:r>
        <w:rPr>
          <w:rFonts w:ascii="宋体" w:hAnsi="宋体" w:cs="宋体" w:eastAsia="宋体" w:hint="default"/>
          <w:sz w:val="24"/>
          <w:szCs w:val="24"/>
        </w:rPr>
        <w:t>注册资本：10</w:t>
      </w:r>
      <w:r>
        <w:rPr>
          <w:rFonts w:ascii="宋体" w:hAnsi="宋体" w:cs="宋体" w:eastAsia="宋体" w:hint="default"/>
          <w:spacing w:val="-60"/>
          <w:sz w:val="24"/>
          <w:szCs w:val="24"/>
        </w:rPr>
        <w:t> </w:t>
      </w:r>
      <w:r>
        <w:rPr>
          <w:rFonts w:ascii="宋体" w:hAnsi="宋体" w:cs="宋体" w:eastAsia="宋体" w:hint="default"/>
          <w:sz w:val="24"/>
          <w:szCs w:val="24"/>
        </w:rPr>
        <w:t>美元</w:t>
      </w:r>
    </w:p>
    <w:p>
      <w:pPr>
        <w:spacing w:line="283" w:lineRule="exact" w:before="0"/>
        <w:ind w:left="600" w:right="100" w:firstLine="0"/>
        <w:jc w:val="left"/>
        <w:rPr>
          <w:rFonts w:ascii="宋体" w:hAnsi="宋体" w:cs="宋体" w:eastAsia="宋体" w:hint="default"/>
          <w:sz w:val="24"/>
          <w:szCs w:val="24"/>
        </w:rPr>
      </w:pPr>
      <w:r>
        <w:rPr>
          <w:rFonts w:ascii="宋体" w:hAnsi="宋体" w:cs="宋体" w:eastAsia="宋体" w:hint="default"/>
          <w:sz w:val="24"/>
          <w:szCs w:val="24"/>
        </w:rPr>
        <w:t>营业地址：2200 Mission College Boulevard, Santa Clara, California</w:t>
      </w:r>
      <w:r>
        <w:rPr>
          <w:rFonts w:ascii="宋体" w:hAnsi="宋体" w:cs="宋体" w:eastAsia="宋体" w:hint="default"/>
          <w:spacing w:val="-60"/>
          <w:sz w:val="24"/>
          <w:szCs w:val="24"/>
        </w:rPr>
        <w:t> </w:t>
      </w:r>
      <w:r>
        <w:rPr>
          <w:rFonts w:ascii="宋体" w:hAnsi="宋体" w:cs="宋体" w:eastAsia="宋体" w:hint="default"/>
          <w:sz w:val="24"/>
          <w:szCs w:val="24"/>
        </w:rPr>
        <w:t>95052,</w:t>
      </w:r>
    </w:p>
    <w:p>
      <w:pPr>
        <w:spacing w:line="310" w:lineRule="exact" w:before="0"/>
        <w:ind w:left="118" w:right="100" w:firstLine="0"/>
        <w:jc w:val="left"/>
        <w:rPr>
          <w:rFonts w:ascii="宋体" w:hAnsi="宋体" w:cs="宋体" w:eastAsia="宋体" w:hint="default"/>
          <w:sz w:val="24"/>
          <w:szCs w:val="24"/>
        </w:rPr>
      </w:pPr>
      <w:r>
        <w:rPr>
          <w:rFonts w:ascii="宋体"/>
          <w:sz w:val="24"/>
        </w:rPr>
        <w:t>USA</w:t>
      </w:r>
    </w:p>
    <w:p>
      <w:pPr>
        <w:spacing w:line="312" w:lineRule="exact" w:before="0"/>
        <w:ind w:left="600" w:right="100" w:firstLine="0"/>
        <w:jc w:val="left"/>
        <w:rPr>
          <w:rFonts w:ascii="宋体" w:hAnsi="宋体" w:cs="宋体" w:eastAsia="宋体" w:hint="default"/>
          <w:sz w:val="24"/>
          <w:szCs w:val="24"/>
        </w:rPr>
      </w:pPr>
      <w:r>
        <w:rPr>
          <w:rFonts w:ascii="宋体" w:hAnsi="宋体" w:cs="宋体" w:eastAsia="宋体" w:hint="default"/>
          <w:sz w:val="24"/>
          <w:szCs w:val="24"/>
        </w:rPr>
        <w:t>主营业务：资本投资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BodyText"/>
        <w:spacing w:line="240" w:lineRule="auto"/>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20"/>
          <w:szCs w:val="20"/>
        </w:rPr>
      </w:pPr>
    </w:p>
    <w:p>
      <w:pPr>
        <w:pStyle w:val="Heading2"/>
        <w:spacing w:line="240" w:lineRule="auto"/>
        <w:ind w:left="1078" w:right="3706"/>
        <w:jc w:val="left"/>
        <w:rPr>
          <w:b w:val="0"/>
          <w:bCs w:val="0"/>
        </w:rPr>
      </w:pPr>
      <w:bookmarkStart w:name="_TOC_250007" w:id="6"/>
      <w:r>
        <w:rPr/>
        <w:t>五、董事、监事和高级管理人员</w:t>
      </w:r>
      <w:bookmarkEnd w:id="6"/>
      <w:r>
        <w:rPr>
          <w:b w:val="0"/>
          <w:bCs w:val="0"/>
        </w:rPr>
      </w:r>
    </w:p>
    <w:p>
      <w:pPr>
        <w:pStyle w:val="Heading4"/>
        <w:spacing w:line="240" w:lineRule="auto" w:before="197"/>
        <w:ind w:left="1078" w:right="3706"/>
        <w:jc w:val="left"/>
        <w:rPr>
          <w:b w:val="0"/>
          <w:bCs w:val="0"/>
        </w:rPr>
      </w:pPr>
      <w:r>
        <w:rPr/>
        <w:t>（一）董事、监事和高级管理人员持股变动及报酬情况</w:t>
      </w:r>
      <w:r>
        <w:rPr>
          <w:b w:val="0"/>
          <w:bCs w:val="0"/>
        </w:rPr>
      </w:r>
    </w:p>
    <w:p>
      <w:pPr>
        <w:spacing w:line="240" w:lineRule="auto" w:before="2"/>
        <w:rPr>
          <w:rFonts w:ascii="宋体" w:hAnsi="宋体" w:cs="宋体" w:eastAsia="宋体" w:hint="default"/>
          <w:b/>
          <w:bCs/>
          <w:sz w:val="12"/>
          <w:szCs w:val="12"/>
        </w:rPr>
      </w:pPr>
    </w:p>
    <w:tbl>
      <w:tblPr>
        <w:tblW w:w="0" w:type="auto"/>
        <w:jc w:val="left"/>
        <w:tblInd w:w="116" w:type="dxa"/>
        <w:tblLayout w:type="fixed"/>
        <w:tblCellMar>
          <w:top w:w="0" w:type="dxa"/>
          <w:left w:w="0" w:type="dxa"/>
          <w:bottom w:w="0" w:type="dxa"/>
          <w:right w:w="0" w:type="dxa"/>
        </w:tblCellMar>
        <w:tblLook w:val="01E0"/>
      </w:tblPr>
      <w:tblGrid>
        <w:gridCol w:w="1098"/>
        <w:gridCol w:w="1579"/>
        <w:gridCol w:w="368"/>
        <w:gridCol w:w="409"/>
        <w:gridCol w:w="1560"/>
        <w:gridCol w:w="1466"/>
        <w:gridCol w:w="994"/>
        <w:gridCol w:w="1088"/>
        <w:gridCol w:w="559"/>
        <w:gridCol w:w="935"/>
        <w:gridCol w:w="926"/>
      </w:tblGrid>
      <w:tr>
        <w:trPr>
          <w:trHeight w:val="1571"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9"/>
              <w:ind w:right="1"/>
              <w:jc w:val="center"/>
              <w:rPr>
                <w:rFonts w:ascii="宋体" w:hAnsi="宋体" w:cs="宋体" w:eastAsia="宋体" w:hint="default"/>
                <w:sz w:val="15"/>
                <w:szCs w:val="15"/>
              </w:rPr>
            </w:pPr>
            <w:r>
              <w:rPr>
                <w:rFonts w:ascii="宋体" w:hAnsi="宋体" w:cs="宋体" w:eastAsia="宋体" w:hint="default"/>
                <w:sz w:val="15"/>
                <w:szCs w:val="15"/>
              </w:rPr>
              <w:t>姓名</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9"/>
              <w:ind w:right="0"/>
              <w:jc w:val="center"/>
              <w:rPr>
                <w:rFonts w:ascii="宋体" w:hAnsi="宋体" w:cs="宋体" w:eastAsia="宋体" w:hint="default"/>
                <w:sz w:val="15"/>
                <w:szCs w:val="15"/>
              </w:rPr>
            </w:pPr>
            <w:r>
              <w:rPr>
                <w:rFonts w:ascii="宋体" w:hAnsi="宋体" w:cs="宋体" w:eastAsia="宋体" w:hint="default"/>
                <w:sz w:val="15"/>
                <w:szCs w:val="15"/>
              </w:rPr>
              <w:t>职务</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0"/>
                <w:szCs w:val="10"/>
              </w:rPr>
            </w:pPr>
          </w:p>
          <w:p>
            <w:pPr>
              <w:pStyle w:val="TableParagraph"/>
              <w:spacing w:line="381" w:lineRule="auto"/>
              <w:ind w:left="104" w:right="102"/>
              <w:jc w:val="left"/>
              <w:rPr>
                <w:rFonts w:ascii="宋体" w:hAnsi="宋体" w:cs="宋体" w:eastAsia="宋体" w:hint="default"/>
                <w:sz w:val="15"/>
                <w:szCs w:val="15"/>
              </w:rPr>
            </w:pPr>
            <w:r>
              <w:rPr>
                <w:rFonts w:ascii="宋体" w:hAnsi="宋体" w:cs="宋体" w:eastAsia="宋体" w:hint="default"/>
                <w:sz w:val="15"/>
                <w:szCs w:val="15"/>
              </w:rPr>
              <w:t>性 别</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0"/>
                <w:szCs w:val="10"/>
              </w:rPr>
            </w:pPr>
          </w:p>
          <w:p>
            <w:pPr>
              <w:pStyle w:val="TableParagraph"/>
              <w:spacing w:line="381" w:lineRule="auto"/>
              <w:ind w:left="124" w:right="122"/>
              <w:jc w:val="left"/>
              <w:rPr>
                <w:rFonts w:ascii="宋体" w:hAnsi="宋体" w:cs="宋体" w:eastAsia="宋体" w:hint="default"/>
                <w:sz w:val="15"/>
                <w:szCs w:val="15"/>
              </w:rPr>
            </w:pPr>
            <w:r>
              <w:rPr>
                <w:rFonts w:ascii="宋体" w:hAnsi="宋体" w:cs="宋体" w:eastAsia="宋体" w:hint="default"/>
                <w:sz w:val="15"/>
                <w:szCs w:val="15"/>
              </w:rPr>
              <w:t>年 龄</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0"/>
                <w:szCs w:val="10"/>
              </w:rPr>
            </w:pPr>
          </w:p>
          <w:p>
            <w:pPr>
              <w:pStyle w:val="TableParagraph"/>
              <w:spacing w:line="381" w:lineRule="auto"/>
              <w:ind w:left="473" w:right="474" w:firstLine="150"/>
              <w:jc w:val="left"/>
              <w:rPr>
                <w:rFonts w:ascii="宋体" w:hAnsi="宋体" w:cs="宋体" w:eastAsia="宋体" w:hint="default"/>
                <w:sz w:val="15"/>
                <w:szCs w:val="15"/>
              </w:rPr>
            </w:pPr>
            <w:r>
              <w:rPr>
                <w:rFonts w:ascii="宋体" w:hAnsi="宋体" w:cs="宋体" w:eastAsia="宋体" w:hint="default"/>
                <w:sz w:val="15"/>
                <w:szCs w:val="15"/>
              </w:rPr>
              <w:t>任期 起始日期</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0"/>
                <w:szCs w:val="10"/>
              </w:rPr>
            </w:pPr>
          </w:p>
          <w:p>
            <w:pPr>
              <w:pStyle w:val="TableParagraph"/>
              <w:spacing w:line="381" w:lineRule="auto"/>
              <w:ind w:left="427" w:right="427" w:firstLine="150"/>
              <w:jc w:val="left"/>
              <w:rPr>
                <w:rFonts w:ascii="宋体" w:hAnsi="宋体" w:cs="宋体" w:eastAsia="宋体" w:hint="default"/>
                <w:sz w:val="15"/>
                <w:szCs w:val="15"/>
              </w:rPr>
            </w:pPr>
            <w:r>
              <w:rPr>
                <w:rFonts w:ascii="宋体" w:hAnsi="宋体" w:cs="宋体" w:eastAsia="宋体" w:hint="default"/>
                <w:sz w:val="15"/>
                <w:szCs w:val="15"/>
              </w:rPr>
              <w:t>任期 终止日期</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381" w:lineRule="auto"/>
              <w:ind w:left="266" w:right="265" w:firstLine="75"/>
              <w:jc w:val="left"/>
              <w:rPr>
                <w:rFonts w:ascii="宋体" w:hAnsi="宋体" w:cs="宋体" w:eastAsia="宋体" w:hint="default"/>
                <w:sz w:val="15"/>
                <w:szCs w:val="15"/>
              </w:rPr>
            </w:pPr>
            <w:r>
              <w:rPr>
                <w:rFonts w:ascii="宋体" w:hAnsi="宋体" w:cs="宋体" w:eastAsia="宋体" w:hint="default"/>
                <w:sz w:val="15"/>
                <w:szCs w:val="15"/>
              </w:rPr>
              <w:t>年初 持股数</w:t>
            </w:r>
          </w:p>
          <w:p>
            <w:pPr>
              <w:pStyle w:val="TableParagraph"/>
              <w:spacing w:line="240" w:lineRule="auto" w:before="27"/>
              <w:ind w:left="266" w:right="0"/>
              <w:jc w:val="left"/>
              <w:rPr>
                <w:rFonts w:ascii="宋体" w:hAnsi="宋体" w:cs="宋体" w:eastAsia="宋体" w:hint="default"/>
                <w:sz w:val="15"/>
                <w:szCs w:val="15"/>
              </w:rPr>
            </w:pPr>
            <w:r>
              <w:rPr>
                <w:rFonts w:ascii="宋体" w:hAnsi="宋体" w:cs="宋体" w:eastAsia="宋体" w:hint="default"/>
                <w:sz w:val="15"/>
                <w:szCs w:val="15"/>
              </w:rPr>
              <w:t>（股）</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381" w:lineRule="auto"/>
              <w:ind w:left="313" w:right="313" w:firstLine="74"/>
              <w:jc w:val="left"/>
              <w:rPr>
                <w:rFonts w:ascii="宋体" w:hAnsi="宋体" w:cs="宋体" w:eastAsia="宋体" w:hint="default"/>
                <w:sz w:val="15"/>
                <w:szCs w:val="15"/>
              </w:rPr>
            </w:pPr>
            <w:r>
              <w:rPr>
                <w:rFonts w:ascii="宋体" w:hAnsi="宋体" w:cs="宋体" w:eastAsia="宋体" w:hint="default"/>
                <w:sz w:val="15"/>
                <w:szCs w:val="15"/>
              </w:rPr>
              <w:t>年末 持股数</w:t>
            </w:r>
          </w:p>
          <w:p>
            <w:pPr>
              <w:pStyle w:val="TableParagraph"/>
              <w:spacing w:line="240" w:lineRule="auto" w:before="27"/>
              <w:ind w:left="313" w:right="0"/>
              <w:jc w:val="left"/>
              <w:rPr>
                <w:rFonts w:ascii="宋体" w:hAnsi="宋体" w:cs="宋体" w:eastAsia="宋体" w:hint="default"/>
                <w:sz w:val="15"/>
                <w:szCs w:val="15"/>
              </w:rPr>
            </w:pPr>
            <w:r>
              <w:rPr>
                <w:rFonts w:ascii="宋体" w:hAnsi="宋体" w:cs="宋体" w:eastAsia="宋体" w:hint="default"/>
                <w:sz w:val="15"/>
                <w:szCs w:val="15"/>
              </w:rPr>
              <w:t>（股）</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0"/>
                <w:szCs w:val="10"/>
              </w:rPr>
            </w:pPr>
          </w:p>
          <w:p>
            <w:pPr>
              <w:pStyle w:val="TableParagraph"/>
              <w:spacing w:line="381" w:lineRule="auto"/>
              <w:ind w:left="124" w:right="122"/>
              <w:jc w:val="left"/>
              <w:rPr>
                <w:rFonts w:ascii="宋体" w:hAnsi="宋体" w:cs="宋体" w:eastAsia="宋体" w:hint="default"/>
                <w:sz w:val="15"/>
                <w:szCs w:val="15"/>
              </w:rPr>
            </w:pPr>
            <w:r>
              <w:rPr>
                <w:rFonts w:ascii="宋体" w:hAnsi="宋体" w:cs="宋体" w:eastAsia="宋体" w:hint="default"/>
                <w:sz w:val="15"/>
                <w:szCs w:val="15"/>
              </w:rPr>
              <w:t>变动 原因</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4"/>
              <w:ind w:left="103" w:right="71" w:firstLine="58"/>
              <w:jc w:val="both"/>
              <w:rPr>
                <w:rFonts w:ascii="宋体" w:hAnsi="宋体" w:cs="宋体" w:eastAsia="宋体" w:hint="default"/>
                <w:sz w:val="15"/>
                <w:szCs w:val="15"/>
              </w:rPr>
            </w:pPr>
            <w:r>
              <w:rPr>
                <w:rFonts w:ascii="宋体" w:hAnsi="宋体" w:cs="宋体" w:eastAsia="宋体" w:hint="default"/>
                <w:sz w:val="15"/>
                <w:szCs w:val="15"/>
              </w:rPr>
              <w:t>报告期内 从公司领 取的报酬 总额（万 元、税前）</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4"/>
              <w:ind w:left="103" w:right="101" w:firstLine="55"/>
              <w:jc w:val="both"/>
              <w:rPr>
                <w:rFonts w:ascii="宋体" w:hAnsi="宋体" w:cs="宋体" w:eastAsia="宋体" w:hint="default"/>
                <w:sz w:val="15"/>
                <w:szCs w:val="15"/>
              </w:rPr>
            </w:pPr>
            <w:r>
              <w:rPr>
                <w:rFonts w:ascii="宋体" w:hAnsi="宋体" w:cs="宋体" w:eastAsia="宋体" w:hint="default"/>
                <w:sz w:val="15"/>
                <w:szCs w:val="15"/>
              </w:rPr>
              <w:t>是否在股 东单位或 其他关联 单位领取 </w:t>
            </w:r>
            <w:r>
              <w:rPr>
                <w:rFonts w:ascii="宋体" w:hAnsi="宋体" w:cs="宋体" w:eastAsia="宋体" w:hint="default"/>
                <w:spacing w:val="-8"/>
                <w:sz w:val="15"/>
                <w:szCs w:val="15"/>
              </w:rPr>
              <w:t>报酬、津贴</w:t>
            </w:r>
          </w:p>
        </w:tc>
      </w:tr>
      <w:tr>
        <w:trPr>
          <w:trHeight w:val="322"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刘积仁</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1" w:right="0"/>
              <w:jc w:val="left"/>
              <w:rPr>
                <w:rFonts w:ascii="宋体" w:hAnsi="宋体" w:cs="宋体" w:eastAsia="宋体" w:hint="default"/>
                <w:sz w:val="15"/>
                <w:szCs w:val="15"/>
              </w:rPr>
            </w:pPr>
            <w:r>
              <w:rPr>
                <w:rFonts w:ascii="宋体" w:hAnsi="宋体" w:cs="宋体" w:eastAsia="宋体" w:hint="default"/>
                <w:sz w:val="15"/>
                <w:szCs w:val="15"/>
              </w:rPr>
              <w:t>董事长兼首席执行官</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24" w:right="0"/>
              <w:jc w:val="left"/>
              <w:rPr>
                <w:rFonts w:ascii="宋体" w:hAnsi="宋体" w:cs="宋体" w:eastAsia="宋体" w:hint="default"/>
                <w:sz w:val="15"/>
                <w:szCs w:val="15"/>
              </w:rPr>
            </w:pPr>
            <w:r>
              <w:rPr>
                <w:rFonts w:ascii="宋体"/>
                <w:sz w:val="15"/>
              </w:rPr>
              <w:t>57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24</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z w:val="15"/>
              </w:rPr>
              <w:t>456,681</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z w:val="15"/>
              </w:rPr>
              <w:t>7,160,832</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宋体" w:hAnsi="宋体" w:cs="宋体" w:eastAsia="宋体" w:hint="default"/>
                <w:sz w:val="15"/>
                <w:szCs w:val="15"/>
              </w:rPr>
              <w:t>1</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256.00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63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王勇峰</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02" w:right="0"/>
              <w:jc w:val="left"/>
              <w:rPr>
                <w:rFonts w:ascii="宋体" w:hAnsi="宋体" w:cs="宋体" w:eastAsia="宋体" w:hint="default"/>
                <w:sz w:val="15"/>
                <w:szCs w:val="15"/>
              </w:rPr>
            </w:pPr>
            <w:r>
              <w:rPr>
                <w:rFonts w:ascii="宋体" w:hAnsi="宋体" w:cs="宋体" w:eastAsia="宋体" w:hint="default"/>
                <w:sz w:val="15"/>
                <w:szCs w:val="15"/>
              </w:rPr>
              <w:t>副董事长兼总裁</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25" w:right="0"/>
              <w:jc w:val="left"/>
              <w:rPr>
                <w:rFonts w:ascii="宋体" w:hAnsi="宋体" w:cs="宋体" w:eastAsia="宋体" w:hint="default"/>
                <w:sz w:val="15"/>
                <w:szCs w:val="15"/>
              </w:rPr>
            </w:pPr>
            <w:r>
              <w:rPr>
                <w:rFonts w:ascii="宋体"/>
                <w:sz w:val="15"/>
              </w:rPr>
              <w:t>42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24</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146,085</w:t>
            </w:r>
            <w:r>
              <w:rPr>
                <w:rFonts w:ascii="宋体"/>
                <w:sz w:val="15"/>
              </w:rPr>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2"/>
              <w:jc w:val="right"/>
              <w:rPr>
                <w:rFonts w:ascii="宋体" w:hAnsi="宋体" w:cs="宋体" w:eastAsia="宋体" w:hint="default"/>
                <w:sz w:val="15"/>
                <w:szCs w:val="15"/>
              </w:rPr>
            </w:pPr>
            <w:r>
              <w:rPr>
                <w:rFonts w:ascii="宋体"/>
                <w:spacing w:val="-1"/>
                <w:sz w:val="15"/>
              </w:rPr>
              <w:t>3,178,391</w:t>
            </w:r>
            <w:r>
              <w:rPr>
                <w:rFonts w:ascii="宋体"/>
                <w:sz w:val="15"/>
              </w:rPr>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42" w:right="105"/>
              <w:jc w:val="left"/>
              <w:rPr>
                <w:rFonts w:ascii="宋体" w:hAnsi="宋体" w:cs="宋体" w:eastAsia="宋体" w:hint="default"/>
                <w:sz w:val="15"/>
                <w:szCs w:val="15"/>
              </w:rPr>
            </w:pPr>
            <w:r>
              <w:rPr>
                <w:rFonts w:ascii="宋体" w:hAnsi="宋体" w:cs="宋体" w:eastAsia="宋体" w:hint="default"/>
                <w:spacing w:val="18"/>
                <w:sz w:val="15"/>
                <w:szCs w:val="15"/>
              </w:rPr>
              <w:t>注1</w:t>
            </w:r>
            <w:r>
              <w:rPr>
                <w:rFonts w:ascii="宋体" w:hAnsi="宋体" w:cs="宋体" w:eastAsia="宋体" w:hint="default"/>
                <w:spacing w:val="-38"/>
                <w:sz w:val="15"/>
                <w:szCs w:val="15"/>
              </w:rPr>
              <w:t> </w:t>
            </w:r>
            <w:r>
              <w:rPr>
                <w:rFonts w:ascii="宋体" w:hAnsi="宋体" w:cs="宋体" w:eastAsia="宋体" w:hint="default"/>
                <w:spacing w:val="18"/>
                <w:sz w:val="15"/>
                <w:szCs w:val="15"/>
              </w:rPr>
              <w:t>注2</w:t>
            </w:r>
            <w:r>
              <w:rPr>
                <w:rFonts w:ascii="宋体" w:hAnsi="宋体" w:cs="宋体" w:eastAsia="宋体" w:hint="default"/>
                <w:spacing w:val="-38"/>
                <w:sz w:val="15"/>
                <w:szCs w:val="15"/>
              </w:rPr>
              <w:t> </w:t>
            </w:r>
            <w:r>
              <w:rPr>
                <w:rFonts w:ascii="宋体" w:hAnsi="宋体" w:cs="宋体" w:eastAsia="宋体" w:hint="default"/>
                <w:sz w:val="15"/>
                <w:szCs w:val="15"/>
              </w:rPr>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宋体" w:hAnsi="宋体" w:cs="宋体" w:eastAsia="宋体" w:hint="default"/>
                <w:sz w:val="15"/>
                <w:szCs w:val="15"/>
              </w:rPr>
            </w:pPr>
            <w:r>
              <w:rPr>
                <w:rFonts w:ascii="宋体"/>
                <w:spacing w:val="-1"/>
                <w:sz w:val="15"/>
              </w:rPr>
              <w:t>168.00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635"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王莉</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4"/>
              <w:ind w:left="101" w:right="101"/>
              <w:jc w:val="left"/>
              <w:rPr>
                <w:rFonts w:ascii="宋体" w:hAnsi="宋体" w:cs="宋体" w:eastAsia="宋体" w:hint="default"/>
                <w:sz w:val="15"/>
                <w:szCs w:val="15"/>
              </w:rPr>
            </w:pPr>
            <w:r>
              <w:rPr>
                <w:rFonts w:ascii="宋体" w:hAnsi="宋体" w:cs="宋体" w:eastAsia="宋体" w:hint="default"/>
                <w:sz w:val="15"/>
                <w:szCs w:val="15"/>
              </w:rPr>
              <w:t>董事兼高级副总裁兼</w:t>
            </w:r>
            <w:r>
              <w:rPr>
                <w:rFonts w:ascii="宋体" w:hAnsi="宋体" w:cs="宋体" w:eastAsia="宋体" w:hint="default"/>
                <w:spacing w:val="-64"/>
                <w:sz w:val="15"/>
                <w:szCs w:val="15"/>
              </w:rPr>
              <w:t> </w:t>
            </w:r>
            <w:r>
              <w:rPr>
                <w:rFonts w:ascii="宋体" w:hAnsi="宋体" w:cs="宋体" w:eastAsia="宋体" w:hint="default"/>
                <w:spacing w:val="-64"/>
                <w:sz w:val="15"/>
                <w:szCs w:val="15"/>
              </w:rPr>
            </w:r>
            <w:r>
              <w:rPr>
                <w:rFonts w:ascii="宋体" w:hAnsi="宋体" w:cs="宋体" w:eastAsia="宋体" w:hint="default"/>
                <w:sz w:val="15"/>
                <w:szCs w:val="15"/>
              </w:rPr>
              <w:t>首席财务官</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女</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24" w:right="0"/>
              <w:jc w:val="left"/>
              <w:rPr>
                <w:rFonts w:ascii="宋体" w:hAnsi="宋体" w:cs="宋体" w:eastAsia="宋体" w:hint="default"/>
                <w:sz w:val="15"/>
                <w:szCs w:val="15"/>
              </w:rPr>
            </w:pPr>
            <w:r>
              <w:rPr>
                <w:rFonts w:ascii="宋体"/>
                <w:sz w:val="15"/>
              </w:rPr>
              <w:t>47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25</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24</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0"/>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2"/>
              <w:jc w:val="right"/>
              <w:rPr>
                <w:rFonts w:ascii="宋体" w:hAnsi="宋体" w:cs="宋体" w:eastAsia="宋体" w:hint="default"/>
                <w:sz w:val="15"/>
                <w:szCs w:val="15"/>
              </w:rPr>
            </w:pPr>
            <w:r>
              <w:rPr>
                <w:rFonts w:ascii="宋体"/>
                <w:spacing w:val="-1"/>
                <w:sz w:val="15"/>
              </w:rPr>
              <w:t>1,445,403</w:t>
            </w:r>
            <w:r>
              <w:rPr>
                <w:rFonts w:ascii="宋体"/>
                <w:sz w:val="15"/>
              </w:rPr>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4"/>
              <w:ind w:left="142" w:right="105"/>
              <w:jc w:val="left"/>
              <w:rPr>
                <w:rFonts w:ascii="宋体" w:hAnsi="宋体" w:cs="宋体" w:eastAsia="宋体" w:hint="default"/>
                <w:sz w:val="15"/>
                <w:szCs w:val="15"/>
              </w:rPr>
            </w:pPr>
            <w:r>
              <w:rPr>
                <w:rFonts w:ascii="宋体" w:hAnsi="宋体" w:cs="宋体" w:eastAsia="宋体" w:hint="default"/>
                <w:spacing w:val="18"/>
                <w:sz w:val="15"/>
                <w:szCs w:val="15"/>
              </w:rPr>
              <w:t>注1</w:t>
            </w:r>
            <w:r>
              <w:rPr>
                <w:rFonts w:ascii="宋体" w:hAnsi="宋体" w:cs="宋体" w:eastAsia="宋体" w:hint="default"/>
                <w:spacing w:val="-38"/>
                <w:sz w:val="15"/>
                <w:szCs w:val="15"/>
              </w:rPr>
              <w:t> </w:t>
            </w:r>
            <w:r>
              <w:rPr>
                <w:rFonts w:ascii="宋体" w:hAnsi="宋体" w:cs="宋体" w:eastAsia="宋体" w:hint="default"/>
                <w:spacing w:val="18"/>
                <w:sz w:val="15"/>
                <w:szCs w:val="15"/>
              </w:rPr>
              <w:t>注2</w:t>
            </w:r>
            <w:r>
              <w:rPr>
                <w:rFonts w:ascii="宋体" w:hAnsi="宋体" w:cs="宋体" w:eastAsia="宋体" w:hint="default"/>
                <w:spacing w:val="-38"/>
                <w:sz w:val="15"/>
                <w:szCs w:val="15"/>
              </w:rPr>
              <w:t> </w:t>
            </w:r>
            <w:r>
              <w:rPr>
                <w:rFonts w:ascii="宋体" w:hAnsi="宋体" w:cs="宋体" w:eastAsia="宋体" w:hint="default"/>
                <w:sz w:val="15"/>
                <w:szCs w:val="15"/>
              </w:rPr>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0"/>
              <w:jc w:val="right"/>
              <w:rPr>
                <w:rFonts w:ascii="宋体" w:hAnsi="宋体" w:cs="宋体" w:eastAsia="宋体" w:hint="default"/>
                <w:sz w:val="15"/>
                <w:szCs w:val="15"/>
              </w:rPr>
            </w:pPr>
            <w:r>
              <w:rPr>
                <w:rFonts w:ascii="宋体"/>
                <w:spacing w:val="-1"/>
                <w:sz w:val="15"/>
              </w:rPr>
              <w:t>87.00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322"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石黑征三</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25" w:right="0"/>
              <w:jc w:val="left"/>
              <w:rPr>
                <w:rFonts w:ascii="宋体" w:hAnsi="宋体" w:cs="宋体" w:eastAsia="宋体" w:hint="default"/>
                <w:sz w:val="15"/>
                <w:szCs w:val="15"/>
              </w:rPr>
            </w:pPr>
            <w:r>
              <w:rPr>
                <w:rFonts w:ascii="宋体"/>
                <w:sz w:val="15"/>
              </w:rPr>
              <w:t>69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24</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5"/>
                <w:szCs w:val="15"/>
              </w:rPr>
            </w:pPr>
            <w:r>
              <w:rPr>
                <w:rFonts w:ascii="宋体"/>
                <w:sz w:val="15"/>
              </w:rPr>
              <w:t>0</w:t>
            </w:r>
          </w:p>
        </w:tc>
        <w:tc>
          <w:tcPr>
            <w:tcW w:w="559"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5"/>
                <w:szCs w:val="15"/>
              </w:rPr>
            </w:pPr>
            <w:r>
              <w:rPr>
                <w:rFonts w:ascii="宋体"/>
                <w:sz w:val="15"/>
              </w:rPr>
              <w:t>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是</w:t>
            </w:r>
          </w:p>
        </w:tc>
      </w:tr>
      <w:tr>
        <w:trPr>
          <w:trHeight w:val="63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Times New Roman" w:hAnsi="Times New Roman" w:cs="Times New Roman" w:eastAsia="Times New Roman" w:hint="default"/>
                <w:sz w:val="13"/>
                <w:szCs w:val="13"/>
              </w:rPr>
            </w:pPr>
            <w:r>
              <w:rPr>
                <w:rFonts w:ascii="Times New Roman"/>
                <w:sz w:val="13"/>
              </w:rPr>
              <w:t>Klaus</w:t>
            </w:r>
            <w:r>
              <w:rPr>
                <w:rFonts w:ascii="Times New Roman"/>
                <w:spacing w:val="-3"/>
                <w:sz w:val="13"/>
              </w:rPr>
              <w:t> </w:t>
            </w:r>
            <w:r>
              <w:rPr>
                <w:rFonts w:ascii="Times New Roman"/>
                <w:sz w:val="13"/>
              </w:rPr>
              <w:t>Michael</w:t>
            </w: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3"/>
                <w:szCs w:val="13"/>
              </w:rPr>
            </w:pPr>
            <w:r>
              <w:rPr>
                <w:rFonts w:ascii="Times New Roman"/>
                <w:sz w:val="13"/>
              </w:rPr>
              <w:t>Zimmer</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01" w:right="0"/>
              <w:jc w:val="left"/>
              <w:rPr>
                <w:rFonts w:ascii="宋体" w:hAnsi="宋体" w:cs="宋体" w:eastAsia="宋体" w:hint="default"/>
                <w:sz w:val="15"/>
                <w:szCs w:val="15"/>
              </w:rPr>
            </w:pPr>
            <w:r>
              <w:rPr>
                <w:rFonts w:ascii="宋体" w:hAnsi="宋体" w:cs="宋体" w:eastAsia="宋体" w:hint="default"/>
                <w:sz w:val="15"/>
                <w:szCs w:val="15"/>
              </w:rPr>
              <w:t>董事兼高级副总裁</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26" w:right="0"/>
              <w:jc w:val="left"/>
              <w:rPr>
                <w:rFonts w:ascii="宋体" w:hAnsi="宋体" w:cs="宋体" w:eastAsia="宋体" w:hint="default"/>
                <w:sz w:val="15"/>
                <w:szCs w:val="15"/>
              </w:rPr>
            </w:pPr>
            <w:r>
              <w:rPr>
                <w:rFonts w:ascii="宋体"/>
                <w:sz w:val="15"/>
              </w:rPr>
              <w:t>56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24</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99"/>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宋体" w:hAnsi="宋体" w:cs="宋体" w:eastAsia="宋体" w:hint="default"/>
                <w:sz w:val="15"/>
                <w:szCs w:val="15"/>
              </w:rPr>
            </w:pPr>
            <w:r>
              <w:rPr>
                <w:rFonts w:ascii="宋体"/>
                <w:sz w:val="15"/>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宋体" w:hAnsi="宋体" w:cs="宋体" w:eastAsia="宋体" w:hint="default"/>
                <w:sz w:val="15"/>
                <w:szCs w:val="15"/>
              </w:rPr>
              <w:t>3</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99"/>
              <w:jc w:val="right"/>
              <w:rPr>
                <w:rFonts w:ascii="宋体" w:hAnsi="宋体" w:cs="宋体" w:eastAsia="宋体" w:hint="default"/>
                <w:sz w:val="15"/>
                <w:szCs w:val="15"/>
              </w:rPr>
            </w:pPr>
            <w:r>
              <w:rPr>
                <w:rFonts w:ascii="宋体"/>
                <w:sz w:val="15"/>
              </w:rPr>
              <w:t>188.22</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323"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5"/>
                <w:szCs w:val="15"/>
              </w:rPr>
            </w:pPr>
            <w:r>
              <w:rPr>
                <w:rFonts w:ascii="宋体" w:hAnsi="宋体" w:cs="宋体" w:eastAsia="宋体" w:hint="default"/>
                <w:sz w:val="15"/>
                <w:szCs w:val="15"/>
              </w:rPr>
              <w:t>笠野章</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宋体" w:hAnsi="宋体" w:cs="宋体" w:eastAsia="宋体" w:hint="default"/>
                <w:sz w:val="15"/>
                <w:szCs w:val="15"/>
              </w:rPr>
            </w:pPr>
            <w:r>
              <w:rPr>
                <w:rFonts w:ascii="宋体" w:hAnsi="宋体" w:cs="宋体" w:eastAsia="宋体" w:hint="default"/>
                <w:sz w:val="15"/>
                <w:szCs w:val="15"/>
              </w:rPr>
              <w:t>董事</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25" w:right="0"/>
              <w:jc w:val="left"/>
              <w:rPr>
                <w:rFonts w:ascii="宋体" w:hAnsi="宋体" w:cs="宋体" w:eastAsia="宋体" w:hint="default"/>
                <w:sz w:val="15"/>
                <w:szCs w:val="15"/>
              </w:rPr>
            </w:pPr>
            <w:r>
              <w:rPr>
                <w:rFonts w:ascii="宋体"/>
                <w:sz w:val="15"/>
              </w:rPr>
              <w:t>56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24</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宋体" w:hAnsi="宋体" w:cs="宋体" w:eastAsia="宋体" w:hint="default"/>
                <w:sz w:val="15"/>
                <w:szCs w:val="15"/>
              </w:rPr>
            </w:pPr>
            <w:r>
              <w:rPr>
                <w:rFonts w:ascii="宋体"/>
                <w:sz w:val="15"/>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宋体" w:hAnsi="宋体" w:cs="宋体" w:eastAsia="宋体" w:hint="default"/>
                <w:sz w:val="15"/>
                <w:szCs w:val="15"/>
              </w:rPr>
              <w:t>3</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宋体" w:hAnsi="宋体" w:cs="宋体" w:eastAsia="宋体" w:hint="default"/>
                <w:sz w:val="15"/>
                <w:szCs w:val="15"/>
              </w:rPr>
            </w:pPr>
            <w:r>
              <w:rPr>
                <w:rFonts w:ascii="宋体"/>
                <w:sz w:val="15"/>
              </w:rPr>
              <w:t>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
              <w:jc w:val="center"/>
              <w:rPr>
                <w:rFonts w:ascii="宋体" w:hAnsi="宋体" w:cs="宋体" w:eastAsia="宋体" w:hint="default"/>
                <w:sz w:val="15"/>
                <w:szCs w:val="15"/>
              </w:rPr>
            </w:pPr>
            <w:r>
              <w:rPr>
                <w:rFonts w:ascii="宋体" w:hAnsi="宋体" w:cs="宋体" w:eastAsia="宋体" w:hint="default"/>
                <w:sz w:val="15"/>
                <w:szCs w:val="15"/>
              </w:rPr>
              <w:t>是</w:t>
            </w:r>
          </w:p>
        </w:tc>
      </w:tr>
      <w:tr>
        <w:trPr>
          <w:trHeight w:val="322"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方红星</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2" w:right="0"/>
              <w:jc w:val="left"/>
              <w:rPr>
                <w:rFonts w:ascii="宋体" w:hAnsi="宋体" w:cs="宋体" w:eastAsia="宋体" w:hint="default"/>
                <w:sz w:val="15"/>
                <w:szCs w:val="15"/>
              </w:rPr>
            </w:pPr>
            <w:r>
              <w:rPr>
                <w:rFonts w:ascii="宋体" w:hAnsi="宋体" w:cs="宋体" w:eastAsia="宋体" w:hint="default"/>
                <w:sz w:val="15"/>
                <w:szCs w:val="15"/>
              </w:rPr>
              <w:t>独立董事</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25" w:right="0"/>
              <w:jc w:val="left"/>
              <w:rPr>
                <w:rFonts w:ascii="宋体" w:hAnsi="宋体" w:cs="宋体" w:eastAsia="宋体" w:hint="default"/>
                <w:sz w:val="15"/>
                <w:szCs w:val="15"/>
              </w:rPr>
            </w:pPr>
            <w:r>
              <w:rPr>
                <w:rFonts w:ascii="宋体"/>
                <w:sz w:val="15"/>
              </w:rPr>
              <w:t>40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24</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z w:val="15"/>
              </w:rPr>
              <w:t>0</w:t>
            </w:r>
          </w:p>
        </w:tc>
        <w:tc>
          <w:tcPr>
            <w:tcW w:w="559"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宋体" w:hAnsi="宋体" w:cs="宋体" w:eastAsia="宋体" w:hint="default"/>
                <w:sz w:val="15"/>
                <w:szCs w:val="15"/>
              </w:rPr>
            </w:pPr>
            <w:r>
              <w:rPr>
                <w:rFonts w:ascii="宋体"/>
                <w:sz w:val="15"/>
              </w:rPr>
              <w:t>8.00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322"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薛澜</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2" w:right="0"/>
              <w:jc w:val="left"/>
              <w:rPr>
                <w:rFonts w:ascii="宋体" w:hAnsi="宋体" w:cs="宋体" w:eastAsia="宋体" w:hint="default"/>
                <w:sz w:val="15"/>
                <w:szCs w:val="15"/>
              </w:rPr>
            </w:pPr>
            <w:r>
              <w:rPr>
                <w:rFonts w:ascii="宋体" w:hAnsi="宋体" w:cs="宋体" w:eastAsia="宋体" w:hint="default"/>
                <w:sz w:val="15"/>
                <w:szCs w:val="15"/>
              </w:rPr>
              <w:t>独立董事</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25" w:right="0"/>
              <w:jc w:val="left"/>
              <w:rPr>
                <w:rFonts w:ascii="宋体" w:hAnsi="宋体" w:cs="宋体" w:eastAsia="宋体" w:hint="default"/>
                <w:sz w:val="15"/>
                <w:szCs w:val="15"/>
              </w:rPr>
            </w:pPr>
            <w:r>
              <w:rPr>
                <w:rFonts w:ascii="宋体"/>
                <w:sz w:val="15"/>
              </w:rPr>
              <w:t>53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24</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z w:val="15"/>
              </w:rPr>
              <w:t>0</w:t>
            </w:r>
          </w:p>
        </w:tc>
        <w:tc>
          <w:tcPr>
            <w:tcW w:w="559"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宋体" w:hAnsi="宋体" w:cs="宋体" w:eastAsia="宋体" w:hint="default"/>
                <w:sz w:val="15"/>
                <w:szCs w:val="15"/>
              </w:rPr>
            </w:pPr>
            <w:r>
              <w:rPr>
                <w:rFonts w:ascii="宋体"/>
                <w:sz w:val="15"/>
              </w:rPr>
              <w:t>8.00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323"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5"/>
                <w:szCs w:val="15"/>
              </w:rPr>
            </w:pPr>
            <w:r>
              <w:rPr>
                <w:rFonts w:ascii="宋体" w:hAnsi="宋体" w:cs="宋体" w:eastAsia="宋体" w:hint="default"/>
                <w:sz w:val="15"/>
                <w:szCs w:val="15"/>
              </w:rPr>
              <w:t>高文</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宋体" w:hAnsi="宋体" w:cs="宋体" w:eastAsia="宋体" w:hint="default"/>
                <w:sz w:val="15"/>
                <w:szCs w:val="15"/>
              </w:rPr>
            </w:pPr>
            <w:r>
              <w:rPr>
                <w:rFonts w:ascii="宋体" w:hAnsi="宋体" w:cs="宋体" w:eastAsia="宋体" w:hint="default"/>
                <w:sz w:val="15"/>
                <w:szCs w:val="15"/>
              </w:rPr>
              <w:t>独立董事</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25" w:right="0"/>
              <w:jc w:val="left"/>
              <w:rPr>
                <w:rFonts w:ascii="宋体" w:hAnsi="宋体" w:cs="宋体" w:eastAsia="宋体" w:hint="default"/>
                <w:sz w:val="15"/>
                <w:szCs w:val="15"/>
              </w:rPr>
            </w:pPr>
            <w:r>
              <w:rPr>
                <w:rFonts w:ascii="宋体"/>
                <w:sz w:val="15"/>
              </w:rPr>
              <w:t>56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24</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宋体" w:hAnsi="宋体" w:cs="宋体" w:eastAsia="宋体" w:hint="default"/>
                <w:sz w:val="15"/>
                <w:szCs w:val="15"/>
              </w:rPr>
            </w:pPr>
            <w:r>
              <w:rPr>
                <w:rFonts w:ascii="宋体"/>
                <w:sz w:val="15"/>
              </w:rPr>
              <w:t>0</w:t>
            </w:r>
          </w:p>
        </w:tc>
        <w:tc>
          <w:tcPr>
            <w:tcW w:w="559"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宋体" w:hAnsi="宋体" w:cs="宋体" w:eastAsia="宋体" w:hint="default"/>
                <w:sz w:val="15"/>
                <w:szCs w:val="15"/>
              </w:rPr>
            </w:pPr>
            <w:r>
              <w:rPr>
                <w:rFonts w:ascii="宋体"/>
                <w:sz w:val="15"/>
              </w:rPr>
              <w:t>8.00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322"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涂赣峰</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2" w:right="0"/>
              <w:jc w:val="left"/>
              <w:rPr>
                <w:rFonts w:ascii="宋体" w:hAnsi="宋体" w:cs="宋体" w:eastAsia="宋体" w:hint="default"/>
                <w:sz w:val="15"/>
                <w:szCs w:val="15"/>
              </w:rPr>
            </w:pPr>
            <w:r>
              <w:rPr>
                <w:rFonts w:ascii="宋体" w:hAnsi="宋体" w:cs="宋体" w:eastAsia="宋体" w:hint="default"/>
                <w:sz w:val="15"/>
                <w:szCs w:val="15"/>
              </w:rPr>
              <w:t>监事长</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25" w:right="0"/>
              <w:jc w:val="left"/>
              <w:rPr>
                <w:rFonts w:ascii="宋体" w:hAnsi="宋体" w:cs="宋体" w:eastAsia="宋体" w:hint="default"/>
                <w:sz w:val="15"/>
                <w:szCs w:val="15"/>
              </w:rPr>
            </w:pPr>
            <w:r>
              <w:rPr>
                <w:rFonts w:ascii="宋体"/>
                <w:sz w:val="15"/>
              </w:rPr>
              <w:t>48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24</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5"/>
                <w:szCs w:val="15"/>
              </w:rPr>
            </w:pPr>
            <w:r>
              <w:rPr>
                <w:rFonts w:ascii="宋体"/>
                <w:sz w:val="15"/>
              </w:rPr>
              <w:t>0</w:t>
            </w:r>
          </w:p>
        </w:tc>
        <w:tc>
          <w:tcPr>
            <w:tcW w:w="559"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5"/>
                <w:szCs w:val="15"/>
              </w:rPr>
            </w:pPr>
            <w:r>
              <w:rPr>
                <w:rFonts w:ascii="宋体"/>
                <w:sz w:val="15"/>
              </w:rPr>
              <w:t>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是</w:t>
            </w:r>
          </w:p>
        </w:tc>
      </w:tr>
      <w:tr>
        <w:trPr>
          <w:trHeight w:val="322"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胡爱民</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25" w:right="0"/>
              <w:jc w:val="left"/>
              <w:rPr>
                <w:rFonts w:ascii="宋体" w:hAnsi="宋体" w:cs="宋体" w:eastAsia="宋体" w:hint="default"/>
                <w:sz w:val="15"/>
                <w:szCs w:val="15"/>
              </w:rPr>
            </w:pPr>
            <w:r>
              <w:rPr>
                <w:rFonts w:ascii="宋体"/>
                <w:sz w:val="15"/>
              </w:rPr>
              <w:t>39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24</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5"/>
                <w:szCs w:val="15"/>
              </w:rPr>
            </w:pPr>
            <w:r>
              <w:rPr>
                <w:rFonts w:ascii="宋体"/>
                <w:sz w:val="15"/>
              </w:rPr>
              <w:t>0</w:t>
            </w:r>
          </w:p>
        </w:tc>
        <w:tc>
          <w:tcPr>
            <w:tcW w:w="559"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z w:val="15"/>
              </w:rPr>
              <w:t>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是</w:t>
            </w:r>
          </w:p>
        </w:tc>
      </w:tr>
      <w:tr>
        <w:trPr>
          <w:trHeight w:val="323"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5"/>
                <w:szCs w:val="15"/>
              </w:rPr>
            </w:pPr>
            <w:r>
              <w:rPr>
                <w:rFonts w:ascii="宋体" w:hAnsi="宋体" w:cs="宋体" w:eastAsia="宋体" w:hint="default"/>
                <w:sz w:val="15"/>
                <w:szCs w:val="15"/>
              </w:rPr>
              <w:t>藏田真吾</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25" w:right="0"/>
              <w:jc w:val="left"/>
              <w:rPr>
                <w:rFonts w:ascii="宋体" w:hAnsi="宋体" w:cs="宋体" w:eastAsia="宋体" w:hint="default"/>
                <w:sz w:val="15"/>
                <w:szCs w:val="15"/>
              </w:rPr>
            </w:pPr>
            <w:r>
              <w:rPr>
                <w:rFonts w:ascii="宋体"/>
                <w:sz w:val="15"/>
              </w:rPr>
              <w:t>41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24</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宋体" w:hAnsi="宋体" w:cs="宋体" w:eastAsia="宋体" w:hint="default"/>
                <w:sz w:val="15"/>
                <w:szCs w:val="15"/>
              </w:rPr>
            </w:pPr>
            <w:r>
              <w:rPr>
                <w:rFonts w:ascii="宋体"/>
                <w:sz w:val="15"/>
              </w:rPr>
              <w:t>0</w:t>
            </w:r>
          </w:p>
        </w:tc>
        <w:tc>
          <w:tcPr>
            <w:tcW w:w="559"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宋体" w:hAnsi="宋体" w:cs="宋体" w:eastAsia="宋体" w:hint="default"/>
                <w:sz w:val="15"/>
                <w:szCs w:val="15"/>
              </w:rPr>
            </w:pPr>
            <w:r>
              <w:rPr>
                <w:rFonts w:ascii="宋体"/>
                <w:sz w:val="15"/>
              </w:rPr>
              <w:t>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5"/>
                <w:szCs w:val="15"/>
              </w:rPr>
            </w:pPr>
            <w:r>
              <w:rPr>
                <w:rFonts w:ascii="宋体" w:hAnsi="宋体" w:cs="宋体" w:eastAsia="宋体" w:hint="default"/>
                <w:sz w:val="15"/>
                <w:szCs w:val="15"/>
              </w:rPr>
              <w:t>是</w:t>
            </w:r>
          </w:p>
        </w:tc>
      </w:tr>
      <w:tr>
        <w:trPr>
          <w:trHeight w:val="322"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葛圣六</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1"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24" w:right="0"/>
              <w:jc w:val="left"/>
              <w:rPr>
                <w:rFonts w:ascii="宋体" w:hAnsi="宋体" w:cs="宋体" w:eastAsia="宋体" w:hint="default"/>
                <w:sz w:val="15"/>
                <w:szCs w:val="15"/>
              </w:rPr>
            </w:pPr>
            <w:r>
              <w:rPr>
                <w:rFonts w:ascii="宋体"/>
                <w:sz w:val="15"/>
              </w:rPr>
              <w:t>37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24</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z w:val="15"/>
              </w:rPr>
              <w:t>315,267</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2"/>
              <w:jc w:val="right"/>
              <w:rPr>
                <w:rFonts w:ascii="宋体" w:hAnsi="宋体" w:cs="宋体" w:eastAsia="宋体" w:hint="default"/>
                <w:sz w:val="15"/>
                <w:szCs w:val="15"/>
              </w:rPr>
            </w:pPr>
            <w:r>
              <w:rPr>
                <w:rFonts w:ascii="宋体"/>
                <w:sz w:val="15"/>
              </w:rPr>
              <w:t>315,267</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宋体" w:hAnsi="宋体" w:cs="宋体" w:eastAsia="宋体" w:hint="default"/>
                <w:sz w:val="15"/>
                <w:szCs w:val="15"/>
              </w:rPr>
              <w:t>3</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z w:val="15"/>
              </w:rPr>
              <w:t>59.62</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322"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马超</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2" w:right="0"/>
              <w:jc w:val="left"/>
              <w:rPr>
                <w:rFonts w:ascii="宋体" w:hAnsi="宋体" w:cs="宋体" w:eastAsia="宋体" w:hint="default"/>
                <w:sz w:val="15"/>
                <w:szCs w:val="15"/>
              </w:rPr>
            </w:pPr>
            <w:r>
              <w:rPr>
                <w:rFonts w:ascii="宋体" w:hAnsi="宋体" w:cs="宋体" w:eastAsia="宋体" w:hint="default"/>
                <w:sz w:val="15"/>
                <w:szCs w:val="15"/>
              </w:rPr>
              <w:t>监事</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26" w:right="0"/>
              <w:jc w:val="left"/>
              <w:rPr>
                <w:rFonts w:ascii="宋体" w:hAnsi="宋体" w:cs="宋体" w:eastAsia="宋体" w:hint="default"/>
                <w:sz w:val="15"/>
                <w:szCs w:val="15"/>
              </w:rPr>
            </w:pPr>
            <w:r>
              <w:rPr>
                <w:rFonts w:ascii="宋体"/>
                <w:sz w:val="15"/>
              </w:rPr>
              <w:t>35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25</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24</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z w:val="15"/>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宋体" w:hAnsi="宋体" w:cs="宋体" w:eastAsia="宋体" w:hint="default"/>
                <w:sz w:val="15"/>
                <w:szCs w:val="15"/>
              </w:rPr>
              <w:t>3</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38.60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635"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陈锡民</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4"/>
              <w:ind w:left="101" w:right="101"/>
              <w:jc w:val="left"/>
              <w:rPr>
                <w:rFonts w:ascii="宋体" w:hAnsi="宋体" w:cs="宋体" w:eastAsia="宋体" w:hint="default"/>
                <w:sz w:val="15"/>
                <w:szCs w:val="15"/>
              </w:rPr>
            </w:pPr>
            <w:r>
              <w:rPr>
                <w:rFonts w:ascii="宋体" w:hAnsi="宋体" w:cs="宋体" w:eastAsia="宋体" w:hint="default"/>
                <w:sz w:val="15"/>
                <w:szCs w:val="15"/>
              </w:rPr>
              <w:t>高级副总裁兼首席运</w:t>
            </w:r>
            <w:r>
              <w:rPr>
                <w:rFonts w:ascii="宋体" w:hAnsi="宋体" w:cs="宋体" w:eastAsia="宋体" w:hint="default"/>
                <w:spacing w:val="-64"/>
                <w:sz w:val="15"/>
                <w:szCs w:val="15"/>
              </w:rPr>
              <w:t> </w:t>
            </w:r>
            <w:r>
              <w:rPr>
                <w:rFonts w:ascii="宋体" w:hAnsi="宋体" w:cs="宋体" w:eastAsia="宋体" w:hint="default"/>
                <w:spacing w:val="-64"/>
                <w:sz w:val="15"/>
                <w:szCs w:val="15"/>
              </w:rPr>
            </w:r>
            <w:r>
              <w:rPr>
                <w:rFonts w:ascii="宋体" w:hAnsi="宋体" w:cs="宋体" w:eastAsia="宋体" w:hint="default"/>
                <w:sz w:val="15"/>
                <w:szCs w:val="15"/>
              </w:rPr>
              <w:t>营官</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24" w:right="0"/>
              <w:jc w:val="left"/>
              <w:rPr>
                <w:rFonts w:ascii="宋体" w:hAnsi="宋体" w:cs="宋体" w:eastAsia="宋体" w:hint="default"/>
                <w:sz w:val="15"/>
                <w:szCs w:val="15"/>
              </w:rPr>
            </w:pPr>
            <w:r>
              <w:rPr>
                <w:rFonts w:ascii="宋体"/>
                <w:sz w:val="15"/>
              </w:rPr>
              <w:t>43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25</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24</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0"/>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2"/>
              <w:jc w:val="right"/>
              <w:rPr>
                <w:rFonts w:ascii="宋体" w:hAnsi="宋体" w:cs="宋体" w:eastAsia="宋体" w:hint="default"/>
                <w:sz w:val="15"/>
                <w:szCs w:val="15"/>
              </w:rPr>
            </w:pPr>
            <w:r>
              <w:rPr>
                <w:rFonts w:ascii="宋体"/>
                <w:spacing w:val="-1"/>
                <w:sz w:val="15"/>
              </w:rPr>
              <w:t>449,272</w:t>
            </w:r>
            <w:r>
              <w:rPr>
                <w:rFonts w:ascii="宋体"/>
                <w:sz w:val="15"/>
              </w:rPr>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4"/>
              <w:ind w:left="142" w:right="105"/>
              <w:jc w:val="left"/>
              <w:rPr>
                <w:rFonts w:ascii="宋体" w:hAnsi="宋体" w:cs="宋体" w:eastAsia="宋体" w:hint="default"/>
                <w:sz w:val="15"/>
                <w:szCs w:val="15"/>
              </w:rPr>
            </w:pPr>
            <w:r>
              <w:rPr>
                <w:rFonts w:ascii="宋体" w:hAnsi="宋体" w:cs="宋体" w:eastAsia="宋体" w:hint="default"/>
                <w:spacing w:val="18"/>
                <w:sz w:val="15"/>
                <w:szCs w:val="15"/>
              </w:rPr>
              <w:t>注1</w:t>
            </w:r>
            <w:r>
              <w:rPr>
                <w:rFonts w:ascii="宋体" w:hAnsi="宋体" w:cs="宋体" w:eastAsia="宋体" w:hint="default"/>
                <w:spacing w:val="-38"/>
                <w:sz w:val="15"/>
                <w:szCs w:val="15"/>
              </w:rPr>
              <w:t> </w:t>
            </w:r>
            <w:r>
              <w:rPr>
                <w:rFonts w:ascii="宋体" w:hAnsi="宋体" w:cs="宋体" w:eastAsia="宋体" w:hint="default"/>
                <w:spacing w:val="18"/>
                <w:sz w:val="15"/>
                <w:szCs w:val="15"/>
              </w:rPr>
              <w:t>注2</w:t>
            </w:r>
            <w:r>
              <w:rPr>
                <w:rFonts w:ascii="宋体" w:hAnsi="宋体" w:cs="宋体" w:eastAsia="宋体" w:hint="default"/>
                <w:spacing w:val="-38"/>
                <w:sz w:val="15"/>
                <w:szCs w:val="15"/>
              </w:rPr>
              <w:t> </w:t>
            </w:r>
            <w:r>
              <w:rPr>
                <w:rFonts w:ascii="宋体" w:hAnsi="宋体" w:cs="宋体" w:eastAsia="宋体" w:hint="default"/>
                <w:sz w:val="15"/>
                <w:szCs w:val="15"/>
              </w:rPr>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0"/>
              <w:jc w:val="right"/>
              <w:rPr>
                <w:rFonts w:ascii="宋体" w:hAnsi="宋体" w:cs="宋体" w:eastAsia="宋体" w:hint="default"/>
                <w:sz w:val="15"/>
                <w:szCs w:val="15"/>
              </w:rPr>
            </w:pPr>
            <w:r>
              <w:rPr>
                <w:rFonts w:ascii="宋体"/>
                <w:spacing w:val="-1"/>
                <w:sz w:val="15"/>
              </w:rPr>
              <w:t>95.00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322"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卢朝霞</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2" w:right="0"/>
              <w:jc w:val="left"/>
              <w:rPr>
                <w:rFonts w:ascii="宋体" w:hAnsi="宋体" w:cs="宋体" w:eastAsia="宋体" w:hint="default"/>
                <w:sz w:val="15"/>
                <w:szCs w:val="15"/>
              </w:rPr>
            </w:pPr>
            <w:r>
              <w:rPr>
                <w:rFonts w:ascii="宋体" w:hAnsi="宋体" w:cs="宋体" w:eastAsia="宋体" w:hint="default"/>
                <w:sz w:val="15"/>
                <w:szCs w:val="15"/>
              </w:rPr>
              <w:t>高级副总裁</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15"/>
                <w:szCs w:val="15"/>
              </w:rPr>
            </w:pPr>
            <w:r>
              <w:rPr>
                <w:rFonts w:ascii="宋体" w:hAnsi="宋体" w:cs="宋体" w:eastAsia="宋体" w:hint="default"/>
                <w:sz w:val="15"/>
                <w:szCs w:val="15"/>
              </w:rPr>
              <w:t>女</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25" w:right="0"/>
              <w:jc w:val="left"/>
              <w:rPr>
                <w:rFonts w:ascii="宋体" w:hAnsi="宋体" w:cs="宋体" w:eastAsia="宋体" w:hint="default"/>
                <w:sz w:val="15"/>
                <w:szCs w:val="15"/>
              </w:rPr>
            </w:pPr>
            <w:r>
              <w:rPr>
                <w:rFonts w:ascii="宋体"/>
                <w:sz w:val="15"/>
              </w:rPr>
              <w:t>55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24</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5"/>
                <w:szCs w:val="15"/>
              </w:rPr>
            </w:pPr>
            <w:r>
              <w:rPr>
                <w:rFonts w:ascii="宋体"/>
                <w:spacing w:val="-1"/>
                <w:sz w:val="15"/>
              </w:rPr>
              <w:t>22,274</w:t>
            </w:r>
            <w:r>
              <w:rPr>
                <w:rFonts w:ascii="宋体"/>
                <w:sz w:val="15"/>
              </w:rPr>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宋体" w:hAnsi="宋体" w:cs="宋体" w:eastAsia="宋体" w:hint="default"/>
                <w:sz w:val="15"/>
                <w:szCs w:val="15"/>
              </w:rPr>
            </w:pPr>
            <w:r>
              <w:rPr>
                <w:rFonts w:ascii="宋体"/>
                <w:spacing w:val="-1"/>
                <w:sz w:val="15"/>
              </w:rPr>
              <w:t>2,201,949</w:t>
            </w:r>
            <w:r>
              <w:rPr>
                <w:rFonts w:ascii="宋体"/>
                <w:sz w:val="15"/>
              </w:rPr>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
              <w:jc w:val="center"/>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宋体" w:hAnsi="宋体" w:cs="宋体" w:eastAsia="宋体" w:hint="default"/>
                <w:sz w:val="15"/>
                <w:szCs w:val="15"/>
              </w:rPr>
              <w:t>1</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15"/>
                <w:szCs w:val="15"/>
              </w:rPr>
            </w:pPr>
            <w:r>
              <w:rPr>
                <w:rFonts w:ascii="宋体"/>
                <w:spacing w:val="-1"/>
                <w:sz w:val="15"/>
              </w:rPr>
              <w:t>97.00</w:t>
            </w:r>
            <w:r>
              <w:rPr>
                <w:rFonts w:ascii="宋体"/>
                <w:sz w:val="15"/>
              </w:rPr>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63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张霞</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01" w:right="101"/>
              <w:jc w:val="left"/>
              <w:rPr>
                <w:rFonts w:ascii="宋体" w:hAnsi="宋体" w:cs="宋体" w:eastAsia="宋体" w:hint="default"/>
                <w:sz w:val="15"/>
                <w:szCs w:val="15"/>
              </w:rPr>
            </w:pPr>
            <w:r>
              <w:rPr>
                <w:rFonts w:ascii="宋体" w:hAnsi="宋体" w:cs="宋体" w:eastAsia="宋体" w:hint="default"/>
                <w:sz w:val="15"/>
                <w:szCs w:val="15"/>
              </w:rPr>
              <w:t>高级副总裁兼首席技</w:t>
            </w:r>
            <w:r>
              <w:rPr>
                <w:rFonts w:ascii="宋体" w:hAnsi="宋体" w:cs="宋体" w:eastAsia="宋体" w:hint="default"/>
                <w:spacing w:val="-64"/>
                <w:sz w:val="15"/>
                <w:szCs w:val="15"/>
              </w:rPr>
              <w:t> </w:t>
            </w:r>
            <w:r>
              <w:rPr>
                <w:rFonts w:ascii="宋体" w:hAnsi="宋体" w:cs="宋体" w:eastAsia="宋体" w:hint="default"/>
                <w:spacing w:val="-64"/>
                <w:sz w:val="15"/>
                <w:szCs w:val="15"/>
              </w:rPr>
            </w:r>
            <w:r>
              <w:rPr>
                <w:rFonts w:ascii="宋体" w:hAnsi="宋体" w:cs="宋体" w:eastAsia="宋体" w:hint="default"/>
                <w:sz w:val="15"/>
                <w:szCs w:val="15"/>
              </w:rPr>
              <w:t>术官、首席知识官</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女</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24" w:right="0"/>
              <w:jc w:val="left"/>
              <w:rPr>
                <w:rFonts w:ascii="宋体" w:hAnsi="宋体" w:cs="宋体" w:eastAsia="宋体" w:hint="default"/>
                <w:sz w:val="15"/>
                <w:szCs w:val="15"/>
              </w:rPr>
            </w:pPr>
            <w:r>
              <w:rPr>
                <w:rFonts w:ascii="宋体"/>
                <w:sz w:val="15"/>
              </w:rPr>
              <w:t>47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25</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24</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1,103,048</w:t>
            </w:r>
            <w:r>
              <w:rPr>
                <w:rFonts w:ascii="宋体"/>
                <w:sz w:val="15"/>
              </w:rPr>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宋体" w:hAnsi="宋体" w:cs="宋体" w:eastAsia="宋体" w:hint="default"/>
                <w:sz w:val="15"/>
                <w:szCs w:val="15"/>
              </w:rPr>
              <w:t>1</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宋体" w:hAnsi="宋体" w:cs="宋体" w:eastAsia="宋体" w:hint="default"/>
                <w:sz w:val="15"/>
                <w:szCs w:val="15"/>
              </w:rPr>
            </w:pPr>
            <w:r>
              <w:rPr>
                <w:rFonts w:ascii="宋体"/>
                <w:spacing w:val="-1"/>
                <w:sz w:val="15"/>
              </w:rPr>
              <w:t>84.00</w:t>
            </w:r>
            <w:r>
              <w:rPr>
                <w:rFonts w:ascii="宋体"/>
                <w:sz w:val="15"/>
              </w:rPr>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323"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5"/>
                <w:szCs w:val="15"/>
              </w:rPr>
            </w:pPr>
            <w:r>
              <w:rPr>
                <w:rFonts w:ascii="宋体" w:hAnsi="宋体" w:cs="宋体" w:eastAsia="宋体" w:hint="default"/>
                <w:sz w:val="15"/>
                <w:szCs w:val="15"/>
              </w:rPr>
              <w:t>王经锡</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1" w:right="0"/>
              <w:jc w:val="left"/>
              <w:rPr>
                <w:rFonts w:ascii="宋体" w:hAnsi="宋体" w:cs="宋体" w:eastAsia="宋体" w:hint="default"/>
                <w:sz w:val="15"/>
                <w:szCs w:val="15"/>
              </w:rPr>
            </w:pPr>
            <w:r>
              <w:rPr>
                <w:rFonts w:ascii="宋体" w:hAnsi="宋体" w:cs="宋体" w:eastAsia="宋体" w:hint="default"/>
                <w:sz w:val="15"/>
                <w:szCs w:val="15"/>
              </w:rPr>
              <w:t>高级副总裁</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24" w:right="0"/>
              <w:jc w:val="left"/>
              <w:rPr>
                <w:rFonts w:ascii="宋体" w:hAnsi="宋体" w:cs="宋体" w:eastAsia="宋体" w:hint="default"/>
                <w:sz w:val="15"/>
                <w:szCs w:val="15"/>
              </w:rPr>
            </w:pPr>
            <w:r>
              <w:rPr>
                <w:rFonts w:ascii="宋体"/>
                <w:sz w:val="15"/>
              </w:rPr>
              <w:t>43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24</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宋体" w:hAnsi="宋体" w:cs="宋体" w:eastAsia="宋体" w:hint="default"/>
                <w:sz w:val="15"/>
                <w:szCs w:val="15"/>
              </w:rPr>
            </w:pPr>
            <w:r>
              <w:rPr>
                <w:rFonts w:ascii="宋体"/>
                <w:sz w:val="15"/>
              </w:rPr>
              <w:t>792,609</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宋体" w:hAnsi="宋体" w:cs="宋体" w:eastAsia="宋体" w:hint="default"/>
                <w:sz w:val="15"/>
                <w:szCs w:val="15"/>
              </w:rPr>
              <w:t>1</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宋体" w:hAnsi="宋体" w:cs="宋体" w:eastAsia="宋体" w:hint="default"/>
                <w:sz w:val="15"/>
                <w:szCs w:val="15"/>
              </w:rPr>
            </w:pPr>
            <w:r>
              <w:rPr>
                <w:rFonts w:ascii="宋体"/>
                <w:sz w:val="15"/>
              </w:rPr>
              <w:t>78.00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63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张晓鸥</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01" w:right="101"/>
              <w:jc w:val="left"/>
              <w:rPr>
                <w:rFonts w:ascii="宋体" w:hAnsi="宋体" w:cs="宋体" w:eastAsia="宋体" w:hint="default"/>
                <w:sz w:val="15"/>
                <w:szCs w:val="15"/>
              </w:rPr>
            </w:pPr>
            <w:r>
              <w:rPr>
                <w:rFonts w:ascii="宋体" w:hAnsi="宋体" w:cs="宋体" w:eastAsia="宋体" w:hint="default"/>
                <w:sz w:val="15"/>
                <w:szCs w:val="15"/>
              </w:rPr>
              <w:t>高级副总裁兼财务运</w:t>
            </w:r>
            <w:r>
              <w:rPr>
                <w:rFonts w:ascii="宋体" w:hAnsi="宋体" w:cs="宋体" w:eastAsia="宋体" w:hint="default"/>
                <w:spacing w:val="-64"/>
                <w:sz w:val="15"/>
                <w:szCs w:val="15"/>
              </w:rPr>
              <w:t> </w:t>
            </w:r>
            <w:r>
              <w:rPr>
                <w:rFonts w:ascii="宋体" w:hAnsi="宋体" w:cs="宋体" w:eastAsia="宋体" w:hint="default"/>
                <w:spacing w:val="-64"/>
                <w:sz w:val="15"/>
                <w:szCs w:val="15"/>
              </w:rPr>
            </w:r>
            <w:r>
              <w:rPr>
                <w:rFonts w:ascii="宋体" w:hAnsi="宋体" w:cs="宋体" w:eastAsia="宋体" w:hint="default"/>
                <w:sz w:val="15"/>
                <w:szCs w:val="15"/>
              </w:rPr>
              <w:t>行官</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24" w:right="0"/>
              <w:jc w:val="left"/>
              <w:rPr>
                <w:rFonts w:ascii="宋体" w:hAnsi="宋体" w:cs="宋体" w:eastAsia="宋体" w:hint="default"/>
                <w:sz w:val="15"/>
                <w:szCs w:val="15"/>
              </w:rPr>
            </w:pPr>
            <w:r>
              <w:rPr>
                <w:rFonts w:ascii="宋体"/>
                <w:sz w:val="15"/>
              </w:rPr>
              <w:t>40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25</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24</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2"/>
              <w:jc w:val="right"/>
              <w:rPr>
                <w:rFonts w:ascii="宋体" w:hAnsi="宋体" w:cs="宋体" w:eastAsia="宋体" w:hint="default"/>
                <w:sz w:val="15"/>
                <w:szCs w:val="15"/>
              </w:rPr>
            </w:pPr>
            <w:r>
              <w:rPr>
                <w:rFonts w:ascii="宋体"/>
                <w:spacing w:val="-1"/>
                <w:sz w:val="15"/>
              </w:rPr>
              <w:t>370,000</w:t>
            </w:r>
            <w:r>
              <w:rPr>
                <w:rFonts w:ascii="宋体"/>
                <w:sz w:val="15"/>
              </w:rPr>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42" w:right="105"/>
              <w:jc w:val="left"/>
              <w:rPr>
                <w:rFonts w:ascii="宋体" w:hAnsi="宋体" w:cs="宋体" w:eastAsia="宋体" w:hint="default"/>
                <w:sz w:val="15"/>
                <w:szCs w:val="15"/>
              </w:rPr>
            </w:pPr>
            <w:r>
              <w:rPr>
                <w:rFonts w:ascii="宋体" w:hAnsi="宋体" w:cs="宋体" w:eastAsia="宋体" w:hint="default"/>
                <w:spacing w:val="18"/>
                <w:sz w:val="15"/>
                <w:szCs w:val="15"/>
              </w:rPr>
              <w:t>注1</w:t>
            </w:r>
            <w:r>
              <w:rPr>
                <w:rFonts w:ascii="宋体" w:hAnsi="宋体" w:cs="宋体" w:eastAsia="宋体" w:hint="default"/>
                <w:spacing w:val="-38"/>
                <w:sz w:val="15"/>
                <w:szCs w:val="15"/>
              </w:rPr>
              <w:t> </w:t>
            </w:r>
            <w:r>
              <w:rPr>
                <w:rFonts w:ascii="宋体" w:hAnsi="宋体" w:cs="宋体" w:eastAsia="宋体" w:hint="default"/>
                <w:spacing w:val="18"/>
                <w:sz w:val="15"/>
                <w:szCs w:val="15"/>
              </w:rPr>
              <w:t>注2</w:t>
            </w:r>
            <w:r>
              <w:rPr>
                <w:rFonts w:ascii="宋体" w:hAnsi="宋体" w:cs="宋体" w:eastAsia="宋体" w:hint="default"/>
                <w:spacing w:val="-38"/>
                <w:sz w:val="15"/>
                <w:szCs w:val="15"/>
              </w:rPr>
              <w:t> </w:t>
            </w:r>
            <w:r>
              <w:rPr>
                <w:rFonts w:ascii="宋体" w:hAnsi="宋体" w:cs="宋体" w:eastAsia="宋体" w:hint="default"/>
                <w:sz w:val="15"/>
                <w:szCs w:val="15"/>
              </w:rPr>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宋体" w:hAnsi="宋体" w:cs="宋体" w:eastAsia="宋体" w:hint="default"/>
                <w:sz w:val="15"/>
                <w:szCs w:val="15"/>
              </w:rPr>
            </w:pPr>
            <w:r>
              <w:rPr>
                <w:rFonts w:ascii="宋体"/>
                <w:spacing w:val="-1"/>
                <w:sz w:val="15"/>
              </w:rPr>
              <w:t>78.00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63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李军</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01" w:right="101"/>
              <w:jc w:val="left"/>
              <w:rPr>
                <w:rFonts w:ascii="宋体" w:hAnsi="宋体" w:cs="宋体" w:eastAsia="宋体" w:hint="default"/>
                <w:sz w:val="15"/>
                <w:szCs w:val="15"/>
              </w:rPr>
            </w:pPr>
            <w:r>
              <w:rPr>
                <w:rFonts w:ascii="宋体" w:hAnsi="宋体" w:cs="宋体" w:eastAsia="宋体" w:hint="default"/>
                <w:sz w:val="15"/>
                <w:szCs w:val="15"/>
              </w:rPr>
              <w:t>高级副总裁兼首席营</w:t>
            </w:r>
            <w:r>
              <w:rPr>
                <w:rFonts w:ascii="宋体" w:hAnsi="宋体" w:cs="宋体" w:eastAsia="宋体" w:hint="default"/>
                <w:spacing w:val="-64"/>
                <w:sz w:val="15"/>
                <w:szCs w:val="15"/>
              </w:rPr>
              <w:t> </w:t>
            </w:r>
            <w:r>
              <w:rPr>
                <w:rFonts w:ascii="宋体" w:hAnsi="宋体" w:cs="宋体" w:eastAsia="宋体" w:hint="default"/>
                <w:spacing w:val="-64"/>
                <w:sz w:val="15"/>
                <w:szCs w:val="15"/>
              </w:rPr>
            </w:r>
            <w:r>
              <w:rPr>
                <w:rFonts w:ascii="宋体" w:hAnsi="宋体" w:cs="宋体" w:eastAsia="宋体" w:hint="default"/>
                <w:sz w:val="15"/>
                <w:szCs w:val="15"/>
              </w:rPr>
              <w:t>销官</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24" w:right="0"/>
              <w:jc w:val="left"/>
              <w:rPr>
                <w:rFonts w:ascii="宋体" w:hAnsi="宋体" w:cs="宋体" w:eastAsia="宋体" w:hint="default"/>
                <w:sz w:val="15"/>
                <w:szCs w:val="15"/>
              </w:rPr>
            </w:pPr>
            <w:r>
              <w:rPr>
                <w:rFonts w:ascii="宋体"/>
                <w:sz w:val="15"/>
              </w:rPr>
              <w:t>39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25</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24</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660,508</w:t>
            </w:r>
            <w:r>
              <w:rPr>
                <w:rFonts w:ascii="宋体"/>
                <w:sz w:val="15"/>
              </w:rPr>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宋体" w:hAnsi="宋体" w:cs="宋体" w:eastAsia="宋体" w:hint="default"/>
                <w:sz w:val="15"/>
                <w:szCs w:val="15"/>
              </w:rPr>
              <w:t>1</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宋体" w:hAnsi="宋体" w:cs="宋体" w:eastAsia="宋体" w:hint="default"/>
                <w:sz w:val="15"/>
                <w:szCs w:val="15"/>
              </w:rPr>
            </w:pPr>
            <w:r>
              <w:rPr>
                <w:rFonts w:ascii="宋体"/>
                <w:spacing w:val="-1"/>
                <w:sz w:val="15"/>
              </w:rPr>
              <w:t>78.00</w:t>
            </w:r>
            <w:r>
              <w:rPr>
                <w:rFonts w:ascii="宋体"/>
                <w:sz w:val="15"/>
              </w:rPr>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635"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王楠</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4"/>
              <w:ind w:left="101" w:right="101"/>
              <w:jc w:val="left"/>
              <w:rPr>
                <w:rFonts w:ascii="宋体" w:hAnsi="宋体" w:cs="宋体" w:eastAsia="宋体" w:hint="default"/>
                <w:sz w:val="15"/>
                <w:szCs w:val="15"/>
              </w:rPr>
            </w:pPr>
            <w:r>
              <w:rPr>
                <w:rFonts w:ascii="宋体" w:hAnsi="宋体" w:cs="宋体" w:eastAsia="宋体" w:hint="default"/>
                <w:sz w:val="15"/>
                <w:szCs w:val="15"/>
              </w:rPr>
              <w:t>高级副总裁兼董事会</w:t>
            </w:r>
            <w:r>
              <w:rPr>
                <w:rFonts w:ascii="宋体" w:hAnsi="宋体" w:cs="宋体" w:eastAsia="宋体" w:hint="default"/>
                <w:spacing w:val="-64"/>
                <w:sz w:val="15"/>
                <w:szCs w:val="15"/>
              </w:rPr>
              <w:t> </w:t>
            </w:r>
            <w:r>
              <w:rPr>
                <w:rFonts w:ascii="宋体" w:hAnsi="宋体" w:cs="宋体" w:eastAsia="宋体" w:hint="default"/>
                <w:spacing w:val="-64"/>
                <w:sz w:val="15"/>
                <w:szCs w:val="15"/>
              </w:rPr>
            </w:r>
            <w:r>
              <w:rPr>
                <w:rFonts w:ascii="宋体" w:hAnsi="宋体" w:cs="宋体" w:eastAsia="宋体" w:hint="default"/>
                <w:sz w:val="15"/>
                <w:szCs w:val="15"/>
              </w:rPr>
              <w:t>秘书</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女</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25" w:right="0"/>
              <w:jc w:val="left"/>
              <w:rPr>
                <w:rFonts w:ascii="宋体" w:hAnsi="宋体" w:cs="宋体" w:eastAsia="宋体" w:hint="default"/>
                <w:sz w:val="15"/>
                <w:szCs w:val="15"/>
              </w:rPr>
            </w:pPr>
            <w:r>
              <w:rPr>
                <w:rFonts w:ascii="宋体"/>
                <w:sz w:val="15"/>
              </w:rPr>
              <w:t>36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25</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2014</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24</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344,278</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2"/>
              <w:jc w:val="right"/>
              <w:rPr>
                <w:rFonts w:ascii="宋体" w:hAnsi="宋体" w:cs="宋体" w:eastAsia="宋体" w:hint="default"/>
                <w:sz w:val="15"/>
                <w:szCs w:val="15"/>
              </w:rPr>
            </w:pPr>
            <w:r>
              <w:rPr>
                <w:rFonts w:ascii="宋体"/>
                <w:spacing w:val="-1"/>
                <w:sz w:val="15"/>
              </w:rPr>
              <w:t>344,278</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宋体" w:hAnsi="宋体" w:cs="宋体" w:eastAsia="宋体" w:hint="default"/>
                <w:sz w:val="15"/>
                <w:szCs w:val="15"/>
              </w:rPr>
              <w:t>3</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62.00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63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赵宏</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02" w:right="0"/>
              <w:jc w:val="left"/>
              <w:rPr>
                <w:rFonts w:ascii="宋体" w:hAnsi="宋体" w:cs="宋体" w:eastAsia="宋体" w:hint="default"/>
                <w:sz w:val="15"/>
                <w:szCs w:val="15"/>
              </w:rPr>
            </w:pPr>
            <w:r>
              <w:rPr>
                <w:rFonts w:ascii="宋体" w:hAnsi="宋体" w:cs="宋体" w:eastAsia="宋体" w:hint="default"/>
                <w:sz w:val="15"/>
                <w:szCs w:val="15"/>
              </w:rPr>
              <w:t>原董事兼高级副总裁</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25" w:right="0"/>
              <w:jc w:val="left"/>
              <w:rPr>
                <w:rFonts w:ascii="宋体" w:hAnsi="宋体" w:cs="宋体" w:eastAsia="宋体" w:hint="default"/>
                <w:sz w:val="15"/>
                <w:szCs w:val="15"/>
              </w:rPr>
            </w:pPr>
            <w:r>
              <w:rPr>
                <w:rFonts w:ascii="宋体"/>
                <w:sz w:val="15"/>
              </w:rPr>
              <w:t>58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30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1"/>
              <w:jc w:val="right"/>
              <w:rPr>
                <w:rFonts w:ascii="宋体" w:hAnsi="宋体" w:cs="宋体" w:eastAsia="宋体" w:hint="default"/>
                <w:sz w:val="15"/>
                <w:szCs w:val="15"/>
              </w:rPr>
            </w:pPr>
            <w:r>
              <w:rPr>
                <w:rFonts w:ascii="宋体"/>
                <w:spacing w:val="-1"/>
                <w:sz w:val="15"/>
              </w:rPr>
              <w:t>247,824</w:t>
            </w:r>
            <w:r>
              <w:rPr>
                <w:rFonts w:ascii="宋体"/>
                <w:sz w:val="15"/>
              </w:rPr>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2"/>
              <w:jc w:val="right"/>
              <w:rPr>
                <w:rFonts w:ascii="宋体" w:hAnsi="宋体" w:cs="宋体" w:eastAsia="宋体" w:hint="default"/>
                <w:sz w:val="15"/>
                <w:szCs w:val="15"/>
              </w:rPr>
            </w:pPr>
            <w:r>
              <w:rPr>
                <w:rFonts w:ascii="宋体"/>
                <w:spacing w:val="-1"/>
                <w:sz w:val="15"/>
              </w:rPr>
              <w:t>3,669,253</w:t>
            </w:r>
            <w:r>
              <w:rPr>
                <w:rFonts w:ascii="宋体"/>
                <w:sz w:val="15"/>
              </w:rPr>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42" w:right="105"/>
              <w:jc w:val="left"/>
              <w:rPr>
                <w:rFonts w:ascii="宋体" w:hAnsi="宋体" w:cs="宋体" w:eastAsia="宋体" w:hint="default"/>
                <w:sz w:val="15"/>
                <w:szCs w:val="15"/>
              </w:rPr>
            </w:pPr>
            <w:r>
              <w:rPr>
                <w:rFonts w:ascii="宋体" w:hAnsi="宋体" w:cs="宋体" w:eastAsia="宋体" w:hint="default"/>
                <w:spacing w:val="18"/>
                <w:sz w:val="15"/>
                <w:szCs w:val="15"/>
              </w:rPr>
              <w:t>注1</w:t>
            </w:r>
            <w:r>
              <w:rPr>
                <w:rFonts w:ascii="宋体" w:hAnsi="宋体" w:cs="宋体" w:eastAsia="宋体" w:hint="default"/>
                <w:spacing w:val="-38"/>
                <w:sz w:val="15"/>
                <w:szCs w:val="15"/>
              </w:rPr>
              <w:t> </w:t>
            </w:r>
            <w:r>
              <w:rPr>
                <w:rFonts w:ascii="宋体" w:hAnsi="宋体" w:cs="宋体" w:eastAsia="宋体" w:hint="default"/>
                <w:spacing w:val="18"/>
                <w:sz w:val="15"/>
                <w:szCs w:val="15"/>
              </w:rPr>
              <w:t>注4</w:t>
            </w:r>
            <w:r>
              <w:rPr>
                <w:rFonts w:ascii="宋体" w:hAnsi="宋体" w:cs="宋体" w:eastAsia="宋体" w:hint="default"/>
                <w:spacing w:val="-38"/>
                <w:sz w:val="15"/>
                <w:szCs w:val="15"/>
              </w:rPr>
              <w:t> </w:t>
            </w:r>
            <w:r>
              <w:rPr>
                <w:rFonts w:ascii="宋体" w:hAnsi="宋体" w:cs="宋体" w:eastAsia="宋体" w:hint="default"/>
                <w:sz w:val="15"/>
                <w:szCs w:val="15"/>
              </w:rPr>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0"/>
              <w:jc w:val="right"/>
              <w:rPr>
                <w:rFonts w:ascii="宋体" w:hAnsi="宋体" w:cs="宋体" w:eastAsia="宋体" w:hint="default"/>
                <w:sz w:val="15"/>
                <w:szCs w:val="15"/>
              </w:rPr>
            </w:pPr>
            <w:r>
              <w:rPr>
                <w:rFonts w:ascii="宋体"/>
                <w:spacing w:val="-1"/>
                <w:sz w:val="15"/>
              </w:rPr>
              <w:t>48.00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是</w:t>
            </w:r>
          </w:p>
        </w:tc>
      </w:tr>
      <w:tr>
        <w:trPr>
          <w:trHeight w:val="323"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恩地和明</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2" w:right="0"/>
              <w:jc w:val="left"/>
              <w:rPr>
                <w:rFonts w:ascii="宋体" w:hAnsi="宋体" w:cs="宋体" w:eastAsia="宋体" w:hint="default"/>
                <w:sz w:val="15"/>
                <w:szCs w:val="15"/>
              </w:rPr>
            </w:pPr>
            <w:r>
              <w:rPr>
                <w:rFonts w:ascii="宋体" w:hAnsi="宋体" w:cs="宋体" w:eastAsia="宋体" w:hint="default"/>
                <w:sz w:val="15"/>
                <w:szCs w:val="15"/>
              </w:rPr>
              <w:t>原董事</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25" w:right="0"/>
              <w:jc w:val="left"/>
              <w:rPr>
                <w:rFonts w:ascii="宋体" w:hAnsi="宋体" w:cs="宋体" w:eastAsia="宋体" w:hint="default"/>
                <w:sz w:val="15"/>
                <w:szCs w:val="15"/>
              </w:rPr>
            </w:pPr>
            <w:r>
              <w:rPr>
                <w:rFonts w:ascii="宋体"/>
                <w:sz w:val="15"/>
              </w:rPr>
              <w:t>58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30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z w:val="15"/>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宋体" w:hAnsi="宋体" w:cs="宋体" w:eastAsia="宋体" w:hint="default"/>
                <w:sz w:val="15"/>
                <w:szCs w:val="15"/>
              </w:rPr>
              <w:t>4</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宋体" w:hAnsi="宋体" w:cs="宋体" w:eastAsia="宋体" w:hint="default"/>
                <w:sz w:val="15"/>
                <w:szCs w:val="15"/>
              </w:rPr>
            </w:pPr>
            <w:r>
              <w:rPr>
                <w:rFonts w:ascii="宋体"/>
                <w:sz w:val="15"/>
              </w:rPr>
              <w:t>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5"/>
                <w:szCs w:val="15"/>
              </w:rPr>
            </w:pPr>
            <w:r>
              <w:rPr>
                <w:rFonts w:ascii="宋体" w:hAnsi="宋体" w:cs="宋体" w:eastAsia="宋体" w:hint="default"/>
                <w:sz w:val="15"/>
                <w:szCs w:val="15"/>
              </w:rPr>
              <w:t>是</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p>
      <w:pPr>
        <w:pStyle w:val="BodyText"/>
        <w:spacing w:line="240" w:lineRule="auto"/>
        <w:ind w:left="1078" w:right="3706"/>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340" w:right="340"/>
        </w:sectPr>
      </w:pPr>
    </w:p>
    <w:p>
      <w:pPr>
        <w:spacing w:line="240" w:lineRule="auto" w:before="6"/>
        <w:rPr>
          <w:rFonts w:ascii="黑体" w:hAnsi="黑体" w:cs="黑体" w:eastAsia="黑体" w:hint="default"/>
          <w:sz w:val="20"/>
          <w:szCs w:val="20"/>
        </w:rPr>
      </w:pPr>
    </w:p>
    <w:tbl>
      <w:tblPr>
        <w:tblW w:w="0" w:type="auto"/>
        <w:jc w:val="left"/>
        <w:tblInd w:w="116" w:type="dxa"/>
        <w:tblLayout w:type="fixed"/>
        <w:tblCellMar>
          <w:top w:w="0" w:type="dxa"/>
          <w:left w:w="0" w:type="dxa"/>
          <w:bottom w:w="0" w:type="dxa"/>
          <w:right w:w="0" w:type="dxa"/>
        </w:tblCellMar>
        <w:tblLook w:val="01E0"/>
      </w:tblPr>
      <w:tblGrid>
        <w:gridCol w:w="1098"/>
        <w:gridCol w:w="1579"/>
        <w:gridCol w:w="368"/>
        <w:gridCol w:w="409"/>
        <w:gridCol w:w="1560"/>
        <w:gridCol w:w="1466"/>
        <w:gridCol w:w="994"/>
        <w:gridCol w:w="1088"/>
        <w:gridCol w:w="559"/>
        <w:gridCol w:w="935"/>
        <w:gridCol w:w="926"/>
      </w:tblGrid>
      <w:tr>
        <w:trPr>
          <w:trHeight w:val="1570"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4"/>
                <w:szCs w:val="14"/>
              </w:rPr>
            </w:pPr>
          </w:p>
          <w:p>
            <w:pPr>
              <w:pStyle w:val="TableParagraph"/>
              <w:spacing w:line="240" w:lineRule="auto"/>
              <w:ind w:right="0"/>
              <w:jc w:val="left"/>
              <w:rPr>
                <w:rFonts w:ascii="黑体" w:hAnsi="黑体" w:cs="黑体" w:eastAsia="黑体" w:hint="default"/>
                <w:sz w:val="14"/>
                <w:szCs w:val="14"/>
              </w:rPr>
            </w:pPr>
          </w:p>
          <w:p>
            <w:pPr>
              <w:pStyle w:val="TableParagraph"/>
              <w:spacing w:line="240" w:lineRule="auto"/>
              <w:ind w:right="0"/>
              <w:jc w:val="left"/>
              <w:rPr>
                <w:rFonts w:ascii="黑体" w:hAnsi="黑体" w:cs="黑体" w:eastAsia="黑体" w:hint="default"/>
                <w:sz w:val="14"/>
                <w:szCs w:val="14"/>
              </w:rPr>
            </w:pPr>
          </w:p>
          <w:p>
            <w:pPr>
              <w:pStyle w:val="TableParagraph"/>
              <w:spacing w:line="240" w:lineRule="auto" w:before="108"/>
              <w:ind w:right="1"/>
              <w:jc w:val="center"/>
              <w:rPr>
                <w:rFonts w:ascii="宋体" w:hAnsi="宋体" w:cs="宋体" w:eastAsia="宋体" w:hint="default"/>
                <w:sz w:val="15"/>
                <w:szCs w:val="15"/>
              </w:rPr>
            </w:pPr>
            <w:r>
              <w:rPr>
                <w:rFonts w:ascii="宋体" w:hAnsi="宋体" w:cs="宋体" w:eastAsia="宋体" w:hint="default"/>
                <w:sz w:val="15"/>
                <w:szCs w:val="15"/>
              </w:rPr>
              <w:t>姓名</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4"/>
                <w:szCs w:val="14"/>
              </w:rPr>
            </w:pPr>
          </w:p>
          <w:p>
            <w:pPr>
              <w:pStyle w:val="TableParagraph"/>
              <w:spacing w:line="240" w:lineRule="auto"/>
              <w:ind w:right="0"/>
              <w:jc w:val="left"/>
              <w:rPr>
                <w:rFonts w:ascii="黑体" w:hAnsi="黑体" w:cs="黑体" w:eastAsia="黑体" w:hint="default"/>
                <w:sz w:val="14"/>
                <w:szCs w:val="14"/>
              </w:rPr>
            </w:pPr>
          </w:p>
          <w:p>
            <w:pPr>
              <w:pStyle w:val="TableParagraph"/>
              <w:spacing w:line="240" w:lineRule="auto"/>
              <w:ind w:right="0"/>
              <w:jc w:val="left"/>
              <w:rPr>
                <w:rFonts w:ascii="黑体" w:hAnsi="黑体" w:cs="黑体" w:eastAsia="黑体" w:hint="default"/>
                <w:sz w:val="14"/>
                <w:szCs w:val="14"/>
              </w:rPr>
            </w:pPr>
          </w:p>
          <w:p>
            <w:pPr>
              <w:pStyle w:val="TableParagraph"/>
              <w:spacing w:line="240" w:lineRule="auto" w:before="108"/>
              <w:ind w:right="0"/>
              <w:jc w:val="center"/>
              <w:rPr>
                <w:rFonts w:ascii="宋体" w:hAnsi="宋体" w:cs="宋体" w:eastAsia="宋体" w:hint="default"/>
                <w:sz w:val="15"/>
                <w:szCs w:val="15"/>
              </w:rPr>
            </w:pPr>
            <w:r>
              <w:rPr>
                <w:rFonts w:ascii="宋体" w:hAnsi="宋体" w:cs="宋体" w:eastAsia="宋体" w:hint="default"/>
                <w:sz w:val="15"/>
                <w:szCs w:val="15"/>
              </w:rPr>
              <w:t>职务</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4"/>
                <w:szCs w:val="14"/>
              </w:rPr>
            </w:pPr>
          </w:p>
          <w:p>
            <w:pPr>
              <w:pStyle w:val="TableParagraph"/>
              <w:spacing w:line="240" w:lineRule="auto"/>
              <w:ind w:right="0"/>
              <w:jc w:val="left"/>
              <w:rPr>
                <w:rFonts w:ascii="黑体" w:hAnsi="黑体" w:cs="黑体" w:eastAsia="黑体" w:hint="default"/>
                <w:sz w:val="14"/>
                <w:szCs w:val="14"/>
              </w:rPr>
            </w:pPr>
          </w:p>
          <w:p>
            <w:pPr>
              <w:pStyle w:val="TableParagraph"/>
              <w:spacing w:line="240" w:lineRule="auto" w:before="4"/>
              <w:ind w:right="0"/>
              <w:jc w:val="left"/>
              <w:rPr>
                <w:rFonts w:ascii="黑体" w:hAnsi="黑体" w:cs="黑体" w:eastAsia="黑体" w:hint="default"/>
                <w:sz w:val="10"/>
                <w:szCs w:val="10"/>
              </w:rPr>
            </w:pPr>
          </w:p>
          <w:p>
            <w:pPr>
              <w:pStyle w:val="TableParagraph"/>
              <w:spacing w:line="381" w:lineRule="auto"/>
              <w:ind w:left="104" w:right="102"/>
              <w:jc w:val="left"/>
              <w:rPr>
                <w:rFonts w:ascii="宋体" w:hAnsi="宋体" w:cs="宋体" w:eastAsia="宋体" w:hint="default"/>
                <w:sz w:val="15"/>
                <w:szCs w:val="15"/>
              </w:rPr>
            </w:pPr>
            <w:r>
              <w:rPr>
                <w:rFonts w:ascii="宋体" w:hAnsi="宋体" w:cs="宋体" w:eastAsia="宋体" w:hint="default"/>
                <w:sz w:val="15"/>
                <w:szCs w:val="15"/>
              </w:rPr>
              <w:t>性 别</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4"/>
                <w:szCs w:val="14"/>
              </w:rPr>
            </w:pPr>
          </w:p>
          <w:p>
            <w:pPr>
              <w:pStyle w:val="TableParagraph"/>
              <w:spacing w:line="240" w:lineRule="auto"/>
              <w:ind w:right="0"/>
              <w:jc w:val="left"/>
              <w:rPr>
                <w:rFonts w:ascii="黑体" w:hAnsi="黑体" w:cs="黑体" w:eastAsia="黑体" w:hint="default"/>
                <w:sz w:val="14"/>
                <w:szCs w:val="14"/>
              </w:rPr>
            </w:pPr>
          </w:p>
          <w:p>
            <w:pPr>
              <w:pStyle w:val="TableParagraph"/>
              <w:spacing w:line="240" w:lineRule="auto" w:before="4"/>
              <w:ind w:right="0"/>
              <w:jc w:val="left"/>
              <w:rPr>
                <w:rFonts w:ascii="黑体" w:hAnsi="黑体" w:cs="黑体" w:eastAsia="黑体" w:hint="default"/>
                <w:sz w:val="10"/>
                <w:szCs w:val="10"/>
              </w:rPr>
            </w:pPr>
          </w:p>
          <w:p>
            <w:pPr>
              <w:pStyle w:val="TableParagraph"/>
              <w:spacing w:line="381" w:lineRule="auto"/>
              <w:ind w:left="124" w:right="122"/>
              <w:jc w:val="left"/>
              <w:rPr>
                <w:rFonts w:ascii="宋体" w:hAnsi="宋体" w:cs="宋体" w:eastAsia="宋体" w:hint="default"/>
                <w:sz w:val="15"/>
                <w:szCs w:val="15"/>
              </w:rPr>
            </w:pPr>
            <w:r>
              <w:rPr>
                <w:rFonts w:ascii="宋体" w:hAnsi="宋体" w:cs="宋体" w:eastAsia="宋体" w:hint="default"/>
                <w:sz w:val="15"/>
                <w:szCs w:val="15"/>
              </w:rPr>
              <w:t>年 龄</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4"/>
                <w:szCs w:val="14"/>
              </w:rPr>
            </w:pPr>
          </w:p>
          <w:p>
            <w:pPr>
              <w:pStyle w:val="TableParagraph"/>
              <w:spacing w:line="240" w:lineRule="auto"/>
              <w:ind w:right="0"/>
              <w:jc w:val="left"/>
              <w:rPr>
                <w:rFonts w:ascii="黑体" w:hAnsi="黑体" w:cs="黑体" w:eastAsia="黑体" w:hint="default"/>
                <w:sz w:val="14"/>
                <w:szCs w:val="14"/>
              </w:rPr>
            </w:pPr>
          </w:p>
          <w:p>
            <w:pPr>
              <w:pStyle w:val="TableParagraph"/>
              <w:spacing w:line="240" w:lineRule="auto" w:before="4"/>
              <w:ind w:right="0"/>
              <w:jc w:val="left"/>
              <w:rPr>
                <w:rFonts w:ascii="黑体" w:hAnsi="黑体" w:cs="黑体" w:eastAsia="黑体" w:hint="default"/>
                <w:sz w:val="10"/>
                <w:szCs w:val="10"/>
              </w:rPr>
            </w:pPr>
          </w:p>
          <w:p>
            <w:pPr>
              <w:pStyle w:val="TableParagraph"/>
              <w:spacing w:line="381" w:lineRule="auto"/>
              <w:ind w:left="473" w:right="474" w:firstLine="150"/>
              <w:jc w:val="left"/>
              <w:rPr>
                <w:rFonts w:ascii="宋体" w:hAnsi="宋体" w:cs="宋体" w:eastAsia="宋体" w:hint="default"/>
                <w:sz w:val="15"/>
                <w:szCs w:val="15"/>
              </w:rPr>
            </w:pPr>
            <w:r>
              <w:rPr>
                <w:rFonts w:ascii="宋体" w:hAnsi="宋体" w:cs="宋体" w:eastAsia="宋体" w:hint="default"/>
                <w:sz w:val="15"/>
                <w:szCs w:val="15"/>
              </w:rPr>
              <w:t>任期 起始日期</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4"/>
                <w:szCs w:val="14"/>
              </w:rPr>
            </w:pPr>
          </w:p>
          <w:p>
            <w:pPr>
              <w:pStyle w:val="TableParagraph"/>
              <w:spacing w:line="240" w:lineRule="auto"/>
              <w:ind w:right="0"/>
              <w:jc w:val="left"/>
              <w:rPr>
                <w:rFonts w:ascii="黑体" w:hAnsi="黑体" w:cs="黑体" w:eastAsia="黑体" w:hint="default"/>
                <w:sz w:val="14"/>
                <w:szCs w:val="14"/>
              </w:rPr>
            </w:pPr>
          </w:p>
          <w:p>
            <w:pPr>
              <w:pStyle w:val="TableParagraph"/>
              <w:spacing w:line="240" w:lineRule="auto" w:before="4"/>
              <w:ind w:right="0"/>
              <w:jc w:val="left"/>
              <w:rPr>
                <w:rFonts w:ascii="黑体" w:hAnsi="黑体" w:cs="黑体" w:eastAsia="黑体" w:hint="default"/>
                <w:sz w:val="10"/>
                <w:szCs w:val="10"/>
              </w:rPr>
            </w:pPr>
          </w:p>
          <w:p>
            <w:pPr>
              <w:pStyle w:val="TableParagraph"/>
              <w:spacing w:line="381" w:lineRule="auto"/>
              <w:ind w:left="427" w:right="427" w:firstLine="150"/>
              <w:jc w:val="left"/>
              <w:rPr>
                <w:rFonts w:ascii="宋体" w:hAnsi="宋体" w:cs="宋体" w:eastAsia="宋体" w:hint="default"/>
                <w:sz w:val="15"/>
                <w:szCs w:val="15"/>
              </w:rPr>
            </w:pPr>
            <w:r>
              <w:rPr>
                <w:rFonts w:ascii="宋体" w:hAnsi="宋体" w:cs="宋体" w:eastAsia="宋体" w:hint="default"/>
                <w:sz w:val="15"/>
                <w:szCs w:val="15"/>
              </w:rPr>
              <w:t>任期 终止日期</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4"/>
                <w:szCs w:val="14"/>
              </w:rPr>
            </w:pPr>
          </w:p>
          <w:p>
            <w:pPr>
              <w:pStyle w:val="TableParagraph"/>
              <w:spacing w:line="240" w:lineRule="auto" w:before="5"/>
              <w:ind w:right="0"/>
              <w:jc w:val="left"/>
              <w:rPr>
                <w:rFonts w:ascii="黑体" w:hAnsi="黑体" w:cs="黑体" w:eastAsia="黑体" w:hint="default"/>
                <w:sz w:val="12"/>
                <w:szCs w:val="12"/>
              </w:rPr>
            </w:pPr>
          </w:p>
          <w:p>
            <w:pPr>
              <w:pStyle w:val="TableParagraph"/>
              <w:spacing w:line="381" w:lineRule="auto"/>
              <w:ind w:left="266" w:right="265" w:firstLine="75"/>
              <w:jc w:val="left"/>
              <w:rPr>
                <w:rFonts w:ascii="宋体" w:hAnsi="宋体" w:cs="宋体" w:eastAsia="宋体" w:hint="default"/>
                <w:sz w:val="15"/>
                <w:szCs w:val="15"/>
              </w:rPr>
            </w:pPr>
            <w:r>
              <w:rPr>
                <w:rFonts w:ascii="宋体" w:hAnsi="宋体" w:cs="宋体" w:eastAsia="宋体" w:hint="default"/>
                <w:sz w:val="15"/>
                <w:szCs w:val="15"/>
              </w:rPr>
              <w:t>年初 持股数</w:t>
            </w:r>
          </w:p>
          <w:p>
            <w:pPr>
              <w:pStyle w:val="TableParagraph"/>
              <w:spacing w:line="240" w:lineRule="auto" w:before="27"/>
              <w:ind w:left="266" w:right="0"/>
              <w:jc w:val="left"/>
              <w:rPr>
                <w:rFonts w:ascii="宋体" w:hAnsi="宋体" w:cs="宋体" w:eastAsia="宋体" w:hint="default"/>
                <w:sz w:val="15"/>
                <w:szCs w:val="15"/>
              </w:rPr>
            </w:pPr>
            <w:r>
              <w:rPr>
                <w:rFonts w:ascii="宋体" w:hAnsi="宋体" w:cs="宋体" w:eastAsia="宋体" w:hint="default"/>
                <w:sz w:val="15"/>
                <w:szCs w:val="15"/>
              </w:rPr>
              <w:t>（股）</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4"/>
                <w:szCs w:val="14"/>
              </w:rPr>
            </w:pPr>
          </w:p>
          <w:p>
            <w:pPr>
              <w:pStyle w:val="TableParagraph"/>
              <w:spacing w:line="240" w:lineRule="auto" w:before="5"/>
              <w:ind w:right="0"/>
              <w:jc w:val="left"/>
              <w:rPr>
                <w:rFonts w:ascii="黑体" w:hAnsi="黑体" w:cs="黑体" w:eastAsia="黑体" w:hint="default"/>
                <w:sz w:val="12"/>
                <w:szCs w:val="12"/>
              </w:rPr>
            </w:pPr>
          </w:p>
          <w:p>
            <w:pPr>
              <w:pStyle w:val="TableParagraph"/>
              <w:spacing w:line="381" w:lineRule="auto"/>
              <w:ind w:left="313" w:right="313" w:firstLine="74"/>
              <w:jc w:val="left"/>
              <w:rPr>
                <w:rFonts w:ascii="宋体" w:hAnsi="宋体" w:cs="宋体" w:eastAsia="宋体" w:hint="default"/>
                <w:sz w:val="15"/>
                <w:szCs w:val="15"/>
              </w:rPr>
            </w:pPr>
            <w:r>
              <w:rPr>
                <w:rFonts w:ascii="宋体" w:hAnsi="宋体" w:cs="宋体" w:eastAsia="宋体" w:hint="default"/>
                <w:sz w:val="15"/>
                <w:szCs w:val="15"/>
              </w:rPr>
              <w:t>年末 持股数</w:t>
            </w:r>
          </w:p>
          <w:p>
            <w:pPr>
              <w:pStyle w:val="TableParagraph"/>
              <w:spacing w:line="240" w:lineRule="auto" w:before="27"/>
              <w:ind w:left="313" w:right="0"/>
              <w:jc w:val="left"/>
              <w:rPr>
                <w:rFonts w:ascii="宋体" w:hAnsi="宋体" w:cs="宋体" w:eastAsia="宋体" w:hint="default"/>
                <w:sz w:val="15"/>
                <w:szCs w:val="15"/>
              </w:rPr>
            </w:pPr>
            <w:r>
              <w:rPr>
                <w:rFonts w:ascii="宋体" w:hAnsi="宋体" w:cs="宋体" w:eastAsia="宋体" w:hint="default"/>
                <w:sz w:val="15"/>
                <w:szCs w:val="15"/>
              </w:rPr>
              <w:t>（股）</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4"/>
                <w:szCs w:val="14"/>
              </w:rPr>
            </w:pPr>
          </w:p>
          <w:p>
            <w:pPr>
              <w:pStyle w:val="TableParagraph"/>
              <w:spacing w:line="240" w:lineRule="auto"/>
              <w:ind w:right="0"/>
              <w:jc w:val="left"/>
              <w:rPr>
                <w:rFonts w:ascii="黑体" w:hAnsi="黑体" w:cs="黑体" w:eastAsia="黑体" w:hint="default"/>
                <w:sz w:val="14"/>
                <w:szCs w:val="14"/>
              </w:rPr>
            </w:pPr>
          </w:p>
          <w:p>
            <w:pPr>
              <w:pStyle w:val="TableParagraph"/>
              <w:spacing w:line="240" w:lineRule="auto" w:before="4"/>
              <w:ind w:right="0"/>
              <w:jc w:val="left"/>
              <w:rPr>
                <w:rFonts w:ascii="黑体" w:hAnsi="黑体" w:cs="黑体" w:eastAsia="黑体" w:hint="default"/>
                <w:sz w:val="10"/>
                <w:szCs w:val="10"/>
              </w:rPr>
            </w:pPr>
          </w:p>
          <w:p>
            <w:pPr>
              <w:pStyle w:val="TableParagraph"/>
              <w:spacing w:line="381" w:lineRule="auto"/>
              <w:ind w:left="124" w:right="122"/>
              <w:jc w:val="left"/>
              <w:rPr>
                <w:rFonts w:ascii="宋体" w:hAnsi="宋体" w:cs="宋体" w:eastAsia="宋体" w:hint="default"/>
                <w:sz w:val="15"/>
                <w:szCs w:val="15"/>
              </w:rPr>
            </w:pPr>
            <w:r>
              <w:rPr>
                <w:rFonts w:ascii="宋体" w:hAnsi="宋体" w:cs="宋体" w:eastAsia="宋体" w:hint="default"/>
                <w:sz w:val="15"/>
                <w:szCs w:val="15"/>
              </w:rPr>
              <w:t>变动 原因</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03" w:right="71" w:firstLine="58"/>
              <w:jc w:val="both"/>
              <w:rPr>
                <w:rFonts w:ascii="宋体" w:hAnsi="宋体" w:cs="宋体" w:eastAsia="宋体" w:hint="default"/>
                <w:sz w:val="15"/>
                <w:szCs w:val="15"/>
              </w:rPr>
            </w:pPr>
            <w:r>
              <w:rPr>
                <w:rFonts w:ascii="宋体" w:hAnsi="宋体" w:cs="宋体" w:eastAsia="宋体" w:hint="default"/>
                <w:sz w:val="15"/>
                <w:szCs w:val="15"/>
              </w:rPr>
              <w:t>报告期内 从公司领 取的报酬 总额（万 元、税前）</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03" w:right="101" w:firstLine="55"/>
              <w:jc w:val="both"/>
              <w:rPr>
                <w:rFonts w:ascii="宋体" w:hAnsi="宋体" w:cs="宋体" w:eastAsia="宋体" w:hint="default"/>
                <w:sz w:val="15"/>
                <w:szCs w:val="15"/>
              </w:rPr>
            </w:pPr>
            <w:r>
              <w:rPr>
                <w:rFonts w:ascii="宋体" w:hAnsi="宋体" w:cs="宋体" w:eastAsia="宋体" w:hint="default"/>
                <w:sz w:val="15"/>
                <w:szCs w:val="15"/>
              </w:rPr>
              <w:t>是否在股 东单位或 其他关联 单位领取 </w:t>
            </w:r>
            <w:r>
              <w:rPr>
                <w:rFonts w:ascii="宋体" w:hAnsi="宋体" w:cs="宋体" w:eastAsia="宋体" w:hint="default"/>
                <w:spacing w:val="-8"/>
                <w:sz w:val="15"/>
                <w:szCs w:val="15"/>
              </w:rPr>
              <w:t>报酬、津贴</w:t>
            </w:r>
          </w:p>
        </w:tc>
      </w:tr>
      <w:tr>
        <w:trPr>
          <w:trHeight w:val="635"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徐庆荣</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4"/>
                <w:szCs w:val="14"/>
              </w:rPr>
            </w:pPr>
          </w:p>
          <w:p>
            <w:pPr>
              <w:pStyle w:val="TableParagraph"/>
              <w:spacing w:line="240" w:lineRule="auto"/>
              <w:ind w:left="102" w:right="0"/>
              <w:jc w:val="left"/>
              <w:rPr>
                <w:rFonts w:ascii="宋体" w:hAnsi="宋体" w:cs="宋体" w:eastAsia="宋体" w:hint="default"/>
                <w:sz w:val="15"/>
                <w:szCs w:val="15"/>
              </w:rPr>
            </w:pPr>
            <w:r>
              <w:rPr>
                <w:rFonts w:ascii="宋体" w:hAnsi="宋体" w:cs="宋体" w:eastAsia="宋体" w:hint="default"/>
                <w:sz w:val="15"/>
                <w:szCs w:val="15"/>
              </w:rPr>
              <w:t>原监事</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女</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4"/>
                <w:szCs w:val="14"/>
              </w:rPr>
            </w:pPr>
          </w:p>
          <w:p>
            <w:pPr>
              <w:pStyle w:val="TableParagraph"/>
              <w:spacing w:line="240" w:lineRule="auto"/>
              <w:ind w:left="124" w:right="0"/>
              <w:jc w:val="left"/>
              <w:rPr>
                <w:rFonts w:ascii="宋体" w:hAnsi="宋体" w:cs="宋体" w:eastAsia="宋体" w:hint="default"/>
                <w:sz w:val="15"/>
                <w:szCs w:val="15"/>
              </w:rPr>
            </w:pPr>
            <w:r>
              <w:rPr>
                <w:rFonts w:ascii="宋体"/>
                <w:sz w:val="15"/>
              </w:rPr>
              <w:t>42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30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4"/>
                <w:szCs w:val="14"/>
              </w:rPr>
            </w:pPr>
          </w:p>
          <w:p>
            <w:pPr>
              <w:pStyle w:val="TableParagraph"/>
              <w:spacing w:line="240" w:lineRule="auto"/>
              <w:ind w:right="101"/>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4"/>
                <w:szCs w:val="14"/>
              </w:rPr>
            </w:pPr>
          </w:p>
          <w:p>
            <w:pPr>
              <w:pStyle w:val="TableParagraph"/>
              <w:spacing w:line="240" w:lineRule="auto"/>
              <w:ind w:right="102"/>
              <w:jc w:val="right"/>
              <w:rPr>
                <w:rFonts w:ascii="宋体" w:hAnsi="宋体" w:cs="宋体" w:eastAsia="宋体" w:hint="default"/>
                <w:sz w:val="15"/>
                <w:szCs w:val="15"/>
              </w:rPr>
            </w:pPr>
            <w:r>
              <w:rPr>
                <w:rFonts w:ascii="宋体"/>
                <w:sz w:val="15"/>
              </w:rPr>
              <w:t>3,170,436</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4"/>
              <w:ind w:left="142" w:right="105"/>
              <w:jc w:val="left"/>
              <w:rPr>
                <w:rFonts w:ascii="宋体" w:hAnsi="宋体" w:cs="宋体" w:eastAsia="宋体" w:hint="default"/>
                <w:sz w:val="15"/>
                <w:szCs w:val="15"/>
              </w:rPr>
            </w:pPr>
            <w:r>
              <w:rPr>
                <w:rFonts w:ascii="宋体" w:hAnsi="宋体" w:cs="宋体" w:eastAsia="宋体" w:hint="default"/>
                <w:spacing w:val="18"/>
                <w:sz w:val="15"/>
                <w:szCs w:val="15"/>
              </w:rPr>
              <w:t>注1</w:t>
            </w:r>
            <w:r>
              <w:rPr>
                <w:rFonts w:ascii="宋体" w:hAnsi="宋体" w:cs="宋体" w:eastAsia="宋体" w:hint="default"/>
                <w:spacing w:val="-38"/>
                <w:sz w:val="15"/>
                <w:szCs w:val="15"/>
              </w:rPr>
              <w:t> </w:t>
            </w:r>
            <w:r>
              <w:rPr>
                <w:rFonts w:ascii="宋体" w:hAnsi="宋体" w:cs="宋体" w:eastAsia="宋体" w:hint="default"/>
                <w:spacing w:val="18"/>
                <w:sz w:val="15"/>
                <w:szCs w:val="15"/>
              </w:rPr>
              <w:t>注4</w:t>
            </w:r>
            <w:r>
              <w:rPr>
                <w:rFonts w:ascii="宋体" w:hAnsi="宋体" w:cs="宋体" w:eastAsia="宋体" w:hint="default"/>
                <w:spacing w:val="-38"/>
                <w:sz w:val="15"/>
                <w:szCs w:val="15"/>
              </w:rPr>
              <w:t> </w:t>
            </w:r>
            <w:r>
              <w:rPr>
                <w:rFonts w:ascii="宋体" w:hAnsi="宋体" w:cs="宋体" w:eastAsia="宋体" w:hint="default"/>
                <w:sz w:val="15"/>
                <w:szCs w:val="15"/>
              </w:rPr>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4"/>
                <w:szCs w:val="14"/>
              </w:rPr>
            </w:pPr>
          </w:p>
          <w:p>
            <w:pPr>
              <w:pStyle w:val="TableParagraph"/>
              <w:spacing w:line="240" w:lineRule="auto"/>
              <w:ind w:right="100"/>
              <w:jc w:val="right"/>
              <w:rPr>
                <w:rFonts w:ascii="宋体" w:hAnsi="宋体" w:cs="宋体" w:eastAsia="宋体" w:hint="default"/>
                <w:sz w:val="15"/>
                <w:szCs w:val="15"/>
              </w:rPr>
            </w:pPr>
            <w:r>
              <w:rPr>
                <w:rFonts w:ascii="宋体"/>
                <w:spacing w:val="-1"/>
                <w:sz w:val="15"/>
              </w:rPr>
              <w:t>32.50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63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张红</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left="102" w:right="0"/>
              <w:jc w:val="left"/>
              <w:rPr>
                <w:rFonts w:ascii="宋体" w:hAnsi="宋体" w:cs="宋体" w:eastAsia="宋体" w:hint="default"/>
                <w:sz w:val="15"/>
                <w:szCs w:val="15"/>
              </w:rPr>
            </w:pPr>
            <w:r>
              <w:rPr>
                <w:rFonts w:ascii="宋体" w:hAnsi="宋体" w:cs="宋体" w:eastAsia="宋体" w:hint="default"/>
                <w:sz w:val="15"/>
                <w:szCs w:val="15"/>
              </w:rPr>
              <w:t>原监事</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女</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left="124" w:right="0"/>
              <w:jc w:val="left"/>
              <w:rPr>
                <w:rFonts w:ascii="宋体" w:hAnsi="宋体" w:cs="宋体" w:eastAsia="宋体" w:hint="default"/>
                <w:sz w:val="15"/>
                <w:szCs w:val="15"/>
              </w:rPr>
            </w:pPr>
            <w:r>
              <w:rPr>
                <w:rFonts w:ascii="宋体"/>
                <w:sz w:val="15"/>
              </w:rPr>
              <w:t>41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30</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8"/>
                <w:sz w:val="15"/>
                <w:szCs w:val="15"/>
              </w:rPr>
              <w:t> </w:t>
            </w:r>
            <w:r>
              <w:rPr>
                <w:rFonts w:ascii="宋体" w:hAnsi="宋体" w:cs="宋体" w:eastAsia="宋体" w:hint="default"/>
                <w:sz w:val="15"/>
                <w:szCs w:val="15"/>
              </w:rPr>
              <w:t>年</w:t>
            </w:r>
            <w:r>
              <w:rPr>
                <w:rFonts w:ascii="宋体" w:hAnsi="宋体" w:cs="宋体" w:eastAsia="宋体" w:hint="default"/>
                <w:spacing w:val="-38"/>
                <w:sz w:val="15"/>
                <w:szCs w:val="15"/>
              </w:rPr>
              <w:t> </w:t>
            </w:r>
            <w:r>
              <w:rPr>
                <w:rFonts w:ascii="宋体" w:hAnsi="宋体" w:cs="宋体" w:eastAsia="宋体" w:hint="default"/>
                <w:sz w:val="15"/>
                <w:szCs w:val="15"/>
              </w:rPr>
              <w:t>5</w:t>
            </w:r>
            <w:r>
              <w:rPr>
                <w:rFonts w:ascii="宋体" w:hAnsi="宋体" w:cs="宋体" w:eastAsia="宋体" w:hint="default"/>
                <w:spacing w:val="-38"/>
                <w:sz w:val="15"/>
                <w:szCs w:val="15"/>
              </w:rPr>
              <w:t> </w:t>
            </w: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宋体" w:hAnsi="宋体" w:cs="宋体" w:eastAsia="宋体" w:hint="default"/>
                <w:sz w:val="15"/>
                <w:szCs w:val="15"/>
              </w:rPr>
              <w:t>25</w:t>
            </w:r>
            <w:r>
              <w:rPr>
                <w:rFonts w:ascii="宋体" w:hAnsi="宋体" w:cs="宋体" w:eastAsia="宋体" w:hint="default"/>
                <w:spacing w:val="-38"/>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101"/>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101"/>
              <w:jc w:val="right"/>
              <w:rPr>
                <w:rFonts w:ascii="宋体" w:hAnsi="宋体" w:cs="宋体" w:eastAsia="宋体" w:hint="default"/>
                <w:sz w:val="15"/>
                <w:szCs w:val="15"/>
              </w:rPr>
            </w:pPr>
            <w:r>
              <w:rPr>
                <w:rFonts w:ascii="宋体"/>
                <w:sz w:val="15"/>
              </w:rPr>
              <w:t>359,824</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42" w:right="105"/>
              <w:jc w:val="left"/>
              <w:rPr>
                <w:rFonts w:ascii="宋体" w:hAnsi="宋体" w:cs="宋体" w:eastAsia="宋体" w:hint="default"/>
                <w:sz w:val="15"/>
                <w:szCs w:val="15"/>
              </w:rPr>
            </w:pPr>
            <w:r>
              <w:rPr>
                <w:rFonts w:ascii="宋体" w:hAnsi="宋体" w:cs="宋体" w:eastAsia="宋体" w:hint="default"/>
                <w:spacing w:val="18"/>
                <w:sz w:val="15"/>
                <w:szCs w:val="15"/>
              </w:rPr>
              <w:t>注1</w:t>
            </w:r>
            <w:r>
              <w:rPr>
                <w:rFonts w:ascii="宋体" w:hAnsi="宋体" w:cs="宋体" w:eastAsia="宋体" w:hint="default"/>
                <w:spacing w:val="-38"/>
                <w:sz w:val="15"/>
                <w:szCs w:val="15"/>
              </w:rPr>
              <w:t> </w:t>
            </w:r>
            <w:r>
              <w:rPr>
                <w:rFonts w:ascii="宋体" w:hAnsi="宋体" w:cs="宋体" w:eastAsia="宋体" w:hint="default"/>
                <w:spacing w:val="18"/>
                <w:sz w:val="15"/>
                <w:szCs w:val="15"/>
              </w:rPr>
              <w:t>注4</w:t>
            </w:r>
            <w:r>
              <w:rPr>
                <w:rFonts w:ascii="宋体" w:hAnsi="宋体" w:cs="宋体" w:eastAsia="宋体" w:hint="default"/>
                <w:spacing w:val="-38"/>
                <w:sz w:val="15"/>
                <w:szCs w:val="15"/>
              </w:rPr>
              <w:t> </w:t>
            </w:r>
            <w:r>
              <w:rPr>
                <w:rFonts w:ascii="宋体" w:hAnsi="宋体" w:cs="宋体" w:eastAsia="宋体" w:hint="default"/>
                <w:sz w:val="15"/>
                <w:szCs w:val="15"/>
              </w:rPr>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100"/>
              <w:jc w:val="right"/>
              <w:rPr>
                <w:rFonts w:ascii="宋体" w:hAnsi="宋体" w:cs="宋体" w:eastAsia="宋体" w:hint="default"/>
                <w:sz w:val="15"/>
                <w:szCs w:val="15"/>
              </w:rPr>
            </w:pPr>
            <w:r>
              <w:rPr>
                <w:rFonts w:ascii="宋体"/>
                <w:spacing w:val="-1"/>
                <w:sz w:val="15"/>
              </w:rPr>
              <w:t>23.40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是</w:t>
            </w:r>
          </w:p>
        </w:tc>
      </w:tr>
      <w:tr>
        <w:trPr>
          <w:trHeight w:val="634"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王自栋</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01" w:right="101"/>
              <w:jc w:val="left"/>
              <w:rPr>
                <w:rFonts w:ascii="宋体" w:hAnsi="宋体" w:cs="宋体" w:eastAsia="宋体" w:hint="default"/>
                <w:sz w:val="15"/>
                <w:szCs w:val="15"/>
              </w:rPr>
            </w:pPr>
            <w:r>
              <w:rPr>
                <w:rFonts w:ascii="宋体" w:hAnsi="宋体" w:cs="宋体" w:eastAsia="宋体" w:hint="default"/>
                <w:sz w:val="15"/>
                <w:szCs w:val="15"/>
              </w:rPr>
              <w:t>原高级副总裁兼董事</w:t>
            </w:r>
            <w:r>
              <w:rPr>
                <w:rFonts w:ascii="宋体" w:hAnsi="宋体" w:cs="宋体" w:eastAsia="宋体" w:hint="default"/>
                <w:spacing w:val="-64"/>
                <w:sz w:val="15"/>
                <w:szCs w:val="15"/>
              </w:rPr>
              <w:t> </w:t>
            </w:r>
            <w:r>
              <w:rPr>
                <w:rFonts w:ascii="宋体" w:hAnsi="宋体" w:cs="宋体" w:eastAsia="宋体" w:hint="default"/>
                <w:spacing w:val="-64"/>
                <w:sz w:val="15"/>
                <w:szCs w:val="15"/>
              </w:rPr>
            </w:r>
            <w:r>
              <w:rPr>
                <w:rFonts w:ascii="宋体" w:hAnsi="宋体" w:cs="宋体" w:eastAsia="宋体" w:hint="default"/>
                <w:sz w:val="15"/>
                <w:szCs w:val="15"/>
              </w:rPr>
              <w:t>会秘书</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男</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left="124" w:right="0"/>
              <w:jc w:val="left"/>
              <w:rPr>
                <w:rFonts w:ascii="宋体" w:hAnsi="宋体" w:cs="宋体" w:eastAsia="宋体" w:hint="default"/>
                <w:sz w:val="15"/>
                <w:szCs w:val="15"/>
              </w:rPr>
            </w:pPr>
            <w:r>
              <w:rPr>
                <w:rFonts w:ascii="宋体"/>
                <w:sz w:val="15"/>
              </w:rPr>
              <w:t>47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2008</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30</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2011</w:t>
            </w:r>
            <w:r>
              <w:rPr>
                <w:rFonts w:ascii="宋体" w:hAnsi="宋体" w:cs="宋体" w:eastAsia="宋体" w:hint="default"/>
                <w:spacing w:val="-39"/>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宋体" w:hAnsi="宋体" w:cs="宋体" w:eastAsia="宋体" w:hint="default"/>
                <w:sz w:val="15"/>
                <w:szCs w:val="15"/>
              </w:rPr>
              <w:t>5</w:t>
            </w:r>
            <w:r>
              <w:rPr>
                <w:rFonts w:ascii="宋体" w:hAnsi="宋体" w:cs="宋体" w:eastAsia="宋体" w:hint="default"/>
                <w:spacing w:val="-39"/>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宋体" w:hAnsi="宋体" w:cs="宋体" w:eastAsia="宋体" w:hint="default"/>
                <w:sz w:val="15"/>
                <w:szCs w:val="15"/>
              </w:rPr>
              <w:t>25</w:t>
            </w:r>
            <w:r>
              <w:rPr>
                <w:rFonts w:ascii="宋体" w:hAnsi="宋体" w:cs="宋体" w:eastAsia="宋体" w:hint="default"/>
                <w:spacing w:val="-39"/>
                <w:sz w:val="15"/>
                <w:szCs w:val="15"/>
              </w:rPr>
              <w:t> </w:t>
            </w:r>
            <w:r>
              <w:rPr>
                <w:rFonts w:ascii="宋体" w:hAnsi="宋体" w:cs="宋体" w:eastAsia="宋体" w:hint="default"/>
                <w:sz w:val="15"/>
                <w:szCs w:val="15"/>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100"/>
              <w:jc w:val="right"/>
              <w:rPr>
                <w:rFonts w:ascii="宋体" w:hAnsi="宋体" w:cs="宋体" w:eastAsia="宋体" w:hint="default"/>
                <w:sz w:val="15"/>
                <w:szCs w:val="15"/>
              </w:rPr>
            </w:pPr>
            <w:r>
              <w:rPr>
                <w:rFonts w:ascii="宋体"/>
                <w:sz w:val="15"/>
              </w:rPr>
              <w:t>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102"/>
              <w:jc w:val="right"/>
              <w:rPr>
                <w:rFonts w:ascii="宋体" w:hAnsi="宋体" w:cs="宋体" w:eastAsia="宋体" w:hint="default"/>
                <w:sz w:val="15"/>
                <w:szCs w:val="15"/>
              </w:rPr>
            </w:pPr>
            <w:r>
              <w:rPr>
                <w:rFonts w:ascii="宋体"/>
                <w:spacing w:val="-1"/>
                <w:sz w:val="15"/>
              </w:rPr>
              <w:t>970,946</w:t>
            </w:r>
            <w:r>
              <w:rPr>
                <w:rFonts w:ascii="宋体"/>
                <w:sz w:val="15"/>
              </w:rPr>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42" w:right="105"/>
              <w:jc w:val="left"/>
              <w:rPr>
                <w:rFonts w:ascii="宋体" w:hAnsi="宋体" w:cs="宋体" w:eastAsia="宋体" w:hint="default"/>
                <w:sz w:val="15"/>
                <w:szCs w:val="15"/>
              </w:rPr>
            </w:pPr>
            <w:r>
              <w:rPr>
                <w:rFonts w:ascii="宋体" w:hAnsi="宋体" w:cs="宋体" w:eastAsia="宋体" w:hint="default"/>
                <w:spacing w:val="18"/>
                <w:sz w:val="15"/>
                <w:szCs w:val="15"/>
              </w:rPr>
              <w:t>注1</w:t>
            </w:r>
            <w:r>
              <w:rPr>
                <w:rFonts w:ascii="宋体" w:hAnsi="宋体" w:cs="宋体" w:eastAsia="宋体" w:hint="default"/>
                <w:spacing w:val="-38"/>
                <w:sz w:val="15"/>
                <w:szCs w:val="15"/>
              </w:rPr>
              <w:t> </w:t>
            </w:r>
            <w:r>
              <w:rPr>
                <w:rFonts w:ascii="宋体" w:hAnsi="宋体" w:cs="宋体" w:eastAsia="宋体" w:hint="default"/>
                <w:spacing w:val="18"/>
                <w:sz w:val="15"/>
                <w:szCs w:val="15"/>
              </w:rPr>
              <w:t>注4</w:t>
            </w:r>
            <w:r>
              <w:rPr>
                <w:rFonts w:ascii="宋体" w:hAnsi="宋体" w:cs="宋体" w:eastAsia="宋体" w:hint="default"/>
                <w:spacing w:val="-38"/>
                <w:sz w:val="15"/>
                <w:szCs w:val="15"/>
              </w:rPr>
              <w:t> </w:t>
            </w:r>
            <w:r>
              <w:rPr>
                <w:rFonts w:ascii="宋体" w:hAnsi="宋体" w:cs="宋体" w:eastAsia="宋体" w:hint="default"/>
                <w:sz w:val="15"/>
                <w:szCs w:val="15"/>
              </w:rPr>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100"/>
              <w:jc w:val="right"/>
              <w:rPr>
                <w:rFonts w:ascii="宋体" w:hAnsi="宋体" w:cs="宋体" w:eastAsia="宋体" w:hint="default"/>
                <w:sz w:val="15"/>
                <w:szCs w:val="15"/>
              </w:rPr>
            </w:pPr>
            <w:r>
              <w:rPr>
                <w:rFonts w:ascii="宋体"/>
                <w:spacing w:val="-1"/>
                <w:sz w:val="15"/>
              </w:rPr>
              <w:t>54.00</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是</w:t>
            </w:r>
          </w:p>
        </w:tc>
      </w:tr>
      <w:tr>
        <w:trPr>
          <w:trHeight w:val="323" w:hRule="exact"/>
        </w:trPr>
        <w:tc>
          <w:tcPr>
            <w:tcW w:w="1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1" w:right="0"/>
              <w:jc w:val="left"/>
              <w:rPr>
                <w:rFonts w:ascii="宋体" w:hAnsi="宋体" w:cs="宋体" w:eastAsia="宋体" w:hint="default"/>
                <w:sz w:val="15"/>
                <w:szCs w:val="15"/>
              </w:rPr>
            </w:pPr>
            <w:r>
              <w:rPr>
                <w:rFonts w:ascii="宋体"/>
                <w:sz w:val="15"/>
              </w:rPr>
              <w:t>/</w:t>
            </w:r>
          </w:p>
        </w:tc>
        <w:tc>
          <w:tcPr>
            <w:tcW w:w="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
              <w:jc w:val="center"/>
              <w:rPr>
                <w:rFonts w:ascii="宋体" w:hAnsi="宋体" w:cs="宋体" w:eastAsia="宋体" w:hint="default"/>
                <w:sz w:val="15"/>
                <w:szCs w:val="15"/>
              </w:rPr>
            </w:pPr>
            <w:r>
              <w:rPr>
                <w:rFonts w:ascii="宋体"/>
                <w:sz w:val="15"/>
              </w:rPr>
              <w:t>/</w:t>
            </w:r>
          </w:p>
        </w:tc>
        <w:tc>
          <w:tcPr>
            <w:tcW w:w="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61" w:right="0"/>
              <w:jc w:val="left"/>
              <w:rPr>
                <w:rFonts w:ascii="宋体" w:hAnsi="宋体" w:cs="宋体" w:eastAsia="宋体" w:hint="default"/>
                <w:sz w:val="15"/>
                <w:szCs w:val="15"/>
              </w:rPr>
            </w:pPr>
            <w:r>
              <w:rPr>
                <w:rFonts w:ascii="宋体"/>
                <w:sz w:val="15"/>
              </w:rPr>
              <w:t>/</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3"/>
                <w:szCs w:val="13"/>
              </w:rPr>
            </w:pPr>
            <w:r>
              <w:rPr>
                <w:rFonts w:ascii="宋体"/>
                <w:w w:val="99"/>
                <w:sz w:val="13"/>
              </w:rPr>
              <w:t>/</w:t>
            </w:r>
            <w:r>
              <w:rPr>
                <w:rFonts w:ascii="宋体"/>
                <w:sz w:val="13"/>
              </w:rPr>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3"/>
                <w:szCs w:val="13"/>
              </w:rPr>
            </w:pPr>
            <w:r>
              <w:rPr>
                <w:rFonts w:ascii="宋体"/>
                <w:w w:val="99"/>
                <w:sz w:val="13"/>
              </w:rPr>
              <w:t>/</w:t>
            </w:r>
            <w:r>
              <w:rPr>
                <w:rFonts w:ascii="宋体"/>
                <w:sz w:val="13"/>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宋体" w:hAnsi="宋体" w:cs="宋体" w:eastAsia="宋体" w:hint="default"/>
                <w:sz w:val="15"/>
                <w:szCs w:val="15"/>
              </w:rPr>
            </w:pPr>
            <w:r>
              <w:rPr>
                <w:rFonts w:ascii="宋体"/>
                <w:spacing w:val="-1"/>
                <w:sz w:val="15"/>
              </w:rPr>
              <w:t>1,532,409</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宋体" w:hAnsi="宋体" w:cs="宋体" w:eastAsia="宋体" w:hint="default"/>
                <w:sz w:val="15"/>
                <w:szCs w:val="15"/>
              </w:rPr>
            </w:pPr>
            <w:r>
              <w:rPr>
                <w:rFonts w:ascii="宋体"/>
                <w:spacing w:val="-1"/>
                <w:sz w:val="15"/>
              </w:rPr>
              <w:t>26,192,016</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5"/>
                <w:szCs w:val="15"/>
              </w:rPr>
            </w:pPr>
            <w:r>
              <w:rPr>
                <w:rFonts w:ascii="宋体"/>
                <w:sz w:val="15"/>
              </w:rPr>
              <w:t>/</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宋体" w:hAnsi="宋体" w:cs="宋体" w:eastAsia="宋体" w:hint="default"/>
                <w:sz w:val="15"/>
                <w:szCs w:val="15"/>
              </w:rPr>
            </w:pPr>
            <w:r>
              <w:rPr>
                <w:rFonts w:ascii="宋体"/>
                <w:spacing w:val="-1"/>
                <w:sz w:val="15"/>
              </w:rPr>
              <w:t>1,551.34</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5"/>
                <w:szCs w:val="15"/>
              </w:rPr>
            </w:pPr>
            <w:r>
              <w:rPr>
                <w:rFonts w:ascii="宋体"/>
                <w:sz w:val="15"/>
              </w:rPr>
              <w:t>/</w:t>
            </w:r>
          </w:p>
        </w:tc>
      </w:tr>
    </w:tbl>
    <w:p>
      <w:pPr>
        <w:pStyle w:val="Heading5"/>
        <w:spacing w:line="237" w:lineRule="auto" w:before="88"/>
        <w:ind w:left="1078" w:right="1069" w:firstLine="480"/>
        <w:jc w:val="both"/>
      </w:pPr>
      <w:r>
        <w:rPr/>
        <w:t>注</w:t>
      </w:r>
      <w:r>
        <w:rPr>
          <w:spacing w:val="-57"/>
        </w:rPr>
        <w:t> </w:t>
      </w:r>
      <w:r>
        <w:rPr>
          <w:spacing w:val="-4"/>
        </w:rPr>
        <w:t>1：根据本公司</w:t>
      </w:r>
      <w:r>
        <w:rPr>
          <w:spacing w:val="-57"/>
        </w:rPr>
        <w:t> </w:t>
      </w:r>
      <w:r>
        <w:rPr>
          <w:spacing w:val="30"/>
        </w:rPr>
        <w:t>2011年4月1</w:t>
      </w:r>
      <w:r>
        <w:rPr>
          <w:spacing w:val="-57"/>
        </w:rPr>
        <w:t> </w:t>
      </w:r>
      <w:r>
        <w:rPr>
          <w:spacing w:val="-15"/>
        </w:rPr>
        <w:t>日在《中国证券报》、《上海证券报》刊登的《关于</w:t>
      </w:r>
      <w:r>
        <w:rPr>
          <w:spacing w:val="-1"/>
        </w:rPr>
        <w:t> </w:t>
      </w:r>
      <w:r>
        <w:rPr>
          <w:spacing w:val="-2"/>
        </w:rPr>
        <w:t>公司股东权益变动过户完成的提示性公告》，中国证券登记结算有限责任公司上海分公</w:t>
      </w:r>
      <w:r>
        <w:rPr>
          <w:spacing w:val="-101"/>
        </w:rPr>
        <w:t> </w:t>
      </w:r>
      <w:r>
        <w:rPr>
          <w:spacing w:val="-101"/>
        </w:rPr>
      </w:r>
      <w:r>
        <w:rPr>
          <w:spacing w:val="-2"/>
        </w:rPr>
        <w:t>司已将本公司原第二大股东成都慧旭科技股份有限公司（以下简称“慧旭科技”）持有</w:t>
      </w:r>
      <w:r>
        <w:rPr>
          <w:spacing w:val="-93"/>
        </w:rPr>
        <w:t> </w:t>
      </w:r>
      <w:r>
        <w:rPr>
          <w:spacing w:val="-93"/>
        </w:rPr>
      </w:r>
      <w:r>
        <w:rPr/>
        <w:t>的</w:t>
      </w:r>
      <w:r>
        <w:rPr>
          <w:spacing w:val="-72"/>
        </w:rPr>
        <w:t> </w:t>
      </w:r>
      <w:r>
        <w:rPr/>
        <w:t>210,807,559</w:t>
      </w:r>
      <w:r>
        <w:rPr>
          <w:spacing w:val="-72"/>
        </w:rPr>
        <w:t> </w:t>
      </w:r>
      <w:r>
        <w:rPr/>
        <w:t>股本公司股票按照慧旭科技股东在慧旭科技的持股比例划转到</w:t>
      </w:r>
      <w:r>
        <w:rPr>
          <w:spacing w:val="-72"/>
        </w:rPr>
        <w:t> </w:t>
      </w:r>
      <w:r>
        <w:rPr/>
        <w:t>137</w:t>
      </w:r>
      <w:r>
        <w:rPr>
          <w:spacing w:val="-72"/>
        </w:rPr>
        <w:t> </w:t>
      </w:r>
      <w:r>
        <w:rPr/>
        <w:t>名股</w:t>
      </w:r>
      <w:r>
        <w:rPr/>
        <w:t> </w:t>
      </w:r>
      <w:r>
        <w:rPr>
          <w:spacing w:val="-3"/>
        </w:rPr>
        <w:t>东名下，过户手续已经办理完毕。至此，慧旭科技不再持有本公司股票。本公司部分董</w:t>
      </w:r>
      <w:r>
        <w:rPr>
          <w:spacing w:val="-88"/>
        </w:rPr>
        <w:t> </w:t>
      </w:r>
      <w:r>
        <w:rPr>
          <w:spacing w:val="-88"/>
        </w:rPr>
      </w:r>
      <w:r>
        <w:rPr/>
        <w:t>事、监事、高级管理人员因本次权益变动增加持有本公司股份。</w:t>
      </w:r>
    </w:p>
    <w:p>
      <w:pPr>
        <w:spacing w:line="312" w:lineRule="exact" w:before="29"/>
        <w:ind w:left="1078" w:right="1073" w:firstLine="480"/>
        <w:jc w:val="both"/>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59"/>
          <w:sz w:val="24"/>
          <w:szCs w:val="24"/>
        </w:rPr>
        <w:t> </w:t>
      </w:r>
      <w:r>
        <w:rPr>
          <w:rFonts w:ascii="宋体" w:hAnsi="宋体" w:cs="宋体" w:eastAsia="宋体" w:hint="default"/>
          <w:sz w:val="24"/>
          <w:szCs w:val="24"/>
        </w:rPr>
        <w:t>2：2011</w:t>
      </w:r>
      <w:r>
        <w:rPr>
          <w:rFonts w:ascii="宋体" w:hAnsi="宋体" w:cs="宋体" w:eastAsia="宋体" w:hint="default"/>
          <w:spacing w:val="-60"/>
          <w:sz w:val="24"/>
          <w:szCs w:val="24"/>
        </w:rPr>
        <w:t> </w:t>
      </w:r>
      <w:r>
        <w:rPr>
          <w:rFonts w:ascii="宋体" w:hAnsi="宋体" w:cs="宋体" w:eastAsia="宋体" w:hint="default"/>
          <w:spacing w:val="40"/>
          <w:sz w:val="24"/>
          <w:szCs w:val="24"/>
        </w:rPr>
        <w:t>年6月</w:t>
      </w:r>
      <w:r>
        <w:rPr>
          <w:rFonts w:ascii="宋体" w:hAnsi="宋体" w:cs="宋体" w:eastAsia="宋体" w:hint="default"/>
          <w:spacing w:val="-60"/>
          <w:sz w:val="24"/>
          <w:szCs w:val="24"/>
        </w:rPr>
        <w:t> </w:t>
      </w:r>
      <w:r>
        <w:rPr>
          <w:rFonts w:ascii="宋体" w:hAnsi="宋体" w:cs="宋体" w:eastAsia="宋体" w:hint="default"/>
          <w:sz w:val="24"/>
          <w:szCs w:val="24"/>
        </w:rPr>
        <w:t>14</w:t>
      </w:r>
      <w:r>
        <w:rPr>
          <w:rFonts w:ascii="宋体" w:hAnsi="宋体" w:cs="宋体" w:eastAsia="宋体" w:hint="default"/>
          <w:spacing w:val="-60"/>
          <w:sz w:val="24"/>
          <w:szCs w:val="24"/>
        </w:rPr>
        <w:t> </w:t>
      </w:r>
      <w:r>
        <w:rPr>
          <w:rFonts w:ascii="宋体" w:hAnsi="宋体" w:cs="宋体" w:eastAsia="宋体" w:hint="default"/>
          <w:sz w:val="24"/>
          <w:szCs w:val="24"/>
        </w:rPr>
        <w:t>日，张晓鸥减持本公司股票</w:t>
      </w:r>
      <w:r>
        <w:rPr>
          <w:rFonts w:ascii="宋体" w:hAnsi="宋体" w:cs="宋体" w:eastAsia="宋体" w:hint="default"/>
          <w:spacing w:val="-59"/>
          <w:sz w:val="24"/>
          <w:szCs w:val="24"/>
        </w:rPr>
        <w:t> </w:t>
      </w:r>
      <w:r>
        <w:rPr>
          <w:rFonts w:ascii="宋体" w:hAnsi="宋体" w:cs="宋体" w:eastAsia="宋体" w:hint="default"/>
          <w:sz w:val="24"/>
          <w:szCs w:val="24"/>
        </w:rPr>
        <w:t>72,540</w:t>
      </w:r>
      <w:r>
        <w:rPr>
          <w:rFonts w:ascii="宋体" w:hAnsi="宋体" w:cs="宋体" w:eastAsia="宋体" w:hint="default"/>
          <w:spacing w:val="-59"/>
          <w:sz w:val="24"/>
          <w:szCs w:val="24"/>
        </w:rPr>
        <w:t> </w:t>
      </w:r>
      <w:r>
        <w:rPr>
          <w:rFonts w:ascii="宋体" w:hAnsi="宋体" w:cs="宋体" w:eastAsia="宋体" w:hint="default"/>
          <w:sz w:val="24"/>
          <w:szCs w:val="24"/>
        </w:rPr>
        <w:t>股。2011</w:t>
      </w:r>
      <w:r>
        <w:rPr>
          <w:rFonts w:ascii="宋体" w:hAnsi="宋体" w:cs="宋体" w:eastAsia="宋体" w:hint="default"/>
          <w:spacing w:val="-60"/>
          <w:sz w:val="24"/>
          <w:szCs w:val="24"/>
        </w:rPr>
        <w:t> </w:t>
      </w:r>
      <w:r>
        <w:rPr>
          <w:rFonts w:ascii="宋体" w:hAnsi="宋体" w:cs="宋体" w:eastAsia="宋体" w:hint="default"/>
          <w:spacing w:val="40"/>
          <w:sz w:val="24"/>
          <w:szCs w:val="24"/>
        </w:rPr>
        <w:t>年6月</w:t>
      </w:r>
      <w:r>
        <w:rPr>
          <w:rFonts w:ascii="宋体" w:hAnsi="宋体" w:cs="宋体" w:eastAsia="宋体" w:hint="default"/>
          <w:spacing w:val="-60"/>
          <w:sz w:val="24"/>
          <w:szCs w:val="24"/>
        </w:rPr>
        <w:t> </w:t>
      </w:r>
      <w:r>
        <w:rPr>
          <w:rFonts w:ascii="宋体" w:hAnsi="宋体" w:cs="宋体" w:eastAsia="宋体" w:hint="default"/>
          <w:sz w:val="24"/>
          <w:szCs w:val="24"/>
        </w:rPr>
        <w:t>30</w:t>
      </w:r>
      <w:r>
        <w:rPr>
          <w:rFonts w:ascii="宋体" w:hAnsi="宋体" w:cs="宋体" w:eastAsia="宋体" w:hint="default"/>
          <w:spacing w:val="-60"/>
          <w:sz w:val="24"/>
          <w:szCs w:val="24"/>
        </w:rPr>
        <w:t> </w:t>
      </w:r>
      <w:r>
        <w:rPr>
          <w:rFonts w:ascii="宋体" w:hAnsi="宋体" w:cs="宋体" w:eastAsia="宋体" w:hint="default"/>
          <w:sz w:val="24"/>
          <w:szCs w:val="24"/>
        </w:rPr>
        <w:t>日，</w:t>
      </w:r>
      <w:r>
        <w:rPr>
          <w:rFonts w:ascii="宋体" w:hAnsi="宋体" w:cs="宋体" w:eastAsia="宋体" w:hint="default"/>
          <w:sz w:val="24"/>
          <w:szCs w:val="24"/>
        </w:rPr>
        <w:t> 陈锡民减持本公司股票</w:t>
      </w:r>
      <w:r>
        <w:rPr>
          <w:rFonts w:ascii="宋体" w:hAnsi="宋体" w:cs="宋体" w:eastAsia="宋体" w:hint="default"/>
          <w:spacing w:val="-59"/>
          <w:sz w:val="24"/>
          <w:szCs w:val="24"/>
        </w:rPr>
        <w:t> </w:t>
      </w:r>
      <w:r>
        <w:rPr>
          <w:rFonts w:ascii="宋体" w:hAnsi="宋体" w:cs="宋体" w:eastAsia="宋体" w:hint="default"/>
          <w:sz w:val="24"/>
          <w:szCs w:val="24"/>
        </w:rPr>
        <w:t>85,248</w:t>
      </w:r>
      <w:r>
        <w:rPr>
          <w:rFonts w:ascii="宋体" w:hAnsi="宋体" w:cs="宋体" w:eastAsia="宋体" w:hint="default"/>
          <w:spacing w:val="-59"/>
          <w:sz w:val="24"/>
          <w:szCs w:val="24"/>
        </w:rPr>
        <w:t> </w:t>
      </w:r>
      <w:r>
        <w:rPr>
          <w:rFonts w:ascii="宋体" w:hAnsi="宋体" w:cs="宋体" w:eastAsia="宋体" w:hint="default"/>
          <w:spacing w:val="20"/>
          <w:sz w:val="24"/>
          <w:szCs w:val="24"/>
        </w:rPr>
        <w:t>股。2011年7月</w:t>
      </w:r>
      <w:r>
        <w:rPr>
          <w:rFonts w:ascii="宋体" w:hAnsi="宋体" w:cs="宋体" w:eastAsia="宋体" w:hint="default"/>
          <w:spacing w:val="-59"/>
          <w:sz w:val="24"/>
          <w:szCs w:val="24"/>
        </w:rPr>
        <w:t> </w:t>
      </w:r>
      <w:r>
        <w:rPr>
          <w:rFonts w:ascii="宋体" w:hAnsi="宋体" w:cs="宋体" w:eastAsia="宋体" w:hint="default"/>
          <w:sz w:val="24"/>
          <w:szCs w:val="24"/>
        </w:rPr>
        <w:t>20</w:t>
      </w:r>
      <w:r>
        <w:rPr>
          <w:rFonts w:ascii="宋体" w:hAnsi="宋体" w:cs="宋体" w:eastAsia="宋体" w:hint="default"/>
          <w:spacing w:val="-59"/>
          <w:sz w:val="24"/>
          <w:szCs w:val="24"/>
        </w:rPr>
        <w:t> </w:t>
      </w:r>
      <w:r>
        <w:rPr>
          <w:rFonts w:ascii="宋体" w:hAnsi="宋体" w:cs="宋体" w:eastAsia="宋体" w:hint="default"/>
          <w:sz w:val="24"/>
          <w:szCs w:val="24"/>
        </w:rPr>
        <w:t>日至</w:t>
      </w:r>
      <w:r>
        <w:rPr>
          <w:rFonts w:ascii="宋体" w:hAnsi="宋体" w:cs="宋体" w:eastAsia="宋体" w:hint="default"/>
          <w:spacing w:val="-59"/>
          <w:sz w:val="24"/>
          <w:szCs w:val="24"/>
        </w:rPr>
        <w:t> </w:t>
      </w:r>
      <w:r>
        <w:rPr>
          <w:rFonts w:ascii="宋体" w:hAnsi="宋体" w:cs="宋体" w:eastAsia="宋体" w:hint="default"/>
          <w:sz w:val="24"/>
          <w:szCs w:val="24"/>
        </w:rPr>
        <w:t>21</w:t>
      </w:r>
      <w:r>
        <w:rPr>
          <w:rFonts w:ascii="宋体" w:hAnsi="宋体" w:cs="宋体" w:eastAsia="宋体" w:hint="default"/>
          <w:spacing w:val="-59"/>
          <w:sz w:val="24"/>
          <w:szCs w:val="24"/>
        </w:rPr>
        <w:t> </w:t>
      </w:r>
      <w:r>
        <w:rPr>
          <w:rFonts w:ascii="宋体" w:hAnsi="宋体" w:cs="宋体" w:eastAsia="宋体" w:hint="default"/>
          <w:sz w:val="24"/>
          <w:szCs w:val="24"/>
        </w:rPr>
        <w:t>日，王勇峰合计减持本公司</w:t>
      </w:r>
      <w:r>
        <w:rPr>
          <w:rFonts w:ascii="宋体" w:hAnsi="宋体" w:cs="宋体" w:eastAsia="宋体" w:hint="default"/>
          <w:sz w:val="24"/>
          <w:szCs w:val="24"/>
        </w:rPr>
        <w:t> 股票</w:t>
      </w:r>
      <w:r>
        <w:rPr>
          <w:rFonts w:ascii="宋体" w:hAnsi="宋体" w:cs="宋体" w:eastAsia="宋体" w:hint="default"/>
          <w:spacing w:val="-60"/>
          <w:sz w:val="24"/>
          <w:szCs w:val="24"/>
        </w:rPr>
        <w:t> </w:t>
      </w:r>
      <w:r>
        <w:rPr>
          <w:rFonts w:ascii="宋体" w:hAnsi="宋体" w:cs="宋体" w:eastAsia="宋体" w:hint="default"/>
          <w:sz w:val="24"/>
          <w:szCs w:val="24"/>
        </w:rPr>
        <w:t>1,010,000</w:t>
      </w:r>
      <w:r>
        <w:rPr>
          <w:rFonts w:ascii="宋体" w:hAnsi="宋体" w:cs="宋体" w:eastAsia="宋体" w:hint="default"/>
          <w:spacing w:val="-60"/>
          <w:sz w:val="24"/>
          <w:szCs w:val="24"/>
        </w:rPr>
        <w:t> </w:t>
      </w:r>
      <w:r>
        <w:rPr>
          <w:rFonts w:ascii="宋体" w:hAnsi="宋体" w:cs="宋体" w:eastAsia="宋体" w:hint="default"/>
          <w:sz w:val="24"/>
          <w:szCs w:val="24"/>
        </w:rPr>
        <w:t>股。2011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27</w:t>
      </w:r>
      <w:r>
        <w:rPr>
          <w:rFonts w:ascii="宋体" w:hAnsi="宋体" w:cs="宋体" w:eastAsia="宋体" w:hint="default"/>
          <w:spacing w:val="-60"/>
          <w:sz w:val="24"/>
          <w:szCs w:val="24"/>
        </w:rPr>
        <w:t> </w:t>
      </w:r>
      <w:r>
        <w:rPr>
          <w:rFonts w:ascii="宋体" w:hAnsi="宋体" w:cs="宋体" w:eastAsia="宋体" w:hint="default"/>
          <w:sz w:val="24"/>
          <w:szCs w:val="24"/>
        </w:rPr>
        <w:t>日，王莉减持本公司股票</w:t>
      </w:r>
      <w:r>
        <w:rPr>
          <w:rFonts w:ascii="宋体" w:hAnsi="宋体" w:cs="宋体" w:eastAsia="宋体" w:hint="default"/>
          <w:spacing w:val="-60"/>
          <w:sz w:val="24"/>
          <w:szCs w:val="24"/>
        </w:rPr>
        <w:t> </w:t>
      </w:r>
      <w:r>
        <w:rPr>
          <w:rFonts w:ascii="宋体" w:hAnsi="宋体" w:cs="宋体" w:eastAsia="宋体" w:hint="default"/>
          <w:sz w:val="24"/>
          <w:szCs w:val="24"/>
        </w:rPr>
        <w:t>120,000</w:t>
      </w:r>
      <w:r>
        <w:rPr>
          <w:rFonts w:ascii="宋体" w:hAnsi="宋体" w:cs="宋体" w:eastAsia="宋体" w:hint="default"/>
          <w:spacing w:val="-60"/>
          <w:sz w:val="24"/>
          <w:szCs w:val="24"/>
        </w:rPr>
        <w:t> </w:t>
      </w:r>
      <w:r>
        <w:rPr>
          <w:rFonts w:ascii="宋体" w:hAnsi="宋体" w:cs="宋体" w:eastAsia="宋体" w:hint="default"/>
          <w:sz w:val="24"/>
          <w:szCs w:val="24"/>
        </w:rPr>
        <w:t>股。</w:t>
      </w:r>
    </w:p>
    <w:p>
      <w:pPr>
        <w:spacing w:line="312" w:lineRule="exact" w:before="0"/>
        <w:ind w:left="1558" w:right="3706" w:firstLine="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3：数据为其就职日期至本报告期末的持股变动情况。</w:t>
      </w:r>
      <w:r>
        <w:rPr>
          <w:rFonts w:ascii="宋体" w:hAnsi="宋体" w:cs="宋体" w:eastAsia="宋体" w:hint="default"/>
          <w:sz w:val="24"/>
          <w:szCs w:val="24"/>
        </w:rPr>
        <w:t> 注</w:t>
      </w:r>
      <w:r>
        <w:rPr>
          <w:rFonts w:ascii="宋体" w:hAnsi="宋体" w:cs="宋体" w:eastAsia="宋体" w:hint="default"/>
          <w:spacing w:val="-60"/>
          <w:sz w:val="24"/>
          <w:szCs w:val="24"/>
        </w:rPr>
        <w:t> </w:t>
      </w:r>
      <w:r>
        <w:rPr>
          <w:rFonts w:ascii="宋体" w:hAnsi="宋体" w:cs="宋体" w:eastAsia="宋体" w:hint="default"/>
          <w:sz w:val="24"/>
          <w:szCs w:val="24"/>
        </w:rPr>
        <w:t>4：数据为其年初至离任半年内的持股变动情况。</w:t>
      </w:r>
    </w:p>
    <w:p>
      <w:pPr>
        <w:spacing w:line="313" w:lineRule="exact" w:before="94"/>
        <w:ind w:left="1078" w:right="3706" w:firstLine="0"/>
        <w:jc w:val="left"/>
        <w:rPr>
          <w:rFonts w:ascii="宋体" w:hAnsi="宋体" w:cs="宋体" w:eastAsia="宋体" w:hint="default"/>
          <w:sz w:val="24"/>
          <w:szCs w:val="24"/>
        </w:rPr>
      </w:pPr>
      <w:r>
        <w:rPr>
          <w:rFonts w:ascii="宋体" w:hAnsi="宋体" w:cs="宋体" w:eastAsia="宋体" w:hint="default"/>
          <w:b/>
          <w:bCs/>
          <w:sz w:val="24"/>
          <w:szCs w:val="24"/>
        </w:rPr>
        <w:t>现任董事、监事、高级管理人员最近</w:t>
      </w:r>
      <w:r>
        <w:rPr>
          <w:rFonts w:ascii="宋体" w:hAnsi="宋体" w:cs="宋体" w:eastAsia="宋体" w:hint="default"/>
          <w:b/>
          <w:bCs/>
          <w:spacing w:val="-73"/>
          <w:sz w:val="24"/>
          <w:szCs w:val="24"/>
        </w:rPr>
        <w:t> </w:t>
      </w:r>
      <w:r>
        <w:rPr>
          <w:rFonts w:ascii="宋体" w:hAnsi="宋体" w:cs="宋体" w:eastAsia="宋体" w:hint="default"/>
          <w:b/>
          <w:bCs/>
          <w:sz w:val="24"/>
          <w:szCs w:val="24"/>
        </w:rPr>
        <w:t>5</w:t>
      </w:r>
      <w:r>
        <w:rPr>
          <w:rFonts w:ascii="宋体" w:hAnsi="宋体" w:cs="宋体" w:eastAsia="宋体" w:hint="default"/>
          <w:b/>
          <w:bCs/>
          <w:spacing w:val="-73"/>
          <w:sz w:val="24"/>
          <w:szCs w:val="24"/>
        </w:rPr>
        <w:t> </w:t>
      </w:r>
      <w:r>
        <w:rPr>
          <w:rFonts w:ascii="宋体" w:hAnsi="宋体" w:cs="宋体" w:eastAsia="宋体" w:hint="default"/>
          <w:b/>
          <w:bCs/>
          <w:sz w:val="24"/>
          <w:szCs w:val="24"/>
        </w:rPr>
        <w:t>年的主要工作经历：</w:t>
      </w:r>
      <w:r>
        <w:rPr>
          <w:rFonts w:ascii="宋体" w:hAnsi="宋体" w:cs="宋体" w:eastAsia="宋体" w:hint="default"/>
          <w:sz w:val="24"/>
          <w:szCs w:val="24"/>
        </w:rPr>
      </w:r>
    </w:p>
    <w:p>
      <w:pPr>
        <w:spacing w:line="312" w:lineRule="exact" w:before="29"/>
        <w:ind w:left="1078" w:right="1073" w:firstLine="480"/>
        <w:jc w:val="both"/>
        <w:rPr>
          <w:rFonts w:ascii="宋体" w:hAnsi="宋体" w:cs="宋体" w:eastAsia="宋体" w:hint="default"/>
          <w:sz w:val="24"/>
          <w:szCs w:val="24"/>
        </w:rPr>
      </w:pPr>
      <w:r>
        <w:rPr>
          <w:rFonts w:ascii="宋体" w:hAnsi="宋体" w:cs="宋体" w:eastAsia="宋体" w:hint="default"/>
          <w:sz w:val="24"/>
          <w:szCs w:val="24"/>
        </w:rPr>
        <w:t>（1）刘积仁，男，1955</w:t>
      </w:r>
      <w:r>
        <w:rPr>
          <w:rFonts w:ascii="宋体" w:hAnsi="宋体" w:cs="宋体" w:eastAsia="宋体" w:hint="default"/>
          <w:spacing w:val="-51"/>
          <w:sz w:val="24"/>
          <w:szCs w:val="24"/>
        </w:rPr>
        <w:t> </w:t>
      </w:r>
      <w:r>
        <w:rPr>
          <w:rFonts w:ascii="宋体" w:hAnsi="宋体" w:cs="宋体" w:eastAsia="宋体" w:hint="default"/>
          <w:sz w:val="24"/>
          <w:szCs w:val="24"/>
        </w:rPr>
        <w:t>年出生，教授，博士生导师。公司创始人之一，现任公司</w:t>
      </w:r>
      <w:r>
        <w:rPr>
          <w:rFonts w:ascii="宋体" w:hAnsi="宋体" w:cs="宋体" w:eastAsia="宋体" w:hint="default"/>
          <w:sz w:val="24"/>
          <w:szCs w:val="24"/>
        </w:rPr>
        <w:t> </w:t>
      </w:r>
      <w:r>
        <w:rPr>
          <w:rFonts w:ascii="宋体" w:hAnsi="宋体" w:cs="宋体" w:eastAsia="宋体" w:hint="default"/>
          <w:spacing w:val="9"/>
          <w:sz w:val="24"/>
          <w:szCs w:val="24"/>
        </w:rPr>
        <w:t>董事长兼首席执行官，兼任东北大学副校长，中国软件行业协会副理事长，</w:t>
      </w:r>
      <w:r>
        <w:rPr>
          <w:rFonts w:ascii="Times New Roman" w:hAnsi="Times New Roman" w:cs="Times New Roman" w:eastAsia="Times New Roman" w:hint="default"/>
          <w:spacing w:val="9"/>
          <w:sz w:val="24"/>
          <w:szCs w:val="24"/>
        </w:rPr>
        <w:t>Harman</w:t>
      </w:r>
      <w:r>
        <w:rPr>
          <w:rFonts w:ascii="Times New Roman" w:hAnsi="Times New Roman" w:cs="Times New Roman" w:eastAsia="Times New Roman" w:hint="default"/>
          <w:spacing w:val="-50"/>
          <w:sz w:val="24"/>
          <w:szCs w:val="24"/>
        </w:rPr>
        <w:t> </w:t>
      </w:r>
      <w:r>
        <w:rPr>
          <w:rFonts w:ascii="Times New Roman" w:hAnsi="Times New Roman" w:cs="Times New Roman" w:eastAsia="Times New Roman" w:hint="default"/>
          <w:spacing w:val="-50"/>
          <w:sz w:val="24"/>
          <w:szCs w:val="24"/>
        </w:rPr>
      </w:r>
      <w:r>
        <w:rPr>
          <w:rFonts w:ascii="Times New Roman" w:hAnsi="Times New Roman" w:cs="Times New Roman" w:eastAsia="Times New Roman" w:hint="default"/>
          <w:sz w:val="24"/>
          <w:szCs w:val="24"/>
        </w:rPr>
        <w:t>International Industries, Incorporated </w:t>
      </w:r>
      <w:r>
        <w:rPr>
          <w:rFonts w:ascii="宋体" w:hAnsi="宋体" w:cs="宋体" w:eastAsia="宋体" w:hint="default"/>
          <w:sz w:val="24"/>
          <w:szCs w:val="24"/>
        </w:rPr>
        <w:t>董事。刘积仁于 1984</w:t>
      </w:r>
      <w:r>
        <w:rPr>
          <w:rFonts w:ascii="宋体" w:hAnsi="宋体" w:cs="宋体" w:eastAsia="宋体" w:hint="default"/>
          <w:spacing w:val="-89"/>
          <w:sz w:val="24"/>
          <w:szCs w:val="24"/>
        </w:rPr>
        <w:t> </w:t>
      </w:r>
      <w:r>
        <w:rPr>
          <w:rFonts w:ascii="宋体" w:hAnsi="宋体" w:cs="宋体" w:eastAsia="宋体" w:hint="default"/>
          <w:sz w:val="24"/>
          <w:szCs w:val="24"/>
        </w:rPr>
        <w:t>年开始在东北大学攻读博士，</w:t>
      </w:r>
      <w:r>
        <w:rPr>
          <w:rFonts w:ascii="宋体" w:hAnsi="宋体" w:cs="宋体" w:eastAsia="宋体" w:hint="default"/>
          <w:sz w:val="24"/>
          <w:szCs w:val="24"/>
        </w:rPr>
        <w:t> 1986</w:t>
      </w:r>
      <w:r>
        <w:rPr>
          <w:rFonts w:ascii="宋体" w:hAnsi="宋体" w:cs="宋体" w:eastAsia="宋体" w:hint="default"/>
          <w:spacing w:val="-55"/>
          <w:sz w:val="24"/>
          <w:szCs w:val="24"/>
        </w:rPr>
        <w:t> </w:t>
      </w:r>
      <w:r>
        <w:rPr>
          <w:rFonts w:ascii="宋体" w:hAnsi="宋体" w:cs="宋体" w:eastAsia="宋体" w:hint="default"/>
          <w:sz w:val="24"/>
          <w:szCs w:val="24"/>
        </w:rPr>
        <w:t>年至</w:t>
      </w:r>
      <w:r>
        <w:rPr>
          <w:rFonts w:ascii="宋体" w:hAnsi="宋体" w:cs="宋体" w:eastAsia="宋体" w:hint="default"/>
          <w:spacing w:val="-55"/>
          <w:sz w:val="24"/>
          <w:szCs w:val="24"/>
        </w:rPr>
        <w:t> </w:t>
      </w:r>
      <w:r>
        <w:rPr>
          <w:rFonts w:ascii="宋体" w:hAnsi="宋体" w:cs="宋体" w:eastAsia="宋体" w:hint="default"/>
          <w:sz w:val="24"/>
          <w:szCs w:val="24"/>
        </w:rPr>
        <w:t>1987</w:t>
      </w:r>
      <w:r>
        <w:rPr>
          <w:rFonts w:ascii="宋体" w:hAnsi="宋体" w:cs="宋体" w:eastAsia="宋体" w:hint="default"/>
          <w:spacing w:val="-55"/>
          <w:sz w:val="24"/>
          <w:szCs w:val="24"/>
        </w:rPr>
        <w:t> </w:t>
      </w:r>
      <w:r>
        <w:rPr>
          <w:rFonts w:ascii="宋体" w:hAnsi="宋体" w:cs="宋体" w:eastAsia="宋体" w:hint="default"/>
          <w:spacing w:val="-3"/>
          <w:sz w:val="24"/>
          <w:szCs w:val="24"/>
        </w:rPr>
        <w:t>年在美国国家标准局计算机研究院做论文研究，1987</w:t>
      </w:r>
      <w:r>
        <w:rPr>
          <w:rFonts w:ascii="宋体" w:hAnsi="宋体" w:cs="宋体" w:eastAsia="宋体" w:hint="default"/>
          <w:spacing w:val="-55"/>
          <w:sz w:val="24"/>
          <w:szCs w:val="24"/>
        </w:rPr>
        <w:t> </w:t>
      </w:r>
      <w:r>
        <w:rPr>
          <w:rFonts w:ascii="宋体" w:hAnsi="宋体" w:cs="宋体" w:eastAsia="宋体" w:hint="default"/>
          <w:sz w:val="24"/>
          <w:szCs w:val="24"/>
        </w:rPr>
        <w:t>年回国获东北大学</w:t>
      </w:r>
      <w:r>
        <w:rPr>
          <w:rFonts w:ascii="宋体" w:hAnsi="宋体" w:cs="宋体" w:eastAsia="宋体" w:hint="default"/>
          <w:sz w:val="24"/>
          <w:szCs w:val="24"/>
        </w:rPr>
        <w:t> 博士学位，成为中国第一个计算机应用专业博士。1991 年刘积仁创建东软，1993 年</w:t>
      </w:r>
      <w:r>
        <w:rPr>
          <w:rFonts w:ascii="宋体" w:hAnsi="宋体" w:cs="宋体" w:eastAsia="宋体" w:hint="default"/>
          <w:spacing w:val="-51"/>
          <w:sz w:val="24"/>
          <w:szCs w:val="24"/>
        </w:rPr>
        <w:t> </w:t>
      </w:r>
      <w:r>
        <w:rPr>
          <w:rFonts w:ascii="宋体" w:hAnsi="宋体" w:cs="宋体" w:eastAsia="宋体" w:hint="default"/>
          <w:sz w:val="24"/>
          <w:szCs w:val="24"/>
        </w:rPr>
        <w:t>6</w:t>
      </w:r>
      <w:r>
        <w:rPr>
          <w:rFonts w:ascii="宋体" w:hAnsi="宋体" w:cs="宋体" w:eastAsia="宋体" w:hint="default"/>
          <w:sz w:val="24"/>
          <w:szCs w:val="24"/>
        </w:rPr>
        <w:t> 月至</w:t>
      </w:r>
      <w:r>
        <w:rPr>
          <w:rFonts w:ascii="宋体" w:hAnsi="宋体" w:cs="宋体" w:eastAsia="宋体" w:hint="default"/>
          <w:spacing w:val="-59"/>
          <w:sz w:val="24"/>
          <w:szCs w:val="24"/>
        </w:rPr>
        <w:t> </w:t>
      </w:r>
      <w:r>
        <w:rPr>
          <w:rFonts w:ascii="宋体" w:hAnsi="宋体" w:cs="宋体" w:eastAsia="宋体" w:hint="default"/>
          <w:sz w:val="24"/>
          <w:szCs w:val="24"/>
        </w:rPr>
        <w:t>1999</w:t>
      </w:r>
      <w:r>
        <w:rPr>
          <w:rFonts w:ascii="宋体" w:hAnsi="宋体" w:cs="宋体" w:eastAsia="宋体" w:hint="default"/>
          <w:spacing w:val="-59"/>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8</w:t>
      </w:r>
      <w:r>
        <w:rPr>
          <w:rFonts w:ascii="宋体" w:hAnsi="宋体" w:cs="宋体" w:eastAsia="宋体" w:hint="default"/>
          <w:spacing w:val="-59"/>
          <w:sz w:val="24"/>
          <w:szCs w:val="24"/>
        </w:rPr>
        <w:t> </w:t>
      </w:r>
      <w:r>
        <w:rPr>
          <w:rFonts w:ascii="宋体" w:hAnsi="宋体" w:cs="宋体" w:eastAsia="宋体" w:hint="default"/>
          <w:spacing w:val="7"/>
          <w:sz w:val="24"/>
          <w:szCs w:val="24"/>
        </w:rPr>
        <w:t>月任公司董事、总经理，1999年8</w:t>
      </w:r>
      <w:r>
        <w:rPr>
          <w:rFonts w:ascii="宋体" w:hAnsi="宋体" w:cs="宋体" w:eastAsia="宋体" w:hint="default"/>
          <w:spacing w:val="-59"/>
          <w:sz w:val="24"/>
          <w:szCs w:val="24"/>
        </w:rPr>
        <w:t> </w:t>
      </w:r>
      <w:r>
        <w:rPr>
          <w:rFonts w:ascii="宋体" w:hAnsi="宋体" w:cs="宋体" w:eastAsia="宋体" w:hint="default"/>
          <w:sz w:val="24"/>
          <w:szCs w:val="24"/>
        </w:rPr>
        <w:t>月始任公司董事长。曾荣获“第六届</w:t>
      </w:r>
      <w:r>
        <w:rPr>
          <w:rFonts w:ascii="宋体" w:hAnsi="宋体" w:cs="宋体" w:eastAsia="宋体" w:hint="default"/>
          <w:sz w:val="24"/>
          <w:szCs w:val="24"/>
        </w:rPr>
        <w:t> </w:t>
      </w:r>
      <w:r>
        <w:rPr>
          <w:rFonts w:ascii="宋体" w:hAnsi="宋体" w:cs="宋体" w:eastAsia="宋体" w:hint="default"/>
          <w:spacing w:val="-13"/>
          <w:sz w:val="24"/>
          <w:szCs w:val="24"/>
        </w:rPr>
        <w:t>亚洲商业领袖·创新人物奖”、“2009</w:t>
      </w:r>
      <w:r>
        <w:rPr>
          <w:rFonts w:ascii="宋体" w:hAnsi="宋体" w:cs="宋体" w:eastAsia="宋体" w:hint="default"/>
          <w:spacing w:val="-49"/>
          <w:sz w:val="24"/>
          <w:szCs w:val="24"/>
        </w:rPr>
        <w:t> </w:t>
      </w:r>
      <w:r>
        <w:rPr>
          <w:rFonts w:ascii="宋体" w:hAnsi="宋体" w:cs="宋体" w:eastAsia="宋体" w:hint="default"/>
          <w:sz w:val="24"/>
          <w:szCs w:val="24"/>
        </w:rPr>
        <w:t>CCTV</w:t>
      </w:r>
      <w:r>
        <w:rPr>
          <w:rFonts w:ascii="宋体" w:hAnsi="宋体" w:cs="宋体" w:eastAsia="宋体" w:hint="default"/>
          <w:spacing w:val="-58"/>
          <w:sz w:val="24"/>
          <w:szCs w:val="24"/>
        </w:rPr>
        <w:t> </w:t>
      </w:r>
      <w:r>
        <w:rPr>
          <w:rFonts w:ascii="宋体" w:hAnsi="宋体" w:cs="宋体" w:eastAsia="宋体" w:hint="default"/>
          <w:spacing w:val="-16"/>
          <w:sz w:val="24"/>
          <w:szCs w:val="24"/>
        </w:rPr>
        <w:t>中国经济年度人物”、“2010</w:t>
      </w:r>
      <w:r>
        <w:rPr>
          <w:rFonts w:ascii="宋体" w:hAnsi="宋体" w:cs="宋体" w:eastAsia="宋体" w:hint="default"/>
          <w:spacing w:val="-58"/>
          <w:sz w:val="24"/>
          <w:szCs w:val="24"/>
        </w:rPr>
        <w:t> </w:t>
      </w:r>
      <w:r>
        <w:rPr>
          <w:rFonts w:ascii="宋体" w:hAnsi="宋体" w:cs="宋体" w:eastAsia="宋体" w:hint="default"/>
          <w:sz w:val="24"/>
          <w:szCs w:val="24"/>
        </w:rPr>
        <w:t>安永中国企业家</w:t>
      </w:r>
      <w:r>
        <w:rPr>
          <w:rFonts w:ascii="宋体" w:hAnsi="宋体" w:cs="宋体" w:eastAsia="宋体" w:hint="default"/>
          <w:sz w:val="24"/>
          <w:szCs w:val="24"/>
        </w:rPr>
        <w:t> </w:t>
      </w:r>
      <w:r>
        <w:rPr>
          <w:rFonts w:ascii="宋体" w:hAnsi="宋体" w:cs="宋体" w:eastAsia="宋体" w:hint="default"/>
          <w:spacing w:val="-30"/>
          <w:sz w:val="24"/>
          <w:szCs w:val="24"/>
        </w:rPr>
        <w:t>奖”、“2011</w:t>
      </w:r>
      <w:r>
        <w:rPr>
          <w:rFonts w:ascii="宋体" w:hAnsi="宋体" w:cs="宋体" w:eastAsia="宋体" w:hint="default"/>
          <w:spacing w:val="-60"/>
          <w:sz w:val="24"/>
          <w:szCs w:val="24"/>
        </w:rPr>
        <w:t> </w:t>
      </w:r>
      <w:r>
        <w:rPr>
          <w:rFonts w:ascii="宋体" w:hAnsi="宋体" w:cs="宋体" w:eastAsia="宋体" w:hint="default"/>
          <w:sz w:val="24"/>
          <w:szCs w:val="24"/>
        </w:rPr>
        <w:t>中国软件产业十年功勋人物”等多项荣誉。</w:t>
      </w:r>
    </w:p>
    <w:p>
      <w:pPr>
        <w:spacing w:line="312" w:lineRule="exact" w:before="0"/>
        <w:ind w:left="1078" w:right="1074" w:firstLine="480"/>
        <w:jc w:val="both"/>
        <w:rPr>
          <w:rFonts w:ascii="宋体" w:hAnsi="宋体" w:cs="宋体" w:eastAsia="宋体" w:hint="default"/>
          <w:sz w:val="24"/>
          <w:szCs w:val="24"/>
        </w:rPr>
      </w:pPr>
      <w:r>
        <w:rPr>
          <w:rFonts w:ascii="宋体" w:hAnsi="宋体" w:cs="宋体" w:eastAsia="宋体" w:hint="default"/>
          <w:sz w:val="24"/>
          <w:szCs w:val="24"/>
        </w:rPr>
        <w:t>（2）王勇峰，男，1970</w:t>
      </w:r>
      <w:r>
        <w:rPr>
          <w:rFonts w:ascii="宋体" w:hAnsi="宋体" w:cs="宋体" w:eastAsia="宋体" w:hint="default"/>
          <w:spacing w:val="-51"/>
          <w:sz w:val="24"/>
          <w:szCs w:val="24"/>
        </w:rPr>
        <w:t> </w:t>
      </w:r>
      <w:r>
        <w:rPr>
          <w:rFonts w:ascii="宋体" w:hAnsi="宋体" w:cs="宋体" w:eastAsia="宋体" w:hint="default"/>
          <w:sz w:val="24"/>
          <w:szCs w:val="24"/>
        </w:rPr>
        <w:t>年出生，吉林大学计算机应用人工智能专业硕士。现任公</w:t>
      </w:r>
      <w:r>
        <w:rPr>
          <w:rFonts w:ascii="宋体" w:hAnsi="宋体" w:cs="宋体" w:eastAsia="宋体" w:hint="default"/>
          <w:sz w:val="24"/>
          <w:szCs w:val="24"/>
        </w:rPr>
        <w:t> </w:t>
      </w:r>
      <w:r>
        <w:rPr>
          <w:rFonts w:ascii="宋体" w:hAnsi="宋体" w:cs="宋体" w:eastAsia="宋体" w:hint="default"/>
          <w:spacing w:val="-5"/>
          <w:sz w:val="24"/>
          <w:szCs w:val="24"/>
        </w:rPr>
        <w:t>司副董事长兼总裁。王勇峰于</w:t>
      </w:r>
      <w:r>
        <w:rPr>
          <w:rFonts w:ascii="宋体" w:hAnsi="宋体" w:cs="宋体" w:eastAsia="宋体" w:hint="default"/>
          <w:spacing w:val="-59"/>
          <w:sz w:val="24"/>
          <w:szCs w:val="24"/>
        </w:rPr>
        <w:t> </w:t>
      </w:r>
      <w:r>
        <w:rPr>
          <w:rFonts w:ascii="宋体" w:hAnsi="宋体" w:cs="宋体" w:eastAsia="宋体" w:hint="default"/>
          <w:sz w:val="24"/>
          <w:szCs w:val="24"/>
        </w:rPr>
        <w:t>1992</w:t>
      </w:r>
      <w:r>
        <w:rPr>
          <w:rFonts w:ascii="宋体" w:hAnsi="宋体" w:cs="宋体" w:eastAsia="宋体" w:hint="default"/>
          <w:spacing w:val="-59"/>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5</w:t>
      </w:r>
      <w:r>
        <w:rPr>
          <w:rFonts w:ascii="宋体" w:hAnsi="宋体" w:cs="宋体" w:eastAsia="宋体" w:hint="default"/>
          <w:spacing w:val="-59"/>
          <w:sz w:val="24"/>
          <w:szCs w:val="24"/>
        </w:rPr>
        <w:t> </w:t>
      </w:r>
      <w:r>
        <w:rPr>
          <w:rFonts w:ascii="宋体" w:hAnsi="宋体" w:cs="宋体" w:eastAsia="宋体" w:hint="default"/>
          <w:spacing w:val="5"/>
          <w:sz w:val="24"/>
          <w:szCs w:val="24"/>
        </w:rPr>
        <w:t>月加入公司，1998年2</w:t>
      </w:r>
      <w:r>
        <w:rPr>
          <w:rFonts w:ascii="宋体" w:hAnsi="宋体" w:cs="宋体" w:eastAsia="宋体" w:hint="default"/>
          <w:spacing w:val="-59"/>
          <w:sz w:val="24"/>
          <w:szCs w:val="24"/>
        </w:rPr>
        <w:t> </w:t>
      </w:r>
      <w:r>
        <w:rPr>
          <w:rFonts w:ascii="宋体" w:hAnsi="宋体" w:cs="宋体" w:eastAsia="宋体" w:hint="default"/>
          <w:sz w:val="24"/>
          <w:szCs w:val="24"/>
        </w:rPr>
        <w:t>月至</w:t>
      </w:r>
      <w:r>
        <w:rPr>
          <w:rFonts w:ascii="宋体" w:hAnsi="宋体" w:cs="宋体" w:eastAsia="宋体" w:hint="default"/>
          <w:spacing w:val="-59"/>
          <w:sz w:val="24"/>
          <w:szCs w:val="24"/>
        </w:rPr>
        <w:t> </w:t>
      </w:r>
      <w:r>
        <w:rPr>
          <w:rFonts w:ascii="宋体" w:hAnsi="宋体" w:cs="宋体" w:eastAsia="宋体" w:hint="default"/>
          <w:sz w:val="24"/>
          <w:szCs w:val="24"/>
        </w:rPr>
        <w:t>1999</w:t>
      </w:r>
      <w:r>
        <w:rPr>
          <w:rFonts w:ascii="宋体" w:hAnsi="宋体" w:cs="宋体" w:eastAsia="宋体" w:hint="default"/>
          <w:spacing w:val="-59"/>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8</w:t>
      </w:r>
      <w:r>
        <w:rPr>
          <w:rFonts w:ascii="宋体" w:hAnsi="宋体" w:cs="宋体" w:eastAsia="宋体" w:hint="default"/>
          <w:spacing w:val="-59"/>
          <w:sz w:val="24"/>
          <w:szCs w:val="24"/>
        </w:rPr>
        <w:t> </w:t>
      </w:r>
      <w:r>
        <w:rPr>
          <w:rFonts w:ascii="宋体" w:hAnsi="宋体" w:cs="宋体" w:eastAsia="宋体" w:hint="default"/>
          <w:sz w:val="24"/>
          <w:szCs w:val="24"/>
        </w:rPr>
        <w:t>月任公司</w:t>
      </w:r>
      <w:r>
        <w:rPr>
          <w:rFonts w:ascii="宋体" w:hAnsi="宋体" w:cs="宋体" w:eastAsia="宋体" w:hint="default"/>
          <w:sz w:val="24"/>
          <w:szCs w:val="24"/>
        </w:rPr>
        <w:t> 副总经理，1999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月始任公司总裁，1999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月始任公司董事。</w:t>
      </w:r>
    </w:p>
    <w:p>
      <w:pPr>
        <w:spacing w:line="312" w:lineRule="exact" w:before="0"/>
        <w:ind w:left="1078" w:right="1025" w:firstLine="480"/>
        <w:jc w:val="both"/>
        <w:rPr>
          <w:rFonts w:ascii="宋体" w:hAnsi="宋体" w:cs="宋体" w:eastAsia="宋体" w:hint="default"/>
          <w:sz w:val="24"/>
          <w:szCs w:val="24"/>
        </w:rPr>
      </w:pPr>
      <w:r>
        <w:rPr>
          <w:rFonts w:ascii="宋体" w:hAnsi="宋体" w:cs="宋体" w:eastAsia="宋体" w:hint="default"/>
          <w:sz w:val="24"/>
          <w:szCs w:val="24"/>
        </w:rPr>
        <w:t>（3）王莉，女，1965</w:t>
      </w:r>
      <w:r>
        <w:rPr>
          <w:rFonts w:ascii="宋体" w:hAnsi="宋体" w:cs="宋体" w:eastAsia="宋体" w:hint="default"/>
          <w:spacing w:val="-60"/>
          <w:sz w:val="24"/>
          <w:szCs w:val="24"/>
        </w:rPr>
        <w:t> </w:t>
      </w:r>
      <w:r>
        <w:rPr>
          <w:rFonts w:ascii="宋体" w:hAnsi="宋体" w:cs="宋体" w:eastAsia="宋体" w:hint="default"/>
          <w:sz w:val="24"/>
          <w:szCs w:val="24"/>
        </w:rPr>
        <w:t>年出生，东北大学管理工程硕士，中欧国际工商学院</w:t>
      </w:r>
      <w:r>
        <w:rPr>
          <w:rFonts w:ascii="宋体" w:hAnsi="宋体" w:cs="宋体" w:eastAsia="宋体" w:hint="default"/>
          <w:spacing w:val="-60"/>
          <w:sz w:val="24"/>
          <w:szCs w:val="24"/>
        </w:rPr>
        <w:t> </w:t>
      </w:r>
      <w:r>
        <w:rPr>
          <w:rFonts w:ascii="宋体" w:hAnsi="宋体" w:cs="宋体" w:eastAsia="宋体" w:hint="default"/>
          <w:sz w:val="24"/>
          <w:szCs w:val="24"/>
        </w:rPr>
        <w:t>EMBA，</w:t>
      </w:r>
      <w:r>
        <w:rPr>
          <w:rFonts w:ascii="宋体" w:hAnsi="宋体" w:cs="宋体" w:eastAsia="宋体" w:hint="default"/>
          <w:sz w:val="24"/>
          <w:szCs w:val="24"/>
        </w:rPr>
        <w:t> </w:t>
      </w:r>
      <w:r>
        <w:rPr>
          <w:rFonts w:ascii="宋体" w:hAnsi="宋体" w:cs="宋体" w:eastAsia="宋体" w:hint="default"/>
          <w:spacing w:val="-2"/>
          <w:sz w:val="24"/>
          <w:szCs w:val="24"/>
        </w:rPr>
        <w:t>注册会计师，教授研究员高级会计师。现任公司董事兼高级副总裁兼首席财务官。王莉</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于</w:t>
      </w:r>
      <w:r>
        <w:rPr>
          <w:rFonts w:ascii="宋体" w:hAnsi="宋体" w:cs="宋体" w:eastAsia="宋体" w:hint="default"/>
          <w:spacing w:val="-69"/>
          <w:sz w:val="24"/>
          <w:szCs w:val="24"/>
        </w:rPr>
        <w:t> </w:t>
      </w:r>
      <w:r>
        <w:rPr>
          <w:rFonts w:ascii="宋体" w:hAnsi="宋体" w:cs="宋体" w:eastAsia="宋体" w:hint="default"/>
          <w:sz w:val="24"/>
          <w:szCs w:val="24"/>
        </w:rPr>
        <w:t>1997</w:t>
      </w:r>
      <w:r>
        <w:rPr>
          <w:rFonts w:ascii="宋体" w:hAnsi="宋体" w:cs="宋体" w:eastAsia="宋体" w:hint="default"/>
          <w:spacing w:val="-69"/>
          <w:sz w:val="24"/>
          <w:szCs w:val="24"/>
        </w:rPr>
        <w:t> </w:t>
      </w:r>
      <w:r>
        <w:rPr>
          <w:rFonts w:ascii="宋体" w:hAnsi="宋体" w:cs="宋体" w:eastAsia="宋体" w:hint="default"/>
          <w:sz w:val="24"/>
          <w:szCs w:val="24"/>
        </w:rPr>
        <w:t>年</w:t>
      </w:r>
      <w:r>
        <w:rPr>
          <w:rFonts w:ascii="宋体" w:hAnsi="宋体" w:cs="宋体" w:eastAsia="宋体" w:hint="default"/>
          <w:spacing w:val="-70"/>
          <w:sz w:val="24"/>
          <w:szCs w:val="24"/>
        </w:rPr>
        <w:t> </w:t>
      </w:r>
      <w:r>
        <w:rPr>
          <w:rFonts w:ascii="宋体" w:hAnsi="宋体" w:cs="宋体" w:eastAsia="宋体" w:hint="default"/>
          <w:sz w:val="24"/>
          <w:szCs w:val="24"/>
        </w:rPr>
        <w:t>2</w:t>
      </w:r>
      <w:r>
        <w:rPr>
          <w:rFonts w:ascii="宋体" w:hAnsi="宋体" w:cs="宋体" w:eastAsia="宋体" w:hint="default"/>
          <w:spacing w:val="-69"/>
          <w:sz w:val="24"/>
          <w:szCs w:val="24"/>
        </w:rPr>
        <w:t> </w:t>
      </w:r>
      <w:r>
        <w:rPr>
          <w:rFonts w:ascii="宋体" w:hAnsi="宋体" w:cs="宋体" w:eastAsia="宋体" w:hint="default"/>
          <w:spacing w:val="-12"/>
          <w:sz w:val="24"/>
          <w:szCs w:val="24"/>
        </w:rPr>
        <w:t>月加入公司，1997</w:t>
      </w:r>
      <w:r>
        <w:rPr>
          <w:rFonts w:ascii="宋体" w:hAnsi="宋体" w:cs="宋体" w:eastAsia="宋体" w:hint="default"/>
          <w:spacing w:val="-69"/>
          <w:sz w:val="24"/>
          <w:szCs w:val="24"/>
        </w:rPr>
        <w:t> </w:t>
      </w:r>
      <w:r>
        <w:rPr>
          <w:rFonts w:ascii="宋体" w:hAnsi="宋体" w:cs="宋体" w:eastAsia="宋体" w:hint="default"/>
          <w:sz w:val="24"/>
          <w:szCs w:val="24"/>
        </w:rPr>
        <w:t>年</w:t>
      </w:r>
      <w:r>
        <w:rPr>
          <w:rFonts w:ascii="宋体" w:hAnsi="宋体" w:cs="宋体" w:eastAsia="宋体" w:hint="default"/>
          <w:spacing w:val="-70"/>
          <w:sz w:val="24"/>
          <w:szCs w:val="24"/>
        </w:rPr>
        <w:t> </w:t>
      </w:r>
      <w:r>
        <w:rPr>
          <w:rFonts w:ascii="宋体" w:hAnsi="宋体" w:cs="宋体" w:eastAsia="宋体" w:hint="default"/>
          <w:sz w:val="24"/>
          <w:szCs w:val="24"/>
        </w:rPr>
        <w:t>2</w:t>
      </w:r>
      <w:r>
        <w:rPr>
          <w:rFonts w:ascii="宋体" w:hAnsi="宋体" w:cs="宋体" w:eastAsia="宋体" w:hint="default"/>
          <w:spacing w:val="-69"/>
          <w:sz w:val="24"/>
          <w:szCs w:val="24"/>
        </w:rPr>
        <w:t> </w:t>
      </w:r>
      <w:r>
        <w:rPr>
          <w:rFonts w:ascii="宋体" w:hAnsi="宋体" w:cs="宋体" w:eastAsia="宋体" w:hint="default"/>
          <w:sz w:val="24"/>
          <w:szCs w:val="24"/>
        </w:rPr>
        <w:t>月至</w:t>
      </w:r>
      <w:r>
        <w:rPr>
          <w:rFonts w:ascii="宋体" w:hAnsi="宋体" w:cs="宋体" w:eastAsia="宋体" w:hint="default"/>
          <w:spacing w:val="-69"/>
          <w:sz w:val="24"/>
          <w:szCs w:val="24"/>
        </w:rPr>
        <w:t> </w:t>
      </w:r>
      <w:r>
        <w:rPr>
          <w:rFonts w:ascii="宋体" w:hAnsi="宋体" w:cs="宋体" w:eastAsia="宋体" w:hint="default"/>
          <w:spacing w:val="16"/>
          <w:sz w:val="24"/>
          <w:szCs w:val="24"/>
        </w:rPr>
        <w:t>2003年8</w:t>
      </w:r>
      <w:r>
        <w:rPr>
          <w:rFonts w:ascii="宋体" w:hAnsi="宋体" w:cs="宋体" w:eastAsia="宋体" w:hint="default"/>
          <w:spacing w:val="-69"/>
          <w:sz w:val="24"/>
          <w:szCs w:val="24"/>
        </w:rPr>
        <w:t> </w:t>
      </w:r>
      <w:r>
        <w:rPr>
          <w:rFonts w:ascii="宋体" w:hAnsi="宋体" w:cs="宋体" w:eastAsia="宋体" w:hint="default"/>
          <w:spacing w:val="-7"/>
          <w:sz w:val="24"/>
          <w:szCs w:val="24"/>
        </w:rPr>
        <w:t>月任公司高级副总裁兼财务总监，2008</w:t>
      </w:r>
    </w:p>
    <w:p>
      <w:pPr>
        <w:spacing w:line="282" w:lineRule="exact" w:before="0"/>
        <w:ind w:left="1078" w:right="3706" w:firstLine="0"/>
        <w:jc w:val="left"/>
        <w:rPr>
          <w:rFonts w:ascii="宋体" w:hAnsi="宋体" w:cs="宋体" w:eastAsia="宋体" w:hint="default"/>
          <w:sz w:val="24"/>
          <w:szCs w:val="24"/>
        </w:rPr>
      </w:pP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5</w:t>
      </w:r>
      <w:r>
        <w:rPr>
          <w:rFonts w:ascii="宋体" w:hAnsi="宋体" w:cs="宋体" w:eastAsia="宋体" w:hint="default"/>
          <w:spacing w:val="-60"/>
          <w:sz w:val="24"/>
          <w:szCs w:val="24"/>
        </w:rPr>
        <w:t> </w:t>
      </w:r>
      <w:r>
        <w:rPr>
          <w:rFonts w:ascii="宋体" w:hAnsi="宋体" w:cs="宋体" w:eastAsia="宋体" w:hint="default"/>
          <w:sz w:val="24"/>
          <w:szCs w:val="24"/>
        </w:rPr>
        <w:t>月始任现职。</w:t>
      </w:r>
    </w:p>
    <w:p>
      <w:pPr>
        <w:spacing w:line="312" w:lineRule="exact" w:before="29"/>
        <w:ind w:left="1078" w:right="954" w:firstLine="480"/>
        <w:jc w:val="both"/>
        <w:rPr>
          <w:rFonts w:ascii="宋体" w:hAnsi="宋体" w:cs="宋体" w:eastAsia="宋体" w:hint="default"/>
          <w:sz w:val="24"/>
          <w:szCs w:val="24"/>
        </w:rPr>
      </w:pPr>
      <w:r>
        <w:rPr>
          <w:rFonts w:ascii="宋体" w:hAnsi="宋体" w:cs="宋体" w:eastAsia="宋体" w:hint="default"/>
          <w:sz w:val="24"/>
          <w:szCs w:val="24"/>
        </w:rPr>
        <w:t>（4）石黑征三，男，日本籍，1943</w:t>
      </w:r>
      <w:r>
        <w:rPr>
          <w:rFonts w:ascii="宋体" w:hAnsi="宋体" w:cs="宋体" w:eastAsia="宋体" w:hint="default"/>
          <w:spacing w:val="-51"/>
          <w:sz w:val="24"/>
          <w:szCs w:val="24"/>
        </w:rPr>
        <w:t> </w:t>
      </w:r>
      <w:r>
        <w:rPr>
          <w:rFonts w:ascii="宋体" w:hAnsi="宋体" w:cs="宋体" w:eastAsia="宋体" w:hint="default"/>
          <w:sz w:val="24"/>
          <w:szCs w:val="24"/>
        </w:rPr>
        <w:t>年出生，早稻田大学法学部毕业。现任阿尔派</w:t>
      </w:r>
      <w:r>
        <w:rPr>
          <w:rFonts w:ascii="宋体" w:hAnsi="宋体" w:cs="宋体" w:eastAsia="宋体" w:hint="default"/>
          <w:sz w:val="24"/>
          <w:szCs w:val="24"/>
        </w:rPr>
        <w:t> 株式会社会长。石黑征三于</w:t>
      </w:r>
      <w:r>
        <w:rPr>
          <w:rFonts w:ascii="宋体" w:hAnsi="宋体" w:cs="宋体" w:eastAsia="宋体" w:hint="default"/>
          <w:spacing w:val="-86"/>
          <w:sz w:val="24"/>
          <w:szCs w:val="24"/>
        </w:rPr>
        <w:t> </w:t>
      </w:r>
      <w:r>
        <w:rPr>
          <w:rFonts w:ascii="宋体" w:hAnsi="宋体" w:cs="宋体" w:eastAsia="宋体" w:hint="default"/>
          <w:sz w:val="24"/>
          <w:szCs w:val="24"/>
        </w:rPr>
        <w:t>1978</w:t>
      </w:r>
      <w:r>
        <w:rPr>
          <w:rFonts w:ascii="宋体" w:hAnsi="宋体" w:cs="宋体" w:eastAsia="宋体" w:hint="default"/>
          <w:spacing w:val="-86"/>
          <w:sz w:val="24"/>
          <w:szCs w:val="24"/>
        </w:rPr>
        <w:t> </w:t>
      </w:r>
      <w:r>
        <w:rPr>
          <w:rFonts w:ascii="宋体" w:hAnsi="宋体" w:cs="宋体" w:eastAsia="宋体" w:hint="default"/>
          <w:sz w:val="24"/>
          <w:szCs w:val="24"/>
        </w:rPr>
        <w:t>年加入阿尔派株式会社，曾任营业部部长、常务董事、</w:t>
      </w:r>
    </w:p>
    <w:p>
      <w:pPr>
        <w:spacing w:line="283" w:lineRule="exact" w:before="0"/>
        <w:ind w:left="1078" w:right="1058" w:firstLine="0"/>
        <w:jc w:val="left"/>
        <w:rPr>
          <w:rFonts w:ascii="宋体" w:hAnsi="宋体" w:cs="宋体" w:eastAsia="宋体" w:hint="default"/>
          <w:sz w:val="24"/>
          <w:szCs w:val="24"/>
        </w:rPr>
      </w:pPr>
      <w:r>
        <w:rPr>
          <w:rFonts w:ascii="宋体" w:hAnsi="宋体" w:cs="宋体" w:eastAsia="宋体" w:hint="default"/>
          <w:sz w:val="24"/>
          <w:szCs w:val="24"/>
        </w:rPr>
        <w:t>副社长，1997</w:t>
      </w:r>
      <w:r>
        <w:rPr>
          <w:rFonts w:ascii="宋体" w:hAnsi="宋体" w:cs="宋体" w:eastAsia="宋体" w:hint="default"/>
          <w:spacing w:val="-60"/>
          <w:sz w:val="24"/>
          <w:szCs w:val="24"/>
        </w:rPr>
        <w:t> </w:t>
      </w:r>
      <w:r>
        <w:rPr>
          <w:rFonts w:ascii="宋体" w:hAnsi="宋体" w:cs="宋体" w:eastAsia="宋体" w:hint="default"/>
          <w:sz w:val="24"/>
          <w:szCs w:val="24"/>
        </w:rPr>
        <w:t>年至</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6</w:t>
      </w:r>
      <w:r>
        <w:rPr>
          <w:rFonts w:ascii="宋体" w:hAnsi="宋体" w:cs="宋体" w:eastAsia="宋体" w:hint="default"/>
          <w:spacing w:val="-60"/>
          <w:sz w:val="24"/>
          <w:szCs w:val="24"/>
        </w:rPr>
        <w:t> </w:t>
      </w:r>
      <w:r>
        <w:rPr>
          <w:rFonts w:ascii="宋体" w:hAnsi="宋体" w:cs="宋体" w:eastAsia="宋体" w:hint="default"/>
          <w:sz w:val="24"/>
          <w:szCs w:val="24"/>
        </w:rPr>
        <w:t>月任社长，2010</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6</w:t>
      </w:r>
      <w:r>
        <w:rPr>
          <w:rFonts w:ascii="宋体" w:hAnsi="宋体" w:cs="宋体" w:eastAsia="宋体" w:hint="default"/>
          <w:spacing w:val="-60"/>
          <w:sz w:val="24"/>
          <w:szCs w:val="24"/>
        </w:rPr>
        <w:t> </w:t>
      </w:r>
      <w:r>
        <w:rPr>
          <w:rFonts w:ascii="宋体" w:hAnsi="宋体" w:cs="宋体" w:eastAsia="宋体" w:hint="default"/>
          <w:sz w:val="24"/>
          <w:szCs w:val="24"/>
        </w:rPr>
        <w:t>月始任会长。</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spacing w:line="240" w:lineRule="auto"/>
        <w:ind w:left="1078" w:right="3706"/>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headerReference w:type="default" r:id="rId12"/>
          <w:pgSz w:w="11910" w:h="16840"/>
          <w:pgMar w:header="1012" w:footer="480" w:top="1360" w:bottom="660" w:left="340" w:right="340"/>
        </w:sectPr>
      </w:pPr>
    </w:p>
    <w:p>
      <w:pPr>
        <w:spacing w:line="240" w:lineRule="auto" w:before="6"/>
        <w:rPr>
          <w:rFonts w:ascii="黑体" w:hAnsi="黑体" w:cs="黑体" w:eastAsia="黑体" w:hint="default"/>
          <w:sz w:val="15"/>
          <w:szCs w:val="15"/>
        </w:rPr>
      </w:pPr>
    </w:p>
    <w:p>
      <w:pPr>
        <w:pStyle w:val="Heading5"/>
        <w:spacing w:line="312" w:lineRule="exact" w:before="56"/>
        <w:ind w:right="106" w:firstLine="480"/>
        <w:jc w:val="left"/>
      </w:pPr>
      <w:r>
        <w:rPr/>
        <w:t>（5）</w:t>
      </w:r>
      <w:r>
        <w:rPr>
          <w:rFonts w:ascii="Times New Roman" w:hAnsi="Times New Roman" w:cs="Times New Roman" w:eastAsia="Times New Roman" w:hint="default"/>
        </w:rPr>
        <w:t>Klaus Michael Zimmer</w:t>
      </w:r>
      <w:r>
        <w:rPr/>
        <w:t>，男，德国籍，香港永久居民，1956</w:t>
      </w:r>
      <w:r>
        <w:rPr>
          <w:spacing w:val="-103"/>
        </w:rPr>
        <w:t> </w:t>
      </w:r>
      <w:r>
        <w:rPr/>
        <w:t>年出生，德国特里</w:t>
      </w:r>
      <w:r>
        <w:rPr/>
        <w:t> 尔大学经济学硕士。2009</w:t>
      </w:r>
      <w:r>
        <w:rPr>
          <w:spacing w:val="-60"/>
        </w:rPr>
        <w:t> </w:t>
      </w:r>
      <w:r>
        <w:rPr/>
        <w:t>年加入东软，现任公司董事兼高级副总裁，兼任东软（欧洲）</w:t>
      </w:r>
      <w:r>
        <w:rPr/>
        <w:t> 有限公司总裁。此前曾就职于</w:t>
      </w:r>
      <w:r>
        <w:rPr>
          <w:spacing w:val="-61"/>
        </w:rPr>
        <w:t> </w:t>
      </w:r>
      <w:r>
        <w:rPr>
          <w:rFonts w:ascii="Times New Roman" w:hAnsi="Times New Roman" w:cs="Times New Roman" w:eastAsia="Times New Roman" w:hint="default"/>
        </w:rPr>
        <w:t>SAP</w:t>
      </w:r>
      <w:r>
        <w:rPr/>
        <w:t>，担任</w:t>
      </w:r>
      <w:r>
        <w:rPr>
          <w:spacing w:val="-61"/>
        </w:rPr>
        <w:t> </w:t>
      </w:r>
      <w:r>
        <w:rPr>
          <w:rFonts w:ascii="Times New Roman" w:hAnsi="Times New Roman" w:cs="Times New Roman" w:eastAsia="Times New Roman" w:hint="default"/>
        </w:rPr>
        <w:t>SAP</w:t>
      </w:r>
      <w:r>
        <w:rPr>
          <w:rFonts w:ascii="Times New Roman" w:hAnsi="Times New Roman" w:cs="Times New Roman" w:eastAsia="Times New Roman" w:hint="default"/>
          <w:spacing w:val="-2"/>
        </w:rPr>
        <w:t> </w:t>
      </w:r>
      <w:r>
        <w:rPr/>
        <w:t>北亚区董事长、</w:t>
      </w:r>
      <w:r>
        <w:rPr>
          <w:rFonts w:ascii="Times New Roman" w:hAnsi="Times New Roman" w:cs="Times New Roman" w:eastAsia="Times New Roman" w:hint="default"/>
        </w:rPr>
        <w:t>CEO</w:t>
      </w:r>
      <w:r>
        <w:rPr>
          <w:rFonts w:ascii="Times New Roman" w:hAnsi="Times New Roman" w:cs="Times New Roman" w:eastAsia="Times New Roman" w:hint="default"/>
          <w:spacing w:val="-2"/>
        </w:rPr>
        <w:t> </w:t>
      </w:r>
      <w:r>
        <w:rPr/>
        <w:t>等职务。</w:t>
      </w:r>
    </w:p>
    <w:p>
      <w:pPr>
        <w:spacing w:line="312" w:lineRule="exact" w:before="0"/>
        <w:ind w:left="118" w:right="100" w:firstLine="480"/>
        <w:jc w:val="left"/>
        <w:rPr>
          <w:rFonts w:ascii="宋体" w:hAnsi="宋体" w:cs="宋体" w:eastAsia="宋体" w:hint="default"/>
          <w:sz w:val="24"/>
          <w:szCs w:val="24"/>
        </w:rPr>
      </w:pPr>
      <w:r>
        <w:rPr>
          <w:rFonts w:ascii="宋体" w:hAnsi="宋体" w:cs="宋体" w:eastAsia="宋体" w:hint="default"/>
          <w:spacing w:val="-6"/>
          <w:sz w:val="24"/>
          <w:szCs w:val="24"/>
        </w:rPr>
        <w:t>（6）笠野章，男，日本籍，1956</w:t>
      </w:r>
      <w:r>
        <w:rPr>
          <w:rFonts w:ascii="宋体" w:hAnsi="宋体" w:cs="宋体" w:eastAsia="宋体" w:hint="default"/>
          <w:spacing w:val="-84"/>
          <w:sz w:val="24"/>
          <w:szCs w:val="24"/>
        </w:rPr>
        <w:t> </w:t>
      </w:r>
      <w:r>
        <w:rPr>
          <w:rFonts w:ascii="宋体" w:hAnsi="宋体" w:cs="宋体" w:eastAsia="宋体" w:hint="default"/>
          <w:sz w:val="24"/>
          <w:szCs w:val="24"/>
        </w:rPr>
        <w:t>年出生，国立东京大学大学院理学部物理学硕士。</w:t>
      </w:r>
      <w:r>
        <w:rPr>
          <w:rFonts w:ascii="宋体" w:hAnsi="宋体" w:cs="宋体" w:eastAsia="宋体" w:hint="default"/>
          <w:spacing w:val="-1"/>
          <w:sz w:val="24"/>
          <w:szCs w:val="24"/>
        </w:rPr>
        <w:t> </w:t>
      </w:r>
      <w:r>
        <w:rPr>
          <w:rFonts w:ascii="宋体" w:hAnsi="宋体" w:cs="宋体" w:eastAsia="宋体" w:hint="default"/>
          <w:sz w:val="24"/>
          <w:szCs w:val="24"/>
        </w:rPr>
        <w:t>1982</w:t>
      </w:r>
      <w:r>
        <w:rPr>
          <w:rFonts w:ascii="宋体" w:hAnsi="宋体" w:cs="宋体" w:eastAsia="宋体" w:hint="default"/>
          <w:spacing w:val="-50"/>
          <w:sz w:val="24"/>
          <w:szCs w:val="24"/>
        </w:rPr>
        <w:t> </w:t>
      </w:r>
      <w:r>
        <w:rPr>
          <w:rFonts w:ascii="宋体" w:hAnsi="宋体" w:cs="宋体" w:eastAsia="宋体" w:hint="default"/>
          <w:spacing w:val="-4"/>
          <w:sz w:val="24"/>
          <w:szCs w:val="24"/>
        </w:rPr>
        <w:t>年加入株式会社东芝，曾任东芝解决方案株式会社事业部长，现任东芝解决方案株</w:t>
      </w:r>
      <w:r>
        <w:rPr>
          <w:rFonts w:ascii="宋体" w:hAnsi="宋体" w:cs="宋体" w:eastAsia="宋体" w:hint="default"/>
          <w:spacing w:val="-98"/>
          <w:sz w:val="24"/>
          <w:szCs w:val="24"/>
        </w:rPr>
        <w:t> </w:t>
      </w:r>
      <w:r>
        <w:rPr>
          <w:rFonts w:ascii="宋体" w:hAnsi="宋体" w:cs="宋体" w:eastAsia="宋体" w:hint="default"/>
          <w:spacing w:val="-98"/>
          <w:sz w:val="24"/>
          <w:szCs w:val="24"/>
        </w:rPr>
      </w:r>
      <w:r>
        <w:rPr>
          <w:rFonts w:ascii="宋体" w:hAnsi="宋体" w:cs="宋体" w:eastAsia="宋体" w:hint="default"/>
          <w:sz w:val="24"/>
          <w:szCs w:val="24"/>
        </w:rPr>
        <w:t>式会社董事、执行董事、经营变革总负责人、革新推进部长及解决方案技术统括部长。</w:t>
      </w:r>
    </w:p>
    <w:p>
      <w:pPr>
        <w:spacing w:line="312" w:lineRule="exact" w:before="0"/>
        <w:ind w:left="118" w:right="233" w:firstLine="480"/>
        <w:jc w:val="both"/>
        <w:rPr>
          <w:rFonts w:ascii="宋体" w:hAnsi="宋体" w:cs="宋体" w:eastAsia="宋体" w:hint="default"/>
          <w:sz w:val="24"/>
          <w:szCs w:val="24"/>
        </w:rPr>
      </w:pPr>
      <w:r>
        <w:rPr>
          <w:rFonts w:ascii="宋体" w:hAnsi="宋体" w:cs="宋体" w:eastAsia="宋体" w:hint="default"/>
          <w:sz w:val="24"/>
          <w:szCs w:val="24"/>
        </w:rPr>
        <w:t>（7）方红星，男，1972</w:t>
      </w:r>
      <w:r>
        <w:rPr>
          <w:rFonts w:ascii="宋体" w:hAnsi="宋体" w:cs="宋体" w:eastAsia="宋体" w:hint="default"/>
          <w:spacing w:val="-51"/>
          <w:sz w:val="24"/>
          <w:szCs w:val="24"/>
        </w:rPr>
        <w:t> </w:t>
      </w:r>
      <w:r>
        <w:rPr>
          <w:rFonts w:ascii="宋体" w:hAnsi="宋体" w:cs="宋体" w:eastAsia="宋体" w:hint="default"/>
          <w:sz w:val="24"/>
          <w:szCs w:val="24"/>
        </w:rPr>
        <w:t>年出生，教授，博士生导师，享受国务院颁发的政府特殊</w:t>
      </w:r>
      <w:r>
        <w:rPr>
          <w:rFonts w:ascii="宋体" w:hAnsi="宋体" w:cs="宋体" w:eastAsia="宋体" w:hint="default"/>
          <w:sz w:val="24"/>
          <w:szCs w:val="24"/>
        </w:rPr>
        <w:t> </w:t>
      </w:r>
      <w:r>
        <w:rPr>
          <w:rFonts w:ascii="宋体" w:hAnsi="宋体" w:cs="宋体" w:eastAsia="宋体" w:hint="default"/>
          <w:spacing w:val="-4"/>
          <w:sz w:val="24"/>
          <w:szCs w:val="24"/>
        </w:rPr>
        <w:t>津贴，东北财经大学会计学博士。现任东北财经大学会计学院院长，</w:t>
      </w:r>
      <w:r>
        <w:rPr>
          <w:rFonts w:ascii="Times New Roman" w:hAnsi="Times New Roman" w:cs="Times New Roman" w:eastAsia="Times New Roman" w:hint="default"/>
          <w:spacing w:val="-4"/>
          <w:sz w:val="24"/>
          <w:szCs w:val="24"/>
        </w:rPr>
        <w:t>MPAcc</w:t>
      </w:r>
      <w:r>
        <w:rPr>
          <w:rFonts w:ascii="Times New Roman" w:hAnsi="Times New Roman" w:cs="Times New Roman" w:eastAsia="Times New Roman" w:hint="default"/>
          <w:spacing w:val="13"/>
          <w:sz w:val="24"/>
          <w:szCs w:val="24"/>
        </w:rPr>
        <w:t> </w:t>
      </w:r>
      <w:r>
        <w:rPr>
          <w:rFonts w:ascii="宋体" w:hAnsi="宋体" w:cs="宋体" w:eastAsia="宋体" w:hint="default"/>
          <w:sz w:val="24"/>
          <w:szCs w:val="24"/>
        </w:rPr>
        <w:t>教育中心主</w:t>
      </w:r>
      <w:r>
        <w:rPr>
          <w:rFonts w:ascii="宋体" w:hAnsi="宋体" w:cs="宋体" w:eastAsia="宋体" w:hint="default"/>
          <w:spacing w:val="-118"/>
          <w:sz w:val="24"/>
          <w:szCs w:val="24"/>
        </w:rPr>
        <w:t> </w:t>
      </w:r>
      <w:r>
        <w:rPr>
          <w:rFonts w:ascii="宋体" w:hAnsi="宋体" w:cs="宋体" w:eastAsia="宋体" w:hint="default"/>
          <w:spacing w:val="-2"/>
          <w:sz w:val="24"/>
          <w:szCs w:val="24"/>
        </w:rPr>
        <w:t>任，东北财经大学出版社有限责任公司副董事长、社长。兼任财政部会计准则委员会咨</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2"/>
          <w:sz w:val="24"/>
          <w:szCs w:val="24"/>
        </w:rPr>
        <w:t>询专家、内部控制标准委员会咨询专家，中国会计学会理事、财务成本分会副会长，中</w:t>
      </w:r>
      <w:r>
        <w:rPr>
          <w:rFonts w:ascii="宋体" w:hAnsi="宋体" w:cs="宋体" w:eastAsia="宋体" w:hint="default"/>
          <w:spacing w:val="-94"/>
          <w:sz w:val="24"/>
          <w:szCs w:val="24"/>
        </w:rPr>
        <w:t> </w:t>
      </w:r>
      <w:r>
        <w:rPr>
          <w:rFonts w:ascii="宋体" w:hAnsi="宋体" w:cs="宋体" w:eastAsia="宋体" w:hint="default"/>
          <w:spacing w:val="-94"/>
          <w:sz w:val="24"/>
          <w:szCs w:val="24"/>
        </w:rPr>
      </w:r>
      <w:r>
        <w:rPr>
          <w:rFonts w:ascii="宋体" w:hAnsi="宋体" w:cs="宋体" w:eastAsia="宋体" w:hint="default"/>
          <w:spacing w:val="-2"/>
          <w:sz w:val="24"/>
          <w:szCs w:val="24"/>
        </w:rPr>
        <w:t>国注册会计师协会专业技术指导委员会委员、审计准则组专家等职。并担任沈阳机床股</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份有限公司独立董事、大连獐子岛渔业集团股份有限公司独立董事。</w:t>
      </w:r>
    </w:p>
    <w:p>
      <w:pPr>
        <w:spacing w:line="312" w:lineRule="exact" w:before="0"/>
        <w:ind w:left="118" w:right="193" w:firstLine="480"/>
        <w:jc w:val="both"/>
        <w:rPr>
          <w:rFonts w:ascii="宋体" w:hAnsi="宋体" w:cs="宋体" w:eastAsia="宋体" w:hint="default"/>
          <w:sz w:val="24"/>
          <w:szCs w:val="24"/>
        </w:rPr>
      </w:pPr>
      <w:r>
        <w:rPr>
          <w:rFonts w:ascii="宋体" w:hAnsi="宋体" w:cs="宋体" w:eastAsia="宋体" w:hint="default"/>
          <w:sz w:val="24"/>
          <w:szCs w:val="24"/>
        </w:rPr>
        <w:t>（8）薛澜，男，1959</w:t>
      </w:r>
      <w:r>
        <w:rPr>
          <w:rFonts w:ascii="宋体" w:hAnsi="宋体" w:cs="宋体" w:eastAsia="宋体" w:hint="default"/>
          <w:spacing w:val="-51"/>
          <w:sz w:val="24"/>
          <w:szCs w:val="24"/>
        </w:rPr>
        <w:t> </w:t>
      </w:r>
      <w:r>
        <w:rPr>
          <w:rFonts w:ascii="宋体" w:hAnsi="宋体" w:cs="宋体" w:eastAsia="宋体" w:hint="default"/>
          <w:sz w:val="24"/>
          <w:szCs w:val="24"/>
        </w:rPr>
        <w:t>年出生，教授，博士生导师，长江学者特聘教授。卡内基梅</w:t>
      </w:r>
      <w:r>
        <w:rPr>
          <w:rFonts w:ascii="宋体" w:hAnsi="宋体" w:cs="宋体" w:eastAsia="宋体" w:hint="default"/>
          <w:sz w:val="24"/>
          <w:szCs w:val="24"/>
        </w:rPr>
        <w:t> </w:t>
      </w:r>
      <w:r>
        <w:rPr>
          <w:rFonts w:ascii="宋体" w:hAnsi="宋体" w:cs="宋体" w:eastAsia="宋体" w:hint="default"/>
          <w:spacing w:val="-2"/>
          <w:sz w:val="24"/>
          <w:szCs w:val="24"/>
        </w:rPr>
        <w:t>隆大学工程与公共政策专业博士。现任清华大学公共管理学院教授兼院长，清华大学工</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2"/>
          <w:sz w:val="24"/>
          <w:szCs w:val="24"/>
        </w:rPr>
        <w:t>程科技战略研究院副院长，清华大学中国科技政策研究中心主任。兼任国务院应急管理</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2"/>
          <w:sz w:val="24"/>
          <w:szCs w:val="24"/>
        </w:rPr>
        <w:t>专家组成员、中国行政管理学会副会长、中国编制改革研究会副会长、中国管理科学学</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会副会长、全国</w:t>
      </w:r>
      <w:r>
        <w:rPr>
          <w:rFonts w:ascii="宋体" w:hAnsi="宋体" w:cs="宋体" w:eastAsia="宋体" w:hint="default"/>
          <w:spacing w:val="-61"/>
          <w:sz w:val="24"/>
          <w:szCs w:val="24"/>
        </w:rPr>
        <w:t> </w:t>
      </w:r>
      <w:r>
        <w:rPr>
          <w:rFonts w:ascii="Times New Roman" w:hAnsi="Times New Roman" w:cs="Times New Roman" w:eastAsia="Times New Roman" w:hint="default"/>
          <w:spacing w:val="-8"/>
          <w:sz w:val="24"/>
          <w:szCs w:val="24"/>
        </w:rPr>
        <w:t>MPA</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教育指导委员会副主任委员、加拿大国际发展研究中心（</w:t>
      </w:r>
      <w:r>
        <w:rPr>
          <w:rFonts w:ascii="Times New Roman" w:hAnsi="Times New Roman" w:cs="Times New Roman" w:eastAsia="Times New Roman" w:hint="default"/>
          <w:sz w:val="24"/>
          <w:szCs w:val="24"/>
        </w:rPr>
        <w:t>IDRC</w:t>
      </w:r>
      <w:r>
        <w:rPr>
          <w:rFonts w:ascii="宋体" w:hAnsi="宋体" w:cs="宋体" w:eastAsia="宋体" w:hint="default"/>
          <w:sz w:val="24"/>
          <w:szCs w:val="24"/>
        </w:rPr>
        <w:t>） </w:t>
      </w:r>
      <w:r>
        <w:rPr>
          <w:rFonts w:ascii="宋体" w:hAnsi="宋体" w:cs="宋体" w:eastAsia="宋体" w:hint="default"/>
          <w:spacing w:val="-2"/>
          <w:sz w:val="24"/>
          <w:szCs w:val="24"/>
        </w:rPr>
        <w:t>董事、布鲁金斯学会非常任高级研究员、哈佛大学肯尼迪政府学院顾问委员会委员、卡</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内基梅隆大学兼职教授等。</w:t>
      </w:r>
    </w:p>
    <w:p>
      <w:pPr>
        <w:spacing w:line="312" w:lineRule="exact" w:before="0"/>
        <w:ind w:left="118" w:right="231" w:firstLine="480"/>
        <w:jc w:val="both"/>
        <w:rPr>
          <w:rFonts w:ascii="宋体" w:hAnsi="宋体" w:cs="宋体" w:eastAsia="宋体" w:hint="default"/>
          <w:sz w:val="24"/>
          <w:szCs w:val="24"/>
        </w:rPr>
      </w:pPr>
      <w:r>
        <w:rPr>
          <w:rFonts w:ascii="宋体" w:hAnsi="宋体" w:cs="宋体" w:eastAsia="宋体" w:hint="default"/>
          <w:sz w:val="24"/>
          <w:szCs w:val="24"/>
        </w:rPr>
        <w:t>（9）高文，男，1956</w:t>
      </w:r>
      <w:r>
        <w:rPr>
          <w:rFonts w:ascii="宋体" w:hAnsi="宋体" w:cs="宋体" w:eastAsia="宋体" w:hint="default"/>
          <w:spacing w:val="-51"/>
          <w:sz w:val="24"/>
          <w:szCs w:val="24"/>
        </w:rPr>
        <w:t> </w:t>
      </w:r>
      <w:r>
        <w:rPr>
          <w:rFonts w:ascii="宋体" w:hAnsi="宋体" w:cs="宋体" w:eastAsia="宋体" w:hint="default"/>
          <w:sz w:val="24"/>
          <w:szCs w:val="24"/>
        </w:rPr>
        <w:t>年出生，东京大学电子学博士。现任北京大学信息科学技术</w:t>
      </w:r>
      <w:r>
        <w:rPr>
          <w:rFonts w:ascii="宋体" w:hAnsi="宋体" w:cs="宋体" w:eastAsia="宋体" w:hint="default"/>
          <w:sz w:val="24"/>
          <w:szCs w:val="24"/>
        </w:rPr>
        <w:t> </w:t>
      </w:r>
      <w:r>
        <w:rPr>
          <w:rFonts w:ascii="宋体" w:hAnsi="宋体" w:cs="宋体" w:eastAsia="宋体" w:hint="default"/>
          <w:spacing w:val="-2"/>
          <w:sz w:val="24"/>
          <w:szCs w:val="24"/>
        </w:rPr>
        <w:t>学院教授，数字视频编解码技术国家工程实验室主任，中国工程院院士。现兼任数字视</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频编解码技术标准（AVS）国家工作组组长、中国计算机学会常务理事、浪潮电子信息</w:t>
      </w:r>
      <w:r>
        <w:rPr>
          <w:rFonts w:ascii="宋体" w:hAnsi="宋体" w:cs="宋体" w:eastAsia="宋体" w:hint="default"/>
          <w:spacing w:val="-53"/>
          <w:sz w:val="24"/>
          <w:szCs w:val="24"/>
        </w:rPr>
        <w:t> </w:t>
      </w:r>
      <w:r>
        <w:rPr>
          <w:rFonts w:ascii="宋体" w:hAnsi="宋体" w:cs="宋体" w:eastAsia="宋体" w:hint="default"/>
          <w:spacing w:val="-53"/>
          <w:sz w:val="24"/>
          <w:szCs w:val="24"/>
        </w:rPr>
      </w:r>
      <w:r>
        <w:rPr>
          <w:rFonts w:ascii="宋体" w:hAnsi="宋体" w:cs="宋体" w:eastAsia="宋体" w:hint="default"/>
          <w:sz w:val="24"/>
          <w:szCs w:val="24"/>
        </w:rPr>
        <w:t>产业股份有限公司董事等职。</w:t>
      </w:r>
    </w:p>
    <w:p>
      <w:pPr>
        <w:spacing w:line="312" w:lineRule="exact" w:before="0"/>
        <w:ind w:left="118" w:right="185" w:firstLine="480"/>
        <w:jc w:val="both"/>
        <w:rPr>
          <w:rFonts w:ascii="宋体" w:hAnsi="宋体" w:cs="宋体" w:eastAsia="宋体" w:hint="default"/>
          <w:sz w:val="24"/>
          <w:szCs w:val="24"/>
        </w:rPr>
      </w:pPr>
      <w:r>
        <w:rPr>
          <w:rFonts w:ascii="宋体" w:hAnsi="宋体" w:cs="宋体" w:eastAsia="宋体" w:hint="default"/>
          <w:spacing w:val="-5"/>
          <w:sz w:val="24"/>
          <w:szCs w:val="24"/>
        </w:rPr>
        <w:t>（10）涂赣峰，男，1964</w:t>
      </w:r>
      <w:r>
        <w:rPr>
          <w:rFonts w:ascii="宋体" w:hAnsi="宋体" w:cs="宋体" w:eastAsia="宋体" w:hint="default"/>
          <w:spacing w:val="-48"/>
          <w:sz w:val="24"/>
          <w:szCs w:val="24"/>
        </w:rPr>
        <w:t> </w:t>
      </w:r>
      <w:r>
        <w:rPr>
          <w:rFonts w:ascii="宋体" w:hAnsi="宋体" w:cs="宋体" w:eastAsia="宋体" w:hint="default"/>
          <w:spacing w:val="-4"/>
          <w:sz w:val="24"/>
          <w:szCs w:val="24"/>
        </w:rPr>
        <w:t>年出生，教授，博士生导师，东北大学有色金属冶金专业</w:t>
      </w:r>
      <w:r>
        <w:rPr>
          <w:rFonts w:ascii="宋体" w:hAnsi="宋体" w:cs="宋体" w:eastAsia="宋体" w:hint="default"/>
          <w:spacing w:val="-1"/>
          <w:sz w:val="24"/>
          <w:szCs w:val="24"/>
        </w:rPr>
        <w:t> </w:t>
      </w:r>
      <w:r>
        <w:rPr>
          <w:rFonts w:ascii="宋体" w:hAnsi="宋体" w:cs="宋体" w:eastAsia="宋体" w:hint="default"/>
          <w:sz w:val="24"/>
          <w:szCs w:val="24"/>
        </w:rPr>
        <w:t>博士。现任东北大学科技产业集团有限公司总经理。兼任中国高校产业协会常务理事、</w:t>
      </w:r>
      <w:r>
        <w:rPr>
          <w:rFonts w:ascii="宋体" w:hAnsi="宋体" w:cs="宋体" w:eastAsia="宋体" w:hint="default"/>
          <w:sz w:val="24"/>
          <w:szCs w:val="24"/>
        </w:rPr>
        <w:t> 中国冶金高校产业协会理事长等职。</w:t>
      </w:r>
    </w:p>
    <w:p>
      <w:pPr>
        <w:spacing w:line="312" w:lineRule="exact" w:before="0"/>
        <w:ind w:left="118" w:right="233" w:firstLine="480"/>
        <w:jc w:val="both"/>
        <w:rPr>
          <w:rFonts w:ascii="宋体" w:hAnsi="宋体" w:cs="宋体" w:eastAsia="宋体" w:hint="default"/>
          <w:sz w:val="24"/>
          <w:szCs w:val="24"/>
        </w:rPr>
      </w:pPr>
      <w:r>
        <w:rPr>
          <w:rFonts w:ascii="宋体" w:hAnsi="宋体" w:cs="宋体" w:eastAsia="宋体" w:hint="default"/>
          <w:sz w:val="24"/>
          <w:szCs w:val="24"/>
        </w:rPr>
        <w:t>（11）胡爱民，男，1973</w:t>
      </w:r>
      <w:r>
        <w:rPr>
          <w:rFonts w:ascii="宋体" w:hAnsi="宋体" w:cs="宋体" w:eastAsia="宋体" w:hint="default"/>
          <w:spacing w:val="-57"/>
          <w:sz w:val="24"/>
          <w:szCs w:val="24"/>
        </w:rPr>
        <w:t> </w:t>
      </w:r>
      <w:r>
        <w:rPr>
          <w:rFonts w:ascii="宋体" w:hAnsi="宋体" w:cs="宋体" w:eastAsia="宋体" w:hint="default"/>
          <w:sz w:val="24"/>
          <w:szCs w:val="24"/>
        </w:rPr>
        <w:t>年出生，江西财经学院工商管理学士。胡爱民于</w:t>
      </w:r>
      <w:r>
        <w:rPr>
          <w:rFonts w:ascii="宋体" w:hAnsi="宋体" w:cs="宋体" w:eastAsia="宋体" w:hint="default"/>
          <w:spacing w:val="-57"/>
          <w:sz w:val="24"/>
          <w:szCs w:val="24"/>
        </w:rPr>
        <w:t> </w:t>
      </w:r>
      <w:r>
        <w:rPr>
          <w:rFonts w:ascii="宋体" w:hAnsi="宋体" w:cs="宋体" w:eastAsia="宋体" w:hint="default"/>
          <w:sz w:val="24"/>
          <w:szCs w:val="24"/>
        </w:rPr>
        <w:t>1995</w:t>
      </w:r>
      <w:r>
        <w:rPr>
          <w:rFonts w:ascii="宋体" w:hAnsi="宋体" w:cs="宋体" w:eastAsia="宋体" w:hint="default"/>
          <w:spacing w:val="-57"/>
          <w:sz w:val="24"/>
          <w:szCs w:val="24"/>
        </w:rPr>
        <w:t> </w:t>
      </w:r>
      <w:r>
        <w:rPr>
          <w:rFonts w:ascii="宋体" w:hAnsi="宋体" w:cs="宋体" w:eastAsia="宋体" w:hint="default"/>
          <w:sz w:val="24"/>
          <w:szCs w:val="24"/>
        </w:rPr>
        <w:t>年</w:t>
      </w:r>
      <w:r>
        <w:rPr>
          <w:rFonts w:ascii="宋体" w:hAnsi="宋体" w:cs="宋体" w:eastAsia="宋体" w:hint="default"/>
          <w:sz w:val="24"/>
          <w:szCs w:val="24"/>
        </w:rPr>
        <w:t> </w:t>
      </w:r>
      <w:r>
        <w:rPr>
          <w:rFonts w:ascii="宋体" w:hAnsi="宋体" w:cs="宋体" w:eastAsia="宋体" w:hint="default"/>
          <w:spacing w:val="-2"/>
          <w:sz w:val="24"/>
          <w:szCs w:val="24"/>
        </w:rPr>
        <w:t>加入宝钢集团有限公司，历任宝钢集团有限公司计划财务部高级管理师、资产经营部投</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资并购主管等职，现任宝钢集团有限公司资本运营部副总经理兼首席项目经理。</w:t>
      </w:r>
    </w:p>
    <w:p>
      <w:pPr>
        <w:spacing w:line="312" w:lineRule="exact" w:before="0"/>
        <w:ind w:left="118" w:right="233" w:firstLine="480"/>
        <w:jc w:val="both"/>
        <w:rPr>
          <w:rFonts w:ascii="宋体" w:hAnsi="宋体" w:cs="宋体" w:eastAsia="宋体" w:hint="default"/>
          <w:sz w:val="24"/>
          <w:szCs w:val="24"/>
        </w:rPr>
      </w:pPr>
      <w:r>
        <w:rPr>
          <w:rFonts w:ascii="宋体" w:hAnsi="宋体" w:cs="宋体" w:eastAsia="宋体" w:hint="default"/>
          <w:spacing w:val="-4"/>
          <w:sz w:val="24"/>
          <w:szCs w:val="24"/>
        </w:rPr>
        <w:t>（12）藏田真吾，男，日本籍，1971</w:t>
      </w:r>
      <w:r>
        <w:rPr>
          <w:rFonts w:ascii="宋体" w:hAnsi="宋体" w:cs="宋体" w:eastAsia="宋体" w:hint="default"/>
          <w:spacing w:val="-90"/>
          <w:sz w:val="24"/>
          <w:szCs w:val="24"/>
        </w:rPr>
        <w:t> </w:t>
      </w:r>
      <w:r>
        <w:rPr>
          <w:rFonts w:ascii="宋体" w:hAnsi="宋体" w:cs="宋体" w:eastAsia="宋体" w:hint="default"/>
          <w:sz w:val="24"/>
          <w:szCs w:val="24"/>
        </w:rPr>
        <w:t>年出生，明治大学法学学士，美国乔治敦大学</w:t>
      </w:r>
      <w:r>
        <w:rPr>
          <w:rFonts w:ascii="宋体" w:hAnsi="宋体" w:cs="宋体" w:eastAsia="宋体" w:hint="default"/>
          <w:sz w:val="24"/>
          <w:szCs w:val="24"/>
        </w:rPr>
        <w:t> 法律中心法学硕士。藏田真吾于 1999</w:t>
      </w:r>
      <w:r>
        <w:rPr>
          <w:rFonts w:ascii="宋体" w:hAnsi="宋体" w:cs="宋体" w:eastAsia="宋体" w:hint="default"/>
          <w:spacing w:val="-52"/>
          <w:sz w:val="24"/>
          <w:szCs w:val="24"/>
        </w:rPr>
        <w:t> </w:t>
      </w:r>
      <w:r>
        <w:rPr>
          <w:rFonts w:ascii="宋体" w:hAnsi="宋体" w:cs="宋体" w:eastAsia="宋体" w:hint="default"/>
          <w:sz w:val="24"/>
          <w:szCs w:val="24"/>
        </w:rPr>
        <w:t>年加入阿尔派株式会社，曾任知识产权部法务课</w:t>
      </w:r>
      <w:r>
        <w:rPr>
          <w:rFonts w:ascii="宋体" w:hAnsi="宋体" w:cs="宋体" w:eastAsia="宋体" w:hint="default"/>
          <w:sz w:val="24"/>
          <w:szCs w:val="24"/>
        </w:rPr>
        <w:t> 课长等职，现任阿尔派株式会社经营企画室法务课课长。</w:t>
      </w:r>
    </w:p>
    <w:p>
      <w:pPr>
        <w:spacing w:line="312" w:lineRule="exact" w:before="0"/>
        <w:ind w:left="118" w:right="233" w:firstLine="480"/>
        <w:jc w:val="both"/>
        <w:rPr>
          <w:rFonts w:ascii="宋体" w:hAnsi="宋体" w:cs="宋体" w:eastAsia="宋体" w:hint="default"/>
          <w:sz w:val="24"/>
          <w:szCs w:val="24"/>
        </w:rPr>
      </w:pPr>
      <w:r>
        <w:rPr>
          <w:rFonts w:ascii="宋体" w:hAnsi="宋体" w:cs="宋体" w:eastAsia="宋体" w:hint="default"/>
          <w:sz w:val="24"/>
          <w:szCs w:val="24"/>
        </w:rPr>
        <w:t>（13）葛圣六，男，1975</w:t>
      </w:r>
      <w:r>
        <w:rPr>
          <w:rFonts w:ascii="宋体" w:hAnsi="宋体" w:cs="宋体" w:eastAsia="宋体" w:hint="default"/>
          <w:spacing w:val="-42"/>
          <w:sz w:val="24"/>
          <w:szCs w:val="24"/>
        </w:rPr>
        <w:t> </w:t>
      </w:r>
      <w:r>
        <w:rPr>
          <w:rFonts w:ascii="宋体" w:hAnsi="宋体" w:cs="宋体" w:eastAsia="宋体" w:hint="default"/>
          <w:sz w:val="24"/>
          <w:szCs w:val="24"/>
        </w:rPr>
        <w:t>年出生，东北大学计算机应用专业学士。1997</w:t>
      </w:r>
      <w:r>
        <w:rPr>
          <w:rFonts w:ascii="宋体" w:hAnsi="宋体" w:cs="宋体" w:eastAsia="宋体" w:hint="default"/>
          <w:spacing w:val="-42"/>
          <w:sz w:val="24"/>
          <w:szCs w:val="24"/>
        </w:rPr>
        <w:t> </w:t>
      </w:r>
      <w:r>
        <w:rPr>
          <w:rFonts w:ascii="宋体" w:hAnsi="宋体" w:cs="宋体" w:eastAsia="宋体" w:hint="default"/>
          <w:sz w:val="24"/>
          <w:szCs w:val="24"/>
        </w:rPr>
        <w:t>年</w:t>
      </w:r>
      <w:r>
        <w:rPr>
          <w:rFonts w:ascii="宋体" w:hAnsi="宋体" w:cs="宋体" w:eastAsia="宋体" w:hint="default"/>
          <w:spacing w:val="-42"/>
          <w:sz w:val="24"/>
          <w:szCs w:val="24"/>
        </w:rPr>
        <w:t> </w:t>
      </w:r>
      <w:r>
        <w:rPr>
          <w:rFonts w:ascii="宋体" w:hAnsi="宋体" w:cs="宋体" w:eastAsia="宋体" w:hint="default"/>
          <w:sz w:val="24"/>
          <w:szCs w:val="24"/>
        </w:rPr>
        <w:t>7</w:t>
      </w:r>
      <w:r>
        <w:rPr>
          <w:rFonts w:ascii="宋体" w:hAnsi="宋体" w:cs="宋体" w:eastAsia="宋体" w:hint="default"/>
          <w:spacing w:val="-44"/>
          <w:sz w:val="24"/>
          <w:szCs w:val="24"/>
        </w:rPr>
        <w:t> </w:t>
      </w:r>
      <w:r>
        <w:rPr>
          <w:rFonts w:ascii="宋体" w:hAnsi="宋体" w:cs="宋体" w:eastAsia="宋体" w:hint="default"/>
          <w:sz w:val="24"/>
          <w:szCs w:val="24"/>
        </w:rPr>
        <w:t>月加</w:t>
      </w:r>
      <w:r>
        <w:rPr>
          <w:rFonts w:ascii="宋体" w:hAnsi="宋体" w:cs="宋体" w:eastAsia="宋体" w:hint="default"/>
          <w:sz w:val="24"/>
          <w:szCs w:val="24"/>
        </w:rPr>
        <w:t> 入公司，历任公司 </w:t>
      </w:r>
      <w:r>
        <w:rPr>
          <w:rFonts w:ascii="Times New Roman" w:hAnsi="Times New Roman" w:cs="Times New Roman" w:eastAsia="Times New Roman" w:hint="default"/>
          <w:sz w:val="24"/>
          <w:szCs w:val="24"/>
        </w:rPr>
        <w:t>NEU-APN IA </w:t>
      </w:r>
      <w:r>
        <w:rPr>
          <w:rFonts w:ascii="宋体" w:hAnsi="宋体" w:cs="宋体" w:eastAsia="宋体" w:hint="default"/>
          <w:sz w:val="24"/>
          <w:szCs w:val="24"/>
        </w:rPr>
        <w:t>事业部嵌入式应用开发部部长、</w:t>
      </w:r>
      <w:r>
        <w:rPr>
          <w:rFonts w:ascii="Times New Roman" w:hAnsi="Times New Roman" w:cs="Times New Roman" w:eastAsia="Times New Roman" w:hint="default"/>
          <w:sz w:val="24"/>
          <w:szCs w:val="24"/>
        </w:rPr>
        <w:t>IA</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事业部第三开发部 部长，现任公司</w:t>
      </w:r>
      <w:r>
        <w:rPr>
          <w:rFonts w:ascii="宋体" w:hAnsi="宋体" w:cs="宋体" w:eastAsia="宋体" w:hint="default"/>
          <w:spacing w:val="-60"/>
          <w:sz w:val="24"/>
          <w:szCs w:val="24"/>
        </w:rPr>
        <w:t> </w:t>
      </w:r>
      <w:r>
        <w:rPr>
          <w:rFonts w:ascii="宋体" w:hAnsi="宋体" w:cs="宋体" w:eastAsia="宋体" w:hint="default"/>
          <w:sz w:val="24"/>
          <w:szCs w:val="24"/>
        </w:rPr>
        <w:t>IA</w:t>
      </w:r>
      <w:r>
        <w:rPr>
          <w:rFonts w:ascii="宋体" w:hAnsi="宋体" w:cs="宋体" w:eastAsia="宋体" w:hint="default"/>
          <w:spacing w:val="-60"/>
          <w:sz w:val="24"/>
          <w:szCs w:val="24"/>
        </w:rPr>
        <w:t> </w:t>
      </w:r>
      <w:r>
        <w:rPr>
          <w:rFonts w:ascii="宋体" w:hAnsi="宋体" w:cs="宋体" w:eastAsia="宋体" w:hint="default"/>
          <w:sz w:val="24"/>
          <w:szCs w:val="24"/>
        </w:rPr>
        <w:t>事业部副总经理。</w:t>
      </w:r>
    </w:p>
    <w:p>
      <w:pPr>
        <w:spacing w:line="312" w:lineRule="exact" w:before="0"/>
        <w:ind w:left="118" w:right="233" w:firstLine="480"/>
        <w:jc w:val="both"/>
        <w:rPr>
          <w:rFonts w:ascii="宋体" w:hAnsi="宋体" w:cs="宋体" w:eastAsia="宋体" w:hint="default"/>
          <w:sz w:val="24"/>
          <w:szCs w:val="24"/>
        </w:rPr>
      </w:pPr>
      <w:r>
        <w:rPr>
          <w:rFonts w:ascii="宋体" w:hAnsi="宋体" w:cs="宋体" w:eastAsia="宋体" w:hint="default"/>
          <w:spacing w:val="-6"/>
          <w:sz w:val="24"/>
          <w:szCs w:val="24"/>
        </w:rPr>
        <w:t>（14）马超，男，1977</w:t>
      </w:r>
      <w:r>
        <w:rPr>
          <w:rFonts w:ascii="宋体" w:hAnsi="宋体" w:cs="宋体" w:eastAsia="宋体" w:hint="default"/>
          <w:spacing w:val="-89"/>
          <w:sz w:val="24"/>
          <w:szCs w:val="24"/>
        </w:rPr>
        <w:t> </w:t>
      </w:r>
      <w:r>
        <w:rPr>
          <w:rFonts w:ascii="宋体" w:hAnsi="宋体" w:cs="宋体" w:eastAsia="宋体" w:hint="default"/>
          <w:sz w:val="24"/>
          <w:szCs w:val="24"/>
        </w:rPr>
        <w:t>年出生，东北大学计算机应用专业学士，英国利物浦大学信</w:t>
      </w:r>
      <w:r>
        <w:rPr>
          <w:rFonts w:ascii="宋体" w:hAnsi="宋体" w:cs="宋体" w:eastAsia="宋体" w:hint="default"/>
          <w:sz w:val="24"/>
          <w:szCs w:val="24"/>
        </w:rPr>
        <w:t> </w:t>
      </w:r>
      <w:r>
        <w:rPr>
          <w:rFonts w:ascii="宋体" w:hAnsi="宋体" w:cs="宋体" w:eastAsia="宋体" w:hint="default"/>
          <w:spacing w:val="-5"/>
          <w:sz w:val="24"/>
          <w:szCs w:val="24"/>
        </w:rPr>
        <w:t>息系统专业硕士。2005</w:t>
      </w:r>
      <w:r>
        <w:rPr>
          <w:rFonts w:ascii="宋体" w:hAnsi="宋体" w:cs="宋体" w:eastAsia="宋体" w:hint="default"/>
          <w:spacing w:val="-52"/>
          <w:sz w:val="24"/>
          <w:szCs w:val="24"/>
        </w:rPr>
        <w:t> </w:t>
      </w:r>
      <w:r>
        <w:rPr>
          <w:rFonts w:ascii="宋体" w:hAnsi="宋体" w:cs="宋体" w:eastAsia="宋体" w:hint="default"/>
          <w:sz w:val="24"/>
          <w:szCs w:val="24"/>
        </w:rPr>
        <w:t>年</w:t>
      </w:r>
      <w:r>
        <w:rPr>
          <w:rFonts w:ascii="宋体" w:hAnsi="宋体" w:cs="宋体" w:eastAsia="宋体" w:hint="default"/>
          <w:spacing w:val="-52"/>
          <w:sz w:val="24"/>
          <w:szCs w:val="24"/>
        </w:rPr>
        <w:t> </w:t>
      </w:r>
      <w:r>
        <w:rPr>
          <w:rFonts w:ascii="宋体" w:hAnsi="宋体" w:cs="宋体" w:eastAsia="宋体" w:hint="default"/>
          <w:sz w:val="24"/>
          <w:szCs w:val="24"/>
        </w:rPr>
        <w:t>5</w:t>
      </w:r>
      <w:r>
        <w:rPr>
          <w:rFonts w:ascii="宋体" w:hAnsi="宋体" w:cs="宋体" w:eastAsia="宋体" w:hint="default"/>
          <w:spacing w:val="-52"/>
          <w:sz w:val="24"/>
          <w:szCs w:val="24"/>
        </w:rPr>
        <w:t> </w:t>
      </w:r>
      <w:r>
        <w:rPr>
          <w:rFonts w:ascii="宋体" w:hAnsi="宋体" w:cs="宋体" w:eastAsia="宋体" w:hint="default"/>
          <w:spacing w:val="-3"/>
          <w:sz w:val="24"/>
          <w:szCs w:val="24"/>
        </w:rPr>
        <w:t>月加入公司，历任公司战略联盟与海外业务推进事业部销售</w:t>
      </w:r>
      <w:r>
        <w:rPr>
          <w:rFonts w:ascii="宋体" w:hAnsi="宋体" w:cs="宋体" w:eastAsia="宋体" w:hint="default"/>
          <w:sz w:val="24"/>
          <w:szCs w:val="24"/>
        </w:rPr>
        <w:t> 经理、资深销售经理，现任公司战略联盟与海外业务推进事业部副总经理。</w:t>
      </w:r>
    </w:p>
    <w:p>
      <w:pPr>
        <w:spacing w:line="312" w:lineRule="exact" w:before="0"/>
        <w:ind w:left="118" w:right="232" w:firstLine="480"/>
        <w:jc w:val="both"/>
        <w:rPr>
          <w:rFonts w:ascii="宋体" w:hAnsi="宋体" w:cs="宋体" w:eastAsia="宋体" w:hint="default"/>
          <w:sz w:val="24"/>
          <w:szCs w:val="24"/>
        </w:rPr>
      </w:pPr>
      <w:r>
        <w:rPr>
          <w:rFonts w:ascii="宋体" w:hAnsi="宋体" w:cs="宋体" w:eastAsia="宋体" w:hint="default"/>
          <w:spacing w:val="-6"/>
          <w:sz w:val="24"/>
          <w:szCs w:val="24"/>
        </w:rPr>
        <w:t>（15）陈锡民，男，1969</w:t>
      </w:r>
      <w:r>
        <w:rPr>
          <w:rFonts w:ascii="宋体" w:hAnsi="宋体" w:cs="宋体" w:eastAsia="宋体" w:hint="default"/>
          <w:spacing w:val="-51"/>
          <w:sz w:val="24"/>
          <w:szCs w:val="24"/>
        </w:rPr>
        <w:t> </w:t>
      </w:r>
      <w:r>
        <w:rPr>
          <w:rFonts w:ascii="宋体" w:hAnsi="宋体" w:cs="宋体" w:eastAsia="宋体" w:hint="default"/>
          <w:spacing w:val="-3"/>
          <w:sz w:val="24"/>
          <w:szCs w:val="24"/>
        </w:rPr>
        <w:t>年出生，清华大学控制理论与控制工程专业博士。现任公</w:t>
      </w:r>
      <w:r>
        <w:rPr>
          <w:rFonts w:ascii="宋体" w:hAnsi="宋体" w:cs="宋体" w:eastAsia="宋体" w:hint="default"/>
          <w:spacing w:val="-1"/>
          <w:sz w:val="24"/>
          <w:szCs w:val="24"/>
        </w:rPr>
        <w:t> </w:t>
      </w:r>
      <w:r>
        <w:rPr>
          <w:rFonts w:ascii="宋体" w:hAnsi="宋体" w:cs="宋体" w:eastAsia="宋体" w:hint="default"/>
          <w:sz w:val="24"/>
          <w:szCs w:val="24"/>
        </w:rPr>
        <w:t>司高级副总裁兼首席运营官，兼任嵌入式软件事业部总经理。陈锡民于</w:t>
      </w:r>
      <w:r>
        <w:rPr>
          <w:rFonts w:ascii="宋体" w:hAnsi="宋体" w:cs="宋体" w:eastAsia="宋体" w:hint="default"/>
          <w:spacing w:val="-57"/>
          <w:sz w:val="24"/>
          <w:szCs w:val="24"/>
        </w:rPr>
        <w:t> </w:t>
      </w:r>
      <w:r>
        <w:rPr>
          <w:rFonts w:ascii="宋体" w:hAnsi="宋体" w:cs="宋体" w:eastAsia="宋体" w:hint="default"/>
          <w:sz w:val="24"/>
          <w:szCs w:val="24"/>
        </w:rPr>
        <w:t>1999 年</w:t>
      </w:r>
      <w:r>
        <w:rPr>
          <w:rFonts w:ascii="宋体" w:hAnsi="宋体" w:cs="宋体" w:eastAsia="宋体" w:hint="default"/>
          <w:spacing w:val="-57"/>
          <w:sz w:val="24"/>
          <w:szCs w:val="24"/>
        </w:rPr>
        <w:t> </w:t>
      </w:r>
      <w:r>
        <w:rPr>
          <w:rFonts w:ascii="宋体" w:hAnsi="宋体" w:cs="宋体" w:eastAsia="宋体" w:hint="default"/>
          <w:sz w:val="24"/>
          <w:szCs w:val="24"/>
        </w:rPr>
        <w:t>1</w:t>
      </w:r>
      <w:r>
        <w:rPr>
          <w:rFonts w:ascii="宋体" w:hAnsi="宋体" w:cs="宋体" w:eastAsia="宋体" w:hint="default"/>
          <w:spacing w:val="-57"/>
          <w:sz w:val="24"/>
          <w:szCs w:val="24"/>
        </w:rPr>
        <w:t> </w:t>
      </w:r>
      <w:r>
        <w:rPr>
          <w:rFonts w:ascii="宋体" w:hAnsi="宋体" w:cs="宋体" w:eastAsia="宋体" w:hint="default"/>
          <w:sz w:val="24"/>
          <w:szCs w:val="24"/>
        </w:rPr>
        <w:t>月加</w:t>
      </w:r>
      <w:r>
        <w:rPr>
          <w:rFonts w:ascii="宋体" w:hAnsi="宋体" w:cs="宋体" w:eastAsia="宋体" w:hint="default"/>
          <w:sz w:val="24"/>
          <w:szCs w:val="24"/>
        </w:rPr>
        <w:t> </w:t>
      </w:r>
      <w:r>
        <w:rPr>
          <w:rFonts w:ascii="宋体" w:hAnsi="宋体" w:cs="宋体" w:eastAsia="宋体" w:hint="default"/>
          <w:spacing w:val="-2"/>
          <w:sz w:val="24"/>
          <w:szCs w:val="24"/>
        </w:rPr>
        <w:t>入公司，曾任东软中间件技术分公司智能设备开发部部长、东软中间件技术分公司副总</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经理、嵌入式软件事业部部长、公司副总裁等职。</w:t>
      </w:r>
    </w:p>
    <w:p>
      <w:pPr>
        <w:spacing w:line="283" w:lineRule="exact" w:before="0"/>
        <w:ind w:left="598" w:right="100" w:firstLine="0"/>
        <w:jc w:val="left"/>
        <w:rPr>
          <w:rFonts w:ascii="宋体" w:hAnsi="宋体" w:cs="宋体" w:eastAsia="宋体" w:hint="default"/>
          <w:sz w:val="24"/>
          <w:szCs w:val="24"/>
        </w:rPr>
      </w:pPr>
      <w:r>
        <w:rPr>
          <w:rFonts w:ascii="宋体" w:hAnsi="宋体" w:cs="宋体" w:eastAsia="宋体" w:hint="default"/>
          <w:spacing w:val="-5"/>
          <w:sz w:val="24"/>
          <w:szCs w:val="24"/>
        </w:rPr>
        <w:t>（16）卢朝霞，女，1957</w:t>
      </w:r>
      <w:r>
        <w:rPr>
          <w:rFonts w:ascii="宋体" w:hAnsi="宋体" w:cs="宋体" w:eastAsia="宋体" w:hint="default"/>
          <w:spacing w:val="-30"/>
          <w:sz w:val="24"/>
          <w:szCs w:val="24"/>
        </w:rPr>
        <w:t> </w:t>
      </w:r>
      <w:r>
        <w:rPr>
          <w:rFonts w:ascii="宋体" w:hAnsi="宋体" w:cs="宋体" w:eastAsia="宋体" w:hint="default"/>
          <w:spacing w:val="-4"/>
          <w:sz w:val="24"/>
          <w:szCs w:val="24"/>
        </w:rPr>
        <w:t>年出生，教授，东北大学计算机应用专业硕士。现任公司</w:t>
      </w:r>
      <w:r>
        <w:rPr>
          <w:rFonts w:ascii="宋体" w:hAnsi="宋体" w:cs="宋体" w:eastAsia="宋体" w:hint="default"/>
          <w:sz w:val="24"/>
          <w:szCs w:val="24"/>
        </w:rPr>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BodyText"/>
        <w:spacing w:line="240" w:lineRule="auto" w:before="0"/>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6"/>
        <w:rPr>
          <w:rFonts w:ascii="黑体" w:hAnsi="黑体" w:cs="黑体" w:eastAsia="黑体" w:hint="default"/>
          <w:sz w:val="15"/>
          <w:szCs w:val="15"/>
        </w:rPr>
      </w:pPr>
    </w:p>
    <w:p>
      <w:pPr>
        <w:pStyle w:val="Heading5"/>
        <w:spacing w:line="312" w:lineRule="exact" w:before="56"/>
        <w:ind w:right="218"/>
        <w:jc w:val="left"/>
      </w:pPr>
      <w:r>
        <w:rPr/>
        <w:t>高级副总裁。卢朝霞于 1995</w:t>
      </w:r>
      <w:r>
        <w:rPr>
          <w:spacing w:val="-52"/>
        </w:rPr>
        <w:t> </w:t>
      </w:r>
      <w:r>
        <w:rPr/>
        <w:t>年加入公司，此前曾任东北大学管理控制中心主任，历任</w:t>
      </w:r>
      <w:r>
        <w:rPr/>
        <w:t> 公司营销副总经理、首席运营官等职。</w:t>
      </w:r>
    </w:p>
    <w:p>
      <w:pPr>
        <w:spacing w:line="312" w:lineRule="exact" w:before="0"/>
        <w:ind w:left="118" w:right="233" w:firstLine="480"/>
        <w:jc w:val="both"/>
        <w:rPr>
          <w:rFonts w:ascii="宋体" w:hAnsi="宋体" w:cs="宋体" w:eastAsia="宋体" w:hint="default"/>
          <w:sz w:val="24"/>
          <w:szCs w:val="24"/>
        </w:rPr>
      </w:pPr>
      <w:r>
        <w:rPr>
          <w:rFonts w:ascii="宋体" w:hAnsi="宋体" w:cs="宋体" w:eastAsia="宋体" w:hint="default"/>
          <w:spacing w:val="-5"/>
          <w:sz w:val="24"/>
          <w:szCs w:val="24"/>
        </w:rPr>
        <w:t>（17）张霞，女，1965</w:t>
      </w:r>
      <w:r>
        <w:rPr>
          <w:rFonts w:ascii="宋体" w:hAnsi="宋体" w:cs="宋体" w:eastAsia="宋体" w:hint="default"/>
          <w:spacing w:val="-32"/>
          <w:sz w:val="24"/>
          <w:szCs w:val="24"/>
        </w:rPr>
        <w:t> </w:t>
      </w:r>
      <w:r>
        <w:rPr>
          <w:rFonts w:ascii="宋体" w:hAnsi="宋体" w:cs="宋体" w:eastAsia="宋体" w:hint="default"/>
          <w:spacing w:val="-3"/>
          <w:sz w:val="24"/>
          <w:szCs w:val="24"/>
        </w:rPr>
        <w:t>年出生，教授，东北大学计算机应用专业博士。现任公司高</w:t>
      </w:r>
      <w:r>
        <w:rPr>
          <w:rFonts w:ascii="宋体" w:hAnsi="宋体" w:cs="宋体" w:eastAsia="宋体" w:hint="default"/>
          <w:sz w:val="24"/>
          <w:szCs w:val="24"/>
        </w:rPr>
        <w:t> 级副总裁兼首席技术官、首席知识官。张霞于</w:t>
      </w:r>
      <w:r>
        <w:rPr>
          <w:rFonts w:ascii="宋体" w:hAnsi="宋体" w:cs="宋体" w:eastAsia="宋体" w:hint="default"/>
          <w:spacing w:val="-59"/>
          <w:sz w:val="24"/>
          <w:szCs w:val="24"/>
        </w:rPr>
        <w:t> </w:t>
      </w:r>
      <w:r>
        <w:rPr>
          <w:rFonts w:ascii="宋体" w:hAnsi="宋体" w:cs="宋体" w:eastAsia="宋体" w:hint="default"/>
          <w:sz w:val="24"/>
          <w:szCs w:val="24"/>
        </w:rPr>
        <w:t>1994</w:t>
      </w:r>
      <w:r>
        <w:rPr>
          <w:rFonts w:ascii="宋体" w:hAnsi="宋体" w:cs="宋体" w:eastAsia="宋体" w:hint="default"/>
          <w:spacing w:val="-59"/>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z w:val="24"/>
          <w:szCs w:val="24"/>
        </w:rPr>
        <w:t>11</w:t>
      </w:r>
      <w:r>
        <w:rPr>
          <w:rFonts w:ascii="宋体" w:hAnsi="宋体" w:cs="宋体" w:eastAsia="宋体" w:hint="default"/>
          <w:spacing w:val="-59"/>
          <w:sz w:val="24"/>
          <w:szCs w:val="24"/>
        </w:rPr>
        <w:t> </w:t>
      </w:r>
      <w:r>
        <w:rPr>
          <w:rFonts w:ascii="宋体" w:hAnsi="宋体" w:cs="宋体" w:eastAsia="宋体" w:hint="default"/>
          <w:sz w:val="24"/>
          <w:szCs w:val="24"/>
        </w:rPr>
        <w:t>月加入公司，2004</w:t>
      </w:r>
      <w:r>
        <w:rPr>
          <w:rFonts w:ascii="宋体" w:hAnsi="宋体" w:cs="宋体" w:eastAsia="宋体" w:hint="default"/>
          <w:spacing w:val="-59"/>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11</w:t>
      </w:r>
      <w:r>
        <w:rPr>
          <w:rFonts w:ascii="宋体" w:hAnsi="宋体" w:cs="宋体" w:eastAsia="宋体" w:hint="default"/>
          <w:spacing w:val="-59"/>
          <w:sz w:val="24"/>
          <w:szCs w:val="24"/>
        </w:rPr>
        <w:t> </w:t>
      </w:r>
      <w:r>
        <w:rPr>
          <w:rFonts w:ascii="宋体" w:hAnsi="宋体" w:cs="宋体" w:eastAsia="宋体" w:hint="default"/>
          <w:sz w:val="24"/>
          <w:szCs w:val="24"/>
        </w:rPr>
        <w:t>月始</w:t>
      </w:r>
      <w:r>
        <w:rPr>
          <w:rFonts w:ascii="宋体" w:hAnsi="宋体" w:cs="宋体" w:eastAsia="宋体" w:hint="default"/>
          <w:sz w:val="24"/>
          <w:szCs w:val="24"/>
        </w:rPr>
        <w:t> 任公司首席技术官和首席知识官。</w:t>
      </w:r>
    </w:p>
    <w:p>
      <w:pPr>
        <w:spacing w:line="312" w:lineRule="exact" w:before="0"/>
        <w:ind w:left="118" w:right="232" w:firstLine="480"/>
        <w:jc w:val="both"/>
        <w:rPr>
          <w:rFonts w:ascii="宋体" w:hAnsi="宋体" w:cs="宋体" w:eastAsia="宋体" w:hint="default"/>
          <w:sz w:val="24"/>
          <w:szCs w:val="24"/>
        </w:rPr>
      </w:pPr>
      <w:r>
        <w:rPr>
          <w:rFonts w:ascii="宋体" w:hAnsi="宋体" w:cs="宋体" w:eastAsia="宋体" w:hint="default"/>
          <w:spacing w:val="-6"/>
          <w:sz w:val="24"/>
          <w:szCs w:val="24"/>
        </w:rPr>
        <w:t>（18）王经锡，男，1969</w:t>
      </w:r>
      <w:r>
        <w:rPr>
          <w:rFonts w:ascii="宋体" w:hAnsi="宋体" w:cs="宋体" w:eastAsia="宋体" w:hint="default"/>
          <w:spacing w:val="-51"/>
          <w:sz w:val="24"/>
          <w:szCs w:val="24"/>
        </w:rPr>
        <w:t> </w:t>
      </w:r>
      <w:r>
        <w:rPr>
          <w:rFonts w:ascii="宋体" w:hAnsi="宋体" w:cs="宋体" w:eastAsia="宋体" w:hint="default"/>
          <w:spacing w:val="-3"/>
          <w:sz w:val="24"/>
          <w:szCs w:val="24"/>
        </w:rPr>
        <w:t>年出生，东北大学计算机应用专业学士。现任公司高级副</w:t>
      </w:r>
      <w:r>
        <w:rPr>
          <w:rFonts w:ascii="宋体" w:hAnsi="宋体" w:cs="宋体" w:eastAsia="宋体" w:hint="default"/>
          <w:spacing w:val="-1"/>
          <w:sz w:val="24"/>
          <w:szCs w:val="24"/>
        </w:rPr>
        <w:t> </w:t>
      </w:r>
      <w:r>
        <w:rPr>
          <w:rFonts w:ascii="宋体" w:hAnsi="宋体" w:cs="宋体" w:eastAsia="宋体" w:hint="default"/>
          <w:spacing w:val="-3"/>
          <w:sz w:val="24"/>
          <w:szCs w:val="24"/>
        </w:rPr>
        <w:t>总裁。王经锡于</w:t>
      </w:r>
      <w:r>
        <w:rPr>
          <w:rFonts w:ascii="宋体" w:hAnsi="宋体" w:cs="宋体" w:eastAsia="宋体" w:hint="default"/>
          <w:spacing w:val="-64"/>
          <w:sz w:val="24"/>
          <w:szCs w:val="24"/>
        </w:rPr>
        <w:t> </w:t>
      </w:r>
      <w:r>
        <w:rPr>
          <w:rFonts w:ascii="宋体" w:hAnsi="宋体" w:cs="宋体" w:eastAsia="宋体" w:hint="default"/>
          <w:sz w:val="24"/>
          <w:szCs w:val="24"/>
        </w:rPr>
        <w:t>1999</w:t>
      </w:r>
      <w:r>
        <w:rPr>
          <w:rFonts w:ascii="宋体" w:hAnsi="宋体" w:cs="宋体" w:eastAsia="宋体" w:hint="default"/>
          <w:spacing w:val="-64"/>
          <w:sz w:val="24"/>
          <w:szCs w:val="24"/>
        </w:rPr>
        <w:t> </w:t>
      </w:r>
      <w:r>
        <w:rPr>
          <w:rFonts w:ascii="宋体" w:hAnsi="宋体" w:cs="宋体" w:eastAsia="宋体" w:hint="default"/>
          <w:sz w:val="24"/>
          <w:szCs w:val="24"/>
        </w:rPr>
        <w:t>年</w:t>
      </w:r>
      <w:r>
        <w:rPr>
          <w:rFonts w:ascii="宋体" w:hAnsi="宋体" w:cs="宋体" w:eastAsia="宋体" w:hint="default"/>
          <w:spacing w:val="-64"/>
          <w:sz w:val="24"/>
          <w:szCs w:val="24"/>
        </w:rPr>
        <w:t> </w:t>
      </w:r>
      <w:r>
        <w:rPr>
          <w:rFonts w:ascii="宋体" w:hAnsi="宋体" w:cs="宋体" w:eastAsia="宋体" w:hint="default"/>
          <w:sz w:val="24"/>
          <w:szCs w:val="24"/>
        </w:rPr>
        <w:t>3</w:t>
      </w:r>
      <w:r>
        <w:rPr>
          <w:rFonts w:ascii="宋体" w:hAnsi="宋体" w:cs="宋体" w:eastAsia="宋体" w:hint="default"/>
          <w:spacing w:val="-64"/>
          <w:sz w:val="24"/>
          <w:szCs w:val="24"/>
        </w:rPr>
        <w:t> </w:t>
      </w:r>
      <w:r>
        <w:rPr>
          <w:rFonts w:ascii="宋体" w:hAnsi="宋体" w:cs="宋体" w:eastAsia="宋体" w:hint="default"/>
          <w:sz w:val="24"/>
          <w:szCs w:val="24"/>
        </w:rPr>
        <w:t>月加入东软，2001</w:t>
      </w:r>
      <w:r>
        <w:rPr>
          <w:rFonts w:ascii="宋体" w:hAnsi="宋体" w:cs="宋体" w:eastAsia="宋体" w:hint="default"/>
          <w:spacing w:val="-64"/>
          <w:sz w:val="24"/>
          <w:szCs w:val="24"/>
        </w:rPr>
        <w:t> </w:t>
      </w:r>
      <w:r>
        <w:rPr>
          <w:rFonts w:ascii="宋体" w:hAnsi="宋体" w:cs="宋体" w:eastAsia="宋体" w:hint="default"/>
          <w:sz w:val="24"/>
          <w:szCs w:val="24"/>
        </w:rPr>
        <w:t>年始任公司行政总监，2002</w:t>
      </w:r>
      <w:r>
        <w:rPr>
          <w:rFonts w:ascii="宋体" w:hAnsi="宋体" w:cs="宋体" w:eastAsia="宋体" w:hint="default"/>
          <w:spacing w:val="-64"/>
          <w:sz w:val="24"/>
          <w:szCs w:val="24"/>
        </w:rPr>
        <w:t> </w:t>
      </w:r>
      <w:r>
        <w:rPr>
          <w:rFonts w:ascii="宋体" w:hAnsi="宋体" w:cs="宋体" w:eastAsia="宋体" w:hint="default"/>
          <w:sz w:val="24"/>
          <w:szCs w:val="24"/>
        </w:rPr>
        <w:t>年</w:t>
      </w:r>
      <w:r>
        <w:rPr>
          <w:rFonts w:ascii="宋体" w:hAnsi="宋体" w:cs="宋体" w:eastAsia="宋体" w:hint="default"/>
          <w:spacing w:val="-64"/>
          <w:sz w:val="24"/>
          <w:szCs w:val="24"/>
        </w:rPr>
        <w:t> </w:t>
      </w:r>
      <w:r>
        <w:rPr>
          <w:rFonts w:ascii="宋体" w:hAnsi="宋体" w:cs="宋体" w:eastAsia="宋体" w:hint="default"/>
          <w:sz w:val="24"/>
          <w:szCs w:val="24"/>
        </w:rPr>
        <w:t>2</w:t>
      </w:r>
      <w:r>
        <w:rPr>
          <w:rFonts w:ascii="宋体" w:hAnsi="宋体" w:cs="宋体" w:eastAsia="宋体" w:hint="default"/>
          <w:spacing w:val="-64"/>
          <w:sz w:val="24"/>
          <w:szCs w:val="24"/>
        </w:rPr>
        <w:t> </w:t>
      </w:r>
      <w:r>
        <w:rPr>
          <w:rFonts w:ascii="宋体" w:hAnsi="宋体" w:cs="宋体" w:eastAsia="宋体" w:hint="default"/>
          <w:sz w:val="24"/>
          <w:szCs w:val="24"/>
        </w:rPr>
        <w:t>月始任公</w:t>
      </w:r>
      <w:r>
        <w:rPr>
          <w:rFonts w:ascii="宋体" w:hAnsi="宋体" w:cs="宋体" w:eastAsia="宋体" w:hint="default"/>
          <w:sz w:val="24"/>
          <w:szCs w:val="24"/>
        </w:rPr>
        <w:t> 司高级副总裁。</w:t>
      </w:r>
    </w:p>
    <w:p>
      <w:pPr>
        <w:spacing w:line="312" w:lineRule="exact" w:before="0"/>
        <w:ind w:left="118" w:right="100" w:firstLine="480"/>
        <w:jc w:val="left"/>
        <w:rPr>
          <w:rFonts w:ascii="宋体" w:hAnsi="宋体" w:cs="宋体" w:eastAsia="宋体" w:hint="default"/>
          <w:sz w:val="24"/>
          <w:szCs w:val="24"/>
        </w:rPr>
      </w:pPr>
      <w:r>
        <w:rPr>
          <w:rFonts w:ascii="宋体" w:hAnsi="宋体" w:cs="宋体" w:eastAsia="宋体" w:hint="default"/>
          <w:spacing w:val="-3"/>
          <w:sz w:val="24"/>
          <w:szCs w:val="24"/>
        </w:rPr>
        <w:t>（19）张晓鸥，男，1972</w:t>
      </w:r>
      <w:r>
        <w:rPr>
          <w:rFonts w:ascii="宋体" w:hAnsi="宋体" w:cs="宋体" w:eastAsia="宋体" w:hint="default"/>
          <w:spacing w:val="-76"/>
          <w:sz w:val="24"/>
          <w:szCs w:val="24"/>
        </w:rPr>
        <w:t> </w:t>
      </w:r>
      <w:r>
        <w:rPr>
          <w:rFonts w:ascii="宋体" w:hAnsi="宋体" w:cs="宋体" w:eastAsia="宋体" w:hint="default"/>
          <w:sz w:val="24"/>
          <w:szCs w:val="24"/>
        </w:rPr>
        <w:t>年出生，东北大学管理学硕士，中欧国际工商学院</w:t>
      </w:r>
      <w:r>
        <w:rPr>
          <w:rFonts w:ascii="宋体" w:hAnsi="宋体" w:cs="宋体" w:eastAsia="宋体" w:hint="default"/>
          <w:spacing w:val="-76"/>
          <w:sz w:val="24"/>
          <w:szCs w:val="24"/>
        </w:rPr>
        <w:t> </w:t>
      </w:r>
      <w:r>
        <w:rPr>
          <w:rFonts w:ascii="宋体" w:hAnsi="宋体" w:cs="宋体" w:eastAsia="宋体" w:hint="default"/>
          <w:sz w:val="24"/>
          <w:szCs w:val="24"/>
        </w:rPr>
        <w:t>EMBA，</w:t>
      </w:r>
      <w:r>
        <w:rPr>
          <w:rFonts w:ascii="宋体" w:hAnsi="宋体" w:cs="宋体" w:eastAsia="宋体" w:hint="default"/>
          <w:spacing w:val="-1"/>
          <w:sz w:val="24"/>
          <w:szCs w:val="24"/>
        </w:rPr>
        <w:t> </w:t>
      </w:r>
      <w:r>
        <w:rPr>
          <w:rFonts w:ascii="宋体" w:hAnsi="宋体" w:cs="宋体" w:eastAsia="宋体" w:hint="default"/>
          <w:sz w:val="24"/>
          <w:szCs w:val="24"/>
        </w:rPr>
        <w:t>注册会计师，高级会计师。现任公司高级副总裁兼财务运行官。张晓鸥于</w:t>
      </w:r>
      <w:r>
        <w:rPr>
          <w:rFonts w:ascii="宋体" w:hAnsi="宋体" w:cs="宋体" w:eastAsia="宋体" w:hint="default"/>
          <w:spacing w:val="-42"/>
          <w:sz w:val="24"/>
          <w:szCs w:val="24"/>
        </w:rPr>
        <w:t> </w:t>
      </w:r>
      <w:r>
        <w:rPr>
          <w:rFonts w:ascii="宋体" w:hAnsi="宋体" w:cs="宋体" w:eastAsia="宋体" w:hint="default"/>
          <w:sz w:val="24"/>
          <w:szCs w:val="24"/>
        </w:rPr>
        <w:t>2000</w:t>
      </w:r>
      <w:r>
        <w:rPr>
          <w:rFonts w:ascii="宋体" w:hAnsi="宋体" w:cs="宋体" w:eastAsia="宋体" w:hint="default"/>
          <w:spacing w:val="-44"/>
          <w:sz w:val="24"/>
          <w:szCs w:val="24"/>
        </w:rPr>
        <w:t> </w:t>
      </w:r>
      <w:r>
        <w:rPr>
          <w:rFonts w:ascii="宋体" w:hAnsi="宋体" w:cs="宋体" w:eastAsia="宋体" w:hint="default"/>
          <w:sz w:val="24"/>
          <w:szCs w:val="24"/>
        </w:rPr>
        <w:t>年</w:t>
      </w:r>
      <w:r>
        <w:rPr>
          <w:rFonts w:ascii="宋体" w:hAnsi="宋体" w:cs="宋体" w:eastAsia="宋体" w:hint="default"/>
          <w:spacing w:val="-42"/>
          <w:sz w:val="24"/>
          <w:szCs w:val="24"/>
        </w:rPr>
        <w:t> </w:t>
      </w:r>
      <w:r>
        <w:rPr>
          <w:rFonts w:ascii="宋体" w:hAnsi="宋体" w:cs="宋体" w:eastAsia="宋体" w:hint="default"/>
          <w:sz w:val="24"/>
          <w:szCs w:val="24"/>
        </w:rPr>
        <w:t>4</w:t>
      </w:r>
      <w:r>
        <w:rPr>
          <w:rFonts w:ascii="宋体" w:hAnsi="宋体" w:cs="宋体" w:eastAsia="宋体" w:hint="default"/>
          <w:spacing w:val="-42"/>
          <w:sz w:val="24"/>
          <w:szCs w:val="24"/>
        </w:rPr>
        <w:t> </w:t>
      </w:r>
      <w:r>
        <w:rPr>
          <w:rFonts w:ascii="宋体" w:hAnsi="宋体" w:cs="宋体" w:eastAsia="宋体" w:hint="default"/>
          <w:sz w:val="24"/>
          <w:szCs w:val="24"/>
        </w:rPr>
        <w:t>月</w:t>
      </w:r>
      <w:r>
        <w:rPr>
          <w:rFonts w:ascii="宋体" w:hAnsi="宋体" w:cs="宋体" w:eastAsia="宋体" w:hint="default"/>
          <w:sz w:val="24"/>
          <w:szCs w:val="24"/>
        </w:rPr>
        <w:t> 加入公司，曾任公司财务总监，2008</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5</w:t>
      </w:r>
      <w:r>
        <w:rPr>
          <w:rFonts w:ascii="宋体" w:hAnsi="宋体" w:cs="宋体" w:eastAsia="宋体" w:hint="default"/>
          <w:spacing w:val="-60"/>
          <w:sz w:val="24"/>
          <w:szCs w:val="24"/>
        </w:rPr>
        <w:t> </w:t>
      </w:r>
      <w:r>
        <w:rPr>
          <w:rFonts w:ascii="宋体" w:hAnsi="宋体" w:cs="宋体" w:eastAsia="宋体" w:hint="default"/>
          <w:sz w:val="24"/>
          <w:szCs w:val="24"/>
        </w:rPr>
        <w:t>月始任现职。</w:t>
      </w:r>
    </w:p>
    <w:p>
      <w:pPr>
        <w:spacing w:line="312" w:lineRule="exact" w:before="0"/>
        <w:ind w:left="118" w:right="233" w:firstLine="480"/>
        <w:jc w:val="both"/>
        <w:rPr>
          <w:rFonts w:ascii="宋体" w:hAnsi="宋体" w:cs="宋体" w:eastAsia="宋体" w:hint="default"/>
          <w:sz w:val="24"/>
          <w:szCs w:val="24"/>
        </w:rPr>
      </w:pPr>
      <w:r>
        <w:rPr>
          <w:rFonts w:ascii="宋体" w:hAnsi="宋体" w:cs="宋体" w:eastAsia="宋体" w:hint="default"/>
          <w:spacing w:val="-6"/>
          <w:sz w:val="24"/>
          <w:szCs w:val="24"/>
        </w:rPr>
        <w:t>（20）李军，男，1973</w:t>
      </w:r>
      <w:r>
        <w:rPr>
          <w:rFonts w:ascii="宋体" w:hAnsi="宋体" w:cs="宋体" w:eastAsia="宋体" w:hint="default"/>
          <w:spacing w:val="-89"/>
          <w:sz w:val="24"/>
          <w:szCs w:val="24"/>
        </w:rPr>
        <w:t> </w:t>
      </w:r>
      <w:r>
        <w:rPr>
          <w:rFonts w:ascii="宋体" w:hAnsi="宋体" w:cs="宋体" w:eastAsia="宋体" w:hint="default"/>
          <w:sz w:val="24"/>
          <w:szCs w:val="24"/>
        </w:rPr>
        <w:t>年出生，东北大学计算机软件专业学士。现任公司高级副总</w:t>
      </w:r>
      <w:r>
        <w:rPr>
          <w:rFonts w:ascii="宋体" w:hAnsi="宋体" w:cs="宋体" w:eastAsia="宋体" w:hint="default"/>
          <w:sz w:val="24"/>
          <w:szCs w:val="24"/>
        </w:rPr>
        <w:t> 裁兼首席营销官。李军于</w:t>
      </w:r>
      <w:r>
        <w:rPr>
          <w:rFonts w:ascii="宋体" w:hAnsi="宋体" w:cs="宋体" w:eastAsia="宋体" w:hint="default"/>
          <w:spacing w:val="-57"/>
          <w:sz w:val="24"/>
          <w:szCs w:val="24"/>
        </w:rPr>
        <w:t> </w:t>
      </w:r>
      <w:r>
        <w:rPr>
          <w:rFonts w:ascii="宋体" w:hAnsi="宋体" w:cs="宋体" w:eastAsia="宋体" w:hint="default"/>
          <w:sz w:val="24"/>
          <w:szCs w:val="24"/>
        </w:rPr>
        <w:t>1995 年</w:t>
      </w:r>
      <w:r>
        <w:rPr>
          <w:rFonts w:ascii="宋体" w:hAnsi="宋体" w:cs="宋体" w:eastAsia="宋体" w:hint="default"/>
          <w:spacing w:val="-57"/>
          <w:sz w:val="24"/>
          <w:szCs w:val="24"/>
        </w:rPr>
        <w:t> </w:t>
      </w:r>
      <w:r>
        <w:rPr>
          <w:rFonts w:ascii="宋体" w:hAnsi="宋体" w:cs="宋体" w:eastAsia="宋体" w:hint="default"/>
          <w:sz w:val="24"/>
          <w:szCs w:val="24"/>
        </w:rPr>
        <w:t>7</w:t>
      </w:r>
      <w:r>
        <w:rPr>
          <w:rFonts w:ascii="宋体" w:hAnsi="宋体" w:cs="宋体" w:eastAsia="宋体" w:hint="default"/>
          <w:spacing w:val="-57"/>
          <w:sz w:val="24"/>
          <w:szCs w:val="24"/>
        </w:rPr>
        <w:t> </w:t>
      </w:r>
      <w:r>
        <w:rPr>
          <w:rFonts w:ascii="宋体" w:hAnsi="宋体" w:cs="宋体" w:eastAsia="宋体" w:hint="default"/>
          <w:sz w:val="24"/>
          <w:szCs w:val="24"/>
        </w:rPr>
        <w:t>月加入公司，历任华东大区总经理、公司销售总监</w:t>
      </w:r>
      <w:r>
        <w:rPr>
          <w:rFonts w:ascii="宋体" w:hAnsi="宋体" w:cs="宋体" w:eastAsia="宋体" w:hint="default"/>
          <w:sz w:val="24"/>
          <w:szCs w:val="24"/>
        </w:rPr>
        <w:t> 等职，2008</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5</w:t>
      </w:r>
      <w:r>
        <w:rPr>
          <w:rFonts w:ascii="宋体" w:hAnsi="宋体" w:cs="宋体" w:eastAsia="宋体" w:hint="default"/>
          <w:spacing w:val="-60"/>
          <w:sz w:val="24"/>
          <w:szCs w:val="24"/>
        </w:rPr>
        <w:t> </w:t>
      </w:r>
      <w:r>
        <w:rPr>
          <w:rFonts w:ascii="宋体" w:hAnsi="宋体" w:cs="宋体" w:eastAsia="宋体" w:hint="default"/>
          <w:sz w:val="24"/>
          <w:szCs w:val="24"/>
        </w:rPr>
        <w:t>月始任现职。</w:t>
      </w:r>
    </w:p>
    <w:p>
      <w:pPr>
        <w:spacing w:line="312" w:lineRule="exact" w:before="0"/>
        <w:ind w:left="118" w:right="106" w:firstLine="480"/>
        <w:jc w:val="left"/>
        <w:rPr>
          <w:rFonts w:ascii="宋体" w:hAnsi="宋体" w:cs="宋体" w:eastAsia="宋体" w:hint="default"/>
          <w:sz w:val="24"/>
          <w:szCs w:val="24"/>
        </w:rPr>
      </w:pPr>
      <w:r>
        <w:rPr>
          <w:rFonts w:ascii="宋体" w:hAnsi="宋体" w:cs="宋体" w:eastAsia="宋体" w:hint="default"/>
          <w:spacing w:val="-6"/>
          <w:sz w:val="24"/>
          <w:szCs w:val="24"/>
        </w:rPr>
        <w:t>（21）王楠，女，1976</w:t>
      </w:r>
      <w:r>
        <w:rPr>
          <w:rFonts w:ascii="宋体" w:hAnsi="宋体" w:cs="宋体" w:eastAsia="宋体" w:hint="default"/>
          <w:spacing w:val="-73"/>
          <w:sz w:val="24"/>
          <w:szCs w:val="24"/>
        </w:rPr>
        <w:t> </w:t>
      </w:r>
      <w:r>
        <w:rPr>
          <w:rFonts w:ascii="宋体" w:hAnsi="宋体" w:cs="宋体" w:eastAsia="宋体" w:hint="default"/>
          <w:sz w:val="24"/>
          <w:szCs w:val="24"/>
        </w:rPr>
        <w:t>年出生，东北大学计算机应用专业博士。现任公司高级副总</w:t>
      </w:r>
      <w:r>
        <w:rPr>
          <w:rFonts w:ascii="宋体" w:hAnsi="宋体" w:cs="宋体" w:eastAsia="宋体" w:hint="default"/>
          <w:sz w:val="24"/>
          <w:szCs w:val="24"/>
        </w:rPr>
        <w:t> 裁兼董事会秘书，兼任战略联盟与海外业务推进事业部总经理。王楠于 1995</w:t>
      </w:r>
      <w:r>
        <w:rPr>
          <w:rFonts w:ascii="宋体" w:hAnsi="宋体" w:cs="宋体" w:eastAsia="宋体" w:hint="default"/>
          <w:spacing w:val="-52"/>
          <w:sz w:val="24"/>
          <w:szCs w:val="24"/>
        </w:rPr>
        <w:t> </w:t>
      </w:r>
      <w:r>
        <w:rPr>
          <w:rFonts w:ascii="宋体" w:hAnsi="宋体" w:cs="宋体" w:eastAsia="宋体" w:hint="default"/>
          <w:sz w:val="24"/>
          <w:szCs w:val="24"/>
        </w:rPr>
        <w:t>年加入公</w:t>
      </w:r>
      <w:r>
        <w:rPr>
          <w:rFonts w:ascii="宋体" w:hAnsi="宋体" w:cs="宋体" w:eastAsia="宋体" w:hint="default"/>
          <w:sz w:val="24"/>
          <w:szCs w:val="24"/>
        </w:rPr>
        <w:t> 司，曾任东软软件中心 Java</w:t>
      </w:r>
      <w:r>
        <w:rPr>
          <w:rFonts w:ascii="宋体" w:hAnsi="宋体" w:cs="宋体" w:eastAsia="宋体" w:hint="default"/>
          <w:spacing w:val="-52"/>
          <w:sz w:val="24"/>
          <w:szCs w:val="24"/>
        </w:rPr>
        <w:t> </w:t>
      </w:r>
      <w:r>
        <w:rPr>
          <w:rFonts w:ascii="宋体" w:hAnsi="宋体" w:cs="宋体" w:eastAsia="宋体" w:hint="default"/>
          <w:sz w:val="24"/>
          <w:szCs w:val="24"/>
        </w:rPr>
        <w:t>应用部部长、中间件技术分公司副总经理、移动互联网事</w:t>
      </w:r>
      <w:r>
        <w:rPr>
          <w:rFonts w:ascii="宋体" w:hAnsi="宋体" w:cs="宋体" w:eastAsia="宋体" w:hint="default"/>
          <w:sz w:val="24"/>
          <w:szCs w:val="24"/>
        </w:rPr>
        <w:t> 业部部长、汽车电子先行技术研究中心副主任等职。2011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5</w:t>
      </w:r>
      <w:r>
        <w:rPr>
          <w:rFonts w:ascii="宋体" w:hAnsi="宋体" w:cs="宋体" w:eastAsia="宋体" w:hint="default"/>
          <w:spacing w:val="-60"/>
          <w:sz w:val="24"/>
          <w:szCs w:val="24"/>
        </w:rPr>
        <w:t> </w:t>
      </w:r>
      <w:r>
        <w:rPr>
          <w:rFonts w:ascii="宋体" w:hAnsi="宋体" w:cs="宋体" w:eastAsia="宋体" w:hint="default"/>
          <w:sz w:val="24"/>
          <w:szCs w:val="24"/>
        </w:rPr>
        <w:t>月始任公司高级副总裁，</w:t>
      </w:r>
      <w:r>
        <w:rPr>
          <w:rFonts w:ascii="宋体" w:hAnsi="宋体" w:cs="宋体" w:eastAsia="宋体" w:hint="default"/>
          <w:sz w:val="24"/>
          <w:szCs w:val="24"/>
        </w:rPr>
        <w:t> 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月始兼任公司董事会秘书。</w:t>
      </w:r>
    </w:p>
    <w:p>
      <w:pPr>
        <w:spacing w:before="157"/>
        <w:ind w:left="118" w:right="100" w:firstLine="0"/>
        <w:jc w:val="left"/>
        <w:rPr>
          <w:rFonts w:ascii="宋体" w:hAnsi="宋体" w:cs="宋体" w:eastAsia="宋体" w:hint="default"/>
          <w:sz w:val="24"/>
          <w:szCs w:val="24"/>
        </w:rPr>
      </w:pPr>
      <w:r>
        <w:rPr>
          <w:rFonts w:ascii="宋体" w:hAnsi="宋体" w:cs="宋体" w:eastAsia="宋体" w:hint="default"/>
          <w:b/>
          <w:bCs/>
          <w:sz w:val="24"/>
          <w:szCs w:val="24"/>
        </w:rPr>
        <w:t>（二）在股东单位任职情况</w:t>
      </w:r>
      <w:r>
        <w:rPr>
          <w:rFonts w:ascii="宋体" w:hAnsi="宋体" w:cs="宋体" w:eastAsia="宋体" w:hint="default"/>
          <w:sz w:val="24"/>
          <w:szCs w:val="24"/>
        </w:rPr>
      </w:r>
    </w:p>
    <w:p>
      <w:pPr>
        <w:spacing w:line="240" w:lineRule="auto" w:before="2"/>
        <w:rPr>
          <w:rFonts w:ascii="宋体" w:hAnsi="宋体" w:cs="宋体" w:eastAsia="宋体" w:hint="default"/>
          <w:b/>
          <w:bCs/>
          <w:sz w:val="12"/>
          <w:szCs w:val="12"/>
        </w:rPr>
      </w:pPr>
    </w:p>
    <w:tbl>
      <w:tblPr>
        <w:tblW w:w="0" w:type="auto"/>
        <w:jc w:val="left"/>
        <w:tblInd w:w="120" w:type="dxa"/>
        <w:tblLayout w:type="fixed"/>
        <w:tblCellMar>
          <w:top w:w="0" w:type="dxa"/>
          <w:left w:w="0" w:type="dxa"/>
          <w:bottom w:w="0" w:type="dxa"/>
          <w:right w:w="0" w:type="dxa"/>
        </w:tblCellMar>
        <w:tblLook w:val="01E0"/>
      </w:tblPr>
      <w:tblGrid>
        <w:gridCol w:w="1214"/>
        <w:gridCol w:w="3197"/>
        <w:gridCol w:w="3379"/>
        <w:gridCol w:w="1265"/>
      </w:tblGrid>
      <w:tr>
        <w:trPr>
          <w:trHeight w:val="635"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391"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3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962" w:right="0"/>
              <w:jc w:val="left"/>
              <w:rPr>
                <w:rFonts w:ascii="宋体" w:hAnsi="宋体" w:cs="宋体" w:eastAsia="宋体" w:hint="default"/>
                <w:sz w:val="21"/>
                <w:szCs w:val="21"/>
              </w:rPr>
            </w:pPr>
            <w:r>
              <w:rPr>
                <w:rFonts w:ascii="宋体" w:hAnsi="宋体" w:cs="宋体" w:eastAsia="宋体" w:hint="default"/>
                <w:sz w:val="21"/>
                <w:szCs w:val="21"/>
              </w:rPr>
              <w:t>股东单位名称</w:t>
            </w:r>
          </w:p>
        </w:tc>
        <w:tc>
          <w:tcPr>
            <w:tcW w:w="3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1"/>
              <w:jc w:val="center"/>
              <w:rPr>
                <w:rFonts w:ascii="宋体" w:hAnsi="宋体" w:cs="宋体" w:eastAsia="宋体" w:hint="default"/>
                <w:sz w:val="21"/>
                <w:szCs w:val="21"/>
              </w:rPr>
            </w:pPr>
            <w:r>
              <w:rPr>
                <w:rFonts w:ascii="宋体" w:hAnsi="宋体" w:cs="宋体" w:eastAsia="宋体" w:hint="default"/>
                <w:sz w:val="21"/>
                <w:szCs w:val="21"/>
              </w:rPr>
              <w:t>担任的职务</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206" w:right="0"/>
              <w:jc w:val="left"/>
              <w:rPr>
                <w:rFonts w:ascii="宋体" w:hAnsi="宋体" w:cs="宋体" w:eastAsia="宋体" w:hint="default"/>
                <w:sz w:val="21"/>
                <w:szCs w:val="21"/>
              </w:rPr>
            </w:pPr>
            <w:r>
              <w:rPr>
                <w:rFonts w:ascii="宋体" w:hAnsi="宋体" w:cs="宋体" w:eastAsia="宋体" w:hint="default"/>
                <w:sz w:val="21"/>
                <w:szCs w:val="21"/>
              </w:rPr>
              <w:t>是否领取</w:t>
            </w:r>
          </w:p>
          <w:p>
            <w:pPr>
              <w:pStyle w:val="TableParagraph"/>
              <w:spacing w:line="240" w:lineRule="auto" w:before="37"/>
              <w:ind w:left="206" w:right="0"/>
              <w:jc w:val="left"/>
              <w:rPr>
                <w:rFonts w:ascii="宋体" w:hAnsi="宋体" w:cs="宋体" w:eastAsia="宋体" w:hint="default"/>
                <w:sz w:val="21"/>
                <w:szCs w:val="21"/>
              </w:rPr>
            </w:pPr>
            <w:r>
              <w:rPr>
                <w:rFonts w:ascii="宋体" w:hAnsi="宋体" w:cs="宋体" w:eastAsia="宋体" w:hint="default"/>
                <w:sz w:val="21"/>
                <w:szCs w:val="21"/>
              </w:rPr>
              <w:t>报酬津贴</w:t>
            </w:r>
          </w:p>
        </w:tc>
      </w:tr>
      <w:tr>
        <w:trPr>
          <w:trHeight w:val="32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刘积仁</w:t>
            </w:r>
          </w:p>
        </w:tc>
        <w:tc>
          <w:tcPr>
            <w:tcW w:w="319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东北大学</w:t>
            </w:r>
          </w:p>
        </w:tc>
        <w:tc>
          <w:tcPr>
            <w:tcW w:w="33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副校长</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石黑征三</w:t>
            </w:r>
          </w:p>
        </w:tc>
        <w:tc>
          <w:tcPr>
            <w:tcW w:w="319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阿尔派株式会社</w:t>
            </w:r>
          </w:p>
        </w:tc>
        <w:tc>
          <w:tcPr>
            <w:tcW w:w="33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会长</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947"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left="101" w:right="0"/>
              <w:jc w:val="left"/>
              <w:rPr>
                <w:rFonts w:ascii="宋体" w:hAnsi="宋体" w:cs="宋体" w:eastAsia="宋体" w:hint="default"/>
                <w:sz w:val="21"/>
                <w:szCs w:val="21"/>
              </w:rPr>
            </w:pPr>
            <w:r>
              <w:rPr>
                <w:rFonts w:ascii="宋体" w:hAnsi="宋体" w:cs="宋体" w:eastAsia="宋体" w:hint="default"/>
                <w:sz w:val="21"/>
                <w:szCs w:val="21"/>
              </w:rPr>
              <w:t>笠野章</w:t>
            </w:r>
          </w:p>
        </w:tc>
        <w:tc>
          <w:tcPr>
            <w:tcW w:w="3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left="102" w:right="0"/>
              <w:jc w:val="left"/>
              <w:rPr>
                <w:rFonts w:ascii="宋体" w:hAnsi="宋体" w:cs="宋体" w:eastAsia="宋体" w:hint="default"/>
                <w:sz w:val="21"/>
                <w:szCs w:val="21"/>
              </w:rPr>
            </w:pPr>
            <w:r>
              <w:rPr>
                <w:rFonts w:ascii="宋体" w:hAnsi="宋体" w:cs="宋体" w:eastAsia="宋体" w:hint="default"/>
                <w:sz w:val="21"/>
                <w:szCs w:val="21"/>
              </w:rPr>
              <w:t>东芝解决方案株式会社</w:t>
            </w:r>
          </w:p>
        </w:tc>
        <w:tc>
          <w:tcPr>
            <w:tcW w:w="337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董事、执行董事、经营变革总负责</w:t>
            </w:r>
          </w:p>
          <w:p>
            <w:pPr>
              <w:pStyle w:val="TableParagraph"/>
              <w:spacing w:line="273" w:lineRule="auto" w:before="37"/>
              <w:ind w:left="101" w:right="100"/>
              <w:jc w:val="left"/>
              <w:rPr>
                <w:rFonts w:ascii="宋体" w:hAnsi="宋体" w:cs="宋体" w:eastAsia="宋体" w:hint="default"/>
                <w:sz w:val="21"/>
                <w:szCs w:val="21"/>
              </w:rPr>
            </w:pPr>
            <w:r>
              <w:rPr>
                <w:rFonts w:ascii="宋体" w:hAnsi="宋体" w:cs="宋体" w:eastAsia="宋体" w:hint="default"/>
                <w:sz w:val="21"/>
                <w:szCs w:val="21"/>
              </w:rPr>
              <w:t>人、革新推进部长及解决方案技术</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统括部长</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涂赣峰</w:t>
            </w:r>
          </w:p>
        </w:tc>
        <w:tc>
          <w:tcPr>
            <w:tcW w:w="319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东北大学科技产业集团有限公司</w:t>
            </w:r>
          </w:p>
        </w:tc>
        <w:tc>
          <w:tcPr>
            <w:tcW w:w="33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2"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634"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1" w:right="0"/>
              <w:jc w:val="left"/>
              <w:rPr>
                <w:rFonts w:ascii="宋体" w:hAnsi="宋体" w:cs="宋体" w:eastAsia="宋体" w:hint="default"/>
                <w:sz w:val="21"/>
                <w:szCs w:val="21"/>
              </w:rPr>
            </w:pPr>
            <w:r>
              <w:rPr>
                <w:rFonts w:ascii="宋体" w:hAnsi="宋体" w:cs="宋体" w:eastAsia="宋体" w:hint="default"/>
                <w:sz w:val="21"/>
                <w:szCs w:val="21"/>
              </w:rPr>
              <w:t>胡爱民</w:t>
            </w:r>
          </w:p>
        </w:tc>
        <w:tc>
          <w:tcPr>
            <w:tcW w:w="3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02" w:right="0"/>
              <w:jc w:val="left"/>
              <w:rPr>
                <w:rFonts w:ascii="宋体" w:hAnsi="宋体" w:cs="宋体" w:eastAsia="宋体" w:hint="default"/>
                <w:sz w:val="21"/>
                <w:szCs w:val="21"/>
              </w:rPr>
            </w:pPr>
            <w:r>
              <w:rPr>
                <w:rFonts w:ascii="宋体" w:hAnsi="宋体" w:cs="宋体" w:eastAsia="宋体" w:hint="default"/>
                <w:sz w:val="21"/>
                <w:szCs w:val="21"/>
              </w:rPr>
              <w:t>宝钢集团有限公司</w:t>
            </w:r>
          </w:p>
        </w:tc>
        <w:tc>
          <w:tcPr>
            <w:tcW w:w="33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资本运营部副总经理兼首席项目经</w:t>
            </w:r>
          </w:p>
          <w:p>
            <w:pPr>
              <w:pStyle w:val="TableParagraph"/>
              <w:spacing w:line="240" w:lineRule="auto" w:before="37"/>
              <w:ind w:left="101" w:right="0"/>
              <w:jc w:val="left"/>
              <w:rPr>
                <w:rFonts w:ascii="宋体" w:hAnsi="宋体" w:cs="宋体" w:eastAsia="宋体" w:hint="default"/>
                <w:sz w:val="21"/>
                <w:szCs w:val="21"/>
              </w:rPr>
            </w:pPr>
            <w:r>
              <w:rPr>
                <w:rFonts w:ascii="宋体" w:hAnsi="宋体" w:cs="宋体" w:eastAsia="宋体" w:hint="default"/>
                <w:sz w:val="21"/>
                <w:szCs w:val="21"/>
              </w:rPr>
              <w:t>理</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3"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藏田真吾</w:t>
            </w:r>
          </w:p>
        </w:tc>
        <w:tc>
          <w:tcPr>
            <w:tcW w:w="3197"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阿尔派株式会社</w:t>
            </w:r>
          </w:p>
        </w:tc>
        <w:tc>
          <w:tcPr>
            <w:tcW w:w="337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经营企画室法务课课长</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是</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7"/>
          <w:szCs w:val="27"/>
        </w:rPr>
      </w:pPr>
    </w:p>
    <w:p>
      <w:pPr>
        <w:pStyle w:val="BodyText"/>
        <w:spacing w:line="240" w:lineRule="auto"/>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0"/>
        <w:rPr>
          <w:rFonts w:ascii="黑体" w:hAnsi="黑体" w:cs="黑体" w:eastAsia="黑体" w:hint="default"/>
          <w:sz w:val="25"/>
          <w:szCs w:val="25"/>
        </w:rPr>
      </w:pPr>
    </w:p>
    <w:p>
      <w:pPr>
        <w:pStyle w:val="Heading5"/>
        <w:spacing w:line="240" w:lineRule="auto" w:before="26"/>
        <w:ind w:left="138" w:right="261"/>
        <w:jc w:val="left"/>
      </w:pPr>
      <w:r>
        <w:rPr/>
        <w:t>在除全资子公司、控股子公司、关联股东单位外的其他单位任职情况</w:t>
      </w:r>
    </w:p>
    <w:p>
      <w:pPr>
        <w:spacing w:line="240" w:lineRule="auto" w:before="10"/>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1009"/>
        <w:gridCol w:w="5244"/>
        <w:gridCol w:w="1700"/>
        <w:gridCol w:w="1134"/>
      </w:tblGrid>
      <w:tr>
        <w:trPr>
          <w:trHeight w:val="637" w:hRule="exact"/>
        </w:trPr>
        <w:tc>
          <w:tcPr>
            <w:tcW w:w="1009"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142"/>
              <w:ind w:right="287"/>
              <w:jc w:val="right"/>
              <w:rPr>
                <w:rFonts w:ascii="宋体" w:hAnsi="宋体" w:cs="宋体" w:eastAsia="宋体" w:hint="default"/>
                <w:sz w:val="21"/>
                <w:szCs w:val="21"/>
              </w:rPr>
            </w:pPr>
            <w:r>
              <w:rPr>
                <w:rFonts w:ascii="宋体" w:hAnsi="宋体" w:cs="宋体" w:eastAsia="宋体" w:hint="default"/>
                <w:sz w:val="21"/>
                <w:szCs w:val="21"/>
              </w:rPr>
              <w:t>姓名</w:t>
            </w:r>
          </w:p>
        </w:tc>
        <w:tc>
          <w:tcPr>
            <w:tcW w:w="5244"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公司名称</w:t>
            </w:r>
          </w:p>
        </w:tc>
        <w:tc>
          <w:tcPr>
            <w:tcW w:w="1700"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142"/>
              <w:ind w:left="316"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134" w:type="dxa"/>
            <w:tcBorders>
              <w:top w:val="single" w:sz="4" w:space="0" w:color="000000"/>
              <w:left w:val="single" w:sz="6" w:space="0" w:color="000000"/>
              <w:bottom w:val="single" w:sz="6" w:space="0" w:color="000000"/>
              <w:right w:val="single" w:sz="4" w:space="0" w:color="000000"/>
            </w:tcBorders>
          </w:tcPr>
          <w:p>
            <w:pPr>
              <w:pStyle w:val="TableParagraph"/>
              <w:spacing w:line="261" w:lineRule="exact"/>
              <w:ind w:left="139" w:right="0"/>
              <w:jc w:val="left"/>
              <w:rPr>
                <w:rFonts w:ascii="宋体" w:hAnsi="宋体" w:cs="宋体" w:eastAsia="宋体" w:hint="default"/>
                <w:sz w:val="21"/>
                <w:szCs w:val="21"/>
              </w:rPr>
            </w:pPr>
            <w:r>
              <w:rPr>
                <w:rFonts w:ascii="宋体" w:hAnsi="宋体" w:cs="宋体" w:eastAsia="宋体" w:hint="default"/>
                <w:sz w:val="21"/>
                <w:szCs w:val="21"/>
              </w:rPr>
              <w:t>是否领取</w:t>
            </w:r>
          </w:p>
          <w:p>
            <w:pPr>
              <w:pStyle w:val="TableParagraph"/>
              <w:spacing w:line="240" w:lineRule="auto" w:before="37"/>
              <w:ind w:left="139" w:right="0"/>
              <w:jc w:val="left"/>
              <w:rPr>
                <w:rFonts w:ascii="宋体" w:hAnsi="宋体" w:cs="宋体" w:eastAsia="宋体" w:hint="default"/>
                <w:sz w:val="21"/>
                <w:szCs w:val="21"/>
              </w:rPr>
            </w:pPr>
            <w:r>
              <w:rPr>
                <w:rFonts w:ascii="宋体" w:hAnsi="宋体" w:cs="宋体" w:eastAsia="宋体" w:hint="default"/>
                <w:sz w:val="21"/>
                <w:szCs w:val="21"/>
              </w:rPr>
              <w:t>报酬津贴</w:t>
            </w:r>
          </w:p>
        </w:tc>
      </w:tr>
      <w:tr>
        <w:trPr>
          <w:trHeight w:val="326" w:hRule="exact"/>
        </w:trPr>
        <w:tc>
          <w:tcPr>
            <w:tcW w:w="1009" w:type="dxa"/>
            <w:vMerge w:val="restart"/>
            <w:tcBorders>
              <w:top w:val="single" w:sz="6" w:space="0" w:color="000000"/>
              <w:left w:val="single" w:sz="4"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刘积仁</w:t>
            </w: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东软飞利浦医疗设备系统有限责任公司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009" w:type="dxa"/>
            <w:vMerge/>
            <w:tcBorders>
              <w:left w:val="single" w:sz="4"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诺基亚西门子东软通信技术有限公司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009" w:type="dxa"/>
            <w:vMerge/>
            <w:tcBorders>
              <w:left w:val="single" w:sz="4"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东众通信技术有限公司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009" w:type="dxa"/>
            <w:vMerge/>
            <w:tcBorders>
              <w:left w:val="single" w:sz="4"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重庆国奥百年熙康健康管理有限公司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009" w:type="dxa"/>
            <w:vMerge/>
            <w:tcBorders>
              <w:left w:val="single" w:sz="4"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辽宁盛京熙康健康管理有限公司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009" w:type="dxa"/>
            <w:vMerge/>
            <w:tcBorders>
              <w:left w:val="single" w:sz="4"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大连东软信息服务有限公司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009" w:type="dxa"/>
            <w:vMerge/>
            <w:tcBorders>
              <w:left w:val="single" w:sz="4"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大连康睿道投资有限公司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009" w:type="dxa"/>
            <w:vMerge/>
            <w:tcBorders>
              <w:left w:val="single" w:sz="4"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大连东软控股有限公司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009" w:type="dxa"/>
            <w:vMerge/>
            <w:tcBorders>
              <w:left w:val="single" w:sz="4"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天津东软睿道教育信息技术有限公司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009" w:type="dxa"/>
            <w:vMerge/>
            <w:tcBorders>
              <w:left w:val="single" w:sz="4"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大连东软信息学院</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009" w:type="dxa"/>
            <w:vMerge/>
            <w:tcBorders>
              <w:left w:val="single" w:sz="4"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大连东软信息技术职业学院</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009" w:type="dxa"/>
            <w:vMerge/>
            <w:tcBorders>
              <w:left w:val="single" w:sz="4"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成都东软学院</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009" w:type="dxa"/>
            <w:vMerge/>
            <w:tcBorders>
              <w:left w:val="single" w:sz="4"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南海东软信息技术职业学院</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009" w:type="dxa"/>
            <w:vMerge/>
            <w:tcBorders>
              <w:left w:val="single" w:sz="4" w:space="0" w:color="000000"/>
              <w:bottom w:val="single" w:sz="6"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99" w:right="0"/>
              <w:jc w:val="left"/>
              <w:rPr>
                <w:rFonts w:ascii="Times New Roman" w:hAnsi="Times New Roman" w:cs="Times New Roman" w:eastAsia="Times New Roman" w:hint="default"/>
                <w:sz w:val="21"/>
                <w:szCs w:val="21"/>
              </w:rPr>
            </w:pPr>
            <w:r>
              <w:rPr>
                <w:rFonts w:ascii="Times New Roman"/>
                <w:sz w:val="21"/>
              </w:rPr>
              <w:t>Harman International Industries,</w:t>
            </w:r>
            <w:r>
              <w:rPr>
                <w:rFonts w:ascii="Times New Roman"/>
                <w:spacing w:val="-10"/>
                <w:sz w:val="21"/>
              </w:rPr>
              <w:t> </w:t>
            </w:r>
            <w:r>
              <w:rPr>
                <w:rFonts w:ascii="Times New Roman"/>
                <w:sz w:val="21"/>
              </w:rPr>
              <w:t>Incorporated</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6" w:hRule="exact"/>
        </w:trPr>
        <w:tc>
          <w:tcPr>
            <w:tcW w:w="1009" w:type="dxa"/>
            <w:vMerge w:val="restart"/>
            <w:tcBorders>
              <w:top w:val="single" w:sz="6" w:space="0" w:color="000000"/>
              <w:left w:val="single" w:sz="4"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8"/>
                <w:szCs w:val="2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王勇峰</w:t>
            </w: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诺基亚西门子东软通信技术有限公司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009" w:type="dxa"/>
            <w:vMerge/>
            <w:tcBorders>
              <w:left w:val="single" w:sz="4"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辽宁盛京熙康健康管理有限公司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009" w:type="dxa"/>
            <w:vMerge/>
            <w:tcBorders>
              <w:left w:val="single" w:sz="4"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沈阳凯塔数据科技有限公司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009" w:type="dxa"/>
            <w:vMerge/>
            <w:tcBorders>
              <w:left w:val="single" w:sz="4"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大连康睿道投资有限公司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009" w:type="dxa"/>
            <w:vMerge/>
            <w:tcBorders>
              <w:left w:val="single" w:sz="4" w:space="0" w:color="000000"/>
              <w:bottom w:val="single" w:sz="6"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大连东软控股有限公司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009" w:type="dxa"/>
            <w:vMerge w:val="restart"/>
            <w:tcBorders>
              <w:top w:val="single" w:sz="6" w:space="0" w:color="000000"/>
              <w:left w:val="single" w:sz="4" w:space="0" w:color="000000"/>
              <w:right w:val="single" w:sz="6" w:space="0" w:color="000000"/>
            </w:tcBorders>
          </w:tcPr>
          <w:p>
            <w:pPr>
              <w:pStyle w:val="TableParagraph"/>
              <w:spacing w:line="240" w:lineRule="auto" w:before="149"/>
              <w:ind w:left="103" w:right="0"/>
              <w:jc w:val="left"/>
              <w:rPr>
                <w:rFonts w:ascii="宋体" w:hAnsi="宋体" w:cs="宋体" w:eastAsia="宋体" w:hint="default"/>
                <w:sz w:val="21"/>
                <w:szCs w:val="21"/>
              </w:rPr>
            </w:pPr>
            <w:r>
              <w:rPr>
                <w:rFonts w:ascii="宋体" w:hAnsi="宋体" w:cs="宋体" w:eastAsia="宋体" w:hint="default"/>
                <w:sz w:val="21"/>
                <w:szCs w:val="21"/>
              </w:rPr>
              <w:t>王莉</w:t>
            </w: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重庆国奥百年熙康健康管理有限公司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009" w:type="dxa"/>
            <w:vMerge/>
            <w:tcBorders>
              <w:left w:val="single" w:sz="4" w:space="0" w:color="000000"/>
              <w:bottom w:val="single" w:sz="6"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大连康睿道投资有限公司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952" w:hRule="exact"/>
        </w:trPr>
        <w:tc>
          <w:tcPr>
            <w:tcW w:w="1009" w:type="dxa"/>
            <w:tcBorders>
              <w:top w:val="single" w:sz="6" w:space="0" w:color="000000"/>
              <w:left w:val="single" w:sz="4" w:space="0" w:color="000000"/>
              <w:bottom w:val="single" w:sz="6" w:space="0" w:color="000000"/>
              <w:right w:val="single" w:sz="6" w:space="0" w:color="000000"/>
            </w:tcBorders>
          </w:tcPr>
          <w:p>
            <w:pPr>
              <w:pStyle w:val="TableParagraph"/>
              <w:spacing w:line="309" w:lineRule="auto" w:before="35"/>
              <w:ind w:left="103" w:right="203"/>
              <w:jc w:val="left"/>
              <w:rPr>
                <w:rFonts w:ascii="Times New Roman" w:hAnsi="Times New Roman" w:cs="Times New Roman" w:eastAsia="Times New Roman" w:hint="default"/>
                <w:sz w:val="21"/>
                <w:szCs w:val="21"/>
              </w:rPr>
            </w:pPr>
            <w:r>
              <w:rPr>
                <w:rFonts w:ascii="Times New Roman"/>
                <w:sz w:val="21"/>
              </w:rPr>
              <w:t>Klaus</w:t>
            </w:r>
            <w:r>
              <w:rPr>
                <w:rFonts w:ascii="Times New Roman"/>
                <w:w w:val="99"/>
                <w:sz w:val="21"/>
              </w:rPr>
              <w:t> </w:t>
            </w:r>
            <w:r>
              <w:rPr>
                <w:rFonts w:ascii="Times New Roman"/>
                <w:sz w:val="21"/>
              </w:rPr>
              <w:t>Michael</w:t>
            </w:r>
            <w:r>
              <w:rPr>
                <w:rFonts w:ascii="Times New Roman"/>
                <w:sz w:val="21"/>
              </w:rPr>
              <w:t> Zimmer</w:t>
            </w: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99"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Aerotel Medical</w:t>
            </w:r>
            <w:r>
              <w:rPr>
                <w:rFonts w:ascii="Times New Roman" w:hAnsi="Times New Roman" w:cs="Times New Roman" w:eastAsia="Times New Roman" w:hint="default"/>
                <w:spacing w:val="-13"/>
                <w:sz w:val="21"/>
                <w:szCs w:val="21"/>
              </w:rPr>
              <w:t> </w:t>
            </w:r>
            <w:r>
              <w:rPr>
                <w:rFonts w:ascii="Times New Roman" w:hAnsi="Times New Roman" w:cs="Times New Roman" w:eastAsia="Times New Roman" w:hint="default"/>
                <w:sz w:val="21"/>
                <w:szCs w:val="21"/>
              </w:rPr>
              <w:t>Systems</w:t>
            </w:r>
            <w:r>
              <w:rPr>
                <w:rFonts w:ascii="华文细黑" w:hAnsi="华文细黑" w:cs="华文细黑" w:eastAsia="华文细黑" w:hint="default"/>
                <w:sz w:val="21"/>
                <w:szCs w:val="21"/>
              </w:rPr>
              <w:t>（</w:t>
            </w:r>
            <w:r>
              <w:rPr>
                <w:rFonts w:ascii="Times New Roman" w:hAnsi="Times New Roman" w:cs="Times New Roman" w:eastAsia="Times New Roman" w:hint="default"/>
                <w:sz w:val="21"/>
                <w:szCs w:val="21"/>
              </w:rPr>
              <w:t>1998</w:t>
            </w:r>
            <w:r>
              <w:rPr>
                <w:rFonts w:ascii="华文细黑" w:hAnsi="华文细黑" w:cs="华文细黑" w:eastAsia="华文细黑" w:hint="default"/>
                <w:sz w:val="21"/>
                <w:szCs w:val="21"/>
              </w:rPr>
              <w:t>）</w:t>
            </w:r>
            <w:r>
              <w:rPr>
                <w:rFonts w:ascii="Times New Roman" w:hAnsi="Times New Roman" w:cs="Times New Roman" w:eastAsia="Times New Roman" w:hint="default"/>
                <w:sz w:val="21"/>
                <w:szCs w:val="21"/>
              </w:rPr>
              <w:t>Ltd.</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009" w:type="dxa"/>
            <w:vMerge w:val="restart"/>
            <w:tcBorders>
              <w:top w:val="single" w:sz="6" w:space="0" w:color="000000"/>
              <w:left w:val="single" w:sz="4" w:space="0" w:color="000000"/>
              <w:right w:val="single" w:sz="6" w:space="0" w:color="000000"/>
            </w:tcBorders>
          </w:tcPr>
          <w:p>
            <w:pPr>
              <w:pStyle w:val="TableParagraph"/>
              <w:spacing w:line="240" w:lineRule="auto" w:before="148"/>
              <w:ind w:left="103" w:right="0"/>
              <w:jc w:val="left"/>
              <w:rPr>
                <w:rFonts w:ascii="宋体" w:hAnsi="宋体" w:cs="宋体" w:eastAsia="宋体" w:hint="default"/>
                <w:sz w:val="21"/>
                <w:szCs w:val="21"/>
              </w:rPr>
            </w:pPr>
            <w:r>
              <w:rPr>
                <w:rFonts w:ascii="宋体" w:hAnsi="宋体" w:cs="宋体" w:eastAsia="宋体" w:hint="default"/>
                <w:sz w:val="21"/>
                <w:szCs w:val="21"/>
              </w:rPr>
              <w:t>方红星</w:t>
            </w: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东北财经大学会计学院</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院长</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8" w:hRule="exact"/>
        </w:trPr>
        <w:tc>
          <w:tcPr>
            <w:tcW w:w="1009" w:type="dxa"/>
            <w:vMerge/>
            <w:tcBorders>
              <w:left w:val="single" w:sz="4" w:space="0" w:color="000000"/>
              <w:bottom w:val="single" w:sz="6"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东北财经大学出版社有限责任公司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副董事长、社长</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6" w:hRule="exact"/>
        </w:trPr>
        <w:tc>
          <w:tcPr>
            <w:tcW w:w="1009" w:type="dxa"/>
            <w:vMerge w:val="restart"/>
            <w:tcBorders>
              <w:top w:val="single" w:sz="6" w:space="0" w:color="000000"/>
              <w:left w:val="single" w:sz="4" w:space="0" w:color="000000"/>
              <w:right w:val="single" w:sz="6" w:space="0" w:color="000000"/>
            </w:tcBorders>
          </w:tcPr>
          <w:p>
            <w:pPr>
              <w:pStyle w:val="TableParagraph"/>
              <w:spacing w:line="240" w:lineRule="auto" w:before="148"/>
              <w:ind w:left="103" w:right="0"/>
              <w:jc w:val="left"/>
              <w:rPr>
                <w:rFonts w:ascii="宋体" w:hAnsi="宋体" w:cs="宋体" w:eastAsia="宋体" w:hint="default"/>
                <w:sz w:val="21"/>
                <w:szCs w:val="21"/>
              </w:rPr>
            </w:pPr>
            <w:r>
              <w:rPr>
                <w:rFonts w:ascii="宋体" w:hAnsi="宋体" w:cs="宋体" w:eastAsia="宋体" w:hint="default"/>
                <w:sz w:val="21"/>
                <w:szCs w:val="21"/>
              </w:rPr>
              <w:t>薛澜</w:t>
            </w: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清华大学公共管理学院</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院长</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8" w:hRule="exact"/>
        </w:trPr>
        <w:tc>
          <w:tcPr>
            <w:tcW w:w="1009" w:type="dxa"/>
            <w:vMerge/>
            <w:tcBorders>
              <w:left w:val="single" w:sz="4" w:space="0" w:color="000000"/>
              <w:bottom w:val="single" w:sz="6"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清华大学中国科技政策研究中心</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主任</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6" w:hRule="exact"/>
        </w:trPr>
        <w:tc>
          <w:tcPr>
            <w:tcW w:w="1009" w:type="dxa"/>
            <w:vMerge w:val="restart"/>
            <w:tcBorders>
              <w:top w:val="single" w:sz="6" w:space="0" w:color="000000"/>
              <w:left w:val="single" w:sz="4" w:space="0" w:color="000000"/>
              <w:right w:val="single" w:sz="6" w:space="0" w:color="000000"/>
            </w:tcBorders>
          </w:tcPr>
          <w:p>
            <w:pPr>
              <w:pStyle w:val="TableParagraph"/>
              <w:spacing w:line="240" w:lineRule="auto" w:before="148"/>
              <w:ind w:left="103" w:right="0"/>
              <w:jc w:val="left"/>
              <w:rPr>
                <w:rFonts w:ascii="宋体" w:hAnsi="宋体" w:cs="宋体" w:eastAsia="宋体" w:hint="default"/>
                <w:sz w:val="21"/>
                <w:szCs w:val="21"/>
              </w:rPr>
            </w:pPr>
            <w:r>
              <w:rPr>
                <w:rFonts w:ascii="宋体" w:hAnsi="宋体" w:cs="宋体" w:eastAsia="宋体" w:hint="default"/>
                <w:sz w:val="21"/>
                <w:szCs w:val="21"/>
              </w:rPr>
              <w:t>高文</w:t>
            </w: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北京大学信息科学技术学院</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教授</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8" w:hRule="exact"/>
        </w:trPr>
        <w:tc>
          <w:tcPr>
            <w:tcW w:w="1009" w:type="dxa"/>
            <w:vMerge/>
            <w:tcBorders>
              <w:left w:val="single" w:sz="4" w:space="0" w:color="000000"/>
              <w:bottom w:val="single" w:sz="6" w:space="0" w:color="000000"/>
              <w:right w:val="single" w:sz="6" w:space="0" w:color="000000"/>
            </w:tcBorders>
          </w:tcPr>
          <w:p>
            <w:pP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数字视频编解码技术国家工程实验室</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主任</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6" w:hRule="exact"/>
        </w:trPr>
        <w:tc>
          <w:tcPr>
            <w:tcW w:w="1009" w:type="dxa"/>
            <w:tcBorders>
              <w:top w:val="single" w:sz="6" w:space="0" w:color="000000"/>
              <w:left w:val="single" w:sz="4" w:space="0" w:color="000000"/>
              <w:bottom w:val="single" w:sz="6" w:space="0" w:color="000000"/>
              <w:right w:val="single" w:sz="6" w:space="0" w:color="000000"/>
            </w:tcBorders>
          </w:tcPr>
          <w:p>
            <w:pPr>
              <w:pStyle w:val="TableParagraph"/>
              <w:spacing w:line="260" w:lineRule="exact"/>
              <w:ind w:right="263"/>
              <w:jc w:val="right"/>
              <w:rPr>
                <w:rFonts w:ascii="宋体" w:hAnsi="宋体" w:cs="宋体" w:eastAsia="宋体" w:hint="default"/>
                <w:sz w:val="21"/>
                <w:szCs w:val="21"/>
              </w:rPr>
            </w:pPr>
            <w:r>
              <w:rPr>
                <w:rFonts w:ascii="宋体" w:hAnsi="宋体" w:cs="宋体" w:eastAsia="宋体" w:hint="default"/>
                <w:sz w:val="21"/>
                <w:szCs w:val="21"/>
              </w:rPr>
              <w:t>涂赣峰</w:t>
            </w: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大连东软控股有限公司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009" w:type="dxa"/>
            <w:tcBorders>
              <w:top w:val="single" w:sz="6" w:space="0" w:color="000000"/>
              <w:left w:val="single" w:sz="4" w:space="0" w:color="000000"/>
              <w:bottom w:val="single" w:sz="6" w:space="0" w:color="000000"/>
              <w:right w:val="single" w:sz="6" w:space="0" w:color="000000"/>
            </w:tcBorders>
          </w:tcPr>
          <w:p>
            <w:pPr>
              <w:pStyle w:val="TableParagraph"/>
              <w:spacing w:line="261" w:lineRule="exact"/>
              <w:ind w:right="263"/>
              <w:jc w:val="right"/>
              <w:rPr>
                <w:rFonts w:ascii="宋体" w:hAnsi="宋体" w:cs="宋体" w:eastAsia="宋体" w:hint="default"/>
                <w:sz w:val="21"/>
                <w:szCs w:val="21"/>
              </w:rPr>
            </w:pPr>
            <w:r>
              <w:rPr>
                <w:rFonts w:ascii="宋体" w:hAnsi="宋体" w:cs="宋体" w:eastAsia="宋体" w:hint="default"/>
                <w:sz w:val="21"/>
                <w:szCs w:val="21"/>
              </w:rPr>
              <w:t>卢朝霞</w:t>
            </w: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重庆国奥百年熙康健康管理有限公司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009" w:type="dxa"/>
            <w:vMerge w:val="restart"/>
            <w:tcBorders>
              <w:top w:val="single" w:sz="6" w:space="0" w:color="000000"/>
              <w:left w:val="single" w:sz="4" w:space="0" w:color="000000"/>
              <w:right w:val="single" w:sz="6" w:space="0" w:color="000000"/>
            </w:tcBorders>
          </w:tcPr>
          <w:p>
            <w:pPr>
              <w:pStyle w:val="TableParagraph"/>
              <w:spacing w:line="240" w:lineRule="auto" w:before="148"/>
              <w:ind w:left="103" w:right="0"/>
              <w:jc w:val="left"/>
              <w:rPr>
                <w:rFonts w:ascii="宋体" w:hAnsi="宋体" w:cs="宋体" w:eastAsia="宋体" w:hint="default"/>
                <w:sz w:val="21"/>
                <w:szCs w:val="21"/>
              </w:rPr>
            </w:pPr>
            <w:r>
              <w:rPr>
                <w:rFonts w:ascii="宋体" w:hAnsi="宋体" w:cs="宋体" w:eastAsia="宋体" w:hint="default"/>
                <w:sz w:val="21"/>
                <w:szCs w:val="21"/>
              </w:rPr>
              <w:t>李军</w:t>
            </w:r>
          </w:p>
        </w:tc>
        <w:tc>
          <w:tcPr>
            <w:tcW w:w="524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沈阳东芝东软信息系统有限公司</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6" w:space="0" w:color="000000"/>
              <w:left w:val="single" w:sz="6" w:space="0" w:color="000000"/>
              <w:bottom w:val="single" w:sz="6"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5" w:hRule="exact"/>
        </w:trPr>
        <w:tc>
          <w:tcPr>
            <w:tcW w:w="1009" w:type="dxa"/>
            <w:vMerge/>
            <w:tcBorders>
              <w:left w:val="single" w:sz="4" w:space="0" w:color="000000"/>
              <w:bottom w:val="single" w:sz="4" w:space="0" w:color="000000"/>
              <w:right w:val="single" w:sz="6" w:space="0" w:color="000000"/>
            </w:tcBorders>
          </w:tcPr>
          <w:p>
            <w:pPr/>
          </w:p>
        </w:tc>
        <w:tc>
          <w:tcPr>
            <w:tcW w:w="5244" w:type="dxa"/>
            <w:tcBorders>
              <w:top w:val="single" w:sz="6" w:space="0" w:color="000000"/>
              <w:left w:val="single" w:sz="6" w:space="0" w:color="000000"/>
              <w:bottom w:val="single" w:sz="4"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日电东软信息技术有限公司</w:t>
            </w:r>
          </w:p>
        </w:tc>
        <w:tc>
          <w:tcPr>
            <w:tcW w:w="1700" w:type="dxa"/>
            <w:tcBorders>
              <w:top w:val="single" w:sz="6" w:space="0" w:color="000000"/>
              <w:left w:val="single" w:sz="6" w:space="0" w:color="000000"/>
              <w:bottom w:val="single" w:sz="4"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34" w:type="dxa"/>
            <w:tcBorders>
              <w:top w:val="single" w:sz="6" w:space="0" w:color="000000"/>
              <w:left w:val="single" w:sz="6"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p>
      <w:pPr>
        <w:pStyle w:val="BodyText"/>
        <w:spacing w:line="240" w:lineRule="auto"/>
        <w:ind w:left="138" w:right="261"/>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280" w:right="1300"/>
        </w:sectPr>
      </w:pPr>
    </w:p>
    <w:p>
      <w:pPr>
        <w:spacing w:line="240" w:lineRule="auto" w:before="11"/>
        <w:rPr>
          <w:rFonts w:ascii="黑体" w:hAnsi="黑体" w:cs="黑体" w:eastAsia="黑体" w:hint="default"/>
          <w:sz w:val="29"/>
          <w:szCs w:val="29"/>
        </w:rPr>
      </w:pPr>
    </w:p>
    <w:p>
      <w:pPr>
        <w:pStyle w:val="Heading4"/>
        <w:spacing w:line="240" w:lineRule="auto"/>
        <w:ind w:right="0"/>
        <w:jc w:val="both"/>
        <w:rPr>
          <w:b w:val="0"/>
          <w:bCs w:val="0"/>
        </w:rPr>
      </w:pPr>
      <w:r>
        <w:rPr/>
        <w:t>（三）董事、监事、高级管理人员报酬情况</w:t>
      </w:r>
      <w:r>
        <w:rPr>
          <w:b w:val="0"/>
          <w:bCs w:val="0"/>
        </w:rPr>
      </w:r>
    </w:p>
    <w:p>
      <w:pPr>
        <w:pStyle w:val="Heading5"/>
        <w:spacing w:line="312" w:lineRule="exact" w:before="151"/>
        <w:ind w:right="149"/>
        <w:jc w:val="both"/>
      </w:pPr>
      <w:r>
        <w:rPr/>
        <w:t>1、董事、监事、高级管理人员报酬的决策程序：在公司担任行政职务的董事、监事、</w:t>
      </w:r>
      <w:r>
        <w:rPr>
          <w:spacing w:val="-49"/>
        </w:rPr>
        <w:t> </w:t>
      </w:r>
      <w:r>
        <w:rPr>
          <w:spacing w:val="-49"/>
        </w:rPr>
      </w:r>
      <w:r>
        <w:rPr>
          <w:spacing w:val="-2"/>
        </w:rPr>
        <w:t>高级管理人员的报酬由公司支付。不在公司担任行政职务的董事、监事，公司不支付报</w:t>
      </w:r>
      <w:r>
        <w:rPr>
          <w:spacing w:val="-95"/>
        </w:rPr>
        <w:t> </w:t>
      </w:r>
      <w:r>
        <w:rPr>
          <w:spacing w:val="-95"/>
        </w:rPr>
      </w:r>
      <w:r>
        <w:rPr/>
        <w:t>酬，由其所在单位支付。自</w:t>
      </w:r>
      <w:r>
        <w:rPr>
          <w:spacing w:val="-42"/>
        </w:rPr>
        <w:t> </w:t>
      </w:r>
      <w:r>
        <w:rPr/>
        <w:t>2010</w:t>
      </w:r>
      <w:r>
        <w:rPr>
          <w:spacing w:val="-44"/>
        </w:rPr>
        <w:t> </w:t>
      </w:r>
      <w:r>
        <w:rPr/>
        <w:t>年度起，根据股东大会决议，公司以每人每年</w:t>
      </w:r>
      <w:r>
        <w:rPr>
          <w:spacing w:val="-42"/>
        </w:rPr>
        <w:t> </w:t>
      </w:r>
      <w:r>
        <w:rPr/>
        <w:t>8</w:t>
      </w:r>
      <w:r>
        <w:rPr>
          <w:spacing w:val="-42"/>
        </w:rPr>
        <w:t> </w:t>
      </w:r>
      <w:r>
        <w:rPr/>
        <w:t>万元</w:t>
      </w:r>
    </w:p>
    <w:p>
      <w:pPr>
        <w:spacing w:line="283" w:lineRule="exact" w:before="0"/>
        <w:ind w:left="118" w:right="0" w:firstLine="0"/>
        <w:jc w:val="both"/>
        <w:rPr>
          <w:rFonts w:ascii="宋体" w:hAnsi="宋体" w:cs="宋体" w:eastAsia="宋体" w:hint="default"/>
          <w:sz w:val="24"/>
          <w:szCs w:val="24"/>
        </w:rPr>
      </w:pPr>
      <w:r>
        <w:rPr>
          <w:rFonts w:ascii="宋体" w:hAnsi="宋体" w:cs="宋体" w:eastAsia="宋体" w:hint="default"/>
          <w:sz w:val="24"/>
          <w:szCs w:val="24"/>
        </w:rPr>
        <w:t>（税前）的标准向独立董事支付津贴，其参加会议的费用据实报销。</w:t>
      </w:r>
    </w:p>
    <w:p>
      <w:pPr>
        <w:spacing w:line="312" w:lineRule="exact" w:before="153"/>
        <w:ind w:left="118" w:right="149" w:firstLine="0"/>
        <w:jc w:val="both"/>
        <w:rPr>
          <w:rFonts w:ascii="宋体" w:hAnsi="宋体" w:cs="宋体" w:eastAsia="宋体" w:hint="default"/>
          <w:sz w:val="24"/>
          <w:szCs w:val="24"/>
        </w:rPr>
      </w:pPr>
      <w:r>
        <w:rPr>
          <w:rFonts w:ascii="宋体" w:hAnsi="宋体" w:cs="宋体" w:eastAsia="宋体" w:hint="default"/>
          <w:sz w:val="24"/>
          <w:szCs w:val="24"/>
        </w:rPr>
        <w:t>2、董事、监事、高级管理人员报酬确定依据：在公司担任行政职务的董事、监事、高</w:t>
      </w:r>
      <w:r>
        <w:rPr>
          <w:rFonts w:ascii="宋体" w:hAnsi="宋体" w:cs="宋体" w:eastAsia="宋体" w:hint="default"/>
          <w:spacing w:val="-49"/>
          <w:sz w:val="24"/>
          <w:szCs w:val="24"/>
        </w:rPr>
        <w:t> </w:t>
      </w:r>
      <w:r>
        <w:rPr>
          <w:rFonts w:ascii="宋体" w:hAnsi="宋体" w:cs="宋体" w:eastAsia="宋体" w:hint="default"/>
          <w:spacing w:val="-49"/>
          <w:sz w:val="24"/>
          <w:szCs w:val="24"/>
        </w:rPr>
      </w:r>
      <w:r>
        <w:rPr>
          <w:rFonts w:ascii="宋体" w:hAnsi="宋体" w:cs="宋体" w:eastAsia="宋体" w:hint="default"/>
          <w:spacing w:val="-2"/>
          <w:sz w:val="24"/>
          <w:szCs w:val="24"/>
        </w:rPr>
        <w:t>级管理人员的报酬依据公司的整体薪酬政策和工资标准，结合公司的实际经营情况，参</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考同业标准，经董事会薪酬与考核委员会审核后，由公司董事会审议确定。</w:t>
      </w:r>
    </w:p>
    <w:p>
      <w:pPr>
        <w:spacing w:line="310" w:lineRule="exact" w:before="126"/>
        <w:ind w:left="118" w:right="149" w:firstLine="0"/>
        <w:jc w:val="both"/>
        <w:rPr>
          <w:rFonts w:ascii="宋体" w:hAnsi="宋体" w:cs="宋体" w:eastAsia="宋体" w:hint="default"/>
          <w:sz w:val="24"/>
          <w:szCs w:val="24"/>
        </w:rPr>
      </w:pPr>
      <w:r>
        <w:rPr>
          <w:rFonts w:ascii="宋体" w:hAnsi="宋体" w:cs="宋体" w:eastAsia="宋体" w:hint="default"/>
          <w:sz w:val="24"/>
          <w:szCs w:val="24"/>
        </w:rPr>
        <w:t>3、董事、监事和高级管理人员报酬的实际支付情况：在公司担任行政职务的董事、监</w:t>
      </w:r>
      <w:r>
        <w:rPr>
          <w:rFonts w:ascii="宋体" w:hAnsi="宋体" w:cs="宋体" w:eastAsia="宋体" w:hint="default"/>
          <w:spacing w:val="-49"/>
          <w:sz w:val="24"/>
          <w:szCs w:val="24"/>
        </w:rPr>
        <w:t> </w:t>
      </w:r>
      <w:r>
        <w:rPr>
          <w:rFonts w:ascii="宋体" w:hAnsi="宋体" w:cs="宋体" w:eastAsia="宋体" w:hint="default"/>
          <w:spacing w:val="-49"/>
          <w:sz w:val="24"/>
          <w:szCs w:val="24"/>
        </w:rPr>
      </w:r>
      <w:r>
        <w:rPr>
          <w:rFonts w:ascii="宋体" w:hAnsi="宋体" w:cs="宋体" w:eastAsia="宋体" w:hint="default"/>
          <w:sz w:val="24"/>
          <w:szCs w:val="24"/>
        </w:rPr>
        <w:t>事、高级管理人员的报酬，以及独立董事的津贴均已由公司支付完毕。</w:t>
      </w:r>
    </w:p>
    <w:p>
      <w:pPr>
        <w:spacing w:before="158"/>
        <w:ind w:left="118" w:right="0" w:firstLine="0"/>
        <w:jc w:val="both"/>
        <w:rPr>
          <w:rFonts w:ascii="宋体" w:hAnsi="宋体" w:cs="宋体" w:eastAsia="宋体" w:hint="default"/>
          <w:sz w:val="24"/>
          <w:szCs w:val="24"/>
        </w:rPr>
      </w:pPr>
      <w:r>
        <w:rPr>
          <w:rFonts w:ascii="宋体" w:hAnsi="宋体" w:cs="宋体" w:eastAsia="宋体" w:hint="default"/>
          <w:b/>
          <w:bCs/>
          <w:sz w:val="24"/>
          <w:szCs w:val="24"/>
        </w:rPr>
        <w:t>（四）公司董事、监事、高级管理人员变动情况</w:t>
      </w:r>
      <w:r>
        <w:rPr>
          <w:rFonts w:ascii="宋体" w:hAnsi="宋体" w:cs="宋体" w:eastAsia="宋体" w:hint="default"/>
          <w:sz w:val="24"/>
          <w:szCs w:val="24"/>
        </w:rPr>
      </w:r>
    </w:p>
    <w:p>
      <w:pPr>
        <w:spacing w:line="312" w:lineRule="exact" w:before="151"/>
        <w:ind w:left="118" w:right="152" w:firstLine="480"/>
        <w:jc w:val="both"/>
        <w:rPr>
          <w:rFonts w:ascii="宋体" w:hAnsi="宋体" w:cs="宋体" w:eastAsia="宋体" w:hint="default"/>
          <w:sz w:val="24"/>
          <w:szCs w:val="24"/>
        </w:rPr>
      </w:pPr>
      <w:r>
        <w:rPr>
          <w:rFonts w:ascii="宋体" w:hAnsi="宋体" w:cs="宋体" w:eastAsia="宋体" w:hint="default"/>
          <w:sz w:val="24"/>
          <w:szCs w:val="24"/>
        </w:rPr>
        <w:t>于</w:t>
      </w:r>
      <w:r>
        <w:rPr>
          <w:rFonts w:ascii="宋体" w:hAnsi="宋体" w:cs="宋体" w:eastAsia="宋体" w:hint="default"/>
          <w:spacing w:val="-52"/>
          <w:sz w:val="24"/>
          <w:szCs w:val="24"/>
        </w:rPr>
        <w:t> </w:t>
      </w:r>
      <w:r>
        <w:rPr>
          <w:rFonts w:ascii="宋体" w:hAnsi="宋体" w:cs="宋体" w:eastAsia="宋体" w:hint="default"/>
          <w:sz w:val="24"/>
          <w:szCs w:val="24"/>
        </w:rPr>
        <w:t>2011</w:t>
      </w:r>
      <w:r>
        <w:rPr>
          <w:rFonts w:ascii="宋体" w:hAnsi="宋体" w:cs="宋体" w:eastAsia="宋体" w:hint="default"/>
          <w:spacing w:val="-52"/>
          <w:sz w:val="24"/>
          <w:szCs w:val="24"/>
        </w:rPr>
        <w:t> </w:t>
      </w:r>
      <w:r>
        <w:rPr>
          <w:rFonts w:ascii="宋体" w:hAnsi="宋体" w:cs="宋体" w:eastAsia="宋体" w:hint="default"/>
          <w:sz w:val="24"/>
          <w:szCs w:val="24"/>
        </w:rPr>
        <w:t>年</w:t>
      </w:r>
      <w:r>
        <w:rPr>
          <w:rFonts w:ascii="宋体" w:hAnsi="宋体" w:cs="宋体" w:eastAsia="宋体" w:hint="default"/>
          <w:spacing w:val="-51"/>
          <w:sz w:val="24"/>
          <w:szCs w:val="24"/>
        </w:rPr>
        <w:t> </w:t>
      </w:r>
      <w:r>
        <w:rPr>
          <w:rFonts w:ascii="宋体" w:hAnsi="宋体" w:cs="宋体" w:eastAsia="宋体" w:hint="default"/>
          <w:sz w:val="24"/>
          <w:szCs w:val="24"/>
        </w:rPr>
        <w:t>5</w:t>
      </w:r>
      <w:r>
        <w:rPr>
          <w:rFonts w:ascii="宋体" w:hAnsi="宋体" w:cs="宋体" w:eastAsia="宋体" w:hint="default"/>
          <w:spacing w:val="-52"/>
          <w:sz w:val="24"/>
          <w:szCs w:val="24"/>
        </w:rPr>
        <w:t> </w:t>
      </w:r>
      <w:r>
        <w:rPr>
          <w:rFonts w:ascii="宋体" w:hAnsi="宋体" w:cs="宋体" w:eastAsia="宋体" w:hint="default"/>
          <w:sz w:val="24"/>
          <w:szCs w:val="24"/>
        </w:rPr>
        <w:t>月</w:t>
      </w:r>
      <w:r>
        <w:rPr>
          <w:rFonts w:ascii="宋体" w:hAnsi="宋体" w:cs="宋体" w:eastAsia="宋体" w:hint="default"/>
          <w:spacing w:val="-52"/>
          <w:sz w:val="24"/>
          <w:szCs w:val="24"/>
        </w:rPr>
        <w:t> </w:t>
      </w:r>
      <w:r>
        <w:rPr>
          <w:rFonts w:ascii="宋体" w:hAnsi="宋体" w:cs="宋体" w:eastAsia="宋体" w:hint="default"/>
          <w:sz w:val="24"/>
          <w:szCs w:val="24"/>
        </w:rPr>
        <w:t>25</w:t>
      </w:r>
      <w:r>
        <w:rPr>
          <w:rFonts w:ascii="宋体" w:hAnsi="宋体" w:cs="宋体" w:eastAsia="宋体" w:hint="default"/>
          <w:spacing w:val="-52"/>
          <w:sz w:val="24"/>
          <w:szCs w:val="24"/>
        </w:rPr>
        <w:t> </w:t>
      </w:r>
      <w:r>
        <w:rPr>
          <w:rFonts w:ascii="宋体" w:hAnsi="宋体" w:cs="宋体" w:eastAsia="宋体" w:hint="default"/>
          <w:sz w:val="24"/>
          <w:szCs w:val="24"/>
        </w:rPr>
        <w:t>日召开的公司</w:t>
      </w:r>
      <w:r>
        <w:rPr>
          <w:rFonts w:ascii="宋体" w:hAnsi="宋体" w:cs="宋体" w:eastAsia="宋体" w:hint="default"/>
          <w:spacing w:val="-52"/>
          <w:sz w:val="24"/>
          <w:szCs w:val="24"/>
        </w:rPr>
        <w:t> </w:t>
      </w:r>
      <w:r>
        <w:rPr>
          <w:rFonts w:ascii="宋体" w:hAnsi="宋体" w:cs="宋体" w:eastAsia="宋体" w:hint="default"/>
          <w:sz w:val="24"/>
          <w:szCs w:val="24"/>
        </w:rPr>
        <w:t>2010</w:t>
      </w:r>
      <w:r>
        <w:rPr>
          <w:rFonts w:ascii="宋体" w:hAnsi="宋体" w:cs="宋体" w:eastAsia="宋体" w:hint="default"/>
          <w:spacing w:val="-52"/>
          <w:sz w:val="24"/>
          <w:szCs w:val="24"/>
        </w:rPr>
        <w:t> </w:t>
      </w:r>
      <w:r>
        <w:rPr>
          <w:rFonts w:ascii="宋体" w:hAnsi="宋体" w:cs="宋体" w:eastAsia="宋体" w:hint="default"/>
          <w:sz w:val="24"/>
          <w:szCs w:val="24"/>
        </w:rPr>
        <w:t>年度股东大会选举刘积仁、王勇峰、王莉、</w:t>
      </w:r>
      <w:r>
        <w:rPr>
          <w:rFonts w:ascii="宋体" w:hAnsi="宋体" w:cs="宋体" w:eastAsia="宋体" w:hint="default"/>
          <w:sz w:val="24"/>
          <w:szCs w:val="24"/>
        </w:rPr>
        <w:t> 石黑征三、</w:t>
      </w:r>
      <w:r>
        <w:rPr>
          <w:rFonts w:ascii="Times New Roman" w:hAnsi="Times New Roman" w:cs="Times New Roman" w:eastAsia="Times New Roman" w:hint="default"/>
          <w:sz w:val="24"/>
          <w:szCs w:val="24"/>
        </w:rPr>
        <w:t>Klaus Michael</w:t>
      </w:r>
      <w:r>
        <w:rPr>
          <w:rFonts w:ascii="Times New Roman" w:hAnsi="Times New Roman" w:cs="Times New Roman" w:eastAsia="Times New Roman" w:hint="default"/>
          <w:spacing w:val="46"/>
          <w:sz w:val="24"/>
          <w:szCs w:val="24"/>
        </w:rPr>
        <w:t> </w:t>
      </w:r>
      <w:r>
        <w:rPr>
          <w:rFonts w:ascii="Times New Roman" w:hAnsi="Times New Roman" w:cs="Times New Roman" w:eastAsia="Times New Roman" w:hint="default"/>
          <w:sz w:val="24"/>
          <w:szCs w:val="24"/>
        </w:rPr>
        <w:t>Zimmer</w:t>
      </w:r>
      <w:r>
        <w:rPr>
          <w:rFonts w:ascii="宋体" w:hAnsi="宋体" w:cs="宋体" w:eastAsia="宋体" w:hint="default"/>
          <w:sz w:val="24"/>
          <w:szCs w:val="24"/>
        </w:rPr>
        <w:t>、笠野章为本公司第六届董事会非独立董事；选举方 </w:t>
      </w:r>
      <w:r>
        <w:rPr>
          <w:rFonts w:ascii="宋体" w:hAnsi="宋体" w:cs="宋体" w:eastAsia="宋体" w:hint="default"/>
          <w:spacing w:val="-3"/>
          <w:sz w:val="24"/>
          <w:szCs w:val="24"/>
        </w:rPr>
        <w:t>红星、薛澜、高文为公司第六届董事会独立董事；选举涂赣峰、胡爱民、藏田真吾为公</w:t>
      </w:r>
      <w:r>
        <w:rPr>
          <w:rFonts w:ascii="宋体" w:hAnsi="宋体" w:cs="宋体" w:eastAsia="宋体" w:hint="default"/>
          <w:spacing w:val="-89"/>
          <w:sz w:val="24"/>
          <w:szCs w:val="24"/>
        </w:rPr>
        <w:t> </w:t>
      </w:r>
      <w:r>
        <w:rPr>
          <w:rFonts w:ascii="宋体" w:hAnsi="宋体" w:cs="宋体" w:eastAsia="宋体" w:hint="default"/>
          <w:spacing w:val="-89"/>
          <w:sz w:val="24"/>
          <w:szCs w:val="24"/>
        </w:rPr>
      </w:r>
      <w:r>
        <w:rPr>
          <w:rFonts w:ascii="宋体" w:hAnsi="宋体" w:cs="宋体" w:eastAsia="宋体" w:hint="default"/>
          <w:spacing w:val="-2"/>
          <w:sz w:val="24"/>
          <w:szCs w:val="24"/>
        </w:rPr>
        <w:t>司第六届监事会监事，葛圣六、马超作为职工代表出任的监事直接进入监事会。以上人</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员任期为三年。</w:t>
      </w:r>
    </w:p>
    <w:p>
      <w:pPr>
        <w:spacing w:line="312" w:lineRule="exact" w:before="0"/>
        <w:ind w:left="118" w:right="105" w:firstLine="480"/>
        <w:jc w:val="both"/>
        <w:rPr>
          <w:rFonts w:ascii="宋体" w:hAnsi="宋体" w:cs="宋体" w:eastAsia="宋体" w:hint="default"/>
          <w:sz w:val="24"/>
          <w:szCs w:val="24"/>
        </w:rPr>
      </w:pPr>
      <w:r>
        <w:rPr>
          <w:rFonts w:ascii="宋体" w:hAnsi="宋体" w:cs="宋体" w:eastAsia="宋体" w:hint="default"/>
          <w:sz w:val="24"/>
          <w:szCs w:val="24"/>
        </w:rPr>
        <w:t>于</w:t>
      </w:r>
      <w:r>
        <w:rPr>
          <w:rFonts w:ascii="宋体" w:hAnsi="宋体" w:cs="宋体" w:eastAsia="宋体" w:hint="default"/>
          <w:spacing w:val="-68"/>
          <w:sz w:val="24"/>
          <w:szCs w:val="24"/>
        </w:rPr>
        <w:t> </w:t>
      </w:r>
      <w:r>
        <w:rPr>
          <w:rFonts w:ascii="宋体" w:hAnsi="宋体" w:cs="宋体" w:eastAsia="宋体" w:hint="default"/>
          <w:spacing w:val="21"/>
          <w:sz w:val="24"/>
          <w:szCs w:val="24"/>
        </w:rPr>
        <w:t>2011年5月</w:t>
      </w:r>
      <w:r>
        <w:rPr>
          <w:rFonts w:ascii="宋体" w:hAnsi="宋体" w:cs="宋体" w:eastAsia="宋体" w:hint="default"/>
          <w:spacing w:val="-68"/>
          <w:sz w:val="24"/>
          <w:szCs w:val="24"/>
        </w:rPr>
        <w:t> </w:t>
      </w:r>
      <w:r>
        <w:rPr>
          <w:rFonts w:ascii="宋体" w:hAnsi="宋体" w:cs="宋体" w:eastAsia="宋体" w:hint="default"/>
          <w:sz w:val="24"/>
          <w:szCs w:val="24"/>
        </w:rPr>
        <w:t>25</w:t>
      </w:r>
      <w:r>
        <w:rPr>
          <w:rFonts w:ascii="宋体" w:hAnsi="宋体" w:cs="宋体" w:eastAsia="宋体" w:hint="default"/>
          <w:spacing w:val="-68"/>
          <w:sz w:val="24"/>
          <w:szCs w:val="24"/>
        </w:rPr>
        <w:t> </w:t>
      </w:r>
      <w:r>
        <w:rPr>
          <w:rFonts w:ascii="宋体" w:hAnsi="宋体" w:cs="宋体" w:eastAsia="宋体" w:hint="default"/>
          <w:sz w:val="24"/>
          <w:szCs w:val="24"/>
        </w:rPr>
        <w:t>日召开的公司六届一次董事会选举刘积仁为公司第六届董事会董</w:t>
      </w:r>
      <w:r>
        <w:rPr>
          <w:rFonts w:ascii="宋体" w:hAnsi="宋体" w:cs="宋体" w:eastAsia="宋体" w:hint="default"/>
          <w:sz w:val="24"/>
          <w:szCs w:val="24"/>
        </w:rPr>
        <w:t> </w:t>
      </w:r>
      <w:r>
        <w:rPr>
          <w:rFonts w:ascii="宋体" w:hAnsi="宋体" w:cs="宋体" w:eastAsia="宋体" w:hint="default"/>
          <w:spacing w:val="-2"/>
          <w:sz w:val="24"/>
          <w:szCs w:val="24"/>
        </w:rPr>
        <w:t>事长兼首席执行官，选举王勇峰为副董事长。聘任王勇峰为总裁，聘任陈锡民为高级副</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总裁兼首席运营官，聘任卢朝霞为高级副总裁，聘任王莉为高级副总裁兼首席财务官， </w:t>
      </w:r>
      <w:r>
        <w:rPr>
          <w:rFonts w:ascii="宋体" w:hAnsi="宋体" w:cs="宋体" w:eastAsia="宋体" w:hint="default"/>
          <w:spacing w:val="-2"/>
          <w:sz w:val="24"/>
          <w:szCs w:val="24"/>
        </w:rPr>
        <w:t>聘任张霞为高级副总裁兼首席技术官、首席知识官，聘任王经锡为高级副总裁，聘任张</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5"/>
          <w:sz w:val="24"/>
          <w:szCs w:val="24"/>
        </w:rPr>
        <w:t>晓鸥为高级副总裁兼财务运行官，聘任李军为高级副总裁兼首席营销官，聘任 </w:t>
      </w:r>
      <w:r>
        <w:rPr>
          <w:rFonts w:ascii="Times New Roman" w:hAnsi="Times New Roman" w:cs="Times New Roman" w:eastAsia="Times New Roman" w:hint="default"/>
          <w:sz w:val="24"/>
          <w:szCs w:val="24"/>
        </w:rPr>
        <w:t>Klaus</w:t>
      </w:r>
      <w:r>
        <w:rPr>
          <w:rFonts w:ascii="Times New Roman" w:hAnsi="Times New Roman" w:cs="Times New Roman" w:eastAsia="Times New Roman" w:hint="default"/>
          <w:spacing w:val="-43"/>
          <w:sz w:val="24"/>
          <w:szCs w:val="24"/>
        </w:rPr>
        <w:t> </w:t>
      </w:r>
      <w:r>
        <w:rPr>
          <w:rFonts w:ascii="Times New Roman" w:hAnsi="Times New Roman" w:cs="Times New Roman" w:eastAsia="Times New Roman" w:hint="default"/>
          <w:sz w:val="24"/>
          <w:szCs w:val="24"/>
        </w:rPr>
        <w:t>Michael Zimmer</w:t>
      </w:r>
      <w:r>
        <w:rPr>
          <w:rFonts w:ascii="Times New Roman" w:hAnsi="Times New Roman" w:cs="Times New Roman" w:eastAsia="Times New Roman" w:hint="default"/>
          <w:spacing w:val="-13"/>
          <w:sz w:val="24"/>
          <w:szCs w:val="24"/>
        </w:rPr>
        <w:t> </w:t>
      </w:r>
      <w:r>
        <w:rPr>
          <w:rFonts w:ascii="宋体" w:hAnsi="宋体" w:cs="宋体" w:eastAsia="宋体" w:hint="default"/>
          <w:sz w:val="24"/>
          <w:szCs w:val="24"/>
        </w:rPr>
        <w:t>为高级副总裁，聘任王楠为高级副总裁。以上人员任期为三年。</w:t>
      </w:r>
    </w:p>
    <w:p>
      <w:pPr>
        <w:spacing w:line="312" w:lineRule="exact" w:before="0"/>
        <w:ind w:left="118" w:right="154" w:firstLine="480"/>
        <w:jc w:val="both"/>
        <w:rPr>
          <w:rFonts w:ascii="宋体" w:hAnsi="宋体" w:cs="宋体" w:eastAsia="宋体" w:hint="default"/>
          <w:sz w:val="24"/>
          <w:szCs w:val="24"/>
        </w:rPr>
      </w:pPr>
      <w:r>
        <w:rPr>
          <w:rFonts w:ascii="宋体" w:hAnsi="宋体" w:cs="宋体" w:eastAsia="宋体" w:hint="default"/>
          <w:sz w:val="24"/>
          <w:szCs w:val="24"/>
        </w:rPr>
        <w:t>于</w:t>
      </w:r>
      <w:r>
        <w:rPr>
          <w:rFonts w:ascii="宋体" w:hAnsi="宋体" w:cs="宋体" w:eastAsia="宋体" w:hint="default"/>
          <w:spacing w:val="-68"/>
          <w:sz w:val="24"/>
          <w:szCs w:val="24"/>
        </w:rPr>
        <w:t> </w:t>
      </w:r>
      <w:r>
        <w:rPr>
          <w:rFonts w:ascii="宋体" w:hAnsi="宋体" w:cs="宋体" w:eastAsia="宋体" w:hint="default"/>
          <w:spacing w:val="21"/>
          <w:sz w:val="24"/>
          <w:szCs w:val="24"/>
        </w:rPr>
        <w:t>2011年5月</w:t>
      </w:r>
      <w:r>
        <w:rPr>
          <w:rFonts w:ascii="宋体" w:hAnsi="宋体" w:cs="宋体" w:eastAsia="宋体" w:hint="default"/>
          <w:spacing w:val="-68"/>
          <w:sz w:val="24"/>
          <w:szCs w:val="24"/>
        </w:rPr>
        <w:t> </w:t>
      </w:r>
      <w:r>
        <w:rPr>
          <w:rFonts w:ascii="宋体" w:hAnsi="宋体" w:cs="宋体" w:eastAsia="宋体" w:hint="default"/>
          <w:sz w:val="24"/>
          <w:szCs w:val="24"/>
        </w:rPr>
        <w:t>25</w:t>
      </w:r>
      <w:r>
        <w:rPr>
          <w:rFonts w:ascii="宋体" w:hAnsi="宋体" w:cs="宋体" w:eastAsia="宋体" w:hint="default"/>
          <w:spacing w:val="-68"/>
          <w:sz w:val="24"/>
          <w:szCs w:val="24"/>
        </w:rPr>
        <w:t> </w:t>
      </w:r>
      <w:r>
        <w:rPr>
          <w:rFonts w:ascii="宋体" w:hAnsi="宋体" w:cs="宋体" w:eastAsia="宋体" w:hint="default"/>
          <w:sz w:val="24"/>
          <w:szCs w:val="24"/>
        </w:rPr>
        <w:t>日召开的公司六届一次监事会选举涂赣峰为公司第六届监事会监</w:t>
      </w:r>
      <w:r>
        <w:rPr>
          <w:rFonts w:ascii="宋体" w:hAnsi="宋体" w:cs="宋体" w:eastAsia="宋体" w:hint="default"/>
          <w:sz w:val="24"/>
          <w:szCs w:val="24"/>
        </w:rPr>
        <w:t> 事长，任期为三年。</w:t>
      </w:r>
    </w:p>
    <w:p>
      <w:pPr>
        <w:spacing w:line="312" w:lineRule="exact" w:before="0"/>
        <w:ind w:left="118" w:right="154" w:firstLine="480"/>
        <w:jc w:val="both"/>
        <w:rPr>
          <w:rFonts w:ascii="宋体" w:hAnsi="宋体" w:cs="宋体" w:eastAsia="宋体" w:hint="default"/>
          <w:sz w:val="24"/>
          <w:szCs w:val="24"/>
        </w:rPr>
      </w:pPr>
      <w:r>
        <w:rPr>
          <w:rFonts w:ascii="宋体" w:hAnsi="宋体" w:cs="宋体" w:eastAsia="宋体" w:hint="default"/>
          <w:sz w:val="24"/>
          <w:szCs w:val="24"/>
        </w:rPr>
        <w:t>于</w:t>
      </w:r>
      <w:r>
        <w:rPr>
          <w:rFonts w:ascii="宋体" w:hAnsi="宋体" w:cs="宋体" w:eastAsia="宋体" w:hint="default"/>
          <w:spacing w:val="-49"/>
          <w:sz w:val="24"/>
          <w:szCs w:val="24"/>
        </w:rPr>
        <w:t> </w:t>
      </w:r>
      <w:r>
        <w:rPr>
          <w:rFonts w:ascii="宋体" w:hAnsi="宋体" w:cs="宋体" w:eastAsia="宋体" w:hint="default"/>
          <w:sz w:val="24"/>
          <w:szCs w:val="24"/>
        </w:rPr>
        <w:t>2011</w:t>
      </w:r>
      <w:r>
        <w:rPr>
          <w:rFonts w:ascii="宋体" w:hAnsi="宋体" w:cs="宋体" w:eastAsia="宋体" w:hint="default"/>
          <w:spacing w:val="-49"/>
          <w:sz w:val="24"/>
          <w:szCs w:val="24"/>
        </w:rPr>
        <w:t> </w:t>
      </w:r>
      <w:r>
        <w:rPr>
          <w:rFonts w:ascii="宋体" w:hAnsi="宋体" w:cs="宋体" w:eastAsia="宋体" w:hint="default"/>
          <w:sz w:val="24"/>
          <w:szCs w:val="24"/>
        </w:rPr>
        <w:t>年</w:t>
      </w:r>
      <w:r>
        <w:rPr>
          <w:rFonts w:ascii="宋体" w:hAnsi="宋体" w:cs="宋体" w:eastAsia="宋体" w:hint="default"/>
          <w:spacing w:val="-51"/>
          <w:sz w:val="24"/>
          <w:szCs w:val="24"/>
        </w:rPr>
        <w:t> </w:t>
      </w:r>
      <w:r>
        <w:rPr>
          <w:rFonts w:ascii="宋体" w:hAnsi="宋体" w:cs="宋体" w:eastAsia="宋体" w:hint="default"/>
          <w:sz w:val="24"/>
          <w:szCs w:val="24"/>
        </w:rPr>
        <w:t>12</w:t>
      </w:r>
      <w:r>
        <w:rPr>
          <w:rFonts w:ascii="宋体" w:hAnsi="宋体" w:cs="宋体" w:eastAsia="宋体" w:hint="default"/>
          <w:spacing w:val="-49"/>
          <w:sz w:val="24"/>
          <w:szCs w:val="24"/>
        </w:rPr>
        <w:t> </w:t>
      </w:r>
      <w:r>
        <w:rPr>
          <w:rFonts w:ascii="宋体" w:hAnsi="宋体" w:cs="宋体" w:eastAsia="宋体" w:hint="default"/>
          <w:sz w:val="24"/>
          <w:szCs w:val="24"/>
        </w:rPr>
        <w:t>月</w:t>
      </w:r>
      <w:r>
        <w:rPr>
          <w:rFonts w:ascii="宋体" w:hAnsi="宋体" w:cs="宋体" w:eastAsia="宋体" w:hint="default"/>
          <w:spacing w:val="-49"/>
          <w:sz w:val="24"/>
          <w:szCs w:val="24"/>
        </w:rPr>
        <w:t> </w:t>
      </w:r>
      <w:r>
        <w:rPr>
          <w:rFonts w:ascii="宋体" w:hAnsi="宋体" w:cs="宋体" w:eastAsia="宋体" w:hint="default"/>
          <w:sz w:val="24"/>
          <w:szCs w:val="24"/>
        </w:rPr>
        <w:t>21</w:t>
      </w:r>
      <w:r>
        <w:rPr>
          <w:rFonts w:ascii="宋体" w:hAnsi="宋体" w:cs="宋体" w:eastAsia="宋体" w:hint="default"/>
          <w:spacing w:val="-49"/>
          <w:sz w:val="24"/>
          <w:szCs w:val="24"/>
        </w:rPr>
        <w:t> </w:t>
      </w:r>
      <w:r>
        <w:rPr>
          <w:rFonts w:ascii="宋体" w:hAnsi="宋体" w:cs="宋体" w:eastAsia="宋体" w:hint="default"/>
          <w:sz w:val="24"/>
          <w:szCs w:val="24"/>
        </w:rPr>
        <w:t>日召开的公司六届七次董事会聘任高级副总裁王楠兼任董事会</w:t>
      </w:r>
      <w:r>
        <w:rPr>
          <w:rFonts w:ascii="宋体" w:hAnsi="宋体" w:cs="宋体" w:eastAsia="宋体" w:hint="default"/>
          <w:sz w:val="24"/>
          <w:szCs w:val="24"/>
        </w:rPr>
        <w:t> 秘书，任期至本届董事会任期届满之日止。</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70"/>
        <w:ind w:left="118" w:right="3566"/>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260"/>
        </w:sectPr>
      </w:pPr>
    </w:p>
    <w:p>
      <w:pPr>
        <w:spacing w:line="240" w:lineRule="auto" w:before="11"/>
        <w:rPr>
          <w:rFonts w:ascii="黑体" w:hAnsi="黑体" w:cs="黑体" w:eastAsia="黑体" w:hint="default"/>
          <w:sz w:val="29"/>
          <w:szCs w:val="29"/>
        </w:rPr>
      </w:pPr>
    </w:p>
    <w:p>
      <w:pPr>
        <w:pStyle w:val="Heading4"/>
        <w:spacing w:line="240" w:lineRule="auto"/>
        <w:ind w:left="218" w:right="218"/>
        <w:jc w:val="left"/>
        <w:rPr>
          <w:b w:val="0"/>
          <w:bCs w:val="0"/>
        </w:rPr>
      </w:pPr>
      <w:r>
        <w:rPr/>
        <w:t>（五）公司员工情况</w:t>
      </w:r>
      <w:r>
        <w:rPr>
          <w:b w:val="0"/>
          <w:bCs w:val="0"/>
        </w:rPr>
      </w:r>
    </w:p>
    <w:p>
      <w:pPr>
        <w:pStyle w:val="Heading5"/>
        <w:spacing w:line="312" w:lineRule="exact" w:before="151"/>
        <w:ind w:left="218" w:right="218" w:firstLine="480"/>
        <w:jc w:val="left"/>
      </w:pPr>
      <w:r>
        <w:rPr/>
        <w:t>截至报告期末，公司在职员工总数为 20,121</w:t>
      </w:r>
      <w:r>
        <w:rPr>
          <w:spacing w:val="-52"/>
        </w:rPr>
        <w:t> </w:t>
      </w:r>
      <w:r>
        <w:rPr/>
        <w:t>人，无需承担费用的离退休职工。人</w:t>
      </w:r>
      <w:r>
        <w:rPr/>
        <w:t> 员结构如下：</w:t>
      </w:r>
    </w:p>
    <w:p>
      <w:pPr>
        <w:spacing w:before="94"/>
        <w:ind w:left="218" w:right="218" w:firstLine="0"/>
        <w:jc w:val="left"/>
        <w:rPr>
          <w:rFonts w:ascii="宋体" w:hAnsi="宋体" w:cs="宋体" w:eastAsia="宋体" w:hint="default"/>
          <w:sz w:val="24"/>
          <w:szCs w:val="24"/>
        </w:rPr>
      </w:pPr>
      <w:r>
        <w:rPr>
          <w:rFonts w:ascii="宋体" w:hAnsi="宋体" w:cs="宋体" w:eastAsia="宋体" w:hint="default"/>
          <w:sz w:val="24"/>
          <w:szCs w:val="24"/>
        </w:rPr>
        <w:t>1、专业构成情况</w:t>
      </w:r>
    </w:p>
    <w:p>
      <w:pPr>
        <w:spacing w:line="240" w:lineRule="auto" w:before="11"/>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528"/>
        <w:gridCol w:w="4758"/>
      </w:tblGrid>
      <w:tr>
        <w:trPr>
          <w:trHeight w:val="322"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专业构成类别</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人数</w:t>
            </w:r>
          </w:p>
        </w:tc>
      </w:tr>
      <w:tr>
        <w:trPr>
          <w:trHeight w:val="322"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技术开发</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99"/>
              <w:jc w:val="right"/>
              <w:rPr>
                <w:rFonts w:ascii="宋体" w:hAnsi="宋体" w:cs="宋体" w:eastAsia="宋体" w:hint="default"/>
                <w:sz w:val="21"/>
                <w:szCs w:val="21"/>
              </w:rPr>
            </w:pPr>
            <w:r>
              <w:rPr>
                <w:rFonts w:ascii="宋体"/>
                <w:spacing w:val="-1"/>
                <w:sz w:val="21"/>
              </w:rPr>
              <w:t>16,813</w:t>
            </w:r>
          </w:p>
        </w:tc>
      </w:tr>
      <w:tr>
        <w:trPr>
          <w:trHeight w:val="323"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市场营销</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0"/>
              <w:jc w:val="right"/>
              <w:rPr>
                <w:rFonts w:ascii="宋体" w:hAnsi="宋体" w:cs="宋体" w:eastAsia="宋体" w:hint="default"/>
                <w:sz w:val="21"/>
                <w:szCs w:val="21"/>
              </w:rPr>
            </w:pPr>
            <w:r>
              <w:rPr>
                <w:rFonts w:ascii="宋体"/>
                <w:spacing w:val="-1"/>
                <w:sz w:val="21"/>
              </w:rPr>
              <w:t>1,435</w:t>
            </w:r>
          </w:p>
        </w:tc>
      </w:tr>
      <w:tr>
        <w:trPr>
          <w:trHeight w:val="322"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管理人员</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pacing w:val="-1"/>
                <w:sz w:val="21"/>
              </w:rPr>
              <w:t>1,686</w:t>
            </w:r>
          </w:p>
        </w:tc>
      </w:tr>
      <w:tr>
        <w:trPr>
          <w:trHeight w:val="322"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后勤人员</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pacing w:val="-1"/>
                <w:sz w:val="21"/>
              </w:rPr>
              <w:t>187</w:t>
            </w:r>
          </w:p>
        </w:tc>
      </w:tr>
      <w:tr>
        <w:trPr>
          <w:trHeight w:val="323"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99"/>
              <w:jc w:val="right"/>
              <w:rPr>
                <w:rFonts w:ascii="宋体" w:hAnsi="宋体" w:cs="宋体" w:eastAsia="宋体" w:hint="default"/>
                <w:sz w:val="21"/>
                <w:szCs w:val="21"/>
              </w:rPr>
            </w:pPr>
            <w:r>
              <w:rPr>
                <w:rFonts w:ascii="宋体"/>
                <w:spacing w:val="-1"/>
                <w:sz w:val="21"/>
              </w:rPr>
              <w:t>20,121</w:t>
            </w:r>
          </w:p>
        </w:tc>
      </w:tr>
    </w:tbl>
    <w:p>
      <w:pPr>
        <w:spacing w:before="85"/>
        <w:ind w:left="218" w:right="218" w:firstLine="0"/>
        <w:jc w:val="left"/>
        <w:rPr>
          <w:rFonts w:ascii="宋体" w:hAnsi="宋体" w:cs="宋体" w:eastAsia="宋体" w:hint="default"/>
          <w:sz w:val="24"/>
          <w:szCs w:val="24"/>
        </w:rPr>
      </w:pPr>
      <w:r>
        <w:rPr>
          <w:rFonts w:ascii="宋体" w:hAnsi="宋体" w:cs="宋体" w:eastAsia="宋体" w:hint="default"/>
          <w:sz w:val="24"/>
          <w:szCs w:val="24"/>
        </w:rPr>
        <w:t>2、地区分布情况</w:t>
      </w:r>
    </w:p>
    <w:p>
      <w:pPr>
        <w:spacing w:line="240" w:lineRule="auto" w:before="10"/>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528"/>
        <w:gridCol w:w="4758"/>
      </w:tblGrid>
      <w:tr>
        <w:trPr>
          <w:trHeight w:val="323"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地区</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人数</w:t>
            </w:r>
          </w:p>
        </w:tc>
      </w:tr>
      <w:tr>
        <w:trPr>
          <w:trHeight w:val="322"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沈阳</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pacing w:val="-1"/>
                <w:sz w:val="21"/>
              </w:rPr>
              <w:t>7,356</w:t>
            </w:r>
          </w:p>
        </w:tc>
      </w:tr>
      <w:tr>
        <w:trPr>
          <w:trHeight w:val="322"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大连</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pacing w:val="-1"/>
                <w:sz w:val="21"/>
              </w:rPr>
              <w:t>5,132</w:t>
            </w:r>
          </w:p>
        </w:tc>
      </w:tr>
      <w:tr>
        <w:trPr>
          <w:trHeight w:val="323"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中国其他地区</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0"/>
              <w:jc w:val="right"/>
              <w:rPr>
                <w:rFonts w:ascii="宋体" w:hAnsi="宋体" w:cs="宋体" w:eastAsia="宋体" w:hint="default"/>
                <w:sz w:val="21"/>
                <w:szCs w:val="21"/>
              </w:rPr>
            </w:pPr>
            <w:r>
              <w:rPr>
                <w:rFonts w:ascii="宋体"/>
                <w:spacing w:val="-1"/>
                <w:sz w:val="21"/>
              </w:rPr>
              <w:t>6,993</w:t>
            </w:r>
          </w:p>
        </w:tc>
      </w:tr>
      <w:tr>
        <w:trPr>
          <w:trHeight w:val="322"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日本</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pacing w:val="-1"/>
                <w:sz w:val="21"/>
              </w:rPr>
              <w:t>230</w:t>
            </w:r>
          </w:p>
        </w:tc>
      </w:tr>
      <w:tr>
        <w:trPr>
          <w:trHeight w:val="322"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欧美</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pacing w:val="-1"/>
                <w:sz w:val="21"/>
              </w:rPr>
              <w:t>410</w:t>
            </w:r>
          </w:p>
        </w:tc>
      </w:tr>
      <w:tr>
        <w:trPr>
          <w:trHeight w:val="323"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99"/>
              <w:jc w:val="right"/>
              <w:rPr>
                <w:rFonts w:ascii="宋体" w:hAnsi="宋体" w:cs="宋体" w:eastAsia="宋体" w:hint="default"/>
                <w:sz w:val="21"/>
                <w:szCs w:val="21"/>
              </w:rPr>
            </w:pPr>
            <w:r>
              <w:rPr>
                <w:rFonts w:ascii="宋体"/>
                <w:spacing w:val="-1"/>
                <w:sz w:val="21"/>
              </w:rPr>
              <w:t>20,121</w:t>
            </w:r>
          </w:p>
        </w:tc>
      </w:tr>
    </w:tbl>
    <w:p>
      <w:pPr>
        <w:spacing w:before="85"/>
        <w:ind w:left="218" w:right="218" w:firstLine="0"/>
        <w:jc w:val="left"/>
        <w:rPr>
          <w:rFonts w:ascii="宋体" w:hAnsi="宋体" w:cs="宋体" w:eastAsia="宋体" w:hint="default"/>
          <w:sz w:val="24"/>
          <w:szCs w:val="24"/>
        </w:rPr>
      </w:pPr>
      <w:r>
        <w:rPr>
          <w:rFonts w:ascii="宋体" w:hAnsi="宋体" w:cs="宋体" w:eastAsia="宋体" w:hint="default"/>
          <w:sz w:val="24"/>
          <w:szCs w:val="24"/>
        </w:rPr>
        <w:t>3、教育程度情况</w:t>
      </w:r>
    </w:p>
    <w:p>
      <w:pPr>
        <w:spacing w:line="240" w:lineRule="auto" w:before="10"/>
        <w:rPr>
          <w:rFonts w:ascii="宋体" w:hAnsi="宋体" w:cs="宋体" w:eastAsia="宋体" w:hint="default"/>
          <w:sz w:val="2"/>
          <w:szCs w:val="2"/>
        </w:rPr>
      </w:pPr>
    </w:p>
    <w:tbl>
      <w:tblPr>
        <w:tblW w:w="0" w:type="auto"/>
        <w:jc w:val="left"/>
        <w:tblInd w:w="105" w:type="dxa"/>
        <w:tblLayout w:type="fixed"/>
        <w:tblCellMar>
          <w:top w:w="0" w:type="dxa"/>
          <w:left w:w="0" w:type="dxa"/>
          <w:bottom w:w="0" w:type="dxa"/>
          <w:right w:w="0" w:type="dxa"/>
        </w:tblCellMar>
        <w:tblLook w:val="01E0"/>
      </w:tblPr>
      <w:tblGrid>
        <w:gridCol w:w="4528"/>
        <w:gridCol w:w="4758"/>
      </w:tblGrid>
      <w:tr>
        <w:trPr>
          <w:trHeight w:val="323"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教育程度类别</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人数</w:t>
            </w:r>
          </w:p>
        </w:tc>
      </w:tr>
      <w:tr>
        <w:trPr>
          <w:trHeight w:val="322"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硕士及硕士以上</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pacing w:val="-1"/>
                <w:sz w:val="21"/>
              </w:rPr>
              <w:t>2,305</w:t>
            </w:r>
          </w:p>
        </w:tc>
      </w:tr>
      <w:tr>
        <w:trPr>
          <w:trHeight w:val="322"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学士</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99"/>
              <w:jc w:val="right"/>
              <w:rPr>
                <w:rFonts w:ascii="宋体" w:hAnsi="宋体" w:cs="宋体" w:eastAsia="宋体" w:hint="default"/>
                <w:sz w:val="21"/>
                <w:szCs w:val="21"/>
              </w:rPr>
            </w:pPr>
            <w:r>
              <w:rPr>
                <w:rFonts w:ascii="宋体"/>
                <w:spacing w:val="-1"/>
                <w:sz w:val="21"/>
              </w:rPr>
              <w:t>15,374</w:t>
            </w:r>
          </w:p>
        </w:tc>
      </w:tr>
      <w:tr>
        <w:trPr>
          <w:trHeight w:val="323"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大专</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0"/>
              <w:jc w:val="right"/>
              <w:rPr>
                <w:rFonts w:ascii="宋体" w:hAnsi="宋体" w:cs="宋体" w:eastAsia="宋体" w:hint="default"/>
                <w:sz w:val="21"/>
                <w:szCs w:val="21"/>
              </w:rPr>
            </w:pPr>
            <w:r>
              <w:rPr>
                <w:rFonts w:ascii="宋体"/>
                <w:spacing w:val="-1"/>
                <w:sz w:val="21"/>
              </w:rPr>
              <w:t>2,177</w:t>
            </w:r>
          </w:p>
        </w:tc>
      </w:tr>
      <w:tr>
        <w:trPr>
          <w:trHeight w:val="322"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pacing w:val="-1"/>
                <w:sz w:val="21"/>
              </w:rPr>
              <w:t>265</w:t>
            </w:r>
          </w:p>
        </w:tc>
      </w:tr>
      <w:tr>
        <w:trPr>
          <w:trHeight w:val="323" w:hRule="exact"/>
        </w:trPr>
        <w:tc>
          <w:tcPr>
            <w:tcW w:w="452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7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99"/>
              <w:jc w:val="right"/>
              <w:rPr>
                <w:rFonts w:ascii="宋体" w:hAnsi="宋体" w:cs="宋体" w:eastAsia="宋体" w:hint="default"/>
                <w:sz w:val="21"/>
                <w:szCs w:val="21"/>
              </w:rPr>
            </w:pPr>
            <w:r>
              <w:rPr>
                <w:rFonts w:ascii="宋体"/>
                <w:spacing w:val="-1"/>
                <w:sz w:val="21"/>
              </w:rPr>
              <w:t>20,121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78"/>
        <w:ind w:left="218" w:right="218"/>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200" w:right="1180"/>
        </w:sect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20"/>
          <w:szCs w:val="20"/>
        </w:rPr>
      </w:pPr>
    </w:p>
    <w:p>
      <w:pPr>
        <w:pStyle w:val="Heading2"/>
        <w:spacing w:line="240" w:lineRule="auto"/>
        <w:ind w:right="0"/>
        <w:jc w:val="both"/>
        <w:rPr>
          <w:b w:val="0"/>
          <w:bCs w:val="0"/>
        </w:rPr>
      </w:pPr>
      <w:bookmarkStart w:name="_TOC_250006" w:id="7"/>
      <w:r>
        <w:rPr/>
        <w:t>六、公司治理结构</w:t>
      </w:r>
      <w:bookmarkEnd w:id="7"/>
      <w:r>
        <w:rPr>
          <w:b w:val="0"/>
          <w:bCs w:val="0"/>
        </w:rPr>
      </w:r>
    </w:p>
    <w:p>
      <w:pPr>
        <w:spacing w:line="331" w:lineRule="auto" w:before="197"/>
        <w:ind w:left="598" w:right="100" w:hanging="480"/>
        <w:jc w:val="left"/>
        <w:rPr>
          <w:rFonts w:ascii="宋体" w:hAnsi="宋体" w:cs="宋体" w:eastAsia="宋体" w:hint="default"/>
          <w:sz w:val="24"/>
          <w:szCs w:val="24"/>
        </w:rPr>
      </w:pPr>
      <w:r>
        <w:rPr>
          <w:rFonts w:ascii="宋体" w:hAnsi="宋体" w:cs="宋体" w:eastAsia="宋体" w:hint="default"/>
          <w:b/>
          <w:bCs/>
          <w:sz w:val="24"/>
          <w:szCs w:val="24"/>
        </w:rPr>
        <w:t>（一）公司治理的情况</w:t>
      </w:r>
      <w:r>
        <w:rPr>
          <w:rFonts w:ascii="宋体" w:hAnsi="宋体" w:cs="宋体" w:eastAsia="宋体" w:hint="default"/>
          <w:b/>
          <w:bCs/>
          <w:w w:val="99"/>
          <w:sz w:val="24"/>
          <w:szCs w:val="24"/>
        </w:rPr>
        <w:t> </w:t>
      </w:r>
      <w:r>
        <w:rPr>
          <w:rFonts w:ascii="宋体" w:hAnsi="宋体" w:cs="宋体" w:eastAsia="宋体" w:hint="default"/>
          <w:spacing w:val="-7"/>
          <w:sz w:val="24"/>
          <w:szCs w:val="24"/>
        </w:rPr>
        <w:t>公司长期致力于法人治理结构的构建和持续完善，严格按照《公司法》、《证券法》</w:t>
      </w:r>
    </w:p>
    <w:p>
      <w:pPr>
        <w:pStyle w:val="Heading5"/>
        <w:spacing w:line="220" w:lineRule="exact"/>
        <w:ind w:right="0"/>
        <w:jc w:val="both"/>
      </w:pPr>
      <w:r>
        <w:rPr/>
        <w:t>和中国证监会、证券交易所有关法律法规的要求，不断完善公司法人治理结构，规范化</w:t>
      </w:r>
    </w:p>
    <w:p>
      <w:pPr>
        <w:spacing w:line="312" w:lineRule="exact" w:before="29"/>
        <w:ind w:left="118" w:right="185" w:firstLine="0"/>
        <w:jc w:val="both"/>
        <w:rPr>
          <w:rFonts w:ascii="宋体" w:hAnsi="宋体" w:cs="宋体" w:eastAsia="宋体" w:hint="default"/>
          <w:sz w:val="24"/>
          <w:szCs w:val="24"/>
        </w:rPr>
      </w:pPr>
      <w:r>
        <w:rPr>
          <w:rFonts w:ascii="宋体" w:hAnsi="宋体" w:cs="宋体" w:eastAsia="宋体" w:hint="default"/>
          <w:spacing w:val="-7"/>
          <w:sz w:val="24"/>
          <w:szCs w:val="24"/>
        </w:rPr>
        <w:t>运作。公司按照《上市公司章程指引》、《上市公司治理准则》等规定修订了公司章程，</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pacing w:val="-19"/>
          <w:sz w:val="24"/>
          <w:szCs w:val="24"/>
        </w:rPr>
        <w:t>制订、完善了《股东大会议事规则》、《董事会议事规则》、《监事会议事规则》、《投资者</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pacing w:val="-3"/>
          <w:sz w:val="24"/>
          <w:szCs w:val="24"/>
        </w:rPr>
        <w:t>关系管理制度》和《信息披露管理制度》等制度，明确了公司重大事项的决策权限和程</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pacing w:val="-2"/>
          <w:sz w:val="24"/>
          <w:szCs w:val="24"/>
        </w:rPr>
        <w:t>序，保障公司决策的科学性和合理性。早在证监会《关于在上市公司建立独立董事制度</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2"/>
          <w:sz w:val="24"/>
          <w:szCs w:val="24"/>
        </w:rPr>
        <w:t>指导意见》出台前，公司就已经建立了独立董事制度，组建了董事会各专业委员会，促</w:t>
      </w:r>
      <w:r>
        <w:rPr>
          <w:rFonts w:ascii="宋体" w:hAnsi="宋体" w:cs="宋体" w:eastAsia="宋体" w:hint="default"/>
          <w:spacing w:val="-94"/>
          <w:sz w:val="24"/>
          <w:szCs w:val="24"/>
        </w:rPr>
        <w:t> </w:t>
      </w:r>
      <w:r>
        <w:rPr>
          <w:rFonts w:ascii="宋体" w:hAnsi="宋体" w:cs="宋体" w:eastAsia="宋体" w:hint="default"/>
          <w:spacing w:val="-94"/>
          <w:sz w:val="24"/>
          <w:szCs w:val="24"/>
        </w:rPr>
      </w:r>
      <w:r>
        <w:rPr>
          <w:rFonts w:ascii="宋体" w:hAnsi="宋体" w:cs="宋体" w:eastAsia="宋体" w:hint="default"/>
          <w:spacing w:val="-2"/>
          <w:sz w:val="24"/>
          <w:szCs w:val="24"/>
        </w:rPr>
        <w:t>进了公司规范化建设。公司治理结构基本符合《上市公司治理准则》的要求。目前，公</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司是上海证券交易所“公司治理指数”的成份股。</w:t>
      </w:r>
    </w:p>
    <w:p>
      <w:pPr>
        <w:spacing w:line="312" w:lineRule="exact" w:before="0"/>
        <w:ind w:left="118" w:right="229" w:firstLine="480"/>
        <w:jc w:val="both"/>
        <w:rPr>
          <w:rFonts w:ascii="宋体" w:hAnsi="宋体" w:cs="宋体" w:eastAsia="宋体" w:hint="default"/>
          <w:sz w:val="24"/>
          <w:szCs w:val="24"/>
        </w:rPr>
      </w:pPr>
      <w:r>
        <w:rPr>
          <w:rFonts w:ascii="宋体" w:hAnsi="宋体" w:cs="宋体" w:eastAsia="宋体" w:hint="default"/>
          <w:sz w:val="24"/>
          <w:szCs w:val="24"/>
        </w:rPr>
        <w:t>根据中国证监会发布的证监公司字[2007]28</w:t>
      </w:r>
      <w:r>
        <w:rPr>
          <w:rFonts w:ascii="宋体" w:hAnsi="宋体" w:cs="宋体" w:eastAsia="宋体" w:hint="default"/>
          <w:spacing w:val="-54"/>
          <w:sz w:val="24"/>
          <w:szCs w:val="24"/>
        </w:rPr>
        <w:t> </w:t>
      </w:r>
      <w:r>
        <w:rPr>
          <w:rFonts w:ascii="宋体" w:hAnsi="宋体" w:cs="宋体" w:eastAsia="宋体" w:hint="default"/>
          <w:spacing w:val="-7"/>
          <w:sz w:val="24"/>
          <w:szCs w:val="24"/>
        </w:rPr>
        <w:t>号文件《关于开展加强上市公司治理专</w:t>
      </w:r>
      <w:r>
        <w:rPr>
          <w:rFonts w:ascii="宋体" w:hAnsi="宋体" w:cs="宋体" w:eastAsia="宋体" w:hint="default"/>
          <w:sz w:val="24"/>
          <w:szCs w:val="24"/>
        </w:rPr>
        <w:t> </w:t>
      </w:r>
      <w:r>
        <w:rPr>
          <w:rFonts w:ascii="宋体" w:hAnsi="宋体" w:cs="宋体" w:eastAsia="宋体" w:hint="default"/>
          <w:spacing w:val="-2"/>
          <w:sz w:val="24"/>
          <w:szCs w:val="24"/>
        </w:rPr>
        <w:t>项活动有关事项的通知》，公司迅速启动了公司治理专项活动，制定了切实可行的整改</w:t>
      </w:r>
      <w:r>
        <w:rPr>
          <w:rFonts w:ascii="宋体" w:hAnsi="宋体" w:cs="宋体" w:eastAsia="宋体" w:hint="default"/>
          <w:spacing w:val="-114"/>
          <w:sz w:val="24"/>
          <w:szCs w:val="24"/>
        </w:rPr>
        <w:t> </w:t>
      </w:r>
      <w:r>
        <w:rPr>
          <w:rFonts w:ascii="宋体" w:hAnsi="宋体" w:cs="宋体" w:eastAsia="宋体" w:hint="default"/>
          <w:spacing w:val="-114"/>
          <w:sz w:val="24"/>
          <w:szCs w:val="24"/>
        </w:rPr>
      </w:r>
      <w:r>
        <w:rPr>
          <w:rFonts w:ascii="宋体" w:hAnsi="宋体" w:cs="宋体" w:eastAsia="宋体" w:hint="default"/>
          <w:spacing w:val="-3"/>
          <w:sz w:val="24"/>
          <w:szCs w:val="24"/>
        </w:rPr>
        <w:t>措施并开展积极有效的整改活动，推动了公司治理水平的进一步提升。在《董事会》杂</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志</w:t>
      </w:r>
      <w:r>
        <w:rPr>
          <w:rFonts w:ascii="宋体" w:hAnsi="宋体" w:cs="宋体" w:eastAsia="宋体" w:hint="default"/>
          <w:spacing w:val="-41"/>
          <w:sz w:val="24"/>
          <w:szCs w:val="24"/>
        </w:rPr>
        <w:t> </w:t>
      </w:r>
      <w:r>
        <w:rPr>
          <w:rFonts w:ascii="宋体" w:hAnsi="宋体" w:cs="宋体" w:eastAsia="宋体" w:hint="default"/>
          <w:spacing w:val="-1"/>
          <w:sz w:val="24"/>
          <w:szCs w:val="24"/>
        </w:rPr>
        <w:t>2007</w:t>
      </w:r>
      <w:r>
        <w:rPr>
          <w:rFonts w:ascii="宋体" w:hAnsi="宋体" w:cs="宋体" w:eastAsia="宋体" w:hint="default"/>
          <w:spacing w:val="-41"/>
          <w:sz w:val="24"/>
          <w:szCs w:val="24"/>
        </w:rPr>
        <w:t> </w:t>
      </w:r>
      <w:r>
        <w:rPr>
          <w:rFonts w:ascii="宋体" w:hAnsi="宋体" w:cs="宋体" w:eastAsia="宋体" w:hint="default"/>
          <w:spacing w:val="-1"/>
          <w:sz w:val="24"/>
          <w:szCs w:val="24"/>
        </w:rPr>
        <w:t>年、2010</w:t>
      </w:r>
      <w:r>
        <w:rPr>
          <w:rFonts w:ascii="宋体" w:hAnsi="宋体" w:cs="宋体" w:eastAsia="宋体" w:hint="default"/>
          <w:spacing w:val="-41"/>
          <w:sz w:val="24"/>
          <w:szCs w:val="24"/>
        </w:rPr>
        <w:t> </w:t>
      </w:r>
      <w:r>
        <w:rPr>
          <w:rFonts w:ascii="宋体" w:hAnsi="宋体" w:cs="宋体" w:eastAsia="宋体" w:hint="default"/>
          <w:spacing w:val="-5"/>
          <w:sz w:val="24"/>
          <w:szCs w:val="24"/>
        </w:rPr>
        <w:t>年举办的评选中，公司董事会两次荣获“最佳董事会奖”。2010</w:t>
      </w:r>
      <w:r>
        <w:rPr>
          <w:rFonts w:ascii="宋体" w:hAnsi="宋体" w:cs="宋体" w:eastAsia="宋体" w:hint="default"/>
          <w:spacing w:val="-41"/>
          <w:sz w:val="24"/>
          <w:szCs w:val="24"/>
        </w:rPr>
        <w:t> </w:t>
      </w:r>
      <w:r>
        <w:rPr>
          <w:rFonts w:ascii="宋体" w:hAnsi="宋体" w:cs="宋体" w:eastAsia="宋体" w:hint="default"/>
          <w:sz w:val="24"/>
          <w:szCs w:val="24"/>
        </w:rPr>
        <w:t>年，</w:t>
      </w:r>
      <w:r>
        <w:rPr>
          <w:rFonts w:ascii="宋体" w:hAnsi="宋体" w:cs="宋体" w:eastAsia="宋体" w:hint="default"/>
          <w:sz w:val="24"/>
          <w:szCs w:val="24"/>
        </w:rPr>
        <w:t> </w:t>
      </w:r>
      <w:r>
        <w:rPr>
          <w:rFonts w:ascii="宋体" w:hAnsi="宋体" w:cs="宋体" w:eastAsia="宋体" w:hint="default"/>
          <w:spacing w:val="-4"/>
          <w:sz w:val="24"/>
          <w:szCs w:val="24"/>
        </w:rPr>
        <w:t>在上海证券交易所主办的“第九届中国公司治理论坛”上，公司荣获“2010</w:t>
      </w:r>
      <w:r>
        <w:rPr>
          <w:rFonts w:ascii="宋体" w:hAnsi="宋体" w:cs="宋体" w:eastAsia="宋体" w:hint="default"/>
          <w:spacing w:val="-38"/>
          <w:sz w:val="24"/>
          <w:szCs w:val="24"/>
        </w:rPr>
        <w:t> </w:t>
      </w:r>
      <w:r>
        <w:rPr>
          <w:rFonts w:ascii="宋体" w:hAnsi="宋体" w:cs="宋体" w:eastAsia="宋体" w:hint="default"/>
          <w:sz w:val="24"/>
          <w:szCs w:val="24"/>
        </w:rPr>
        <w:t>年度董事会</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pacing w:val="-6"/>
          <w:sz w:val="24"/>
          <w:szCs w:val="24"/>
        </w:rPr>
        <w:t>奖”，获得监管机构对东软在公司治理方面的肯定。</w:t>
      </w:r>
    </w:p>
    <w:p>
      <w:pPr>
        <w:spacing w:line="312" w:lineRule="exact" w:before="0"/>
        <w:ind w:left="118" w:right="230" w:firstLine="480"/>
        <w:jc w:val="both"/>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43"/>
          <w:sz w:val="24"/>
          <w:szCs w:val="24"/>
        </w:rPr>
        <w:t> </w:t>
      </w:r>
      <w:r>
        <w:rPr>
          <w:rFonts w:ascii="宋体" w:hAnsi="宋体" w:cs="宋体" w:eastAsia="宋体" w:hint="default"/>
          <w:spacing w:val="-4"/>
          <w:sz w:val="24"/>
          <w:szCs w:val="24"/>
        </w:rPr>
        <w:t>年，公司持续优化和完善公司治理结构，继续开展加强公司治理专项活动。报</w:t>
      </w:r>
      <w:r>
        <w:rPr>
          <w:rFonts w:ascii="宋体" w:hAnsi="宋体" w:cs="宋体" w:eastAsia="宋体" w:hint="default"/>
          <w:sz w:val="24"/>
          <w:szCs w:val="24"/>
        </w:rPr>
        <w:t> </w:t>
      </w:r>
      <w:r>
        <w:rPr>
          <w:rFonts w:ascii="宋体" w:hAnsi="宋体" w:cs="宋体" w:eastAsia="宋体" w:hint="default"/>
          <w:spacing w:val="-8"/>
          <w:sz w:val="24"/>
          <w:szCs w:val="24"/>
        </w:rPr>
        <w:t>告期内，公司制定了《关联交易管理制度》、《对外捐赠管理制度》及《董事会秘书工作</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pacing w:val="-3"/>
          <w:sz w:val="24"/>
          <w:szCs w:val="24"/>
        </w:rPr>
        <w:t>制度》，进一步完善了公司管理制度。同时，公司继续加强董事会建设、投资者关系管</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pacing w:val="-3"/>
          <w:sz w:val="24"/>
          <w:szCs w:val="24"/>
        </w:rPr>
        <w:t>理、健全激励与约束机制、健全完善内控制度，以及董事、监事、高级管理人员的培训</w:t>
      </w:r>
      <w:r>
        <w:rPr>
          <w:rFonts w:ascii="宋体" w:hAnsi="宋体" w:cs="宋体" w:eastAsia="宋体" w:hint="default"/>
          <w:spacing w:val="-89"/>
          <w:sz w:val="24"/>
          <w:szCs w:val="24"/>
        </w:rPr>
        <w:t> </w:t>
      </w:r>
      <w:r>
        <w:rPr>
          <w:rFonts w:ascii="宋体" w:hAnsi="宋体" w:cs="宋体" w:eastAsia="宋体" w:hint="default"/>
          <w:spacing w:val="-89"/>
          <w:sz w:val="24"/>
          <w:szCs w:val="24"/>
        </w:rPr>
      </w:r>
      <w:r>
        <w:rPr>
          <w:rFonts w:ascii="宋体" w:hAnsi="宋体" w:cs="宋体" w:eastAsia="宋体" w:hint="default"/>
          <w:sz w:val="24"/>
          <w:szCs w:val="24"/>
        </w:rPr>
        <w:t>工作。具体如下：</w:t>
      </w:r>
    </w:p>
    <w:p>
      <w:pPr>
        <w:spacing w:line="313" w:lineRule="exact" w:before="94"/>
        <w:ind w:left="118" w:right="0" w:firstLine="0"/>
        <w:jc w:val="both"/>
        <w:rPr>
          <w:rFonts w:ascii="宋体" w:hAnsi="宋体" w:cs="宋体" w:eastAsia="宋体" w:hint="default"/>
          <w:sz w:val="24"/>
          <w:szCs w:val="24"/>
        </w:rPr>
      </w:pPr>
      <w:r>
        <w:rPr>
          <w:rFonts w:ascii="宋体" w:hAnsi="宋体" w:cs="宋体" w:eastAsia="宋体" w:hint="default"/>
          <w:sz w:val="24"/>
          <w:szCs w:val="24"/>
        </w:rPr>
        <w:t>1、加强董事会建设</w:t>
      </w:r>
    </w:p>
    <w:p>
      <w:pPr>
        <w:spacing w:line="312" w:lineRule="exact" w:before="29"/>
        <w:ind w:left="118" w:right="233" w:firstLine="480"/>
        <w:jc w:val="both"/>
        <w:rPr>
          <w:rFonts w:ascii="宋体" w:hAnsi="宋体" w:cs="宋体" w:eastAsia="宋体" w:hint="default"/>
          <w:sz w:val="24"/>
          <w:szCs w:val="24"/>
        </w:rPr>
      </w:pPr>
      <w:r>
        <w:rPr>
          <w:rFonts w:ascii="宋体" w:hAnsi="宋体" w:cs="宋体" w:eastAsia="宋体" w:hint="default"/>
          <w:sz w:val="24"/>
          <w:szCs w:val="24"/>
        </w:rPr>
        <w:t>于</w:t>
      </w:r>
      <w:r>
        <w:rPr>
          <w:rFonts w:ascii="宋体" w:hAnsi="宋体" w:cs="宋体" w:eastAsia="宋体" w:hint="default"/>
          <w:spacing w:val="-52"/>
          <w:sz w:val="24"/>
          <w:szCs w:val="24"/>
        </w:rPr>
        <w:t> </w:t>
      </w:r>
      <w:r>
        <w:rPr>
          <w:rFonts w:ascii="宋体" w:hAnsi="宋体" w:cs="宋体" w:eastAsia="宋体" w:hint="default"/>
          <w:sz w:val="24"/>
          <w:szCs w:val="24"/>
        </w:rPr>
        <w:t>2011</w:t>
      </w:r>
      <w:r>
        <w:rPr>
          <w:rFonts w:ascii="宋体" w:hAnsi="宋体" w:cs="宋体" w:eastAsia="宋体" w:hint="default"/>
          <w:spacing w:val="-52"/>
          <w:sz w:val="24"/>
          <w:szCs w:val="24"/>
        </w:rPr>
        <w:t> </w:t>
      </w:r>
      <w:r>
        <w:rPr>
          <w:rFonts w:ascii="宋体" w:hAnsi="宋体" w:cs="宋体" w:eastAsia="宋体" w:hint="default"/>
          <w:sz w:val="24"/>
          <w:szCs w:val="24"/>
        </w:rPr>
        <w:t>年</w:t>
      </w:r>
      <w:r>
        <w:rPr>
          <w:rFonts w:ascii="宋体" w:hAnsi="宋体" w:cs="宋体" w:eastAsia="宋体" w:hint="default"/>
          <w:spacing w:val="-51"/>
          <w:sz w:val="24"/>
          <w:szCs w:val="24"/>
        </w:rPr>
        <w:t> </w:t>
      </w:r>
      <w:r>
        <w:rPr>
          <w:rFonts w:ascii="宋体" w:hAnsi="宋体" w:cs="宋体" w:eastAsia="宋体" w:hint="default"/>
          <w:sz w:val="24"/>
          <w:szCs w:val="24"/>
        </w:rPr>
        <w:t>5</w:t>
      </w:r>
      <w:r>
        <w:rPr>
          <w:rFonts w:ascii="宋体" w:hAnsi="宋体" w:cs="宋体" w:eastAsia="宋体" w:hint="default"/>
          <w:spacing w:val="-52"/>
          <w:sz w:val="24"/>
          <w:szCs w:val="24"/>
        </w:rPr>
        <w:t> </w:t>
      </w:r>
      <w:r>
        <w:rPr>
          <w:rFonts w:ascii="宋体" w:hAnsi="宋体" w:cs="宋体" w:eastAsia="宋体" w:hint="default"/>
          <w:sz w:val="24"/>
          <w:szCs w:val="24"/>
        </w:rPr>
        <w:t>月</w:t>
      </w:r>
      <w:r>
        <w:rPr>
          <w:rFonts w:ascii="宋体" w:hAnsi="宋体" w:cs="宋体" w:eastAsia="宋体" w:hint="default"/>
          <w:spacing w:val="-52"/>
          <w:sz w:val="24"/>
          <w:szCs w:val="24"/>
        </w:rPr>
        <w:t> </w:t>
      </w:r>
      <w:r>
        <w:rPr>
          <w:rFonts w:ascii="宋体" w:hAnsi="宋体" w:cs="宋体" w:eastAsia="宋体" w:hint="default"/>
          <w:sz w:val="24"/>
          <w:szCs w:val="24"/>
        </w:rPr>
        <w:t>25</w:t>
      </w:r>
      <w:r>
        <w:rPr>
          <w:rFonts w:ascii="宋体" w:hAnsi="宋体" w:cs="宋体" w:eastAsia="宋体" w:hint="default"/>
          <w:spacing w:val="-52"/>
          <w:sz w:val="24"/>
          <w:szCs w:val="24"/>
        </w:rPr>
        <w:t> </w:t>
      </w:r>
      <w:r>
        <w:rPr>
          <w:rFonts w:ascii="宋体" w:hAnsi="宋体" w:cs="宋体" w:eastAsia="宋体" w:hint="default"/>
          <w:sz w:val="24"/>
          <w:szCs w:val="24"/>
        </w:rPr>
        <w:t>日召开的公司</w:t>
      </w:r>
      <w:r>
        <w:rPr>
          <w:rFonts w:ascii="宋体" w:hAnsi="宋体" w:cs="宋体" w:eastAsia="宋体" w:hint="default"/>
          <w:spacing w:val="-52"/>
          <w:sz w:val="24"/>
          <w:szCs w:val="24"/>
        </w:rPr>
        <w:t> </w:t>
      </w:r>
      <w:r>
        <w:rPr>
          <w:rFonts w:ascii="宋体" w:hAnsi="宋体" w:cs="宋体" w:eastAsia="宋体" w:hint="default"/>
          <w:sz w:val="24"/>
          <w:szCs w:val="24"/>
        </w:rPr>
        <w:t>2010</w:t>
      </w:r>
      <w:r>
        <w:rPr>
          <w:rFonts w:ascii="宋体" w:hAnsi="宋体" w:cs="宋体" w:eastAsia="宋体" w:hint="default"/>
          <w:spacing w:val="-52"/>
          <w:sz w:val="24"/>
          <w:szCs w:val="24"/>
        </w:rPr>
        <w:t> </w:t>
      </w:r>
      <w:r>
        <w:rPr>
          <w:rFonts w:ascii="宋体" w:hAnsi="宋体" w:cs="宋体" w:eastAsia="宋体" w:hint="default"/>
          <w:sz w:val="24"/>
          <w:szCs w:val="24"/>
        </w:rPr>
        <w:t>年度股东大会选举产生了公司第六届董事会</w:t>
      </w:r>
      <w:r>
        <w:rPr>
          <w:rFonts w:ascii="宋体" w:hAnsi="宋体" w:cs="宋体" w:eastAsia="宋体" w:hint="default"/>
          <w:sz w:val="24"/>
          <w:szCs w:val="24"/>
        </w:rPr>
        <w:t> </w:t>
      </w:r>
      <w:r>
        <w:rPr>
          <w:rFonts w:ascii="宋体" w:hAnsi="宋体" w:cs="宋体" w:eastAsia="宋体" w:hint="default"/>
          <w:spacing w:val="-3"/>
          <w:sz w:val="24"/>
          <w:szCs w:val="24"/>
        </w:rPr>
        <w:t>成员。公司董事会由九人组成，大多是</w:t>
      </w:r>
      <w:r>
        <w:rPr>
          <w:rFonts w:ascii="宋体" w:hAnsi="宋体" w:cs="宋体" w:eastAsia="宋体" w:hint="default"/>
          <w:spacing w:val="-48"/>
          <w:sz w:val="24"/>
          <w:szCs w:val="24"/>
        </w:rPr>
        <w:t> </w:t>
      </w:r>
      <w:r>
        <w:rPr>
          <w:rFonts w:ascii="宋体" w:hAnsi="宋体" w:cs="宋体" w:eastAsia="宋体" w:hint="default"/>
          <w:spacing w:val="-5"/>
          <w:sz w:val="24"/>
          <w:szCs w:val="24"/>
        </w:rPr>
        <w:t>IT、管理、财务等领域的专业、资深人士，其中</w:t>
      </w:r>
      <w:r>
        <w:rPr>
          <w:rFonts w:ascii="宋体" w:hAnsi="宋体" w:cs="宋体" w:eastAsia="宋体" w:hint="default"/>
          <w:spacing w:val="-112"/>
          <w:sz w:val="24"/>
          <w:szCs w:val="24"/>
        </w:rPr>
        <w:t> </w:t>
      </w:r>
      <w:r>
        <w:rPr>
          <w:rFonts w:ascii="宋体" w:hAnsi="宋体" w:cs="宋体" w:eastAsia="宋体" w:hint="default"/>
          <w:spacing w:val="-112"/>
          <w:sz w:val="24"/>
          <w:szCs w:val="24"/>
        </w:rPr>
      </w:r>
      <w:r>
        <w:rPr>
          <w:rFonts w:ascii="宋体" w:hAnsi="宋体" w:cs="宋体" w:eastAsia="宋体" w:hint="default"/>
          <w:spacing w:val="-2"/>
          <w:sz w:val="24"/>
          <w:szCs w:val="24"/>
        </w:rPr>
        <w:t>包括三位来自日本、欧洲的国际化人才，也包括国内知名学者担任的独立董事，公司外</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2"/>
          <w:sz w:val="24"/>
          <w:szCs w:val="24"/>
        </w:rPr>
        <w:t>部董事占董事会多数席位。公司通过建立国际化、专业化的董事会，有效推动公司治理</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2"/>
          <w:sz w:val="24"/>
          <w:szCs w:val="24"/>
        </w:rPr>
        <w:t>结构持续改善，不断创新管理模式和业务模式，加快公司国际化的发展步伐，为公司经</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营业务的全球化布局、国际并购策略的安全有效实施提供了宝贵的经验和支持。</w:t>
      </w:r>
    </w:p>
    <w:p>
      <w:pPr>
        <w:spacing w:line="312" w:lineRule="exact" w:before="0"/>
        <w:ind w:left="118" w:right="112" w:firstLine="480"/>
        <w:jc w:val="both"/>
        <w:rPr>
          <w:rFonts w:ascii="宋体" w:hAnsi="宋体" w:cs="宋体" w:eastAsia="宋体" w:hint="default"/>
          <w:sz w:val="24"/>
          <w:szCs w:val="24"/>
        </w:rPr>
      </w:pPr>
      <w:r>
        <w:rPr>
          <w:rFonts w:ascii="宋体" w:hAnsi="宋体" w:cs="宋体" w:eastAsia="宋体" w:hint="default"/>
          <w:sz w:val="24"/>
          <w:szCs w:val="24"/>
        </w:rPr>
        <w:t>公司各位董事能勤勉尽职，积极出席董事会会议，在公司的战略规划、经营计划、 内部管理流程的优化、风险控制管理等方面提出了很多专业化意见，为公司重大事项决 策的科学性和合理性提供了保障。董事能认真监督、评测经营层的工作，维护了公司和 </w:t>
      </w:r>
      <w:r>
        <w:rPr>
          <w:rFonts w:ascii="宋体" w:hAnsi="宋体" w:cs="宋体" w:eastAsia="宋体" w:hint="default"/>
          <w:spacing w:val="-6"/>
          <w:sz w:val="24"/>
          <w:szCs w:val="24"/>
        </w:rPr>
        <w:t>股东的利益。公司董事作为董事会战略决策、提名、审计、薪酬与考核专业委员会委员，</w:t>
      </w:r>
      <w:r>
        <w:rPr>
          <w:rFonts w:ascii="宋体" w:hAnsi="宋体" w:cs="宋体" w:eastAsia="宋体" w:hint="default"/>
          <w:spacing w:val="-89"/>
          <w:sz w:val="24"/>
          <w:szCs w:val="24"/>
        </w:rPr>
        <w:t> </w:t>
      </w:r>
      <w:r>
        <w:rPr>
          <w:rFonts w:ascii="宋体" w:hAnsi="宋体" w:cs="宋体" w:eastAsia="宋体" w:hint="default"/>
          <w:spacing w:val="-89"/>
          <w:sz w:val="24"/>
          <w:szCs w:val="24"/>
        </w:rPr>
      </w:r>
      <w:r>
        <w:rPr>
          <w:rFonts w:ascii="宋体" w:hAnsi="宋体" w:cs="宋体" w:eastAsia="宋体" w:hint="default"/>
          <w:sz w:val="24"/>
          <w:szCs w:val="24"/>
        </w:rPr>
        <w:t>在公司重大事项的决策方面发挥了重要作用。</w:t>
      </w:r>
    </w:p>
    <w:p>
      <w:pPr>
        <w:spacing w:line="310" w:lineRule="exact" w:before="126"/>
        <w:ind w:left="598" w:right="100" w:hanging="480"/>
        <w:jc w:val="left"/>
        <w:rPr>
          <w:rFonts w:ascii="宋体" w:hAnsi="宋体" w:cs="宋体" w:eastAsia="宋体" w:hint="default"/>
          <w:sz w:val="24"/>
          <w:szCs w:val="24"/>
        </w:rPr>
      </w:pPr>
      <w:r>
        <w:rPr>
          <w:rFonts w:ascii="宋体" w:hAnsi="宋体" w:cs="宋体" w:eastAsia="宋体" w:hint="default"/>
          <w:sz w:val="24"/>
          <w:szCs w:val="24"/>
        </w:rPr>
        <w:t>2、加强投资者关系管理工作 </w:t>
      </w:r>
      <w:r>
        <w:rPr>
          <w:rFonts w:ascii="宋体" w:hAnsi="宋体" w:cs="宋体" w:eastAsia="宋体" w:hint="default"/>
          <w:spacing w:val="-2"/>
          <w:sz w:val="24"/>
          <w:szCs w:val="24"/>
        </w:rPr>
        <w:t>公司一直注重投资者尤其是中小投资者在公司发展中的地位和作用，为其提供尽可</w:t>
      </w:r>
    </w:p>
    <w:p>
      <w:pPr>
        <w:spacing w:line="312" w:lineRule="exact" w:before="0"/>
        <w:ind w:left="118" w:right="229" w:firstLine="0"/>
        <w:jc w:val="both"/>
        <w:rPr>
          <w:rFonts w:ascii="宋体" w:hAnsi="宋体" w:cs="宋体" w:eastAsia="宋体" w:hint="default"/>
          <w:sz w:val="24"/>
          <w:szCs w:val="24"/>
        </w:rPr>
      </w:pPr>
      <w:r>
        <w:rPr>
          <w:rFonts w:ascii="宋体" w:hAnsi="宋体" w:cs="宋体" w:eastAsia="宋体" w:hint="default"/>
          <w:spacing w:val="-3"/>
          <w:sz w:val="24"/>
          <w:szCs w:val="24"/>
        </w:rPr>
        <w:t>能的便利了解公司，增加其持股信心。公司建有《信息披露管理制度》和《投资者关系</w:t>
      </w:r>
      <w:r>
        <w:rPr>
          <w:rFonts w:ascii="宋体" w:hAnsi="宋体" w:cs="宋体" w:eastAsia="宋体" w:hint="default"/>
          <w:spacing w:val="-89"/>
          <w:sz w:val="24"/>
          <w:szCs w:val="24"/>
        </w:rPr>
        <w:t> </w:t>
      </w:r>
      <w:r>
        <w:rPr>
          <w:rFonts w:ascii="宋体" w:hAnsi="宋体" w:cs="宋体" w:eastAsia="宋体" w:hint="default"/>
          <w:spacing w:val="-89"/>
          <w:sz w:val="24"/>
          <w:szCs w:val="24"/>
        </w:rPr>
      </w:r>
      <w:r>
        <w:rPr>
          <w:rFonts w:ascii="宋体" w:hAnsi="宋体" w:cs="宋体" w:eastAsia="宋体" w:hint="default"/>
          <w:spacing w:val="-2"/>
          <w:sz w:val="24"/>
          <w:szCs w:val="24"/>
        </w:rPr>
        <w:t>管理制度》。公司能够及时、准确、完整、有效、公平地披露信息，让投资者得以全面</w:t>
      </w:r>
      <w:r>
        <w:rPr>
          <w:rFonts w:ascii="宋体" w:hAnsi="宋体" w:cs="宋体" w:eastAsia="宋体" w:hint="default"/>
          <w:spacing w:val="-93"/>
          <w:sz w:val="24"/>
          <w:szCs w:val="24"/>
        </w:rPr>
        <w:t> </w:t>
      </w:r>
      <w:r>
        <w:rPr>
          <w:rFonts w:ascii="宋体" w:hAnsi="宋体" w:cs="宋体" w:eastAsia="宋体" w:hint="default"/>
          <w:spacing w:val="-93"/>
          <w:sz w:val="24"/>
          <w:szCs w:val="24"/>
        </w:rPr>
      </w:r>
      <w:r>
        <w:rPr>
          <w:rFonts w:ascii="宋体" w:hAnsi="宋体" w:cs="宋体" w:eastAsia="宋体" w:hint="default"/>
          <w:sz w:val="24"/>
          <w:szCs w:val="24"/>
        </w:rPr>
        <w:t>了解公司情况，建立对公司发展的信心，获得了投资者的认可。</w:t>
      </w:r>
    </w:p>
    <w:p>
      <w:pPr>
        <w:spacing w:line="283" w:lineRule="exact" w:before="0"/>
        <w:ind w:left="598" w:right="100" w:firstLine="0"/>
        <w:jc w:val="left"/>
        <w:rPr>
          <w:rFonts w:ascii="宋体" w:hAnsi="宋体" w:cs="宋体" w:eastAsia="宋体" w:hint="default"/>
          <w:sz w:val="24"/>
          <w:szCs w:val="24"/>
        </w:rPr>
      </w:pPr>
      <w:r>
        <w:rPr>
          <w:rFonts w:ascii="宋体" w:hAnsi="宋体" w:cs="宋体" w:eastAsia="宋体" w:hint="default"/>
          <w:sz w:val="24"/>
          <w:szCs w:val="24"/>
        </w:rPr>
        <w:t>公司精心准备每一届股东大会，详细介绍公司的经营策略和发展战略，并认真回答</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BodyText"/>
        <w:spacing w:line="240" w:lineRule="auto" w:before="0"/>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6"/>
        <w:rPr>
          <w:rFonts w:ascii="黑体" w:hAnsi="黑体" w:cs="黑体" w:eastAsia="黑体" w:hint="default"/>
          <w:sz w:val="15"/>
          <w:szCs w:val="15"/>
        </w:rPr>
      </w:pPr>
    </w:p>
    <w:p>
      <w:pPr>
        <w:pStyle w:val="Heading5"/>
        <w:spacing w:line="312" w:lineRule="exact" w:before="56"/>
        <w:ind w:right="233"/>
        <w:jc w:val="both"/>
      </w:pPr>
      <w:r>
        <w:rPr>
          <w:spacing w:val="-2"/>
        </w:rPr>
        <w:t>投资者的提问，听取他们意见和建议，同时，组织到会投资者参观、了解投资项目的进</w:t>
      </w:r>
      <w:r>
        <w:rPr>
          <w:spacing w:val="-94"/>
        </w:rPr>
        <w:t> </w:t>
      </w:r>
      <w:r>
        <w:rPr>
          <w:spacing w:val="-94"/>
        </w:rPr>
      </w:r>
      <w:r>
        <w:rPr/>
        <w:t>展情况，使他们找到一种所有者的感觉。报告期内，公司邀请投资者参加东软成立</w:t>
      </w:r>
      <w:r>
        <w:rPr>
          <w:spacing w:val="53"/>
        </w:rPr>
        <w:t> </w:t>
      </w:r>
      <w:r>
        <w:rPr/>
        <w:t>20</w:t>
      </w:r>
      <w:r>
        <w:rPr>
          <w:spacing w:val="-113"/>
        </w:rPr>
        <w:t> </w:t>
      </w:r>
      <w:r>
        <w:rPr>
          <w:spacing w:val="-113"/>
        </w:rPr>
      </w:r>
      <w:r>
        <w:rPr>
          <w:spacing w:val="-2"/>
        </w:rPr>
        <w:t>周年系列活动，使投资者进一步了解公司未来的愿景和发展战略。此外，公司还安排了</w:t>
      </w:r>
      <w:r>
        <w:rPr>
          <w:spacing w:val="-95"/>
        </w:rPr>
        <w:t> </w:t>
      </w:r>
      <w:r>
        <w:rPr>
          <w:spacing w:val="-95"/>
        </w:rPr>
      </w:r>
      <w:r>
        <w:rPr>
          <w:spacing w:val="-2"/>
        </w:rPr>
        <w:t>“唐山数字化健康服务平台”等项目的参观活动，与投资者就公司具体业务情况进行深</w:t>
      </w:r>
      <w:r>
        <w:rPr>
          <w:spacing w:val="-96"/>
        </w:rPr>
        <w:t> </w:t>
      </w:r>
      <w:r>
        <w:rPr>
          <w:spacing w:val="-96"/>
        </w:rPr>
      </w:r>
      <w:r>
        <w:rPr/>
        <w:t>入交流。2011</w:t>
      </w:r>
      <w:r>
        <w:rPr>
          <w:spacing w:val="-60"/>
        </w:rPr>
        <w:t> </w:t>
      </w:r>
      <w:r>
        <w:rPr/>
        <w:t>年度，公司现场接待投资者共计</w:t>
      </w:r>
      <w:r>
        <w:rPr>
          <w:spacing w:val="-60"/>
        </w:rPr>
        <w:t> </w:t>
      </w:r>
      <w:r>
        <w:rPr/>
        <w:t>100</w:t>
      </w:r>
      <w:r>
        <w:rPr>
          <w:spacing w:val="-60"/>
        </w:rPr>
        <w:t> </w:t>
      </w:r>
      <w:r>
        <w:rPr/>
        <w:t>人次。</w:t>
      </w:r>
    </w:p>
    <w:p>
      <w:pPr>
        <w:spacing w:line="310" w:lineRule="exact" w:before="126"/>
        <w:ind w:left="598" w:right="100" w:hanging="480"/>
        <w:jc w:val="left"/>
        <w:rPr>
          <w:rFonts w:ascii="宋体" w:hAnsi="宋体" w:cs="宋体" w:eastAsia="宋体" w:hint="default"/>
          <w:sz w:val="24"/>
          <w:szCs w:val="24"/>
        </w:rPr>
      </w:pPr>
      <w:r>
        <w:rPr>
          <w:rFonts w:ascii="宋体" w:hAnsi="宋体" w:cs="宋体" w:eastAsia="宋体" w:hint="default"/>
          <w:sz w:val="24"/>
          <w:szCs w:val="24"/>
        </w:rPr>
        <w:t>3、健全激励与约束机制 </w:t>
      </w:r>
      <w:r>
        <w:rPr>
          <w:rFonts w:ascii="宋体" w:hAnsi="宋体" w:cs="宋体" w:eastAsia="宋体" w:hint="default"/>
          <w:spacing w:val="-2"/>
          <w:sz w:val="24"/>
          <w:szCs w:val="24"/>
        </w:rPr>
        <w:t>目前，公司尚未实施股权激励计划。作为一家以计算机软件为主营业务的高科技企</w:t>
      </w:r>
    </w:p>
    <w:p>
      <w:pPr>
        <w:spacing w:line="312" w:lineRule="exact" w:before="0"/>
        <w:ind w:left="118" w:right="233" w:firstLine="0"/>
        <w:jc w:val="both"/>
        <w:rPr>
          <w:rFonts w:ascii="宋体" w:hAnsi="宋体" w:cs="宋体" w:eastAsia="宋体" w:hint="default"/>
          <w:sz w:val="24"/>
          <w:szCs w:val="24"/>
        </w:rPr>
      </w:pPr>
      <w:r>
        <w:rPr>
          <w:rFonts w:ascii="宋体" w:hAnsi="宋体" w:cs="宋体" w:eastAsia="宋体" w:hint="default"/>
          <w:spacing w:val="-2"/>
          <w:sz w:val="24"/>
          <w:szCs w:val="24"/>
        </w:rPr>
        <w:t>业，聚集、稳定一批高水平的人才是企业生存、发展的关键因素。面对高端人才紧缺且</w:t>
      </w:r>
      <w:r>
        <w:rPr>
          <w:rFonts w:ascii="宋体" w:hAnsi="宋体" w:cs="宋体" w:eastAsia="宋体" w:hint="default"/>
          <w:spacing w:val="-94"/>
          <w:sz w:val="24"/>
          <w:szCs w:val="24"/>
        </w:rPr>
        <w:t> </w:t>
      </w:r>
      <w:r>
        <w:rPr>
          <w:rFonts w:ascii="宋体" w:hAnsi="宋体" w:cs="宋体" w:eastAsia="宋体" w:hint="default"/>
          <w:spacing w:val="-94"/>
          <w:sz w:val="24"/>
          <w:szCs w:val="24"/>
        </w:rPr>
      </w:r>
      <w:r>
        <w:rPr>
          <w:rFonts w:ascii="宋体" w:hAnsi="宋体" w:cs="宋体" w:eastAsia="宋体" w:hint="default"/>
          <w:spacing w:val="-2"/>
          <w:sz w:val="24"/>
          <w:szCs w:val="24"/>
        </w:rPr>
        <w:t>流动率相对较高的行业特点，公司将根据监管部门的规定和公司的实际情况，适时推出</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3"/>
          <w:sz w:val="24"/>
          <w:szCs w:val="24"/>
        </w:rPr>
        <w:t>公司的股权激励计划，实现股东、公司和员工利益的统一，以完善公司治理结构，促进</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公司规范运作与持续发展。</w:t>
      </w:r>
    </w:p>
    <w:p>
      <w:pPr>
        <w:spacing w:line="312" w:lineRule="exact" w:before="124"/>
        <w:ind w:left="598" w:right="100" w:hanging="480"/>
        <w:jc w:val="left"/>
        <w:rPr>
          <w:rFonts w:ascii="宋体" w:hAnsi="宋体" w:cs="宋体" w:eastAsia="宋体" w:hint="default"/>
          <w:sz w:val="24"/>
          <w:szCs w:val="24"/>
        </w:rPr>
      </w:pPr>
      <w:r>
        <w:rPr>
          <w:rFonts w:ascii="宋体" w:hAnsi="宋体" w:cs="宋体" w:eastAsia="宋体" w:hint="default"/>
          <w:sz w:val="24"/>
          <w:szCs w:val="24"/>
        </w:rPr>
        <w:t>4、健全和完善内控制度 </w:t>
      </w:r>
      <w:r>
        <w:rPr>
          <w:rFonts w:ascii="宋体" w:hAnsi="宋体" w:cs="宋体" w:eastAsia="宋体" w:hint="default"/>
          <w:spacing w:val="-2"/>
          <w:sz w:val="24"/>
          <w:szCs w:val="24"/>
        </w:rPr>
        <w:t>公司高度重视内部控制，随着公司业务规模的扩大和国际化进程的加快，公司持续</w:t>
      </w:r>
    </w:p>
    <w:p>
      <w:pPr>
        <w:spacing w:line="312" w:lineRule="exact" w:before="0"/>
        <w:ind w:left="118" w:right="234" w:firstLine="0"/>
        <w:jc w:val="both"/>
        <w:rPr>
          <w:rFonts w:ascii="宋体" w:hAnsi="宋体" w:cs="宋体" w:eastAsia="宋体" w:hint="default"/>
          <w:sz w:val="24"/>
          <w:szCs w:val="24"/>
        </w:rPr>
      </w:pPr>
      <w:r>
        <w:rPr>
          <w:rFonts w:ascii="宋体" w:hAnsi="宋体" w:cs="宋体" w:eastAsia="宋体" w:hint="default"/>
          <w:spacing w:val="-2"/>
          <w:sz w:val="24"/>
          <w:szCs w:val="24"/>
        </w:rPr>
        <w:t>健全内部控制制度，加强内部控制制度的有效实施。本报告期内，公司对内部控制体系</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2"/>
          <w:sz w:val="24"/>
          <w:szCs w:val="24"/>
        </w:rPr>
        <w:t>和制度进行了全面、系统的梳理与评估，深入开展风险评估工作，加强了董事会对内部</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控制的审核与指导，进一步健全完善了内部控制体系。</w:t>
      </w:r>
    </w:p>
    <w:p>
      <w:pPr>
        <w:spacing w:line="312" w:lineRule="exact" w:before="94"/>
        <w:ind w:left="118" w:right="0" w:firstLine="0"/>
        <w:jc w:val="both"/>
        <w:rPr>
          <w:rFonts w:ascii="宋体" w:hAnsi="宋体" w:cs="宋体" w:eastAsia="宋体" w:hint="default"/>
          <w:sz w:val="24"/>
          <w:szCs w:val="24"/>
        </w:rPr>
      </w:pPr>
      <w:r>
        <w:rPr>
          <w:rFonts w:ascii="宋体" w:hAnsi="宋体" w:cs="宋体" w:eastAsia="宋体" w:hint="default"/>
          <w:sz w:val="24"/>
          <w:szCs w:val="24"/>
        </w:rPr>
        <w:t>5、加强董事、监事、高级管理人员的培训工作</w:t>
      </w:r>
    </w:p>
    <w:p>
      <w:pPr>
        <w:spacing w:line="312" w:lineRule="exact" w:before="29"/>
        <w:ind w:left="118" w:right="185" w:firstLine="480"/>
        <w:jc w:val="both"/>
        <w:rPr>
          <w:rFonts w:ascii="宋体" w:hAnsi="宋体" w:cs="宋体" w:eastAsia="宋体" w:hint="default"/>
          <w:sz w:val="24"/>
          <w:szCs w:val="24"/>
        </w:rPr>
      </w:pPr>
      <w:r>
        <w:rPr>
          <w:rFonts w:ascii="宋体" w:hAnsi="宋体" w:cs="宋体" w:eastAsia="宋体" w:hint="default"/>
          <w:spacing w:val="20"/>
          <w:sz w:val="24"/>
          <w:szCs w:val="24"/>
        </w:rPr>
        <w:t>2011年5</w:t>
      </w:r>
      <w:r>
        <w:rPr>
          <w:rFonts w:ascii="宋体" w:hAnsi="宋体" w:cs="宋体" w:eastAsia="宋体" w:hint="default"/>
          <w:spacing w:val="-54"/>
          <w:sz w:val="24"/>
          <w:szCs w:val="24"/>
        </w:rPr>
        <w:t> </w:t>
      </w:r>
      <w:r>
        <w:rPr>
          <w:rFonts w:ascii="宋体" w:hAnsi="宋体" w:cs="宋体" w:eastAsia="宋体" w:hint="default"/>
          <w:spacing w:val="-4"/>
          <w:sz w:val="24"/>
          <w:szCs w:val="24"/>
        </w:rPr>
        <w:t>月，公司完成了新一届董事会、监事会、高级管理人员团队的换届选举工</w:t>
      </w:r>
      <w:r>
        <w:rPr>
          <w:rFonts w:ascii="宋体" w:hAnsi="宋体" w:cs="宋体" w:eastAsia="宋体" w:hint="default"/>
          <w:sz w:val="24"/>
          <w:szCs w:val="24"/>
        </w:rPr>
        <w:t> </w:t>
      </w:r>
      <w:r>
        <w:rPr>
          <w:rFonts w:ascii="宋体" w:hAnsi="宋体" w:cs="宋体" w:eastAsia="宋体" w:hint="default"/>
          <w:spacing w:val="-2"/>
          <w:sz w:val="24"/>
          <w:szCs w:val="24"/>
        </w:rPr>
        <w:t>作，公司通过发送上海证券交易所编写的《上市公司董事、监事、高管手册》、梳理并</w:t>
      </w:r>
      <w:r>
        <w:rPr>
          <w:rFonts w:ascii="宋体" w:hAnsi="宋体" w:cs="宋体" w:eastAsia="宋体" w:hint="default"/>
          <w:spacing w:val="-106"/>
          <w:sz w:val="24"/>
          <w:szCs w:val="24"/>
        </w:rPr>
        <w:t> </w:t>
      </w:r>
      <w:r>
        <w:rPr>
          <w:rFonts w:ascii="宋体" w:hAnsi="宋体" w:cs="宋体" w:eastAsia="宋体" w:hint="default"/>
          <w:spacing w:val="-106"/>
          <w:sz w:val="24"/>
          <w:szCs w:val="24"/>
        </w:rPr>
      </w:r>
      <w:r>
        <w:rPr>
          <w:rFonts w:ascii="宋体" w:hAnsi="宋体" w:cs="宋体" w:eastAsia="宋体" w:hint="default"/>
          <w:spacing w:val="-2"/>
          <w:sz w:val="24"/>
          <w:szCs w:val="24"/>
        </w:rPr>
        <w:t>发布相关制度等方式，加强公司董事、监事和高级管理人员对于有关法律法规和证券市</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3"/>
          <w:sz w:val="24"/>
          <w:szCs w:val="24"/>
        </w:rPr>
        <w:t>场规则的理解。报告期内，公司积极组织董事、监事、高级管理人员参加证券监管部门</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组织的各项法律法规、规则制度的学习，树立公司规范化运作的理念，强化自律意识，</w:t>
      </w:r>
      <w:r>
        <w:rPr>
          <w:rFonts w:ascii="宋体" w:hAnsi="宋体" w:cs="宋体" w:eastAsia="宋体" w:hint="default"/>
          <w:sz w:val="24"/>
          <w:szCs w:val="24"/>
        </w:rPr>
        <w:t> 完善公司治理结构。</w:t>
      </w:r>
    </w:p>
    <w:p>
      <w:pPr>
        <w:spacing w:line="312" w:lineRule="exact" w:before="0"/>
        <w:ind w:left="118" w:right="100" w:firstLine="480"/>
        <w:jc w:val="left"/>
        <w:rPr>
          <w:rFonts w:ascii="宋体" w:hAnsi="宋体" w:cs="宋体" w:eastAsia="宋体" w:hint="default"/>
          <w:sz w:val="24"/>
          <w:szCs w:val="24"/>
        </w:rPr>
      </w:pPr>
      <w:r>
        <w:rPr>
          <w:rFonts w:ascii="宋体" w:hAnsi="宋体" w:cs="宋体" w:eastAsia="宋体" w:hint="default"/>
          <w:spacing w:val="-15"/>
          <w:sz w:val="24"/>
          <w:szCs w:val="24"/>
        </w:rPr>
        <w:t>未来，公司将继续加强和完善公司治理结构，对照《公司法》、《证券法》、《上市公</w:t>
      </w:r>
      <w:r>
        <w:rPr>
          <w:rFonts w:ascii="宋体" w:hAnsi="宋体" w:cs="宋体" w:eastAsia="宋体" w:hint="default"/>
          <w:spacing w:val="-1"/>
          <w:sz w:val="24"/>
          <w:szCs w:val="24"/>
        </w:rPr>
        <w:t> </w:t>
      </w:r>
      <w:r>
        <w:rPr>
          <w:rFonts w:ascii="宋体" w:hAnsi="宋体" w:cs="宋体" w:eastAsia="宋体" w:hint="default"/>
          <w:spacing w:val="-8"/>
          <w:sz w:val="24"/>
          <w:szCs w:val="24"/>
        </w:rPr>
        <w:t>司信息披露管理办法》、《股票上市规则》等法律法规及相关规范性文件的要求，不断加</w:t>
      </w:r>
      <w:r>
        <w:rPr>
          <w:rFonts w:ascii="宋体" w:hAnsi="宋体" w:cs="宋体" w:eastAsia="宋体" w:hint="default"/>
          <w:spacing w:val="-99"/>
          <w:sz w:val="24"/>
          <w:szCs w:val="24"/>
        </w:rPr>
        <w:t> </w:t>
      </w:r>
      <w:r>
        <w:rPr>
          <w:rFonts w:ascii="宋体" w:hAnsi="宋体" w:cs="宋体" w:eastAsia="宋体" w:hint="default"/>
          <w:spacing w:val="-99"/>
          <w:sz w:val="24"/>
          <w:szCs w:val="24"/>
        </w:rPr>
      </w:r>
      <w:r>
        <w:rPr>
          <w:rFonts w:ascii="宋体" w:hAnsi="宋体" w:cs="宋体" w:eastAsia="宋体" w:hint="default"/>
          <w:spacing w:val="-5"/>
          <w:sz w:val="24"/>
          <w:szCs w:val="24"/>
        </w:rPr>
        <w:t>强公司管理制度和内控制度建设，规范股东大会、董事会和监事会运作，持续提高董事、</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监事、高级管理人员对规范运作和诚信意识的认识和理解，牢固树立公司规范化运作的</w:t>
      </w:r>
      <w:r>
        <w:rPr>
          <w:rFonts w:ascii="宋体" w:hAnsi="宋体" w:cs="宋体" w:eastAsia="宋体" w:hint="default"/>
          <w:sz w:val="24"/>
          <w:szCs w:val="24"/>
        </w:rPr>
        <w:t> 理念，积极推动公司治理水平的进一步提高。</w:t>
      </w:r>
    </w:p>
    <w:p>
      <w:pPr>
        <w:spacing w:line="331" w:lineRule="auto" w:before="157"/>
        <w:ind w:left="118" w:right="6046" w:firstLine="0"/>
        <w:jc w:val="left"/>
        <w:rPr>
          <w:rFonts w:ascii="宋体" w:hAnsi="宋体" w:cs="宋体" w:eastAsia="宋体" w:hint="default"/>
          <w:sz w:val="24"/>
          <w:szCs w:val="24"/>
        </w:rPr>
      </w:pPr>
      <w:r>
        <w:rPr>
          <w:rFonts w:ascii="宋体" w:hAnsi="宋体" w:cs="宋体" w:eastAsia="宋体" w:hint="default"/>
          <w:b/>
          <w:bCs/>
          <w:sz w:val="24"/>
          <w:szCs w:val="24"/>
        </w:rPr>
        <w:t>（二）董事履行职责情况</w:t>
      </w:r>
      <w:r>
        <w:rPr>
          <w:rFonts w:ascii="宋体" w:hAnsi="宋体" w:cs="宋体" w:eastAsia="宋体" w:hint="default"/>
          <w:b/>
          <w:bCs/>
          <w:spacing w:val="1"/>
          <w:w w:val="99"/>
          <w:sz w:val="24"/>
          <w:szCs w:val="24"/>
        </w:rPr>
        <w:t> </w:t>
      </w:r>
      <w:r>
        <w:rPr>
          <w:rFonts w:ascii="宋体" w:hAnsi="宋体" w:cs="宋体" w:eastAsia="宋体" w:hint="default"/>
          <w:sz w:val="24"/>
          <w:szCs w:val="24"/>
        </w:rPr>
        <w:t>1、董事参加董事会的出席情况</w:t>
      </w:r>
    </w:p>
    <w:p>
      <w:pPr>
        <w:pStyle w:val="Heading5"/>
        <w:spacing w:line="220" w:lineRule="exact"/>
        <w:ind w:left="598" w:right="100"/>
        <w:jc w:val="left"/>
      </w:pPr>
      <w:r>
        <w:rPr/>
        <w:t>报告期内，董事会共召开</w:t>
      </w:r>
      <w:r>
        <w:rPr>
          <w:spacing w:val="-50"/>
        </w:rPr>
        <w:t> </w:t>
      </w:r>
      <w:r>
        <w:rPr/>
        <w:t>12</w:t>
      </w:r>
      <w:r>
        <w:rPr>
          <w:spacing w:val="-50"/>
        </w:rPr>
        <w:t> </w:t>
      </w:r>
      <w:r>
        <w:rPr/>
        <w:t>次会议，其中现场方式召开会议为</w:t>
      </w:r>
      <w:r>
        <w:rPr>
          <w:spacing w:val="-50"/>
        </w:rPr>
        <w:t> </w:t>
      </w:r>
      <w:r>
        <w:rPr/>
        <w:t>3</w:t>
      </w:r>
      <w:r>
        <w:rPr>
          <w:spacing w:val="-52"/>
        </w:rPr>
        <w:t> </w:t>
      </w:r>
      <w:r>
        <w:rPr/>
        <w:t>次，通讯方式召</w:t>
      </w:r>
    </w:p>
    <w:p>
      <w:pPr>
        <w:spacing w:line="313" w:lineRule="exact" w:before="0"/>
        <w:ind w:left="118" w:right="0" w:firstLine="0"/>
        <w:jc w:val="both"/>
        <w:rPr>
          <w:rFonts w:ascii="宋体" w:hAnsi="宋体" w:cs="宋体" w:eastAsia="宋体" w:hint="default"/>
          <w:sz w:val="24"/>
          <w:szCs w:val="24"/>
        </w:rPr>
      </w:pPr>
      <w:r>
        <w:rPr>
          <w:rFonts w:ascii="宋体" w:hAnsi="宋体" w:cs="宋体" w:eastAsia="宋体" w:hint="default"/>
          <w:sz w:val="24"/>
          <w:szCs w:val="24"/>
        </w:rPr>
        <w:t>开会议</w:t>
      </w:r>
      <w:r>
        <w:rPr>
          <w:rFonts w:ascii="宋体" w:hAnsi="宋体" w:cs="宋体" w:eastAsia="宋体" w:hint="default"/>
          <w:spacing w:val="-60"/>
          <w:sz w:val="24"/>
          <w:szCs w:val="24"/>
        </w:rPr>
        <w:t> </w:t>
      </w:r>
      <w:r>
        <w:rPr>
          <w:rFonts w:ascii="宋体" w:hAnsi="宋体" w:cs="宋体" w:eastAsia="宋体" w:hint="default"/>
          <w:sz w:val="24"/>
          <w:szCs w:val="24"/>
        </w:rPr>
        <w:t>9</w:t>
      </w:r>
      <w:r>
        <w:rPr>
          <w:rFonts w:ascii="宋体" w:hAnsi="宋体" w:cs="宋体" w:eastAsia="宋体" w:hint="default"/>
          <w:spacing w:val="-60"/>
          <w:sz w:val="24"/>
          <w:szCs w:val="24"/>
        </w:rPr>
        <w:t> </w:t>
      </w:r>
      <w:r>
        <w:rPr>
          <w:rFonts w:ascii="宋体" w:hAnsi="宋体" w:cs="宋体" w:eastAsia="宋体" w:hint="default"/>
          <w:sz w:val="24"/>
          <w:szCs w:val="24"/>
        </w:rPr>
        <w:t>次。董事参会情况如下：</w:t>
      </w:r>
    </w:p>
    <w:p>
      <w:pPr>
        <w:spacing w:line="240" w:lineRule="auto" w:before="11"/>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2268"/>
        <w:gridCol w:w="1134"/>
        <w:gridCol w:w="1276"/>
        <w:gridCol w:w="852"/>
        <w:gridCol w:w="850"/>
        <w:gridCol w:w="709"/>
        <w:gridCol w:w="709"/>
        <w:gridCol w:w="1380"/>
      </w:tblGrid>
      <w:tr>
        <w:trPr>
          <w:trHeight w:val="947"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709" w:right="0"/>
              <w:jc w:val="left"/>
              <w:rPr>
                <w:rFonts w:ascii="宋体" w:hAnsi="宋体" w:cs="宋体" w:eastAsia="宋体" w:hint="default"/>
                <w:sz w:val="21"/>
                <w:szCs w:val="21"/>
              </w:rPr>
            </w:pPr>
            <w:r>
              <w:rPr>
                <w:rFonts w:ascii="宋体" w:hAnsi="宋体" w:cs="宋体" w:eastAsia="宋体" w:hint="default"/>
                <w:sz w:val="21"/>
                <w:szCs w:val="21"/>
              </w:rPr>
              <w:t>董事姓名</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2"/>
              <w:ind w:left="351" w:right="140" w:hanging="210"/>
              <w:jc w:val="left"/>
              <w:rPr>
                <w:rFonts w:ascii="宋体" w:hAnsi="宋体" w:cs="宋体" w:eastAsia="宋体" w:hint="default"/>
                <w:sz w:val="21"/>
                <w:szCs w:val="21"/>
              </w:rPr>
            </w:pPr>
            <w:r>
              <w:rPr>
                <w:rFonts w:ascii="宋体" w:hAnsi="宋体" w:cs="宋体" w:eastAsia="宋体" w:hint="default"/>
                <w:sz w:val="21"/>
                <w:szCs w:val="21"/>
              </w:rPr>
              <w:t>是否独立 董事</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2"/>
              <w:ind w:left="107" w:right="106"/>
              <w:jc w:val="left"/>
              <w:rPr>
                <w:rFonts w:ascii="宋体" w:hAnsi="宋体" w:cs="宋体" w:eastAsia="宋体" w:hint="default"/>
                <w:sz w:val="21"/>
                <w:szCs w:val="21"/>
              </w:rPr>
            </w:pPr>
            <w:r>
              <w:rPr>
                <w:rFonts w:ascii="宋体" w:hAnsi="宋体" w:cs="宋体" w:eastAsia="宋体" w:hint="default"/>
                <w:sz w:val="21"/>
                <w:szCs w:val="21"/>
              </w:rPr>
              <w:t>本年应参加 董事会次数</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2"/>
              <w:ind w:left="105" w:right="104"/>
              <w:jc w:val="left"/>
              <w:rPr>
                <w:rFonts w:ascii="宋体" w:hAnsi="宋体" w:cs="宋体" w:eastAsia="宋体" w:hint="default"/>
                <w:sz w:val="21"/>
                <w:szCs w:val="21"/>
              </w:rPr>
            </w:pPr>
            <w:r>
              <w:rPr>
                <w:rFonts w:ascii="宋体" w:hAnsi="宋体" w:cs="宋体" w:eastAsia="宋体" w:hint="default"/>
                <w:sz w:val="21"/>
                <w:szCs w:val="21"/>
              </w:rPr>
              <w:t>亲自出 席次数</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以通讯</w:t>
            </w:r>
          </w:p>
          <w:p>
            <w:pPr>
              <w:pStyle w:val="TableParagraph"/>
              <w:spacing w:line="273" w:lineRule="auto" w:before="37"/>
              <w:ind w:left="103" w:right="104"/>
              <w:jc w:val="left"/>
              <w:rPr>
                <w:rFonts w:ascii="宋体" w:hAnsi="宋体" w:cs="宋体" w:eastAsia="宋体" w:hint="default"/>
                <w:sz w:val="21"/>
                <w:szCs w:val="21"/>
              </w:rPr>
            </w:pPr>
            <w:r>
              <w:rPr>
                <w:rFonts w:ascii="宋体" w:hAnsi="宋体" w:cs="宋体" w:eastAsia="宋体" w:hint="default"/>
                <w:sz w:val="21"/>
                <w:szCs w:val="21"/>
              </w:rPr>
              <w:t>方式参 加次数</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37" w:right="0"/>
              <w:jc w:val="left"/>
              <w:rPr>
                <w:rFonts w:ascii="宋体" w:hAnsi="宋体" w:cs="宋体" w:eastAsia="宋体" w:hint="default"/>
                <w:sz w:val="21"/>
                <w:szCs w:val="21"/>
              </w:rPr>
            </w:pPr>
            <w:r>
              <w:rPr>
                <w:rFonts w:ascii="宋体" w:hAnsi="宋体" w:cs="宋体" w:eastAsia="宋体" w:hint="default"/>
                <w:sz w:val="21"/>
                <w:szCs w:val="21"/>
              </w:rPr>
              <w:t>委托</w:t>
            </w:r>
          </w:p>
          <w:p>
            <w:pPr>
              <w:pStyle w:val="TableParagraph"/>
              <w:spacing w:line="273" w:lineRule="auto" w:before="37"/>
              <w:ind w:left="137" w:right="139"/>
              <w:jc w:val="left"/>
              <w:rPr>
                <w:rFonts w:ascii="宋体" w:hAnsi="宋体" w:cs="宋体" w:eastAsia="宋体" w:hint="default"/>
                <w:sz w:val="21"/>
                <w:szCs w:val="21"/>
              </w:rPr>
            </w:pPr>
            <w:r>
              <w:rPr>
                <w:rFonts w:ascii="宋体" w:hAnsi="宋体" w:cs="宋体" w:eastAsia="宋体" w:hint="default"/>
                <w:sz w:val="21"/>
                <w:szCs w:val="21"/>
              </w:rPr>
              <w:t>出席 次数</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2"/>
              <w:ind w:left="137" w:right="139"/>
              <w:jc w:val="left"/>
              <w:rPr>
                <w:rFonts w:ascii="宋体" w:hAnsi="宋体" w:cs="宋体" w:eastAsia="宋体" w:hint="default"/>
                <w:sz w:val="21"/>
                <w:szCs w:val="21"/>
              </w:rPr>
            </w:pPr>
            <w:r>
              <w:rPr>
                <w:rFonts w:ascii="宋体" w:hAnsi="宋体" w:cs="宋体" w:eastAsia="宋体" w:hint="default"/>
                <w:sz w:val="21"/>
                <w:szCs w:val="21"/>
              </w:rPr>
              <w:t>缺席 次数</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59" w:right="0"/>
              <w:jc w:val="left"/>
              <w:rPr>
                <w:rFonts w:ascii="宋体" w:hAnsi="宋体" w:cs="宋体" w:eastAsia="宋体" w:hint="default"/>
                <w:sz w:val="21"/>
                <w:szCs w:val="21"/>
              </w:rPr>
            </w:pPr>
            <w:r>
              <w:rPr>
                <w:rFonts w:ascii="宋体" w:hAnsi="宋体" w:cs="宋体" w:eastAsia="宋体" w:hint="default"/>
                <w:sz w:val="21"/>
                <w:szCs w:val="21"/>
              </w:rPr>
              <w:t>是否连续两</w:t>
            </w:r>
          </w:p>
          <w:p>
            <w:pPr>
              <w:pStyle w:val="TableParagraph"/>
              <w:spacing w:line="273" w:lineRule="auto" w:before="37"/>
              <w:ind w:left="369" w:right="158" w:hanging="210"/>
              <w:jc w:val="left"/>
              <w:rPr>
                <w:rFonts w:ascii="宋体" w:hAnsi="宋体" w:cs="宋体" w:eastAsia="宋体" w:hint="default"/>
                <w:sz w:val="21"/>
                <w:szCs w:val="21"/>
              </w:rPr>
            </w:pPr>
            <w:r>
              <w:rPr>
                <w:rFonts w:ascii="宋体" w:hAnsi="宋体" w:cs="宋体" w:eastAsia="宋体" w:hint="default"/>
                <w:sz w:val="21"/>
                <w:szCs w:val="21"/>
              </w:rPr>
              <w:t>次未亲自参 加会议</w:t>
            </w:r>
          </w:p>
        </w:tc>
      </w:tr>
      <w:tr>
        <w:trPr>
          <w:trHeight w:val="322"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刘积仁</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12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13" w:right="0"/>
              <w:jc w:val="left"/>
              <w:rPr>
                <w:rFonts w:ascii="宋体" w:hAnsi="宋体" w:cs="宋体" w:eastAsia="宋体" w:hint="default"/>
                <w:sz w:val="21"/>
                <w:szCs w:val="21"/>
              </w:rPr>
            </w:pPr>
            <w:r>
              <w:rPr>
                <w:rFonts w:ascii="宋体"/>
                <w:sz w:val="21"/>
              </w:rPr>
              <w:t>12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
              <w:jc w:val="center"/>
              <w:rPr>
                <w:rFonts w:ascii="宋体" w:hAnsi="宋体" w:cs="宋体" w:eastAsia="宋体" w:hint="default"/>
                <w:sz w:val="21"/>
                <w:szCs w:val="21"/>
              </w:rPr>
            </w:pPr>
            <w:r>
              <w:rPr>
                <w:rFonts w:ascii="宋体"/>
                <w:sz w:val="21"/>
              </w:rPr>
              <w:t>9</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97"/>
              <w:jc w:val="right"/>
              <w:rPr>
                <w:rFonts w:ascii="宋体" w:hAnsi="宋体" w:cs="宋体" w:eastAsia="宋体" w:hint="default"/>
                <w:sz w:val="21"/>
                <w:szCs w:val="21"/>
              </w:rPr>
            </w:pPr>
            <w:r>
              <w:rPr>
                <w:rFonts w:ascii="宋体"/>
                <w:sz w:val="21"/>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0</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579"/>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322"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王勇峰</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12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13" w:right="0"/>
              <w:jc w:val="left"/>
              <w:rPr>
                <w:rFonts w:ascii="宋体" w:hAnsi="宋体" w:cs="宋体" w:eastAsia="宋体" w:hint="default"/>
                <w:sz w:val="21"/>
                <w:szCs w:val="21"/>
              </w:rPr>
            </w:pPr>
            <w:r>
              <w:rPr>
                <w:rFonts w:ascii="宋体"/>
                <w:sz w:val="21"/>
              </w:rPr>
              <w:t>12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
              <w:jc w:val="center"/>
              <w:rPr>
                <w:rFonts w:ascii="宋体" w:hAnsi="宋体" w:cs="宋体" w:eastAsia="宋体" w:hint="default"/>
                <w:sz w:val="21"/>
                <w:szCs w:val="21"/>
              </w:rPr>
            </w:pPr>
            <w:r>
              <w:rPr>
                <w:rFonts w:ascii="宋体"/>
                <w:sz w:val="21"/>
              </w:rPr>
              <w:t>9</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97"/>
              <w:jc w:val="right"/>
              <w:rPr>
                <w:rFonts w:ascii="宋体" w:hAnsi="宋体" w:cs="宋体" w:eastAsia="宋体" w:hint="default"/>
                <w:sz w:val="21"/>
                <w:szCs w:val="21"/>
              </w:rPr>
            </w:pPr>
            <w:r>
              <w:rPr>
                <w:rFonts w:ascii="宋体"/>
                <w:sz w:val="21"/>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0</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579"/>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32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王莉</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12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314" w:right="0"/>
              <w:jc w:val="left"/>
              <w:rPr>
                <w:rFonts w:ascii="宋体" w:hAnsi="宋体" w:cs="宋体" w:eastAsia="宋体" w:hint="default"/>
                <w:sz w:val="21"/>
                <w:szCs w:val="21"/>
              </w:rPr>
            </w:pPr>
            <w:r>
              <w:rPr>
                <w:rFonts w:ascii="宋体"/>
                <w:sz w:val="21"/>
              </w:rPr>
              <w:t>12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2"/>
              <w:jc w:val="center"/>
              <w:rPr>
                <w:rFonts w:ascii="宋体" w:hAnsi="宋体" w:cs="宋体" w:eastAsia="宋体" w:hint="default"/>
                <w:sz w:val="21"/>
                <w:szCs w:val="21"/>
              </w:rPr>
            </w:pPr>
            <w:r>
              <w:rPr>
                <w:rFonts w:ascii="宋体"/>
                <w:sz w:val="21"/>
              </w:rPr>
              <w:t>9</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296"/>
              <w:jc w:val="right"/>
              <w:rPr>
                <w:rFonts w:ascii="宋体" w:hAnsi="宋体" w:cs="宋体" w:eastAsia="宋体" w:hint="default"/>
                <w:sz w:val="21"/>
                <w:szCs w:val="21"/>
              </w:rPr>
            </w:pPr>
            <w:r>
              <w:rPr>
                <w:rFonts w:ascii="宋体"/>
                <w:sz w:val="21"/>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0</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578"/>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322"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石黑征三</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12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13" w:right="0"/>
              <w:jc w:val="left"/>
              <w:rPr>
                <w:rFonts w:ascii="宋体" w:hAnsi="宋体" w:cs="宋体" w:eastAsia="宋体" w:hint="default"/>
                <w:sz w:val="21"/>
                <w:szCs w:val="21"/>
              </w:rPr>
            </w:pPr>
            <w:r>
              <w:rPr>
                <w:rFonts w:ascii="宋体"/>
                <w:sz w:val="21"/>
              </w:rPr>
              <w:t>11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3"/>
              <w:jc w:val="center"/>
              <w:rPr>
                <w:rFonts w:ascii="宋体" w:hAnsi="宋体" w:cs="宋体" w:eastAsia="宋体" w:hint="default"/>
                <w:sz w:val="21"/>
                <w:szCs w:val="21"/>
              </w:rPr>
            </w:pPr>
            <w:r>
              <w:rPr>
                <w:rFonts w:ascii="宋体"/>
                <w:sz w:val="21"/>
              </w:rPr>
              <w:t>9</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97"/>
              <w:jc w:val="right"/>
              <w:rPr>
                <w:rFonts w:ascii="宋体" w:hAnsi="宋体" w:cs="宋体" w:eastAsia="宋体" w:hint="default"/>
                <w:sz w:val="21"/>
                <w:szCs w:val="21"/>
              </w:rPr>
            </w:pPr>
            <w:r>
              <w:rPr>
                <w:rFonts w:ascii="宋体"/>
                <w:sz w:val="21"/>
              </w:rPr>
              <w:t>1</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0</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579"/>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322"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Times New Roman" w:hAnsi="Times New Roman" w:cs="Times New Roman" w:eastAsia="Times New Roman" w:hint="default"/>
                <w:sz w:val="18"/>
                <w:szCs w:val="18"/>
              </w:rPr>
            </w:pPr>
            <w:r>
              <w:rPr>
                <w:rFonts w:ascii="Times New Roman"/>
                <w:sz w:val="18"/>
              </w:rPr>
              <w:t>Klaus Michael</w:t>
            </w:r>
            <w:r>
              <w:rPr>
                <w:rFonts w:ascii="Times New Roman"/>
                <w:spacing w:val="-8"/>
                <w:sz w:val="18"/>
              </w:rPr>
              <w:t> </w:t>
            </w:r>
            <w:r>
              <w:rPr>
                <w:rFonts w:ascii="Times New Roman"/>
                <w:sz w:val="18"/>
              </w:rPr>
              <w:t>Zimmer</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68" w:right="0"/>
              <w:jc w:val="left"/>
              <w:rPr>
                <w:rFonts w:ascii="宋体" w:hAnsi="宋体" w:cs="宋体" w:eastAsia="宋体" w:hint="default"/>
                <w:sz w:val="21"/>
                <w:szCs w:val="21"/>
              </w:rPr>
            </w:pPr>
            <w:r>
              <w:rPr>
                <w:rFonts w:ascii="宋体"/>
                <w:sz w:val="21"/>
              </w:rPr>
              <w:t>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5</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96"/>
              <w:jc w:val="right"/>
              <w:rPr>
                <w:rFonts w:ascii="宋体" w:hAnsi="宋体" w:cs="宋体" w:eastAsia="宋体" w:hint="default"/>
                <w:sz w:val="21"/>
                <w:szCs w:val="21"/>
              </w:rPr>
            </w:pPr>
            <w:r>
              <w:rPr>
                <w:rFonts w:ascii="宋体"/>
                <w:sz w:val="21"/>
              </w:rPr>
              <w:t>1</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0</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578"/>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32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笠野章</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367" w:right="0"/>
              <w:jc w:val="left"/>
              <w:rPr>
                <w:rFonts w:ascii="宋体" w:hAnsi="宋体" w:cs="宋体" w:eastAsia="宋体" w:hint="default"/>
                <w:sz w:val="21"/>
                <w:szCs w:val="21"/>
              </w:rPr>
            </w:pPr>
            <w:r>
              <w:rPr>
                <w:rFonts w:ascii="宋体"/>
                <w:sz w:val="21"/>
              </w:rPr>
              <w:t>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2"/>
              <w:jc w:val="center"/>
              <w:rPr>
                <w:rFonts w:ascii="宋体" w:hAnsi="宋体" w:cs="宋体" w:eastAsia="宋体" w:hint="default"/>
                <w:sz w:val="21"/>
                <w:szCs w:val="21"/>
              </w:rPr>
            </w:pPr>
            <w:r>
              <w:rPr>
                <w:rFonts w:ascii="宋体"/>
                <w:sz w:val="21"/>
              </w:rPr>
              <w:t>5</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296"/>
              <w:jc w:val="right"/>
              <w:rPr>
                <w:rFonts w:ascii="宋体" w:hAnsi="宋体" w:cs="宋体" w:eastAsia="宋体" w:hint="default"/>
                <w:sz w:val="21"/>
                <w:szCs w:val="21"/>
              </w:rPr>
            </w:pPr>
            <w:r>
              <w:rPr>
                <w:rFonts w:ascii="宋体"/>
                <w:sz w:val="21"/>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0</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578"/>
              <w:jc w:val="right"/>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3"/>
        <w:rPr>
          <w:rFonts w:ascii="宋体" w:hAnsi="宋体" w:cs="宋体" w:eastAsia="宋体" w:hint="default"/>
          <w:sz w:val="20"/>
          <w:szCs w:val="20"/>
        </w:rPr>
      </w:pPr>
    </w:p>
    <w:p>
      <w:pPr>
        <w:pStyle w:val="BodyText"/>
        <w:spacing w:line="240" w:lineRule="auto"/>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6"/>
        <w:rPr>
          <w:rFonts w:ascii="黑体" w:hAnsi="黑体" w:cs="黑体" w:eastAsia="黑体" w:hint="default"/>
          <w:sz w:val="20"/>
          <w:szCs w:val="20"/>
        </w:rPr>
      </w:pPr>
    </w:p>
    <w:tbl>
      <w:tblPr>
        <w:tblW w:w="0" w:type="auto"/>
        <w:jc w:val="left"/>
        <w:tblInd w:w="113" w:type="dxa"/>
        <w:tblLayout w:type="fixed"/>
        <w:tblCellMar>
          <w:top w:w="0" w:type="dxa"/>
          <w:left w:w="0" w:type="dxa"/>
          <w:bottom w:w="0" w:type="dxa"/>
          <w:right w:w="0" w:type="dxa"/>
        </w:tblCellMar>
        <w:tblLook w:val="01E0"/>
      </w:tblPr>
      <w:tblGrid>
        <w:gridCol w:w="2268"/>
        <w:gridCol w:w="1134"/>
        <w:gridCol w:w="1276"/>
        <w:gridCol w:w="852"/>
        <w:gridCol w:w="850"/>
        <w:gridCol w:w="709"/>
        <w:gridCol w:w="709"/>
        <w:gridCol w:w="1380"/>
      </w:tblGrid>
      <w:tr>
        <w:trPr>
          <w:trHeight w:val="946"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黑体" w:hAnsi="黑体" w:cs="黑体" w:eastAsia="黑体" w:hint="default"/>
                <w:sz w:val="22"/>
                <w:szCs w:val="22"/>
              </w:rPr>
            </w:pPr>
          </w:p>
          <w:p>
            <w:pPr>
              <w:pStyle w:val="TableParagraph"/>
              <w:spacing w:line="240" w:lineRule="auto"/>
              <w:ind w:left="709" w:right="0"/>
              <w:jc w:val="left"/>
              <w:rPr>
                <w:rFonts w:ascii="宋体" w:hAnsi="宋体" w:cs="宋体" w:eastAsia="宋体" w:hint="default"/>
                <w:sz w:val="21"/>
                <w:szCs w:val="21"/>
              </w:rPr>
            </w:pPr>
            <w:r>
              <w:rPr>
                <w:rFonts w:ascii="宋体" w:hAnsi="宋体" w:cs="宋体" w:eastAsia="宋体" w:hint="default"/>
                <w:sz w:val="21"/>
                <w:szCs w:val="21"/>
              </w:rPr>
              <w:t>董事姓名</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1"/>
              <w:ind w:left="351" w:right="140" w:hanging="210"/>
              <w:jc w:val="left"/>
              <w:rPr>
                <w:rFonts w:ascii="宋体" w:hAnsi="宋体" w:cs="宋体" w:eastAsia="宋体" w:hint="default"/>
                <w:sz w:val="21"/>
                <w:szCs w:val="21"/>
              </w:rPr>
            </w:pPr>
            <w:r>
              <w:rPr>
                <w:rFonts w:ascii="宋体" w:hAnsi="宋体" w:cs="宋体" w:eastAsia="宋体" w:hint="default"/>
                <w:sz w:val="21"/>
                <w:szCs w:val="21"/>
              </w:rPr>
              <w:t>是否独立 董事</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1"/>
              <w:ind w:left="107" w:right="106"/>
              <w:jc w:val="left"/>
              <w:rPr>
                <w:rFonts w:ascii="宋体" w:hAnsi="宋体" w:cs="宋体" w:eastAsia="宋体" w:hint="default"/>
                <w:sz w:val="21"/>
                <w:szCs w:val="21"/>
              </w:rPr>
            </w:pPr>
            <w:r>
              <w:rPr>
                <w:rFonts w:ascii="宋体" w:hAnsi="宋体" w:cs="宋体" w:eastAsia="宋体" w:hint="default"/>
                <w:sz w:val="21"/>
                <w:szCs w:val="21"/>
              </w:rPr>
              <w:t>本年应参加 董事会次数</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1"/>
              <w:ind w:left="105" w:right="104"/>
              <w:jc w:val="left"/>
              <w:rPr>
                <w:rFonts w:ascii="宋体" w:hAnsi="宋体" w:cs="宋体" w:eastAsia="宋体" w:hint="default"/>
                <w:sz w:val="21"/>
                <w:szCs w:val="21"/>
              </w:rPr>
            </w:pPr>
            <w:r>
              <w:rPr>
                <w:rFonts w:ascii="宋体" w:hAnsi="宋体" w:cs="宋体" w:eastAsia="宋体" w:hint="default"/>
                <w:sz w:val="21"/>
                <w:szCs w:val="21"/>
              </w:rPr>
              <w:t>亲自出 席次数</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以通讯</w:t>
            </w:r>
          </w:p>
          <w:p>
            <w:pPr>
              <w:pStyle w:val="TableParagraph"/>
              <w:spacing w:line="273" w:lineRule="auto" w:before="37"/>
              <w:ind w:left="103" w:right="104"/>
              <w:jc w:val="left"/>
              <w:rPr>
                <w:rFonts w:ascii="宋体" w:hAnsi="宋体" w:cs="宋体" w:eastAsia="宋体" w:hint="default"/>
                <w:sz w:val="21"/>
                <w:szCs w:val="21"/>
              </w:rPr>
            </w:pPr>
            <w:r>
              <w:rPr>
                <w:rFonts w:ascii="宋体" w:hAnsi="宋体" w:cs="宋体" w:eastAsia="宋体" w:hint="default"/>
                <w:sz w:val="21"/>
                <w:szCs w:val="21"/>
              </w:rPr>
              <w:t>方式参 加次数</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37" w:right="0"/>
              <w:jc w:val="left"/>
              <w:rPr>
                <w:rFonts w:ascii="宋体" w:hAnsi="宋体" w:cs="宋体" w:eastAsia="宋体" w:hint="default"/>
                <w:sz w:val="21"/>
                <w:szCs w:val="21"/>
              </w:rPr>
            </w:pPr>
            <w:r>
              <w:rPr>
                <w:rFonts w:ascii="宋体" w:hAnsi="宋体" w:cs="宋体" w:eastAsia="宋体" w:hint="default"/>
                <w:sz w:val="21"/>
                <w:szCs w:val="21"/>
              </w:rPr>
              <w:t>委托</w:t>
            </w:r>
          </w:p>
          <w:p>
            <w:pPr>
              <w:pStyle w:val="TableParagraph"/>
              <w:spacing w:line="273" w:lineRule="auto" w:before="37"/>
              <w:ind w:left="137" w:right="139"/>
              <w:jc w:val="left"/>
              <w:rPr>
                <w:rFonts w:ascii="宋体" w:hAnsi="宋体" w:cs="宋体" w:eastAsia="宋体" w:hint="default"/>
                <w:sz w:val="21"/>
                <w:szCs w:val="21"/>
              </w:rPr>
            </w:pPr>
            <w:r>
              <w:rPr>
                <w:rFonts w:ascii="宋体" w:hAnsi="宋体" w:cs="宋体" w:eastAsia="宋体" w:hint="default"/>
                <w:sz w:val="21"/>
                <w:szCs w:val="21"/>
              </w:rPr>
              <w:t>出席 次数</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1"/>
              <w:ind w:left="137" w:right="139"/>
              <w:jc w:val="left"/>
              <w:rPr>
                <w:rFonts w:ascii="宋体" w:hAnsi="宋体" w:cs="宋体" w:eastAsia="宋体" w:hint="default"/>
                <w:sz w:val="21"/>
                <w:szCs w:val="21"/>
              </w:rPr>
            </w:pPr>
            <w:r>
              <w:rPr>
                <w:rFonts w:ascii="宋体" w:hAnsi="宋体" w:cs="宋体" w:eastAsia="宋体" w:hint="default"/>
                <w:sz w:val="21"/>
                <w:szCs w:val="21"/>
              </w:rPr>
              <w:t>缺席 次数</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59" w:right="0"/>
              <w:jc w:val="left"/>
              <w:rPr>
                <w:rFonts w:ascii="宋体" w:hAnsi="宋体" w:cs="宋体" w:eastAsia="宋体" w:hint="default"/>
                <w:sz w:val="21"/>
                <w:szCs w:val="21"/>
              </w:rPr>
            </w:pPr>
            <w:r>
              <w:rPr>
                <w:rFonts w:ascii="宋体" w:hAnsi="宋体" w:cs="宋体" w:eastAsia="宋体" w:hint="default"/>
                <w:sz w:val="21"/>
                <w:szCs w:val="21"/>
              </w:rPr>
              <w:t>是否连续两</w:t>
            </w:r>
          </w:p>
          <w:p>
            <w:pPr>
              <w:pStyle w:val="TableParagraph"/>
              <w:spacing w:line="273" w:lineRule="auto" w:before="37"/>
              <w:ind w:left="369" w:right="158" w:hanging="210"/>
              <w:jc w:val="left"/>
              <w:rPr>
                <w:rFonts w:ascii="宋体" w:hAnsi="宋体" w:cs="宋体" w:eastAsia="宋体" w:hint="default"/>
                <w:sz w:val="21"/>
                <w:szCs w:val="21"/>
              </w:rPr>
            </w:pPr>
            <w:r>
              <w:rPr>
                <w:rFonts w:ascii="宋体" w:hAnsi="宋体" w:cs="宋体" w:eastAsia="宋体" w:hint="default"/>
                <w:sz w:val="21"/>
                <w:szCs w:val="21"/>
              </w:rPr>
              <w:t>次未亲自参 加会议</w:t>
            </w:r>
          </w:p>
        </w:tc>
      </w:tr>
      <w:tr>
        <w:trPr>
          <w:trHeight w:val="32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方红星</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是</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527"/>
              <w:jc w:val="right"/>
              <w:rPr>
                <w:rFonts w:ascii="宋体" w:hAnsi="宋体" w:cs="宋体" w:eastAsia="宋体" w:hint="default"/>
                <w:sz w:val="21"/>
                <w:szCs w:val="21"/>
              </w:rPr>
            </w:pPr>
            <w:r>
              <w:rPr>
                <w:rFonts w:ascii="宋体"/>
                <w:spacing w:val="-1"/>
                <w:w w:val="95"/>
                <w:sz w:val="21"/>
              </w:rPr>
              <w:t>12</w:t>
            </w:r>
            <w:r>
              <w:rPr>
                <w:rFonts w:ascii="宋体"/>
                <w:w w:val="95"/>
                <w:sz w:val="21"/>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11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3"/>
              <w:jc w:val="center"/>
              <w:rPr>
                <w:rFonts w:ascii="宋体" w:hAnsi="宋体" w:cs="宋体" w:eastAsia="宋体" w:hint="default"/>
                <w:sz w:val="21"/>
                <w:szCs w:val="21"/>
              </w:rPr>
            </w:pPr>
            <w:r>
              <w:rPr>
                <w:rFonts w:ascii="宋体"/>
                <w:sz w:val="21"/>
              </w:rPr>
              <w:t>9</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297"/>
              <w:jc w:val="right"/>
              <w:rPr>
                <w:rFonts w:ascii="宋体" w:hAnsi="宋体" w:cs="宋体" w:eastAsia="宋体" w:hint="default"/>
                <w:sz w:val="21"/>
                <w:szCs w:val="21"/>
              </w:rPr>
            </w:pPr>
            <w:r>
              <w:rPr>
                <w:rFonts w:ascii="宋体"/>
                <w:sz w:val="21"/>
              </w:rPr>
              <w:t>1</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0</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579"/>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322"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薛澜</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是</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526"/>
              <w:jc w:val="right"/>
              <w:rPr>
                <w:rFonts w:ascii="宋体" w:hAnsi="宋体" w:cs="宋体" w:eastAsia="宋体" w:hint="default"/>
                <w:sz w:val="21"/>
                <w:szCs w:val="21"/>
              </w:rPr>
            </w:pPr>
            <w:r>
              <w:rPr>
                <w:rFonts w:ascii="宋体"/>
                <w:sz w:val="21"/>
              </w:rPr>
              <w:t>12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11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sz w:val="21"/>
              </w:rPr>
              <w:t>9</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96"/>
              <w:jc w:val="right"/>
              <w:rPr>
                <w:rFonts w:ascii="宋体" w:hAnsi="宋体" w:cs="宋体" w:eastAsia="宋体" w:hint="default"/>
                <w:sz w:val="21"/>
                <w:szCs w:val="21"/>
              </w:rPr>
            </w:pPr>
            <w:r>
              <w:rPr>
                <w:rFonts w:ascii="宋体"/>
                <w:sz w:val="21"/>
              </w:rPr>
              <w:t>1</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0</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578"/>
              <w:jc w:val="right"/>
              <w:rPr>
                <w:rFonts w:ascii="宋体" w:hAnsi="宋体" w:cs="宋体" w:eastAsia="宋体" w:hint="default"/>
                <w:sz w:val="21"/>
                <w:szCs w:val="21"/>
              </w:rPr>
            </w:pPr>
            <w:r>
              <w:rPr>
                <w:rFonts w:ascii="宋体" w:hAnsi="宋体" w:cs="宋体" w:eastAsia="宋体" w:hint="default"/>
                <w:sz w:val="21"/>
                <w:szCs w:val="21"/>
              </w:rPr>
              <w:t>否</w:t>
            </w:r>
          </w:p>
        </w:tc>
      </w:tr>
      <w:tr>
        <w:trPr>
          <w:trHeight w:val="32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高文</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是</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526"/>
              <w:jc w:val="right"/>
              <w:rPr>
                <w:rFonts w:ascii="宋体" w:hAnsi="宋体" w:cs="宋体" w:eastAsia="宋体" w:hint="default"/>
                <w:sz w:val="21"/>
                <w:szCs w:val="21"/>
              </w:rPr>
            </w:pPr>
            <w:r>
              <w:rPr>
                <w:rFonts w:ascii="宋体"/>
                <w:sz w:val="21"/>
              </w:rPr>
              <w:t>12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12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sz w:val="21"/>
              </w:rPr>
              <w:t>9</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96"/>
              <w:jc w:val="right"/>
              <w:rPr>
                <w:rFonts w:ascii="宋体" w:hAnsi="宋体" w:cs="宋体" w:eastAsia="宋体" w:hint="default"/>
                <w:sz w:val="21"/>
                <w:szCs w:val="21"/>
              </w:rPr>
            </w:pPr>
            <w:r>
              <w:rPr>
                <w:rFonts w:ascii="宋体"/>
                <w:sz w:val="21"/>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0</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578"/>
              <w:jc w:val="right"/>
              <w:rPr>
                <w:rFonts w:ascii="宋体" w:hAnsi="宋体" w:cs="宋体" w:eastAsia="宋体" w:hint="default"/>
                <w:sz w:val="21"/>
                <w:szCs w:val="21"/>
              </w:rPr>
            </w:pPr>
            <w:r>
              <w:rPr>
                <w:rFonts w:ascii="宋体" w:hAnsi="宋体" w:cs="宋体" w:eastAsia="宋体" w:hint="default"/>
                <w:sz w:val="21"/>
                <w:szCs w:val="21"/>
              </w:rPr>
              <w:t>否</w:t>
            </w:r>
          </w:p>
        </w:tc>
      </w:tr>
    </w:tbl>
    <w:p>
      <w:pPr>
        <w:pStyle w:val="Heading5"/>
        <w:spacing w:line="310" w:lineRule="exact" w:before="118"/>
        <w:ind w:left="598" w:right="1606" w:hanging="480"/>
        <w:jc w:val="left"/>
      </w:pPr>
      <w:r>
        <w:rPr/>
        <w:t>2、独立董事对公司有关事项提出异议的情况 报告期内，公司独立董事未对公司董事会议案及其他事项提出异议。</w:t>
      </w:r>
    </w:p>
    <w:p>
      <w:pPr>
        <w:spacing w:line="310" w:lineRule="exact" w:before="127"/>
        <w:ind w:left="598" w:right="100" w:hanging="480"/>
        <w:jc w:val="left"/>
        <w:rPr>
          <w:rFonts w:ascii="宋体" w:hAnsi="宋体" w:cs="宋体" w:eastAsia="宋体" w:hint="default"/>
          <w:sz w:val="24"/>
          <w:szCs w:val="24"/>
        </w:rPr>
      </w:pPr>
      <w:r>
        <w:rPr>
          <w:rFonts w:ascii="宋体" w:hAnsi="宋体" w:cs="宋体" w:eastAsia="宋体" w:hint="default"/>
          <w:sz w:val="24"/>
          <w:szCs w:val="24"/>
        </w:rPr>
        <w:t>3、独立董事相关工作制度的建立健全情况、主要内容及独立董事履职情况 </w:t>
      </w:r>
      <w:r>
        <w:rPr>
          <w:rFonts w:ascii="宋体" w:hAnsi="宋体" w:cs="宋体" w:eastAsia="宋体" w:hint="default"/>
          <w:spacing w:val="-2"/>
          <w:sz w:val="24"/>
          <w:szCs w:val="24"/>
        </w:rPr>
        <w:t>公司制定有《独立董事年度报告工作制度》，对独立董事在年度报告的编制、财务</w:t>
      </w:r>
      <w:r>
        <w:rPr>
          <w:rFonts w:ascii="宋体" w:hAnsi="宋体" w:cs="宋体" w:eastAsia="宋体" w:hint="default"/>
          <w:sz w:val="24"/>
          <w:szCs w:val="24"/>
        </w:rPr>
      </w:r>
    </w:p>
    <w:p>
      <w:pPr>
        <w:spacing w:line="312" w:lineRule="exact" w:before="0"/>
        <w:ind w:left="118" w:right="233" w:firstLine="0"/>
        <w:jc w:val="both"/>
        <w:rPr>
          <w:rFonts w:ascii="宋体" w:hAnsi="宋体" w:cs="宋体" w:eastAsia="宋体" w:hint="default"/>
          <w:sz w:val="24"/>
          <w:szCs w:val="24"/>
        </w:rPr>
      </w:pPr>
      <w:r>
        <w:rPr>
          <w:rFonts w:ascii="宋体" w:hAnsi="宋体" w:cs="宋体" w:eastAsia="宋体" w:hint="default"/>
          <w:spacing w:val="-2"/>
          <w:sz w:val="24"/>
          <w:szCs w:val="24"/>
        </w:rPr>
        <w:t>报告的审计以及信息披露等流程中的职责进行了规定，在《公司章程》中关于独立董事</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2"/>
          <w:sz w:val="24"/>
          <w:szCs w:val="24"/>
        </w:rPr>
        <w:t>的专门章节，对独立董事的任职条件，提名、选举和更换的程序，权利和义务等进行了</w:t>
      </w:r>
      <w:r>
        <w:rPr>
          <w:rFonts w:ascii="宋体" w:hAnsi="宋体" w:cs="宋体" w:eastAsia="宋体" w:hint="default"/>
          <w:spacing w:val="-94"/>
          <w:sz w:val="24"/>
          <w:szCs w:val="24"/>
        </w:rPr>
        <w:t> </w:t>
      </w:r>
      <w:r>
        <w:rPr>
          <w:rFonts w:ascii="宋体" w:hAnsi="宋体" w:cs="宋体" w:eastAsia="宋体" w:hint="default"/>
          <w:spacing w:val="-94"/>
          <w:sz w:val="24"/>
          <w:szCs w:val="24"/>
        </w:rPr>
      </w:r>
      <w:r>
        <w:rPr>
          <w:rFonts w:ascii="宋体" w:hAnsi="宋体" w:cs="宋体" w:eastAsia="宋体" w:hint="default"/>
          <w:sz w:val="24"/>
          <w:szCs w:val="24"/>
        </w:rPr>
        <w:t>详尽的规定。</w:t>
      </w:r>
    </w:p>
    <w:p>
      <w:pPr>
        <w:spacing w:line="312" w:lineRule="exact" w:before="0"/>
        <w:ind w:left="118" w:right="234" w:firstLine="480"/>
        <w:jc w:val="both"/>
        <w:rPr>
          <w:rFonts w:ascii="宋体" w:hAnsi="宋体" w:cs="宋体" w:eastAsia="宋体" w:hint="default"/>
          <w:sz w:val="24"/>
          <w:szCs w:val="24"/>
        </w:rPr>
      </w:pPr>
      <w:r>
        <w:rPr>
          <w:rFonts w:ascii="宋体" w:hAnsi="宋体" w:cs="宋体" w:eastAsia="宋体" w:hint="default"/>
          <w:spacing w:val="-2"/>
          <w:sz w:val="24"/>
          <w:szCs w:val="24"/>
        </w:rPr>
        <w:t>报告期内，公司独立董事未对公司事项提出过异议。公司聘请的独立董事能够按照</w:t>
      </w:r>
      <w:r>
        <w:rPr>
          <w:rFonts w:ascii="宋体" w:hAnsi="宋体" w:cs="宋体" w:eastAsia="宋体" w:hint="default"/>
          <w:sz w:val="24"/>
          <w:szCs w:val="24"/>
        </w:rPr>
        <w:t> </w:t>
      </w:r>
      <w:r>
        <w:rPr>
          <w:rFonts w:ascii="宋体" w:hAnsi="宋体" w:cs="宋体" w:eastAsia="宋体" w:hint="default"/>
          <w:spacing w:val="-2"/>
          <w:sz w:val="24"/>
          <w:szCs w:val="24"/>
        </w:rPr>
        <w:t>法律法规和公司章程的规定履行职责，在闭会期间主动了解公司生产经营情况，研读和</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2"/>
          <w:sz w:val="24"/>
          <w:szCs w:val="24"/>
        </w:rPr>
        <w:t>分析公司的基本资料，密切关注公司经营决策变化，在出席董事会和股东大会时能够从</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2"/>
          <w:sz w:val="24"/>
          <w:szCs w:val="24"/>
        </w:rPr>
        <w:t>公司和中小股东的利益出发，有的放矢地提出自己的建议，保证了董事会决策的科学性</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和合法性，维护了中小股东的利益，促进了公司现代企业制度的建设。</w:t>
      </w:r>
    </w:p>
    <w:p>
      <w:pPr>
        <w:spacing w:line="312" w:lineRule="exact" w:before="0"/>
        <w:ind w:left="118" w:right="232" w:firstLine="480"/>
        <w:jc w:val="both"/>
        <w:rPr>
          <w:rFonts w:ascii="宋体" w:hAnsi="宋体" w:cs="宋体" w:eastAsia="宋体" w:hint="default"/>
          <w:sz w:val="24"/>
          <w:szCs w:val="24"/>
        </w:rPr>
      </w:pPr>
      <w:r>
        <w:rPr>
          <w:rFonts w:ascii="宋体" w:hAnsi="宋体" w:cs="宋体" w:eastAsia="宋体" w:hint="default"/>
          <w:spacing w:val="-3"/>
          <w:sz w:val="24"/>
          <w:szCs w:val="24"/>
        </w:rPr>
        <w:t>报告期内，独立董事对公司收购、投资、对外担保、关联交易、非独立董事换届选</w:t>
      </w:r>
      <w:r>
        <w:rPr>
          <w:rFonts w:ascii="宋体" w:hAnsi="宋体" w:cs="宋体" w:eastAsia="宋体" w:hint="default"/>
          <w:spacing w:val="-1"/>
          <w:sz w:val="24"/>
          <w:szCs w:val="24"/>
        </w:rPr>
        <w:t> </w:t>
      </w:r>
      <w:r>
        <w:rPr>
          <w:rFonts w:ascii="宋体" w:hAnsi="宋体" w:cs="宋体" w:eastAsia="宋体" w:hint="default"/>
          <w:spacing w:val="-2"/>
          <w:sz w:val="24"/>
          <w:szCs w:val="24"/>
        </w:rPr>
        <w:t>举和高级管理人员任免等事项作出客观、公正地判断，发表独立意见，切实保证和维护</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了公司、股东的利益。</w:t>
      </w:r>
    </w:p>
    <w:p>
      <w:pPr>
        <w:spacing w:line="333" w:lineRule="auto" w:before="157"/>
        <w:ind w:left="598" w:right="371" w:hanging="480"/>
        <w:jc w:val="left"/>
        <w:rPr>
          <w:rFonts w:ascii="宋体" w:hAnsi="宋体" w:cs="宋体" w:eastAsia="宋体" w:hint="default"/>
          <w:sz w:val="24"/>
          <w:szCs w:val="24"/>
        </w:rPr>
      </w:pPr>
      <w:r>
        <w:rPr>
          <w:rFonts w:ascii="宋体" w:hAnsi="宋体" w:cs="宋体" w:eastAsia="宋体" w:hint="default"/>
          <w:b/>
          <w:bCs/>
          <w:sz w:val="24"/>
          <w:szCs w:val="24"/>
        </w:rPr>
        <w:t>（三）公司相对于控股股东在业务、人员、资产、机构、财务等方面的独立完整情况</w:t>
      </w:r>
      <w:r>
        <w:rPr>
          <w:rFonts w:ascii="宋体" w:hAnsi="宋体" w:cs="宋体" w:eastAsia="宋体" w:hint="default"/>
          <w:b/>
          <w:bCs/>
          <w:spacing w:val="1"/>
          <w:w w:val="99"/>
          <w:sz w:val="24"/>
          <w:szCs w:val="24"/>
        </w:rPr>
        <w:t> </w:t>
      </w:r>
      <w:r>
        <w:rPr>
          <w:rFonts w:ascii="宋体" w:hAnsi="宋体" w:cs="宋体" w:eastAsia="宋体" w:hint="default"/>
          <w:sz w:val="24"/>
          <w:szCs w:val="24"/>
        </w:rPr>
        <w:t>截至本报告期末，本公司不存在控股股东。</w:t>
      </w:r>
    </w:p>
    <w:p>
      <w:pPr>
        <w:spacing w:line="331" w:lineRule="auto" w:before="92"/>
        <w:ind w:left="118" w:right="4244" w:firstLine="0"/>
        <w:jc w:val="left"/>
        <w:rPr>
          <w:rFonts w:ascii="宋体" w:hAnsi="宋体" w:cs="宋体" w:eastAsia="宋体" w:hint="default"/>
          <w:sz w:val="24"/>
          <w:szCs w:val="24"/>
        </w:rPr>
      </w:pPr>
      <w:r>
        <w:rPr>
          <w:rFonts w:ascii="宋体" w:hAnsi="宋体" w:cs="宋体" w:eastAsia="宋体" w:hint="default"/>
          <w:b/>
          <w:bCs/>
          <w:w w:val="95"/>
          <w:sz w:val="24"/>
          <w:szCs w:val="24"/>
        </w:rPr>
        <w:t>（四）公司内部控制制度的建立健全情况</w:t>
      </w:r>
      <w:r>
        <w:rPr>
          <w:rFonts w:ascii="宋体" w:hAnsi="宋体" w:cs="宋体" w:eastAsia="宋体" w:hint="default"/>
          <w:b/>
          <w:bCs/>
          <w:spacing w:val="85"/>
          <w:w w:val="95"/>
          <w:sz w:val="24"/>
          <w:szCs w:val="24"/>
        </w:rPr>
        <w:t> </w:t>
      </w:r>
      <w:r>
        <w:rPr>
          <w:rFonts w:ascii="宋体" w:hAnsi="宋体" w:cs="宋体" w:eastAsia="宋体" w:hint="default"/>
          <w:sz w:val="24"/>
          <w:szCs w:val="24"/>
        </w:rPr>
        <w:t>1、内部控制建设的总体方案</w:t>
      </w:r>
    </w:p>
    <w:p>
      <w:pPr>
        <w:pStyle w:val="Heading5"/>
        <w:spacing w:line="220" w:lineRule="exact"/>
        <w:ind w:left="598" w:right="100"/>
        <w:jc w:val="left"/>
      </w:pPr>
      <w:r>
        <w:rPr/>
        <w:t>为了保障公司经营管理健康运行，维护投资者合法权益，促进公司发展战略得以实</w:t>
      </w:r>
    </w:p>
    <w:p>
      <w:pPr>
        <w:spacing w:line="312" w:lineRule="exact" w:before="0"/>
        <w:ind w:left="118" w:right="0" w:firstLine="0"/>
        <w:jc w:val="both"/>
        <w:rPr>
          <w:rFonts w:ascii="宋体" w:hAnsi="宋体" w:cs="宋体" w:eastAsia="宋体" w:hint="default"/>
          <w:sz w:val="24"/>
          <w:szCs w:val="24"/>
        </w:rPr>
      </w:pPr>
      <w:r>
        <w:rPr>
          <w:rFonts w:ascii="宋体" w:hAnsi="宋体" w:cs="宋体" w:eastAsia="宋体" w:hint="default"/>
          <w:spacing w:val="-1"/>
          <w:sz w:val="24"/>
          <w:szCs w:val="24"/>
        </w:rPr>
        <w:t>现</w:t>
      </w:r>
      <w:r>
        <w:rPr>
          <w:rFonts w:ascii="宋体" w:hAnsi="宋体" w:cs="宋体" w:eastAsia="宋体" w:hint="default"/>
          <w:spacing w:val="-58"/>
          <w:sz w:val="24"/>
          <w:szCs w:val="24"/>
        </w:rPr>
        <w:t>，</w:t>
      </w:r>
      <w:r>
        <w:rPr>
          <w:rFonts w:ascii="宋体" w:hAnsi="宋体" w:cs="宋体" w:eastAsia="宋体" w:hint="default"/>
          <w:spacing w:val="-1"/>
          <w:sz w:val="24"/>
          <w:szCs w:val="24"/>
        </w:rPr>
        <w:t>报告期内</w:t>
      </w:r>
      <w:r>
        <w:rPr>
          <w:rFonts w:ascii="宋体" w:hAnsi="宋体" w:cs="宋体" w:eastAsia="宋体" w:hint="default"/>
          <w:spacing w:val="-58"/>
          <w:sz w:val="24"/>
          <w:szCs w:val="24"/>
        </w:rPr>
        <w:t>，</w:t>
      </w:r>
      <w:r>
        <w:rPr>
          <w:rFonts w:ascii="宋体" w:hAnsi="宋体" w:cs="宋体" w:eastAsia="宋体" w:hint="default"/>
          <w:spacing w:val="-1"/>
          <w:sz w:val="24"/>
          <w:szCs w:val="24"/>
        </w:rPr>
        <w:t>公司在切实遵照和落实各项内控制度的同时</w:t>
      </w:r>
      <w:r>
        <w:rPr>
          <w:rFonts w:ascii="宋体" w:hAnsi="宋体" w:cs="宋体" w:eastAsia="宋体" w:hint="default"/>
          <w:spacing w:val="-58"/>
          <w:sz w:val="24"/>
          <w:szCs w:val="24"/>
        </w:rPr>
        <w:t>，</w:t>
      </w:r>
      <w:r>
        <w:rPr>
          <w:rFonts w:ascii="宋体" w:hAnsi="宋体" w:cs="宋体" w:eastAsia="宋体" w:hint="default"/>
          <w:spacing w:val="-1"/>
          <w:sz w:val="24"/>
          <w:szCs w:val="24"/>
        </w:rPr>
        <w:t>按</w:t>
      </w:r>
      <w:r>
        <w:rPr>
          <w:rFonts w:ascii="宋体" w:hAnsi="宋体" w:cs="宋体" w:eastAsia="宋体" w:hint="default"/>
          <w:spacing w:val="-58"/>
          <w:sz w:val="24"/>
          <w:szCs w:val="24"/>
        </w:rPr>
        <w:t>照</w:t>
      </w:r>
      <w:r>
        <w:rPr>
          <w:rFonts w:ascii="宋体" w:hAnsi="宋体" w:cs="宋体" w:eastAsia="宋体" w:hint="default"/>
          <w:spacing w:val="-1"/>
          <w:sz w:val="24"/>
          <w:szCs w:val="24"/>
        </w:rPr>
        <w:t>《公司法</w:t>
      </w:r>
      <w:r>
        <w:rPr>
          <w:rFonts w:ascii="宋体" w:hAnsi="宋体" w:cs="宋体" w:eastAsia="宋体" w:hint="default"/>
          <w:spacing w:val="-121"/>
          <w:sz w:val="24"/>
          <w:szCs w:val="24"/>
        </w:rPr>
        <w:t>》</w:t>
      </w:r>
      <w:r>
        <w:rPr>
          <w:rFonts w:ascii="宋体" w:hAnsi="宋体" w:cs="宋体" w:eastAsia="宋体" w:hint="default"/>
          <w:spacing w:val="-178"/>
          <w:sz w:val="24"/>
          <w:szCs w:val="24"/>
        </w:rPr>
        <w:t>、</w:t>
      </w:r>
      <w:r>
        <w:rPr>
          <w:rFonts w:ascii="宋体" w:hAnsi="宋体" w:cs="宋体" w:eastAsia="宋体" w:hint="default"/>
          <w:sz w:val="24"/>
          <w:szCs w:val="24"/>
        </w:rPr>
        <w:t>《证券法</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line="312" w:lineRule="exact" w:before="29"/>
        <w:ind w:left="118" w:right="232" w:firstLine="0"/>
        <w:jc w:val="both"/>
        <w:rPr>
          <w:rFonts w:ascii="宋体" w:hAnsi="宋体" w:cs="宋体" w:eastAsia="宋体" w:hint="default"/>
          <w:sz w:val="24"/>
          <w:szCs w:val="24"/>
        </w:rPr>
      </w:pPr>
      <w:r>
        <w:rPr>
          <w:rFonts w:ascii="宋体" w:hAnsi="宋体" w:cs="宋体" w:eastAsia="宋体" w:hint="default"/>
          <w:spacing w:val="-3"/>
          <w:sz w:val="24"/>
          <w:szCs w:val="24"/>
        </w:rPr>
        <w:t>《企业内部控制基本规范》及《企业内部控制配套指引》等相关法律法规的要求，结合</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pacing w:val="-2"/>
          <w:sz w:val="24"/>
          <w:szCs w:val="24"/>
        </w:rPr>
        <w:t>自身所处行业特点，加强了业务流程管理，突出了重大业务风险防控，加快推进公司内</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部控制体系建设和有效实施。</w:t>
      </w:r>
    </w:p>
    <w:p>
      <w:pPr>
        <w:spacing w:line="312" w:lineRule="exact" w:before="0"/>
        <w:ind w:left="118" w:right="234" w:firstLine="480"/>
        <w:jc w:val="both"/>
        <w:rPr>
          <w:rFonts w:ascii="宋体" w:hAnsi="宋体" w:cs="宋体" w:eastAsia="宋体" w:hint="default"/>
          <w:sz w:val="24"/>
          <w:szCs w:val="24"/>
        </w:rPr>
      </w:pPr>
      <w:r>
        <w:rPr>
          <w:rFonts w:ascii="宋体" w:hAnsi="宋体" w:cs="宋体" w:eastAsia="宋体" w:hint="default"/>
          <w:spacing w:val="-2"/>
          <w:sz w:val="24"/>
          <w:szCs w:val="24"/>
        </w:rPr>
        <w:t>公司内部控制的目标是保证公司经营符合国家法律法规要求，公司内部各项管理制</w:t>
      </w:r>
      <w:r>
        <w:rPr>
          <w:rFonts w:ascii="宋体" w:hAnsi="宋体" w:cs="宋体" w:eastAsia="宋体" w:hint="default"/>
          <w:sz w:val="24"/>
          <w:szCs w:val="24"/>
        </w:rPr>
        <w:t> </w:t>
      </w:r>
      <w:r>
        <w:rPr>
          <w:rFonts w:ascii="宋体" w:hAnsi="宋体" w:cs="宋体" w:eastAsia="宋体" w:hint="default"/>
          <w:spacing w:val="-2"/>
          <w:sz w:val="24"/>
          <w:szCs w:val="24"/>
        </w:rPr>
        <w:t>度得到有效遵循；建立和完善符合现代管理要求的公司治理结构和组织结构，形成科学</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2"/>
          <w:sz w:val="24"/>
          <w:szCs w:val="24"/>
        </w:rPr>
        <w:t>的决策机制、执行机制和监督机制，保证公司经营管理目标的实现；建立切实有效的风</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2"/>
          <w:sz w:val="24"/>
          <w:szCs w:val="24"/>
        </w:rPr>
        <w:t>险防控体系，保证财务报告及相关信息的真实、准确和完整，防止并及时发现和纠正各</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种错误行为，保护公司各项财产的安全。</w:t>
      </w:r>
    </w:p>
    <w:p>
      <w:pPr>
        <w:spacing w:line="312" w:lineRule="exact" w:before="0"/>
        <w:ind w:left="118" w:right="229" w:firstLine="480"/>
        <w:jc w:val="both"/>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41"/>
          <w:sz w:val="24"/>
          <w:szCs w:val="24"/>
        </w:rPr>
        <w:t> </w:t>
      </w:r>
      <w:r>
        <w:rPr>
          <w:rFonts w:ascii="宋体" w:hAnsi="宋体" w:cs="宋体" w:eastAsia="宋体" w:hint="default"/>
          <w:spacing w:val="-4"/>
          <w:sz w:val="24"/>
          <w:szCs w:val="24"/>
        </w:rPr>
        <w:t>年，公司被辽宁省证监局指定为内控规范实施试点单位，公司董事会对此项工</w:t>
      </w:r>
      <w:r>
        <w:rPr>
          <w:rFonts w:ascii="宋体" w:hAnsi="宋体" w:cs="宋体" w:eastAsia="宋体" w:hint="default"/>
          <w:sz w:val="24"/>
          <w:szCs w:val="24"/>
        </w:rPr>
        <w:t> 作给予了高度重视，专门做出决议，审议通过了《关于制定&lt;内部控制规范实施工作方</w:t>
      </w:r>
      <w:r>
        <w:rPr>
          <w:rFonts w:ascii="宋体" w:hAnsi="宋体" w:cs="宋体" w:eastAsia="宋体" w:hint="default"/>
          <w:spacing w:val="-49"/>
          <w:sz w:val="24"/>
          <w:szCs w:val="24"/>
        </w:rPr>
        <w:t> </w:t>
      </w:r>
      <w:r>
        <w:rPr>
          <w:rFonts w:ascii="宋体" w:hAnsi="宋体" w:cs="宋体" w:eastAsia="宋体" w:hint="default"/>
          <w:spacing w:val="-49"/>
          <w:sz w:val="24"/>
          <w:szCs w:val="24"/>
        </w:rPr>
      </w:r>
      <w:r>
        <w:rPr>
          <w:rFonts w:ascii="宋体" w:hAnsi="宋体" w:cs="宋体" w:eastAsia="宋体" w:hint="default"/>
          <w:spacing w:val="-5"/>
          <w:sz w:val="24"/>
          <w:szCs w:val="24"/>
        </w:rPr>
        <w:t>案&gt;的议案》，并做出了相应的规划和安排。公司成立内部控制领导小组负责对公司内控</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评价工作进行组织、统筹与指导，由公司董事长兼</w:t>
      </w:r>
      <w:r>
        <w:rPr>
          <w:rFonts w:ascii="宋体" w:hAnsi="宋体" w:cs="宋体" w:eastAsia="宋体" w:hint="default"/>
          <w:spacing w:val="-83"/>
          <w:sz w:val="24"/>
          <w:szCs w:val="24"/>
        </w:rPr>
        <w:t> </w:t>
      </w:r>
      <w:r>
        <w:rPr>
          <w:rFonts w:ascii="宋体" w:hAnsi="宋体" w:cs="宋体" w:eastAsia="宋体" w:hint="default"/>
          <w:sz w:val="24"/>
          <w:szCs w:val="24"/>
        </w:rPr>
        <w:t>CEO</w:t>
      </w:r>
      <w:r>
        <w:rPr>
          <w:rFonts w:ascii="宋体" w:hAnsi="宋体" w:cs="宋体" w:eastAsia="宋体" w:hint="default"/>
          <w:spacing w:val="-83"/>
          <w:sz w:val="24"/>
          <w:szCs w:val="24"/>
        </w:rPr>
        <w:t> </w:t>
      </w:r>
      <w:r>
        <w:rPr>
          <w:rFonts w:ascii="宋体" w:hAnsi="宋体" w:cs="宋体" w:eastAsia="宋体" w:hint="default"/>
          <w:sz w:val="24"/>
          <w:szCs w:val="24"/>
        </w:rPr>
        <w:t>和总裁担任组长，高级副总裁兼</w:t>
      </w:r>
      <w:r>
        <w:rPr>
          <w:rFonts w:ascii="宋体" w:hAnsi="宋体" w:cs="宋体" w:eastAsia="宋体" w:hint="default"/>
          <w:sz w:val="24"/>
          <w:szCs w:val="24"/>
        </w:rPr>
        <w:t> </w:t>
      </w:r>
      <w:r>
        <w:rPr>
          <w:rFonts w:ascii="宋体" w:hAnsi="宋体" w:cs="宋体" w:eastAsia="宋体" w:hint="default"/>
          <w:spacing w:val="-2"/>
          <w:sz w:val="24"/>
          <w:szCs w:val="24"/>
        </w:rPr>
        <w:t>首席财务官担任副组长兼总协调人，另三位高级副总裁担任副组长，各管理部门负责人</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pStyle w:val="BodyText"/>
        <w:spacing w:line="240" w:lineRule="auto" w:before="0"/>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6"/>
        <w:rPr>
          <w:rFonts w:ascii="黑体" w:hAnsi="黑体" w:cs="黑体" w:eastAsia="黑体" w:hint="default"/>
          <w:sz w:val="15"/>
          <w:szCs w:val="15"/>
        </w:rPr>
      </w:pPr>
    </w:p>
    <w:p>
      <w:pPr>
        <w:pStyle w:val="Heading5"/>
        <w:spacing w:line="312" w:lineRule="exact" w:before="56"/>
        <w:ind w:right="100"/>
        <w:jc w:val="left"/>
      </w:pPr>
      <w:r>
        <w:rPr>
          <w:spacing w:val="-5"/>
        </w:rPr>
        <w:t>担任组员。同时公司聘请安永（中国）企业咨询有限公司作为公司内部控制的咨询机构，</w:t>
      </w:r>
      <w:r>
        <w:rPr>
          <w:spacing w:val="-96"/>
        </w:rPr>
        <w:t> </w:t>
      </w:r>
      <w:r>
        <w:rPr>
          <w:spacing w:val="-96"/>
        </w:rPr>
      </w:r>
      <w:r>
        <w:rPr/>
        <w:t>协助公司落实内控规范实施工作方案。</w:t>
      </w:r>
    </w:p>
    <w:p>
      <w:pPr>
        <w:spacing w:line="310" w:lineRule="exact" w:before="126"/>
        <w:ind w:left="598" w:right="100" w:hanging="480"/>
        <w:jc w:val="left"/>
        <w:rPr>
          <w:rFonts w:ascii="宋体" w:hAnsi="宋体" w:cs="宋体" w:eastAsia="宋体" w:hint="default"/>
          <w:sz w:val="24"/>
          <w:szCs w:val="24"/>
        </w:rPr>
      </w:pPr>
      <w:r>
        <w:rPr>
          <w:rFonts w:ascii="宋体" w:hAnsi="宋体" w:cs="宋体" w:eastAsia="宋体" w:hint="default"/>
          <w:sz w:val="24"/>
          <w:szCs w:val="24"/>
        </w:rPr>
        <w:t>2、内部控制制度建立健全的工作计划及其实施情况 </w:t>
      </w:r>
      <w:r>
        <w:rPr>
          <w:rFonts w:ascii="宋体" w:hAnsi="宋体" w:cs="宋体" w:eastAsia="宋体" w:hint="default"/>
          <w:spacing w:val="-3"/>
          <w:sz w:val="24"/>
          <w:szCs w:val="24"/>
        </w:rPr>
        <w:t>在管理决策层面，本报告期内，公司新颁布《董事会秘书工作制度》，规范了公司</w:t>
      </w:r>
      <w:r>
        <w:rPr>
          <w:rFonts w:ascii="宋体" w:hAnsi="宋体" w:cs="宋体" w:eastAsia="宋体" w:hint="default"/>
          <w:sz w:val="24"/>
          <w:szCs w:val="24"/>
        </w:rPr>
      </w:r>
    </w:p>
    <w:p>
      <w:pPr>
        <w:spacing w:line="312" w:lineRule="exact" w:before="0"/>
        <w:ind w:left="118" w:right="100" w:firstLine="0"/>
        <w:jc w:val="left"/>
        <w:rPr>
          <w:rFonts w:ascii="宋体" w:hAnsi="宋体" w:cs="宋体" w:eastAsia="宋体" w:hint="default"/>
          <w:sz w:val="24"/>
          <w:szCs w:val="24"/>
        </w:rPr>
      </w:pPr>
      <w:r>
        <w:rPr>
          <w:rFonts w:ascii="宋体" w:hAnsi="宋体" w:cs="宋体" w:eastAsia="宋体" w:hint="default"/>
          <w:spacing w:val="-3"/>
          <w:sz w:val="24"/>
          <w:szCs w:val="24"/>
        </w:rPr>
        <w:t>董事会秘书的选任、履职等工作，使公司治理相关制度进一步完善；修订《基本建设管</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pacing w:val="-5"/>
          <w:sz w:val="24"/>
          <w:szCs w:val="24"/>
        </w:rPr>
        <w:t>理委员会工作细则》，对基建委员会及下设专委会的职责范围进一步做出了清晰的界定。</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为了进一步规范公司对外捐赠行为，加强公司对外捐赠事项的管理，维护股东、债权人</w:t>
      </w:r>
      <w:r>
        <w:rPr>
          <w:rFonts w:ascii="宋体" w:hAnsi="宋体" w:cs="宋体" w:eastAsia="宋体" w:hint="default"/>
          <w:sz w:val="24"/>
          <w:szCs w:val="24"/>
        </w:rPr>
        <w:t> 及员工利益，2011</w:t>
      </w:r>
      <w:r>
        <w:rPr>
          <w:rFonts w:ascii="宋体" w:hAnsi="宋体" w:cs="宋体" w:eastAsia="宋体" w:hint="default"/>
          <w:spacing w:val="-51"/>
          <w:sz w:val="24"/>
          <w:szCs w:val="24"/>
        </w:rPr>
        <w:t> </w:t>
      </w:r>
      <w:r>
        <w:rPr>
          <w:rFonts w:ascii="宋体" w:hAnsi="宋体" w:cs="宋体" w:eastAsia="宋体" w:hint="default"/>
          <w:spacing w:val="-4"/>
          <w:sz w:val="24"/>
          <w:szCs w:val="24"/>
        </w:rPr>
        <w:t>年公司制定《对外捐赠管理制度》，对公司对外捐赠的原则、对象、</w:t>
      </w:r>
      <w:r>
        <w:rPr>
          <w:rFonts w:ascii="宋体" w:hAnsi="宋体" w:cs="宋体" w:eastAsia="宋体" w:hint="default"/>
          <w:sz w:val="24"/>
          <w:szCs w:val="24"/>
        </w:rPr>
        <w:t> 范围、程序等做出了规定。</w:t>
      </w:r>
    </w:p>
    <w:p>
      <w:pPr>
        <w:spacing w:line="312" w:lineRule="exact" w:before="0"/>
        <w:ind w:left="118" w:right="100" w:firstLine="480"/>
        <w:jc w:val="left"/>
        <w:rPr>
          <w:rFonts w:ascii="宋体" w:hAnsi="宋体" w:cs="宋体" w:eastAsia="宋体" w:hint="default"/>
          <w:sz w:val="24"/>
          <w:szCs w:val="24"/>
        </w:rPr>
      </w:pPr>
      <w:r>
        <w:rPr>
          <w:rFonts w:ascii="宋体" w:hAnsi="宋体" w:cs="宋体" w:eastAsia="宋体" w:hint="default"/>
          <w:sz w:val="24"/>
          <w:szCs w:val="24"/>
        </w:rPr>
        <w:t>在经营管理方面，公司目前在运营管理的各个方面都已经建立了较为健全有效的内 部控制制度，尤其在人力资源、信息安全方面已形成完整的体系文件。公司根据实际业 </w:t>
      </w:r>
      <w:r>
        <w:rPr>
          <w:rFonts w:ascii="宋体" w:hAnsi="宋体" w:cs="宋体" w:eastAsia="宋体" w:hint="default"/>
          <w:spacing w:val="-3"/>
          <w:sz w:val="24"/>
          <w:szCs w:val="24"/>
        </w:rPr>
        <w:t>务、管理模式的变化不断对内控制度进行修订和完善。同时，公司在细化管理、提升管</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理水平方面积极加强内部控制制度建设。本报告期，公司大力推动投资并购流程创新，</w:t>
      </w:r>
      <w:r>
        <w:rPr>
          <w:rFonts w:ascii="宋体" w:hAnsi="宋体" w:cs="宋体" w:eastAsia="宋体" w:hint="default"/>
          <w:sz w:val="24"/>
          <w:szCs w:val="24"/>
        </w:rPr>
        <w:t> </w:t>
      </w:r>
      <w:r>
        <w:rPr>
          <w:rFonts w:ascii="宋体" w:hAnsi="宋体" w:cs="宋体" w:eastAsia="宋体" w:hint="default"/>
          <w:spacing w:val="-8"/>
          <w:sz w:val="24"/>
          <w:szCs w:val="24"/>
        </w:rPr>
        <w:t>建立投资并购流程体系，制定了《并购业务流程》、《并购&amp;整合实施指导手册》等文件，</w:t>
      </w:r>
      <w:r>
        <w:rPr>
          <w:rFonts w:ascii="宋体" w:hAnsi="宋体" w:cs="宋体" w:eastAsia="宋体" w:hint="default"/>
          <w:spacing w:val="-108"/>
          <w:sz w:val="24"/>
          <w:szCs w:val="24"/>
        </w:rPr>
        <w:t> </w:t>
      </w:r>
      <w:r>
        <w:rPr>
          <w:rFonts w:ascii="宋体" w:hAnsi="宋体" w:cs="宋体" w:eastAsia="宋体" w:hint="default"/>
          <w:spacing w:val="-108"/>
          <w:sz w:val="24"/>
          <w:szCs w:val="24"/>
        </w:rPr>
      </w:r>
      <w:r>
        <w:rPr>
          <w:rFonts w:ascii="宋体" w:hAnsi="宋体" w:cs="宋体" w:eastAsia="宋体" w:hint="default"/>
          <w:spacing w:val="-3"/>
          <w:sz w:val="24"/>
          <w:szCs w:val="24"/>
        </w:rPr>
        <w:t>细化对投资项目立项、估值、可行性分析、尽职调查、决策、实施、管理、收益、处置</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等十四个控制环节的管理，加强并购风险控制，使并购风险得到了有效的降低。新发布</w:t>
      </w:r>
    </w:p>
    <w:p>
      <w:pPr>
        <w:spacing w:line="312" w:lineRule="exact" w:before="0"/>
        <w:ind w:left="118" w:right="100" w:firstLine="0"/>
        <w:jc w:val="left"/>
        <w:rPr>
          <w:rFonts w:ascii="宋体" w:hAnsi="宋体" w:cs="宋体" w:eastAsia="宋体" w:hint="default"/>
          <w:sz w:val="24"/>
          <w:szCs w:val="24"/>
        </w:rPr>
      </w:pPr>
      <w:r>
        <w:rPr>
          <w:rFonts w:ascii="宋体" w:hAnsi="宋体" w:cs="宋体" w:eastAsia="宋体" w:hint="default"/>
          <w:spacing w:val="-2"/>
          <w:sz w:val="24"/>
          <w:szCs w:val="24"/>
        </w:rPr>
        <w:t>《销售过程管理规范》和《客户经理工作规范》，加强了对销售过程的规范控制；制定</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pacing w:val="-2"/>
          <w:sz w:val="24"/>
          <w:szCs w:val="24"/>
        </w:rPr>
        <w:t>了《合同签订流程评审审批运行要求》，进一步规范针对各类型业务合同评审每个环节</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5"/>
          <w:sz w:val="24"/>
          <w:szCs w:val="24"/>
        </w:rPr>
        <w:t>的时间要求、评审要点及所需材料，建立了更加规范和透明、便于监督的流程运行机制。</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报告期内，公司对基建项目从立项到项目后评估全流程各个环节进行了仔细梳理，完成</w:t>
      </w:r>
      <w:r>
        <w:rPr>
          <w:rFonts w:ascii="宋体" w:hAnsi="宋体" w:cs="宋体" w:eastAsia="宋体" w:hint="default"/>
          <w:sz w:val="24"/>
          <w:szCs w:val="24"/>
        </w:rPr>
        <w:t> </w:t>
      </w:r>
      <w:r>
        <w:rPr>
          <w:rFonts w:ascii="宋体" w:hAnsi="宋体" w:cs="宋体" w:eastAsia="宋体" w:hint="default"/>
          <w:spacing w:val="-2"/>
          <w:sz w:val="24"/>
          <w:szCs w:val="24"/>
        </w:rPr>
        <w:t>了基建管理体系框架文件，细化了《基建管理审批权限规则》，从公司层面和部门层面</w:t>
      </w:r>
      <w:r>
        <w:rPr>
          <w:rFonts w:ascii="宋体" w:hAnsi="宋体" w:cs="宋体" w:eastAsia="宋体" w:hint="default"/>
          <w:spacing w:val="-91"/>
          <w:sz w:val="24"/>
          <w:szCs w:val="24"/>
        </w:rPr>
        <w:t> </w:t>
      </w:r>
      <w:r>
        <w:rPr>
          <w:rFonts w:ascii="宋体" w:hAnsi="宋体" w:cs="宋体" w:eastAsia="宋体" w:hint="default"/>
          <w:spacing w:val="-91"/>
          <w:sz w:val="24"/>
          <w:szCs w:val="24"/>
        </w:rPr>
      </w:r>
      <w:r>
        <w:rPr>
          <w:rFonts w:ascii="宋体" w:hAnsi="宋体" w:cs="宋体" w:eastAsia="宋体" w:hint="default"/>
          <w:sz w:val="24"/>
          <w:szCs w:val="24"/>
        </w:rPr>
        <w:t>明确基建项目管理权限，实现了全面管控、重点突出、过程控制的基建项目管理原则；</w:t>
      </w:r>
      <w:r>
        <w:rPr>
          <w:rFonts w:ascii="宋体" w:hAnsi="宋体" w:cs="宋体" w:eastAsia="宋体" w:hint="default"/>
          <w:sz w:val="24"/>
          <w:szCs w:val="24"/>
        </w:rPr>
        <w:t> 公司发布了完整的行政管理体系文件，使公司行政管理工作各流程每个环节都有了规范 的执行标准。</w:t>
      </w:r>
    </w:p>
    <w:p>
      <w:pPr>
        <w:spacing w:line="312" w:lineRule="exact" w:before="0"/>
        <w:ind w:left="118" w:right="234" w:firstLine="480"/>
        <w:jc w:val="both"/>
        <w:rPr>
          <w:rFonts w:ascii="宋体" w:hAnsi="宋体" w:cs="宋体" w:eastAsia="宋体" w:hint="default"/>
          <w:sz w:val="24"/>
          <w:szCs w:val="24"/>
        </w:rPr>
      </w:pPr>
      <w:r>
        <w:rPr>
          <w:rFonts w:ascii="宋体" w:hAnsi="宋体" w:cs="宋体" w:eastAsia="宋体" w:hint="default"/>
          <w:spacing w:val="-2"/>
          <w:sz w:val="24"/>
          <w:szCs w:val="24"/>
        </w:rPr>
        <w:t>各项制度规范帮助公司细化了各方面的具体职责和操作流程，确保各项工作都有章</w:t>
      </w:r>
      <w:r>
        <w:rPr>
          <w:rFonts w:ascii="宋体" w:hAnsi="宋体" w:cs="宋体" w:eastAsia="宋体" w:hint="default"/>
          <w:sz w:val="24"/>
          <w:szCs w:val="24"/>
        </w:rPr>
        <w:t> </w:t>
      </w:r>
      <w:r>
        <w:rPr>
          <w:rFonts w:ascii="宋体" w:hAnsi="宋体" w:cs="宋体" w:eastAsia="宋体" w:hint="default"/>
          <w:spacing w:val="-2"/>
          <w:sz w:val="24"/>
          <w:szCs w:val="24"/>
        </w:rPr>
        <w:t>可循，管理有序，保证财务信息真实、完整、清晰，有效地控制了风险，保护了公司资</w:t>
      </w:r>
      <w:r>
        <w:rPr>
          <w:rFonts w:ascii="宋体" w:hAnsi="宋体" w:cs="宋体" w:eastAsia="宋体" w:hint="default"/>
          <w:spacing w:val="-98"/>
          <w:sz w:val="24"/>
          <w:szCs w:val="24"/>
        </w:rPr>
        <w:t> </w:t>
      </w:r>
      <w:r>
        <w:rPr>
          <w:rFonts w:ascii="宋体" w:hAnsi="宋体" w:cs="宋体" w:eastAsia="宋体" w:hint="default"/>
          <w:spacing w:val="-98"/>
          <w:sz w:val="24"/>
          <w:szCs w:val="24"/>
        </w:rPr>
      </w:r>
      <w:r>
        <w:rPr>
          <w:rFonts w:ascii="宋体" w:hAnsi="宋体" w:cs="宋体" w:eastAsia="宋体" w:hint="default"/>
          <w:sz w:val="24"/>
          <w:szCs w:val="24"/>
        </w:rPr>
        <w:t>产安全和投资者利益，为公司的规范运作与长期健康发展打下了坚实的基础。</w:t>
      </w:r>
    </w:p>
    <w:p>
      <w:pPr>
        <w:spacing w:line="312" w:lineRule="exact" w:before="124"/>
        <w:ind w:left="598" w:right="100" w:hanging="480"/>
        <w:jc w:val="left"/>
        <w:rPr>
          <w:rFonts w:ascii="宋体" w:hAnsi="宋体" w:cs="宋体" w:eastAsia="宋体" w:hint="default"/>
          <w:sz w:val="24"/>
          <w:szCs w:val="24"/>
        </w:rPr>
      </w:pPr>
      <w:r>
        <w:rPr>
          <w:rFonts w:ascii="宋体" w:hAnsi="宋体" w:cs="宋体" w:eastAsia="宋体" w:hint="default"/>
          <w:sz w:val="24"/>
          <w:szCs w:val="24"/>
        </w:rPr>
        <w:t>3、内部控制检查监督部门的设置情况 </w:t>
      </w:r>
      <w:r>
        <w:rPr>
          <w:rFonts w:ascii="宋体" w:hAnsi="宋体" w:cs="宋体" w:eastAsia="宋体" w:hint="default"/>
          <w:spacing w:val="-2"/>
          <w:sz w:val="24"/>
          <w:szCs w:val="24"/>
        </w:rPr>
        <w:t>公司成立内部控制领导小组负责对公司内控评价工作进行组织、统筹与指导。由公</w:t>
      </w:r>
    </w:p>
    <w:p>
      <w:pPr>
        <w:spacing w:line="312" w:lineRule="exact" w:before="0"/>
        <w:ind w:left="118" w:right="100" w:firstLine="0"/>
        <w:jc w:val="left"/>
        <w:rPr>
          <w:rFonts w:ascii="宋体" w:hAnsi="宋体" w:cs="宋体" w:eastAsia="宋体" w:hint="default"/>
          <w:sz w:val="24"/>
          <w:szCs w:val="24"/>
        </w:rPr>
      </w:pPr>
      <w:r>
        <w:rPr>
          <w:rFonts w:ascii="宋体" w:hAnsi="宋体" w:cs="宋体" w:eastAsia="宋体" w:hint="default"/>
          <w:spacing w:val="-2"/>
          <w:sz w:val="24"/>
          <w:szCs w:val="24"/>
        </w:rPr>
        <w:t>司财务运营部设专职，牵头组建内部控制工作组，联合公司各职能部门、各分子公司主</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要业务骨干组织实施内部控制评价工作。</w:t>
      </w:r>
    </w:p>
    <w:p>
      <w:pPr>
        <w:spacing w:line="312" w:lineRule="exact" w:before="0"/>
        <w:ind w:left="118" w:right="100" w:firstLine="480"/>
        <w:jc w:val="left"/>
        <w:rPr>
          <w:rFonts w:ascii="宋体" w:hAnsi="宋体" w:cs="宋体" w:eastAsia="宋体" w:hint="default"/>
          <w:sz w:val="24"/>
          <w:szCs w:val="24"/>
        </w:rPr>
      </w:pPr>
      <w:r>
        <w:rPr>
          <w:rFonts w:ascii="宋体" w:hAnsi="宋体" w:cs="宋体" w:eastAsia="宋体" w:hint="default"/>
          <w:spacing w:val="5"/>
          <w:sz w:val="24"/>
          <w:szCs w:val="24"/>
        </w:rPr>
        <w:t>公司设立投资审计部负责公司及下属控股子公司内部控制制度执行情况的检查与 </w:t>
      </w:r>
      <w:r>
        <w:rPr>
          <w:rFonts w:ascii="宋体" w:hAnsi="宋体" w:cs="宋体" w:eastAsia="宋体" w:hint="default"/>
          <w:sz w:val="24"/>
          <w:szCs w:val="24"/>
        </w:rPr>
        <w:t>监督，设立监察部负责对公司干部进行审计和监督，分别独立行使审计监督职权。</w:t>
      </w:r>
    </w:p>
    <w:p>
      <w:pPr>
        <w:spacing w:line="310" w:lineRule="exact" w:before="126"/>
        <w:ind w:left="598" w:right="111" w:hanging="480"/>
        <w:jc w:val="left"/>
        <w:rPr>
          <w:rFonts w:ascii="宋体" w:hAnsi="宋体" w:cs="宋体" w:eastAsia="宋体" w:hint="default"/>
          <w:sz w:val="24"/>
          <w:szCs w:val="24"/>
        </w:rPr>
      </w:pPr>
      <w:r>
        <w:rPr>
          <w:rFonts w:ascii="宋体" w:hAnsi="宋体" w:cs="宋体" w:eastAsia="宋体" w:hint="default"/>
          <w:sz w:val="24"/>
          <w:szCs w:val="24"/>
        </w:rPr>
        <w:t>4、内部监督和内部控制自我评价工作开展情况 </w:t>
      </w:r>
      <w:r>
        <w:rPr>
          <w:rFonts w:ascii="宋体" w:hAnsi="宋体" w:cs="宋体" w:eastAsia="宋体" w:hint="default"/>
          <w:spacing w:val="-5"/>
          <w:sz w:val="24"/>
          <w:szCs w:val="24"/>
        </w:rPr>
        <w:t>公司内控评价工作严格遵循《企业内部控制基本规范》及《企业内部控制评价指引》</w:t>
      </w:r>
    </w:p>
    <w:p>
      <w:pPr>
        <w:spacing w:line="312" w:lineRule="exact" w:before="0"/>
        <w:ind w:left="0" w:right="234" w:firstLine="0"/>
        <w:jc w:val="right"/>
        <w:rPr>
          <w:rFonts w:ascii="宋体" w:hAnsi="宋体" w:cs="宋体" w:eastAsia="宋体" w:hint="default"/>
          <w:sz w:val="24"/>
          <w:szCs w:val="24"/>
        </w:rPr>
      </w:pPr>
      <w:r>
        <w:rPr>
          <w:rFonts w:ascii="宋体" w:hAnsi="宋体" w:cs="宋体" w:eastAsia="宋体" w:hint="default"/>
          <w:spacing w:val="-2"/>
          <w:sz w:val="24"/>
          <w:szCs w:val="24"/>
        </w:rPr>
        <w:t>等法律法规的要求，结合公司内部控制制度和评价办法，在内部控制日常监督和专项监</w:t>
      </w:r>
      <w:r>
        <w:rPr>
          <w:rFonts w:ascii="宋体" w:hAnsi="宋体" w:cs="宋体" w:eastAsia="宋体" w:hint="default"/>
          <w:spacing w:val="-106"/>
          <w:sz w:val="24"/>
          <w:szCs w:val="24"/>
        </w:rPr>
        <w:t> </w:t>
      </w:r>
      <w:r>
        <w:rPr>
          <w:rFonts w:ascii="宋体" w:hAnsi="宋体" w:cs="宋体" w:eastAsia="宋体" w:hint="default"/>
          <w:spacing w:val="-106"/>
          <w:sz w:val="24"/>
          <w:szCs w:val="24"/>
        </w:rPr>
      </w:r>
      <w:r>
        <w:rPr>
          <w:rFonts w:ascii="宋体" w:hAnsi="宋体" w:cs="宋体" w:eastAsia="宋体" w:hint="default"/>
          <w:sz w:val="24"/>
          <w:szCs w:val="24"/>
        </w:rPr>
        <w:t>督的基础上对公司截至</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31</w:t>
      </w:r>
      <w:r>
        <w:rPr>
          <w:rFonts w:ascii="宋体" w:hAnsi="宋体" w:cs="宋体" w:eastAsia="宋体" w:hint="default"/>
          <w:spacing w:val="-60"/>
          <w:sz w:val="24"/>
          <w:szCs w:val="24"/>
        </w:rPr>
        <w:t> </w:t>
      </w:r>
      <w:r>
        <w:rPr>
          <w:rFonts w:ascii="宋体" w:hAnsi="宋体" w:cs="宋体" w:eastAsia="宋体" w:hint="default"/>
          <w:sz w:val="24"/>
          <w:szCs w:val="24"/>
        </w:rPr>
        <w:t>日内部控制设计与运行的有效性进行了评价。</w:t>
      </w:r>
      <w:r>
        <w:rPr>
          <w:rFonts w:ascii="宋体" w:hAnsi="宋体" w:cs="宋体" w:eastAsia="宋体" w:hint="default"/>
          <w:sz w:val="24"/>
          <w:szCs w:val="24"/>
        </w:rPr>
        <w:t> </w:t>
      </w:r>
      <w:r>
        <w:rPr>
          <w:rFonts w:ascii="宋体" w:hAnsi="宋体" w:cs="宋体" w:eastAsia="宋体" w:hint="default"/>
          <w:spacing w:val="-2"/>
          <w:sz w:val="24"/>
          <w:szCs w:val="24"/>
        </w:rPr>
        <w:t>内控评价工作经历了内控评价准备、实施和报告三个阶段，主要工作程序包括：制</w:t>
      </w:r>
      <w:r>
        <w:rPr>
          <w:rFonts w:ascii="宋体" w:hAnsi="宋体" w:cs="宋体" w:eastAsia="宋体" w:hint="default"/>
          <w:sz w:val="24"/>
          <w:szCs w:val="24"/>
        </w:rPr>
        <w:t> </w:t>
      </w:r>
      <w:r>
        <w:rPr>
          <w:rFonts w:ascii="宋体" w:hAnsi="宋体" w:cs="宋体" w:eastAsia="宋体" w:hint="default"/>
          <w:spacing w:val="-3"/>
          <w:sz w:val="24"/>
          <w:szCs w:val="24"/>
        </w:rPr>
        <w:t>订内部控制评价工作计划和方案，确定内控评价工作原则、评价范围、评价方法，报送</w:t>
      </w:r>
      <w:r>
        <w:rPr>
          <w:rFonts w:ascii="宋体" w:hAnsi="宋体" w:cs="宋体" w:eastAsia="宋体" w:hint="default"/>
          <w:spacing w:val="-1"/>
          <w:sz w:val="24"/>
          <w:szCs w:val="24"/>
        </w:rPr>
        <w:t> </w:t>
      </w:r>
      <w:r>
        <w:rPr>
          <w:rFonts w:ascii="宋体" w:hAnsi="宋体" w:cs="宋体" w:eastAsia="宋体" w:hint="default"/>
          <w:spacing w:val="-2"/>
          <w:sz w:val="24"/>
          <w:szCs w:val="24"/>
        </w:rPr>
        <w:t>董事会审议批准；组建内控工作组在内部控制领导小组的领导下，具体承担内控检查评</w:t>
      </w:r>
      <w:r>
        <w:rPr>
          <w:rFonts w:ascii="宋体" w:hAnsi="宋体" w:cs="宋体" w:eastAsia="宋体" w:hint="default"/>
          <w:spacing w:val="-106"/>
          <w:sz w:val="24"/>
          <w:szCs w:val="24"/>
        </w:rPr>
        <w:t> </w:t>
      </w:r>
      <w:r>
        <w:rPr>
          <w:rFonts w:ascii="宋体" w:hAnsi="宋体" w:cs="宋体" w:eastAsia="宋体" w:hint="default"/>
          <w:spacing w:val="-106"/>
          <w:sz w:val="24"/>
          <w:szCs w:val="24"/>
        </w:rPr>
      </w:r>
      <w:r>
        <w:rPr>
          <w:rFonts w:ascii="宋体" w:hAnsi="宋体" w:cs="宋体" w:eastAsia="宋体" w:hint="default"/>
          <w:spacing w:val="-2"/>
          <w:sz w:val="24"/>
          <w:szCs w:val="24"/>
        </w:rPr>
        <w:t>价任务；内控评价工作在公司范围内全面开展，工作组详细地了解了评价范围内各个内</w:t>
      </w:r>
      <w:r>
        <w:rPr>
          <w:rFonts w:ascii="宋体" w:hAnsi="宋体" w:cs="宋体" w:eastAsia="宋体" w:hint="default"/>
          <w:spacing w:val="-106"/>
          <w:sz w:val="24"/>
          <w:szCs w:val="24"/>
        </w:rPr>
        <w:t> </w:t>
      </w:r>
      <w:r>
        <w:rPr>
          <w:rFonts w:ascii="宋体" w:hAnsi="宋体" w:cs="宋体" w:eastAsia="宋体" w:hint="default"/>
          <w:spacing w:val="-106"/>
          <w:sz w:val="24"/>
          <w:szCs w:val="24"/>
        </w:rPr>
      </w:r>
      <w:r>
        <w:rPr>
          <w:rFonts w:ascii="宋体" w:hAnsi="宋体" w:cs="宋体" w:eastAsia="宋体" w:hint="default"/>
          <w:spacing w:val="-2"/>
          <w:sz w:val="24"/>
          <w:szCs w:val="24"/>
        </w:rPr>
        <w:t>控流程的情况，识别关键控制点，根据公司业务特点确定检查重点和抽样数量；综合运</w:t>
      </w:r>
    </w:p>
    <w:p>
      <w:pPr>
        <w:spacing w:line="240" w:lineRule="auto" w:before="12"/>
        <w:rPr>
          <w:rFonts w:ascii="宋体" w:hAnsi="宋体" w:cs="宋体" w:eastAsia="宋体" w:hint="default"/>
          <w:sz w:val="26"/>
          <w:szCs w:val="26"/>
        </w:rPr>
      </w:pPr>
    </w:p>
    <w:p>
      <w:pPr>
        <w:pStyle w:val="BodyText"/>
        <w:spacing w:line="240" w:lineRule="auto"/>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6"/>
        <w:rPr>
          <w:rFonts w:ascii="黑体" w:hAnsi="黑体" w:cs="黑体" w:eastAsia="黑体" w:hint="default"/>
          <w:sz w:val="15"/>
          <w:szCs w:val="15"/>
        </w:rPr>
      </w:pPr>
    </w:p>
    <w:p>
      <w:pPr>
        <w:pStyle w:val="Heading5"/>
        <w:spacing w:line="312" w:lineRule="exact" w:before="56"/>
        <w:ind w:right="229"/>
        <w:jc w:val="both"/>
      </w:pPr>
      <w:r>
        <w:rPr>
          <w:spacing w:val="5"/>
        </w:rPr>
        <w:t>用各种评价方法对内部控制设计与运行的有效性进行现场检查测试，记录相关测试结 </w:t>
      </w:r>
      <w:r>
        <w:rPr>
          <w:spacing w:val="-3"/>
        </w:rPr>
        <w:t>果；汇总评价结果，依据公司内控缺陷认定标准，研究分析内控缺陷，形成现场评价报</w:t>
      </w:r>
      <w:r>
        <w:rPr>
          <w:spacing w:val="-88"/>
        </w:rPr>
        <w:t> </w:t>
      </w:r>
      <w:r>
        <w:rPr>
          <w:spacing w:val="-88"/>
        </w:rPr>
      </w:r>
      <w:r>
        <w:rPr>
          <w:spacing w:val="-2"/>
        </w:rPr>
        <w:t>告。现场评价报告与被评价单位确认后，向内部控制领导小组汇报；编制内部控制评价</w:t>
      </w:r>
      <w:r>
        <w:rPr>
          <w:spacing w:val="-95"/>
        </w:rPr>
        <w:t> </w:t>
      </w:r>
      <w:r>
        <w:rPr>
          <w:spacing w:val="-95"/>
        </w:rPr>
      </w:r>
      <w:r>
        <w:rPr/>
        <w:t>报告，并报送管理层、董事会和监事会，由董事会最终审定后对外披露。</w:t>
      </w:r>
    </w:p>
    <w:p>
      <w:pPr>
        <w:spacing w:line="312" w:lineRule="exact" w:before="0"/>
        <w:ind w:left="118" w:right="100" w:firstLine="480"/>
        <w:jc w:val="left"/>
        <w:rPr>
          <w:rFonts w:ascii="宋体" w:hAnsi="宋体" w:cs="宋体" w:eastAsia="宋体" w:hint="default"/>
          <w:sz w:val="24"/>
          <w:szCs w:val="24"/>
        </w:rPr>
      </w:pPr>
      <w:r>
        <w:rPr>
          <w:rFonts w:ascii="宋体" w:hAnsi="宋体" w:cs="宋体" w:eastAsia="宋体" w:hint="default"/>
          <w:spacing w:val="-3"/>
          <w:sz w:val="24"/>
          <w:szCs w:val="24"/>
        </w:rPr>
        <w:t>公司内控评价围绕内部环境、风险评估、控制活动、信息与沟通、内部监督等要素</w:t>
      </w:r>
      <w:r>
        <w:rPr>
          <w:rFonts w:ascii="宋体" w:hAnsi="宋体" w:cs="宋体" w:eastAsia="宋体" w:hint="default"/>
          <w:spacing w:val="-1"/>
          <w:sz w:val="24"/>
          <w:szCs w:val="24"/>
        </w:rPr>
        <w:t> </w:t>
      </w:r>
      <w:r>
        <w:rPr>
          <w:rFonts w:ascii="宋体" w:hAnsi="宋体" w:cs="宋体" w:eastAsia="宋体" w:hint="default"/>
          <w:spacing w:val="5"/>
          <w:sz w:val="24"/>
          <w:szCs w:val="24"/>
        </w:rPr>
        <w:t>进行，评价内容涵盖了公司层面和业务层面各种业务和事项内部控制设计与运行的情</w:t>
      </w:r>
      <w:r>
        <w:rPr>
          <w:rFonts w:ascii="宋体" w:hAnsi="宋体" w:cs="宋体" w:eastAsia="宋体" w:hint="default"/>
          <w:spacing w:val="5"/>
          <w:sz w:val="24"/>
          <w:szCs w:val="24"/>
        </w:rPr>
        <w:t> </w:t>
      </w:r>
      <w:r>
        <w:rPr>
          <w:rFonts w:ascii="宋体" w:hAnsi="宋体" w:cs="宋体" w:eastAsia="宋体" w:hint="default"/>
          <w:spacing w:val="-6"/>
          <w:sz w:val="24"/>
          <w:szCs w:val="24"/>
        </w:rPr>
        <w:t>况，重点关注组织架构、发展战略、人力资源、社会责任、企业文化、资金活动、采购、</w:t>
      </w:r>
      <w:r>
        <w:rPr>
          <w:rFonts w:ascii="宋体" w:hAnsi="宋体" w:cs="宋体" w:eastAsia="宋体" w:hint="default"/>
          <w:spacing w:val="-86"/>
          <w:sz w:val="24"/>
          <w:szCs w:val="24"/>
        </w:rPr>
        <w:t> </w:t>
      </w:r>
      <w:r>
        <w:rPr>
          <w:rFonts w:ascii="宋体" w:hAnsi="宋体" w:cs="宋体" w:eastAsia="宋体" w:hint="default"/>
          <w:spacing w:val="-86"/>
          <w:sz w:val="24"/>
          <w:szCs w:val="24"/>
        </w:rPr>
      </w:r>
      <w:r>
        <w:rPr>
          <w:rFonts w:ascii="宋体" w:hAnsi="宋体" w:cs="宋体" w:eastAsia="宋体" w:hint="default"/>
          <w:sz w:val="24"/>
          <w:szCs w:val="24"/>
        </w:rPr>
        <w:t>资产管理、销售、研究与开发、工程项目、担保、财务报告、全面预算、合同管理、内</w:t>
      </w:r>
      <w:r>
        <w:rPr>
          <w:rFonts w:ascii="宋体" w:hAnsi="宋体" w:cs="宋体" w:eastAsia="宋体" w:hint="default"/>
          <w:sz w:val="24"/>
          <w:szCs w:val="24"/>
        </w:rPr>
        <w:t> 部信息传递和信息系统等方面。上述业务和事项的内部控制涵盖了公司经营管理的主要 方面，不存在重大遗漏。</w:t>
      </w:r>
    </w:p>
    <w:p>
      <w:pPr>
        <w:spacing w:line="312" w:lineRule="exact" w:before="0"/>
        <w:ind w:left="118" w:right="185" w:firstLine="480"/>
        <w:jc w:val="both"/>
        <w:rPr>
          <w:rFonts w:ascii="宋体" w:hAnsi="宋体" w:cs="宋体" w:eastAsia="宋体" w:hint="default"/>
          <w:sz w:val="24"/>
          <w:szCs w:val="24"/>
        </w:rPr>
      </w:pPr>
      <w:r>
        <w:rPr>
          <w:rFonts w:ascii="宋体" w:hAnsi="宋体" w:cs="宋体" w:eastAsia="宋体" w:hint="default"/>
          <w:spacing w:val="-2"/>
          <w:sz w:val="24"/>
          <w:szCs w:val="24"/>
        </w:rPr>
        <w:t>评价过程中，运用个别访谈、制度审阅、穿行测试、抽样测试、实地查验、比较分</w:t>
      </w:r>
      <w:r>
        <w:rPr>
          <w:rFonts w:ascii="宋体" w:hAnsi="宋体" w:cs="宋体" w:eastAsia="宋体" w:hint="default"/>
          <w:sz w:val="24"/>
          <w:szCs w:val="24"/>
        </w:rPr>
        <w:t> </w:t>
      </w:r>
      <w:r>
        <w:rPr>
          <w:rFonts w:ascii="宋体" w:hAnsi="宋体" w:cs="宋体" w:eastAsia="宋体" w:hint="default"/>
          <w:spacing w:val="-2"/>
          <w:sz w:val="24"/>
          <w:szCs w:val="24"/>
        </w:rPr>
        <w:t>析和专题讨论等方法，充分收集公司内部控制设计和执行是否有效的证据，如实填写评</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价工作底稿。公司内部控制评价采用的评价方法是适当的，获取的评价证据是充分的。 </w:t>
      </w:r>
      <w:r>
        <w:rPr>
          <w:rFonts w:ascii="宋体" w:hAnsi="宋体" w:cs="宋体" w:eastAsia="宋体" w:hint="default"/>
          <w:spacing w:val="-2"/>
          <w:sz w:val="24"/>
          <w:szCs w:val="24"/>
        </w:rPr>
        <w:t>外部咨询团队在协助公司开展内控评价的过程中对公司内部控制给出了较高的评价，未</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2"/>
          <w:sz w:val="24"/>
          <w:szCs w:val="24"/>
        </w:rPr>
        <w:t>发现重大和重要缺陷，且对相关的内控制度审阅后也未发现重大疏漏及冲突，认为公司</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内控管理水平在国内同业中处于前列。</w:t>
      </w:r>
    </w:p>
    <w:p>
      <w:pPr>
        <w:spacing w:line="312" w:lineRule="exact" w:before="0"/>
        <w:ind w:left="118" w:right="234" w:firstLine="480"/>
        <w:jc w:val="both"/>
        <w:rPr>
          <w:rFonts w:ascii="宋体" w:hAnsi="宋体" w:cs="宋体" w:eastAsia="宋体" w:hint="default"/>
          <w:sz w:val="24"/>
          <w:szCs w:val="24"/>
        </w:rPr>
      </w:pPr>
      <w:r>
        <w:rPr>
          <w:rFonts w:ascii="宋体" w:hAnsi="宋体" w:cs="宋体" w:eastAsia="宋体" w:hint="default"/>
          <w:spacing w:val="-2"/>
          <w:sz w:val="24"/>
          <w:szCs w:val="24"/>
        </w:rPr>
        <w:t>投资审计部根据年度审计计划，严格对各业务单元的财务、内部控制及生产经营活</w:t>
      </w:r>
      <w:r>
        <w:rPr>
          <w:rFonts w:ascii="宋体" w:hAnsi="宋体" w:cs="宋体" w:eastAsia="宋体" w:hint="default"/>
          <w:sz w:val="24"/>
          <w:szCs w:val="24"/>
        </w:rPr>
        <w:t> </w:t>
      </w:r>
      <w:r>
        <w:rPr>
          <w:rFonts w:ascii="宋体" w:hAnsi="宋体" w:cs="宋体" w:eastAsia="宋体" w:hint="default"/>
          <w:spacing w:val="-2"/>
          <w:sz w:val="24"/>
          <w:szCs w:val="24"/>
        </w:rPr>
        <w:t>动进行例行审计和专项审计，切实保障公司规章制度的贯彻执行，防范公司经营管理风</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10"/>
          <w:sz w:val="24"/>
          <w:szCs w:val="24"/>
        </w:rPr>
        <w:t>险。2011</w:t>
      </w:r>
      <w:r>
        <w:rPr>
          <w:rFonts w:ascii="宋体" w:hAnsi="宋体" w:cs="宋体" w:eastAsia="宋体" w:hint="default"/>
          <w:spacing w:val="-47"/>
          <w:sz w:val="24"/>
          <w:szCs w:val="24"/>
        </w:rPr>
        <w:t> </w:t>
      </w:r>
      <w:r>
        <w:rPr>
          <w:rFonts w:ascii="宋体" w:hAnsi="宋体" w:cs="宋体" w:eastAsia="宋体" w:hint="default"/>
          <w:spacing w:val="-2"/>
          <w:sz w:val="24"/>
          <w:szCs w:val="24"/>
        </w:rPr>
        <w:t>年公司围绕管理的重心和关注的风险热点，加大了业务发展历程审计和投资并</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购项目审计力度，有效降低了公司运行风险和并购风险。监察部</w:t>
      </w:r>
      <w:r>
        <w:rPr>
          <w:rFonts w:ascii="宋体" w:hAnsi="宋体" w:cs="宋体" w:eastAsia="宋体" w:hint="default"/>
          <w:spacing w:val="-73"/>
          <w:sz w:val="24"/>
          <w:szCs w:val="24"/>
        </w:rPr>
        <w:t> </w:t>
      </w:r>
      <w:r>
        <w:rPr>
          <w:rFonts w:ascii="宋体" w:hAnsi="宋体" w:cs="宋体" w:eastAsia="宋体" w:hint="default"/>
          <w:sz w:val="24"/>
          <w:szCs w:val="24"/>
        </w:rPr>
        <w:t>2011</w:t>
      </w:r>
      <w:r>
        <w:rPr>
          <w:rFonts w:ascii="宋体" w:hAnsi="宋体" w:cs="宋体" w:eastAsia="宋体" w:hint="default"/>
          <w:spacing w:val="-73"/>
          <w:sz w:val="24"/>
          <w:szCs w:val="24"/>
        </w:rPr>
        <w:t> </w:t>
      </w:r>
      <w:r>
        <w:rPr>
          <w:rFonts w:ascii="宋体" w:hAnsi="宋体" w:cs="宋体" w:eastAsia="宋体" w:hint="default"/>
          <w:sz w:val="24"/>
          <w:szCs w:val="24"/>
        </w:rPr>
        <w:t>年完成了</w:t>
      </w:r>
      <w:r>
        <w:rPr>
          <w:rFonts w:ascii="宋体" w:hAnsi="宋体" w:cs="宋体" w:eastAsia="宋体" w:hint="default"/>
          <w:spacing w:val="-73"/>
          <w:sz w:val="24"/>
          <w:szCs w:val="24"/>
        </w:rPr>
        <w:t> </w:t>
      </w:r>
      <w:r>
        <w:rPr>
          <w:rFonts w:ascii="宋体" w:hAnsi="宋体" w:cs="宋体" w:eastAsia="宋体" w:hint="default"/>
          <w:sz w:val="24"/>
          <w:szCs w:val="24"/>
        </w:rPr>
        <w:t>32</w:t>
      </w:r>
      <w:r>
        <w:rPr>
          <w:rFonts w:ascii="宋体" w:hAnsi="宋体" w:cs="宋体" w:eastAsia="宋体" w:hint="default"/>
          <w:spacing w:val="-73"/>
          <w:sz w:val="24"/>
          <w:szCs w:val="24"/>
        </w:rPr>
        <w:t> </w:t>
      </w:r>
      <w:r>
        <w:rPr>
          <w:rFonts w:ascii="宋体" w:hAnsi="宋体" w:cs="宋体" w:eastAsia="宋体" w:hint="default"/>
          <w:sz w:val="24"/>
          <w:szCs w:val="24"/>
        </w:rPr>
        <w:t>名干</w:t>
      </w:r>
      <w:r>
        <w:rPr>
          <w:rFonts w:ascii="宋体" w:hAnsi="宋体" w:cs="宋体" w:eastAsia="宋体" w:hint="default"/>
          <w:sz w:val="24"/>
          <w:szCs w:val="24"/>
        </w:rPr>
        <w:t> </w:t>
      </w:r>
      <w:r>
        <w:rPr>
          <w:rFonts w:ascii="宋体" w:hAnsi="宋体" w:cs="宋体" w:eastAsia="宋体" w:hint="default"/>
          <w:spacing w:val="-3"/>
          <w:sz w:val="24"/>
          <w:szCs w:val="24"/>
        </w:rPr>
        <w:t>部的离任审计，公司高级干部离职审计率、举报响应率、举报办结率均为</w:t>
      </w:r>
      <w:r>
        <w:rPr>
          <w:rFonts w:ascii="宋体" w:hAnsi="宋体" w:cs="宋体" w:eastAsia="宋体" w:hint="default"/>
          <w:spacing w:val="-47"/>
          <w:sz w:val="24"/>
          <w:szCs w:val="24"/>
        </w:rPr>
        <w:t> </w:t>
      </w:r>
      <w:r>
        <w:rPr>
          <w:rFonts w:ascii="宋体" w:hAnsi="宋体" w:cs="宋体" w:eastAsia="宋体" w:hint="default"/>
          <w:spacing w:val="-4"/>
          <w:sz w:val="24"/>
          <w:szCs w:val="24"/>
        </w:rPr>
        <w:t>100%，在公司</w:t>
      </w:r>
      <w:r>
        <w:rPr>
          <w:rFonts w:ascii="宋体" w:hAnsi="宋体" w:cs="宋体" w:eastAsia="宋体" w:hint="default"/>
          <w:spacing w:val="-118"/>
          <w:sz w:val="24"/>
          <w:szCs w:val="24"/>
        </w:rPr>
        <w:t> </w:t>
      </w:r>
      <w:r>
        <w:rPr>
          <w:rFonts w:ascii="宋体" w:hAnsi="宋体" w:cs="宋体" w:eastAsia="宋体" w:hint="default"/>
          <w:spacing w:val="-118"/>
          <w:sz w:val="24"/>
          <w:szCs w:val="24"/>
        </w:rPr>
      </w:r>
      <w:r>
        <w:rPr>
          <w:rFonts w:ascii="宋体" w:hAnsi="宋体" w:cs="宋体" w:eastAsia="宋体" w:hint="default"/>
          <w:sz w:val="24"/>
          <w:szCs w:val="24"/>
        </w:rPr>
        <w:t>内部干部监督、反贿赂舞弊等方面发挥了十分重要的作用。</w:t>
      </w:r>
    </w:p>
    <w:p>
      <w:pPr>
        <w:spacing w:line="310" w:lineRule="exact" w:before="126"/>
        <w:ind w:left="598" w:right="180" w:hanging="480"/>
        <w:jc w:val="left"/>
        <w:rPr>
          <w:rFonts w:ascii="宋体" w:hAnsi="宋体" w:cs="宋体" w:eastAsia="宋体" w:hint="default"/>
          <w:sz w:val="24"/>
          <w:szCs w:val="24"/>
        </w:rPr>
      </w:pPr>
      <w:r>
        <w:rPr>
          <w:rFonts w:ascii="宋体" w:hAnsi="宋体" w:cs="宋体" w:eastAsia="宋体" w:hint="default"/>
          <w:sz w:val="24"/>
          <w:szCs w:val="24"/>
        </w:rPr>
        <w:t>5、董事会对内部控制有关工作的安排 </w:t>
      </w:r>
      <w:r>
        <w:rPr>
          <w:rFonts w:ascii="宋体" w:hAnsi="宋体" w:cs="宋体" w:eastAsia="宋体" w:hint="default"/>
          <w:spacing w:val="-13"/>
          <w:sz w:val="24"/>
          <w:szCs w:val="24"/>
        </w:rPr>
        <w:t>公司根据《公司法》、《证券法》、《上市公司治理准则》等法律法规和《公司章程》</w:t>
      </w:r>
    </w:p>
    <w:p>
      <w:pPr>
        <w:spacing w:line="312" w:lineRule="exact" w:before="0"/>
        <w:ind w:left="118" w:right="100" w:firstLine="0"/>
        <w:jc w:val="left"/>
        <w:rPr>
          <w:rFonts w:ascii="宋体" w:hAnsi="宋体" w:cs="宋体" w:eastAsia="宋体" w:hint="default"/>
          <w:sz w:val="24"/>
          <w:szCs w:val="24"/>
        </w:rPr>
      </w:pPr>
      <w:r>
        <w:rPr>
          <w:rFonts w:ascii="宋体" w:hAnsi="宋体" w:cs="宋体" w:eastAsia="宋体" w:hint="default"/>
          <w:spacing w:val="-5"/>
          <w:sz w:val="24"/>
          <w:szCs w:val="24"/>
        </w:rPr>
        <w:t>的规定，建立了由股东大会、董事会、监事会和管理层组成的较为完善的法人治理结构。</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3"/>
          <w:sz w:val="24"/>
          <w:szCs w:val="24"/>
        </w:rPr>
        <w:t>股东大会是公司的最高权力机构，享有法律法规和《公司章程》规定的合法权利，依法</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行使公司经营方针、筹资、投资、利润分配等重大事项的表决权。董事会是公司的常设</w:t>
      </w:r>
      <w:r>
        <w:rPr>
          <w:rFonts w:ascii="宋体" w:hAnsi="宋体" w:cs="宋体" w:eastAsia="宋体" w:hint="default"/>
          <w:sz w:val="24"/>
          <w:szCs w:val="24"/>
        </w:rPr>
        <w:t> </w:t>
      </w:r>
      <w:r>
        <w:rPr>
          <w:rFonts w:ascii="宋体" w:hAnsi="宋体" w:cs="宋体" w:eastAsia="宋体" w:hint="default"/>
          <w:spacing w:val="-3"/>
          <w:sz w:val="24"/>
          <w:szCs w:val="24"/>
        </w:rPr>
        <w:t>决策机构，由</w:t>
      </w:r>
      <w:r>
        <w:rPr>
          <w:rFonts w:ascii="宋体" w:hAnsi="宋体" w:cs="宋体" w:eastAsia="宋体" w:hint="default"/>
          <w:spacing w:val="-65"/>
          <w:sz w:val="24"/>
          <w:szCs w:val="24"/>
        </w:rPr>
        <w:t> </w:t>
      </w:r>
      <w:r>
        <w:rPr>
          <w:rFonts w:ascii="宋体" w:hAnsi="宋体" w:cs="宋体" w:eastAsia="宋体" w:hint="default"/>
          <w:sz w:val="24"/>
          <w:szCs w:val="24"/>
        </w:rPr>
        <w:t>9</w:t>
      </w:r>
      <w:r>
        <w:rPr>
          <w:rFonts w:ascii="宋体" w:hAnsi="宋体" w:cs="宋体" w:eastAsia="宋体" w:hint="default"/>
          <w:spacing w:val="-65"/>
          <w:sz w:val="24"/>
          <w:szCs w:val="24"/>
        </w:rPr>
        <w:t> </w:t>
      </w:r>
      <w:r>
        <w:rPr>
          <w:rFonts w:ascii="宋体" w:hAnsi="宋体" w:cs="宋体" w:eastAsia="宋体" w:hint="default"/>
          <w:sz w:val="24"/>
          <w:szCs w:val="24"/>
        </w:rPr>
        <w:t>人组成，外部董事占董事会半数以上，独立董事</w:t>
      </w:r>
      <w:r>
        <w:rPr>
          <w:rFonts w:ascii="宋体" w:hAnsi="宋体" w:cs="宋体" w:eastAsia="宋体" w:hint="default"/>
          <w:spacing w:val="-65"/>
          <w:sz w:val="24"/>
          <w:szCs w:val="24"/>
        </w:rPr>
        <w:t> </w:t>
      </w:r>
      <w:r>
        <w:rPr>
          <w:rFonts w:ascii="宋体" w:hAnsi="宋体" w:cs="宋体" w:eastAsia="宋体" w:hint="default"/>
          <w:sz w:val="24"/>
          <w:szCs w:val="24"/>
        </w:rPr>
        <w:t>3</w:t>
      </w:r>
      <w:r>
        <w:rPr>
          <w:rFonts w:ascii="宋体" w:hAnsi="宋体" w:cs="宋体" w:eastAsia="宋体" w:hint="default"/>
          <w:spacing w:val="-65"/>
          <w:sz w:val="24"/>
          <w:szCs w:val="24"/>
        </w:rPr>
        <w:t> </w:t>
      </w:r>
      <w:r>
        <w:rPr>
          <w:rFonts w:ascii="宋体" w:hAnsi="宋体" w:cs="宋体" w:eastAsia="宋体" w:hint="default"/>
          <w:spacing w:val="-3"/>
          <w:sz w:val="24"/>
          <w:szCs w:val="24"/>
        </w:rPr>
        <w:t>人，主要负责对公司</w:t>
      </w:r>
      <w:r>
        <w:rPr>
          <w:rFonts w:ascii="宋体" w:hAnsi="宋体" w:cs="宋体" w:eastAsia="宋体" w:hint="default"/>
          <w:spacing w:val="-1"/>
          <w:sz w:val="24"/>
          <w:szCs w:val="24"/>
        </w:rPr>
        <w:t> </w:t>
      </w:r>
      <w:r>
        <w:rPr>
          <w:rFonts w:ascii="宋体" w:hAnsi="宋体" w:cs="宋体" w:eastAsia="宋体" w:hint="default"/>
          <w:sz w:val="24"/>
          <w:szCs w:val="24"/>
        </w:rPr>
        <w:t>长期发展战略和重大投资、融资等事项进行决策。董事会负责公司内部控制体系的建立</w:t>
      </w:r>
      <w:r>
        <w:rPr>
          <w:rFonts w:ascii="宋体" w:hAnsi="宋体" w:cs="宋体" w:eastAsia="宋体" w:hint="default"/>
          <w:sz w:val="24"/>
          <w:szCs w:val="24"/>
        </w:rPr>
        <w:t> 和监督，制订公司重大内控缺陷改进措施和重大风险防范策略，审阅内部控制自我评价 报告和内部控制审计报告，是公司内部控制评价的最高决策机构。监事会是公司的监督 机构，负责对公司董事、高级管理人员及财务进行监督，对股东大会负责。</w:t>
      </w:r>
    </w:p>
    <w:p>
      <w:pPr>
        <w:spacing w:line="312" w:lineRule="exact" w:before="0"/>
        <w:ind w:left="118" w:right="185" w:firstLine="480"/>
        <w:jc w:val="both"/>
        <w:rPr>
          <w:rFonts w:ascii="宋体" w:hAnsi="宋体" w:cs="宋体" w:eastAsia="宋体" w:hint="default"/>
          <w:sz w:val="24"/>
          <w:szCs w:val="24"/>
        </w:rPr>
      </w:pPr>
      <w:r>
        <w:rPr>
          <w:rFonts w:ascii="宋体" w:hAnsi="宋体" w:cs="宋体" w:eastAsia="宋体" w:hint="default"/>
          <w:spacing w:val="-2"/>
          <w:sz w:val="24"/>
          <w:szCs w:val="24"/>
        </w:rPr>
        <w:t>董事会下设战略决策委员会、提名委员会、审计委员会、薪酬与考核委员会等四个</w:t>
      </w:r>
      <w:r>
        <w:rPr>
          <w:rFonts w:ascii="宋体" w:hAnsi="宋体" w:cs="宋体" w:eastAsia="宋体" w:hint="default"/>
          <w:sz w:val="24"/>
          <w:szCs w:val="24"/>
        </w:rPr>
        <w:t> 专业委员会。审计委员会由</w:t>
      </w:r>
      <w:r>
        <w:rPr>
          <w:rFonts w:ascii="宋体" w:hAnsi="宋体" w:cs="宋体" w:eastAsia="宋体" w:hint="default"/>
          <w:spacing w:val="-60"/>
          <w:sz w:val="24"/>
          <w:szCs w:val="24"/>
        </w:rPr>
        <w:t> </w:t>
      </w:r>
      <w:r>
        <w:rPr>
          <w:rFonts w:ascii="宋体" w:hAnsi="宋体" w:cs="宋体" w:eastAsia="宋体" w:hint="default"/>
          <w:sz w:val="24"/>
          <w:szCs w:val="24"/>
        </w:rPr>
        <w:t>4</w:t>
      </w:r>
      <w:r>
        <w:rPr>
          <w:rFonts w:ascii="宋体" w:hAnsi="宋体" w:cs="宋体" w:eastAsia="宋体" w:hint="default"/>
          <w:spacing w:val="-60"/>
          <w:sz w:val="24"/>
          <w:szCs w:val="24"/>
        </w:rPr>
        <w:t> </w:t>
      </w:r>
      <w:r>
        <w:rPr>
          <w:rFonts w:ascii="宋体" w:hAnsi="宋体" w:cs="宋体" w:eastAsia="宋体" w:hint="default"/>
          <w:sz w:val="24"/>
          <w:szCs w:val="24"/>
        </w:rPr>
        <w:t>人组成，其中</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人为独立董事，并由独立董事担任主任，</w:t>
      </w:r>
      <w:r>
        <w:rPr>
          <w:rFonts w:ascii="宋体" w:hAnsi="宋体" w:cs="宋体" w:eastAsia="宋体" w:hint="default"/>
          <w:sz w:val="24"/>
          <w:szCs w:val="24"/>
        </w:rPr>
        <w:t> </w:t>
      </w:r>
      <w:r>
        <w:rPr>
          <w:rFonts w:ascii="宋体" w:hAnsi="宋体" w:cs="宋体" w:eastAsia="宋体" w:hint="default"/>
          <w:spacing w:val="-2"/>
          <w:sz w:val="24"/>
          <w:szCs w:val="24"/>
        </w:rPr>
        <w:t>负责审查公司内部控制，监督内部控制的有效实施和内部控制自我评价情况，协调内部</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控制审计及其他相关事宜等。</w:t>
      </w:r>
    </w:p>
    <w:p>
      <w:pPr>
        <w:spacing w:line="312" w:lineRule="exact" w:before="124"/>
        <w:ind w:left="598" w:right="166" w:hanging="480"/>
        <w:jc w:val="left"/>
        <w:rPr>
          <w:rFonts w:ascii="宋体" w:hAnsi="宋体" w:cs="宋体" w:eastAsia="宋体" w:hint="default"/>
          <w:sz w:val="24"/>
          <w:szCs w:val="24"/>
        </w:rPr>
      </w:pPr>
      <w:r>
        <w:rPr>
          <w:rFonts w:ascii="宋体" w:hAnsi="宋体" w:cs="宋体" w:eastAsia="宋体" w:hint="default"/>
          <w:sz w:val="24"/>
          <w:szCs w:val="24"/>
        </w:rPr>
        <w:t>6、与财务报告相关的内部控制制度的完善情况 公司根据有关法律法规并结合公司具体实际情况建立财务报告内部控制相关制度，</w:t>
      </w:r>
    </w:p>
    <w:p>
      <w:pPr>
        <w:spacing w:line="312" w:lineRule="exact" w:before="0"/>
        <w:ind w:left="118" w:right="100" w:firstLine="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50"/>
          <w:sz w:val="24"/>
          <w:szCs w:val="24"/>
        </w:rPr>
        <w:t> </w:t>
      </w:r>
      <w:r>
        <w:rPr>
          <w:rFonts w:ascii="宋体" w:hAnsi="宋体" w:cs="宋体" w:eastAsia="宋体" w:hint="default"/>
          <w:spacing w:val="-4"/>
          <w:sz w:val="24"/>
          <w:szCs w:val="24"/>
        </w:rPr>
        <w:t>年对财务报告相关的内部控制制度进行了进一步的修订和完善。公司新制定《资金</w:t>
      </w:r>
      <w:r>
        <w:rPr>
          <w:rFonts w:ascii="宋体" w:hAnsi="宋体" w:cs="宋体" w:eastAsia="宋体" w:hint="default"/>
          <w:spacing w:val="-99"/>
          <w:sz w:val="24"/>
          <w:szCs w:val="24"/>
        </w:rPr>
        <w:t> </w:t>
      </w:r>
      <w:r>
        <w:rPr>
          <w:rFonts w:ascii="宋体" w:hAnsi="宋体" w:cs="宋体" w:eastAsia="宋体" w:hint="default"/>
          <w:spacing w:val="-99"/>
          <w:sz w:val="24"/>
          <w:szCs w:val="24"/>
        </w:rPr>
      </w:r>
      <w:r>
        <w:rPr>
          <w:rFonts w:ascii="宋体" w:hAnsi="宋体" w:cs="宋体" w:eastAsia="宋体" w:hint="default"/>
          <w:spacing w:val="-2"/>
          <w:sz w:val="24"/>
          <w:szCs w:val="24"/>
        </w:rPr>
        <w:t>滚动预算管理规范》，加强资金中长期规划，实现了逐月滚动预测，为公司营造了更为</w:t>
      </w:r>
      <w:r>
        <w:rPr>
          <w:rFonts w:ascii="宋体" w:hAnsi="宋体" w:cs="宋体" w:eastAsia="宋体" w:hint="default"/>
          <w:spacing w:val="-111"/>
          <w:sz w:val="24"/>
          <w:szCs w:val="24"/>
        </w:rPr>
        <w:t> </w:t>
      </w:r>
      <w:r>
        <w:rPr>
          <w:rFonts w:ascii="宋体" w:hAnsi="宋体" w:cs="宋体" w:eastAsia="宋体" w:hint="default"/>
          <w:spacing w:val="-111"/>
          <w:sz w:val="24"/>
          <w:szCs w:val="24"/>
        </w:rPr>
      </w:r>
      <w:r>
        <w:rPr>
          <w:rFonts w:ascii="宋体" w:hAnsi="宋体" w:cs="宋体" w:eastAsia="宋体" w:hint="default"/>
          <w:spacing w:val="-10"/>
          <w:sz w:val="24"/>
          <w:szCs w:val="24"/>
        </w:rPr>
        <w:t>安全、高效的资金环境。面对复杂多变的外汇走势，2011</w:t>
      </w:r>
      <w:r>
        <w:rPr>
          <w:rFonts w:ascii="宋体" w:hAnsi="宋体" w:cs="宋体" w:eastAsia="宋体" w:hint="default"/>
          <w:spacing w:val="-54"/>
          <w:sz w:val="24"/>
          <w:szCs w:val="24"/>
        </w:rPr>
        <w:t> </w:t>
      </w:r>
      <w:r>
        <w:rPr>
          <w:rFonts w:ascii="宋体" w:hAnsi="宋体" w:cs="宋体" w:eastAsia="宋体" w:hint="default"/>
          <w:spacing w:val="-14"/>
          <w:sz w:val="24"/>
          <w:szCs w:val="24"/>
        </w:rPr>
        <w:t>年公司修订了《外汇管理制度》，</w:t>
      </w:r>
      <w:r>
        <w:rPr>
          <w:rFonts w:ascii="宋体" w:hAnsi="宋体" w:cs="宋体" w:eastAsia="宋体" w:hint="default"/>
          <w:sz w:val="24"/>
          <w:szCs w:val="24"/>
        </w:rPr>
        <w:t> 加强外汇统筹管理，进一步完善了外汇风险暴露的管理模型，并将模型理念运用在实务</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BodyText"/>
        <w:spacing w:line="240" w:lineRule="auto"/>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6"/>
        <w:rPr>
          <w:rFonts w:ascii="黑体" w:hAnsi="黑体" w:cs="黑体" w:eastAsia="黑体" w:hint="default"/>
          <w:sz w:val="15"/>
          <w:szCs w:val="15"/>
        </w:rPr>
      </w:pPr>
    </w:p>
    <w:p>
      <w:pPr>
        <w:pStyle w:val="Heading5"/>
        <w:spacing w:line="312" w:lineRule="exact" w:before="56"/>
        <w:ind w:right="149"/>
        <w:jc w:val="both"/>
      </w:pPr>
      <w:r>
        <w:rPr>
          <w:spacing w:val="-4"/>
        </w:rPr>
        <w:t>操作中，同时继续采用远期结售汇等金融工具锁定外汇风险。2011</w:t>
      </w:r>
      <w:r>
        <w:rPr>
          <w:spacing w:val="-51"/>
        </w:rPr>
        <w:t> </w:t>
      </w:r>
      <w:r>
        <w:rPr/>
        <w:t>年公司按照有关法律</w:t>
      </w:r>
      <w:r>
        <w:rPr>
          <w:spacing w:val="-118"/>
        </w:rPr>
        <w:t> </w:t>
      </w:r>
      <w:r>
        <w:rPr>
          <w:spacing w:val="-118"/>
        </w:rPr>
      </w:r>
      <w:r>
        <w:rPr>
          <w:spacing w:val="-2"/>
        </w:rPr>
        <w:t>法规以及上市规则的要求，制定了《关联交易管理制度》，从制度上明确了关联交易管</w:t>
      </w:r>
      <w:r>
        <w:rPr>
          <w:spacing w:val="-93"/>
        </w:rPr>
        <w:t> </w:t>
      </w:r>
      <w:r>
        <w:rPr>
          <w:spacing w:val="-93"/>
        </w:rPr>
      </w:r>
      <w:r>
        <w:rPr>
          <w:spacing w:val="-2"/>
        </w:rPr>
        <w:t>理各方面的规定；修订了《关联交易对账流程》，进一步完善对账流程的操作规范。随</w:t>
      </w:r>
      <w:r>
        <w:rPr>
          <w:spacing w:val="-115"/>
        </w:rPr>
        <w:t> </w:t>
      </w:r>
      <w:r>
        <w:rPr>
          <w:spacing w:val="-115"/>
        </w:rPr>
      </w:r>
      <w:r>
        <w:rPr>
          <w:spacing w:val="-3"/>
        </w:rPr>
        <w:t>着公司信息系统整合升级的完成，公司及时修订了《财务信息系统管理规定》，进一步</w:t>
      </w:r>
      <w:r>
        <w:rPr>
          <w:spacing w:val="-84"/>
        </w:rPr>
        <w:t> </w:t>
      </w:r>
      <w:r>
        <w:rPr>
          <w:spacing w:val="-84"/>
        </w:rPr>
      </w:r>
      <w:r>
        <w:rPr>
          <w:spacing w:val="-14"/>
        </w:rPr>
        <w:t>细化了相关业务操作规范；修订了《财务报表编制流程》、《合并报表工作制度》、《财务</w:t>
      </w:r>
      <w:r>
        <w:rPr>
          <w:spacing w:val="-91"/>
        </w:rPr>
        <w:t> </w:t>
      </w:r>
      <w:r>
        <w:rPr>
          <w:spacing w:val="-91"/>
        </w:rPr>
      </w:r>
      <w:r>
        <w:rPr>
          <w:spacing w:val="-3"/>
        </w:rPr>
        <w:t>信息披露工作制度》等相关制度，使财务报告编制过程更加科学、规范，进一步提升了</w:t>
      </w:r>
      <w:r>
        <w:rPr>
          <w:spacing w:val="-88"/>
        </w:rPr>
        <w:t> </w:t>
      </w:r>
      <w:r>
        <w:rPr>
          <w:spacing w:val="-88"/>
        </w:rPr>
      </w:r>
      <w:r>
        <w:rPr/>
        <w:t>财务信息的准确性、可靠性和安全性。</w:t>
      </w:r>
    </w:p>
    <w:p>
      <w:pPr>
        <w:spacing w:line="310" w:lineRule="exact" w:before="126"/>
        <w:ind w:left="598" w:right="0" w:hanging="480"/>
        <w:jc w:val="left"/>
        <w:rPr>
          <w:rFonts w:ascii="宋体" w:hAnsi="宋体" w:cs="宋体" w:eastAsia="宋体" w:hint="default"/>
          <w:sz w:val="24"/>
          <w:szCs w:val="24"/>
        </w:rPr>
      </w:pPr>
      <w:r>
        <w:rPr>
          <w:rFonts w:ascii="宋体" w:hAnsi="宋体" w:cs="宋体" w:eastAsia="宋体" w:hint="default"/>
          <w:sz w:val="24"/>
          <w:szCs w:val="24"/>
        </w:rPr>
        <w:t>7、内部控制存在的缺陷及整改情况 </w:t>
      </w:r>
      <w:r>
        <w:rPr>
          <w:rFonts w:ascii="宋体" w:hAnsi="宋体" w:cs="宋体" w:eastAsia="宋体" w:hint="default"/>
          <w:spacing w:val="-2"/>
          <w:sz w:val="24"/>
          <w:szCs w:val="24"/>
        </w:rPr>
        <w:t>本报告期内，经过与外部咨询团队的紧密合作，对公司内部控制进行了全面的梳理</w:t>
      </w:r>
    </w:p>
    <w:p>
      <w:pPr>
        <w:spacing w:line="312" w:lineRule="exact" w:before="0"/>
        <w:ind w:left="118" w:right="154" w:firstLine="0"/>
        <w:jc w:val="both"/>
        <w:rPr>
          <w:rFonts w:ascii="宋体" w:hAnsi="宋体" w:cs="宋体" w:eastAsia="宋体" w:hint="default"/>
          <w:sz w:val="24"/>
          <w:szCs w:val="24"/>
        </w:rPr>
      </w:pPr>
      <w:r>
        <w:rPr>
          <w:rFonts w:ascii="宋体" w:hAnsi="宋体" w:cs="宋体" w:eastAsia="宋体" w:hint="default"/>
          <w:spacing w:val="-2"/>
          <w:sz w:val="24"/>
          <w:szCs w:val="24"/>
        </w:rPr>
        <w:t>与评估，进一步健全了公司内部控制体系，同时提高了内控团队的知识与能力。在内部</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2"/>
          <w:sz w:val="24"/>
          <w:szCs w:val="24"/>
        </w:rPr>
        <w:t>控制自我评价过程中，根据公司内部控制缺陷认定标准，未发现公司报告期内存在内部</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2"/>
          <w:sz w:val="24"/>
          <w:szCs w:val="24"/>
        </w:rPr>
        <w:t>控制设计和运行方面的重大缺陷和重要缺陷。目前的内部控制制度较为合理、健全，内</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2"/>
          <w:sz w:val="24"/>
          <w:szCs w:val="24"/>
        </w:rPr>
        <w:t>控体系与相关制度能够适应公司管理的要求和发展的需要，合理控制了各种风险，促进</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2"/>
          <w:sz w:val="24"/>
          <w:szCs w:val="24"/>
        </w:rPr>
        <w:t>了公司整体业务的发展和目标的达成，保证了公司、债权人和广大投资人的利益。通过</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2"/>
          <w:sz w:val="24"/>
          <w:szCs w:val="24"/>
        </w:rPr>
        <w:t>一系列扎实的内控梳理与评估工作，使公司各流程的内部控制更加系统化、规范化，对</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2"/>
          <w:sz w:val="24"/>
          <w:szCs w:val="24"/>
        </w:rPr>
        <w:t>风险控制防范措施进行了补充，进一步完善了公司内控流程，促进了公司整体内控水平</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的提高。</w:t>
      </w:r>
    </w:p>
    <w:p>
      <w:pPr>
        <w:spacing w:line="333" w:lineRule="auto" w:before="157"/>
        <w:ind w:left="598" w:right="0" w:hanging="480"/>
        <w:jc w:val="left"/>
        <w:rPr>
          <w:rFonts w:ascii="宋体" w:hAnsi="宋体" w:cs="宋体" w:eastAsia="宋体" w:hint="default"/>
          <w:sz w:val="24"/>
          <w:szCs w:val="24"/>
        </w:rPr>
      </w:pPr>
      <w:r>
        <w:rPr>
          <w:rFonts w:ascii="宋体" w:hAnsi="宋体" w:cs="宋体" w:eastAsia="宋体" w:hint="default"/>
          <w:b/>
          <w:bCs/>
          <w:sz w:val="24"/>
          <w:szCs w:val="24"/>
        </w:rPr>
        <w:t>（五）高级管理人员的考评及激励情况</w:t>
      </w:r>
      <w:r>
        <w:rPr>
          <w:rFonts w:ascii="宋体" w:hAnsi="宋体" w:cs="宋体" w:eastAsia="宋体" w:hint="default"/>
          <w:b/>
          <w:bCs/>
          <w:spacing w:val="1"/>
          <w:w w:val="99"/>
          <w:sz w:val="24"/>
          <w:szCs w:val="24"/>
        </w:rPr>
        <w:t> </w:t>
      </w:r>
      <w:r>
        <w:rPr>
          <w:rFonts w:ascii="宋体" w:hAnsi="宋体" w:cs="宋体" w:eastAsia="宋体" w:hint="default"/>
          <w:spacing w:val="-2"/>
          <w:sz w:val="24"/>
          <w:szCs w:val="24"/>
        </w:rPr>
        <w:t>为维护公司及股东的利益，面对国际经济形势带来的挑战和行业发展的机遇，促进</w:t>
      </w:r>
    </w:p>
    <w:p>
      <w:pPr>
        <w:pStyle w:val="Heading5"/>
        <w:spacing w:line="217" w:lineRule="exact"/>
        <w:ind w:right="0"/>
        <w:jc w:val="both"/>
      </w:pPr>
      <w:r>
        <w:rPr/>
        <w:t>公司在全球化进程中持续稳定发展，有效激励高级管理人员，公司根据所处行业特点、</w:t>
      </w:r>
    </w:p>
    <w:p>
      <w:pPr>
        <w:spacing w:line="312" w:lineRule="exact" w:before="29"/>
        <w:ind w:left="118" w:right="154" w:firstLine="0"/>
        <w:jc w:val="both"/>
        <w:rPr>
          <w:rFonts w:ascii="宋体" w:hAnsi="宋体" w:cs="宋体" w:eastAsia="宋体" w:hint="default"/>
          <w:sz w:val="24"/>
          <w:szCs w:val="24"/>
        </w:rPr>
      </w:pPr>
      <w:r>
        <w:rPr>
          <w:rFonts w:ascii="宋体" w:hAnsi="宋体" w:cs="宋体" w:eastAsia="宋体" w:hint="default"/>
          <w:spacing w:val="-2"/>
          <w:sz w:val="24"/>
          <w:szCs w:val="24"/>
        </w:rPr>
        <w:t>市场趋势和公司自身的实际情况，进一步加强对高级管理人员的考评，完善高级管理人</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员的胜任能力模型，继续采取平衡计分卡、360</w:t>
      </w:r>
      <w:r>
        <w:rPr>
          <w:rFonts w:ascii="宋体" w:hAnsi="宋体" w:cs="宋体" w:eastAsia="宋体" w:hint="default"/>
          <w:spacing w:val="-51"/>
          <w:sz w:val="24"/>
          <w:szCs w:val="24"/>
        </w:rPr>
        <w:t> </w:t>
      </w:r>
      <w:r>
        <w:rPr>
          <w:rFonts w:ascii="宋体" w:hAnsi="宋体" w:cs="宋体" w:eastAsia="宋体" w:hint="default"/>
          <w:sz w:val="24"/>
          <w:szCs w:val="24"/>
        </w:rPr>
        <w:t>度评估等考核评价方式，持续促进高级</w:t>
      </w:r>
      <w:r>
        <w:rPr>
          <w:rFonts w:ascii="宋体" w:hAnsi="宋体" w:cs="宋体" w:eastAsia="宋体" w:hint="default"/>
          <w:sz w:val="24"/>
          <w:szCs w:val="24"/>
        </w:rPr>
        <w:t> </w:t>
      </w:r>
      <w:r>
        <w:rPr>
          <w:rFonts w:ascii="宋体" w:hAnsi="宋体" w:cs="宋体" w:eastAsia="宋体" w:hint="default"/>
          <w:spacing w:val="-2"/>
          <w:sz w:val="24"/>
          <w:szCs w:val="24"/>
        </w:rPr>
        <w:t>管理人员对经营业绩及公司长远发展目标的关注，注重领导力的提升和对企业发展的贡</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2"/>
          <w:sz w:val="24"/>
          <w:szCs w:val="24"/>
        </w:rPr>
        <w:t>献，提升了高级管理人员的岗位责任感和自豪感，对促进高级管理人员的稳定和发展取</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2"/>
          <w:sz w:val="24"/>
          <w:szCs w:val="24"/>
        </w:rPr>
        <w:t>得了较好的效果。面对公司全球化和规模化的发展，公司还将继续完善更有效的高级管</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理人员的激励和约束机制，以持续提高公司业绩和运营质量。</w:t>
      </w:r>
    </w:p>
    <w:p>
      <w:pPr>
        <w:spacing w:before="157"/>
        <w:ind w:left="118" w:right="0" w:firstLine="0"/>
        <w:jc w:val="both"/>
        <w:rPr>
          <w:rFonts w:ascii="宋体" w:hAnsi="宋体" w:cs="宋体" w:eastAsia="宋体" w:hint="default"/>
          <w:sz w:val="24"/>
          <w:szCs w:val="24"/>
        </w:rPr>
      </w:pPr>
      <w:r>
        <w:rPr>
          <w:rFonts w:ascii="宋体" w:hAnsi="宋体" w:cs="宋体" w:eastAsia="宋体" w:hint="default"/>
          <w:b/>
          <w:bCs/>
          <w:sz w:val="24"/>
          <w:szCs w:val="24"/>
        </w:rPr>
        <w:t>（六）公司披露内部控制的相关报告</w:t>
      </w:r>
      <w:r>
        <w:rPr>
          <w:rFonts w:ascii="宋体" w:hAnsi="宋体" w:cs="宋体" w:eastAsia="宋体" w:hint="default"/>
          <w:sz w:val="24"/>
          <w:szCs w:val="24"/>
        </w:rPr>
      </w:r>
    </w:p>
    <w:p>
      <w:pPr>
        <w:spacing w:line="312" w:lineRule="exact" w:before="151"/>
        <w:ind w:left="118" w:right="154" w:firstLine="480"/>
        <w:jc w:val="both"/>
        <w:rPr>
          <w:rFonts w:ascii="宋体" w:hAnsi="宋体" w:cs="宋体" w:eastAsia="宋体" w:hint="default"/>
          <w:sz w:val="24"/>
          <w:szCs w:val="24"/>
        </w:rPr>
      </w:pPr>
      <w:r>
        <w:rPr>
          <w:rFonts w:ascii="宋体" w:hAnsi="宋体" w:cs="宋体" w:eastAsia="宋体" w:hint="default"/>
          <w:sz w:val="24"/>
          <w:szCs w:val="24"/>
        </w:rPr>
        <w:t>与本年度报告公告的同时，公司披露《2011</w:t>
      </w:r>
      <w:r>
        <w:rPr>
          <w:rFonts w:ascii="宋体" w:hAnsi="宋体" w:cs="宋体" w:eastAsia="宋体" w:hint="default"/>
          <w:spacing w:val="-37"/>
          <w:sz w:val="24"/>
          <w:szCs w:val="24"/>
        </w:rPr>
        <w:t> </w:t>
      </w:r>
      <w:r>
        <w:rPr>
          <w:rFonts w:ascii="宋体" w:hAnsi="宋体" w:cs="宋体" w:eastAsia="宋体" w:hint="default"/>
          <w:spacing w:val="-8"/>
          <w:sz w:val="24"/>
          <w:szCs w:val="24"/>
        </w:rPr>
        <w:t>年度内部控制评价报告》、立信会计师</w:t>
      </w:r>
      <w:r>
        <w:rPr>
          <w:rFonts w:ascii="宋体" w:hAnsi="宋体" w:cs="宋体" w:eastAsia="宋体" w:hint="default"/>
          <w:sz w:val="24"/>
          <w:szCs w:val="24"/>
        </w:rPr>
        <w:t> 事务所（特殊普通合伙）出具的《2011</w:t>
      </w:r>
      <w:r>
        <w:rPr>
          <w:rFonts w:ascii="宋体" w:hAnsi="宋体" w:cs="宋体" w:eastAsia="宋体" w:hint="default"/>
          <w:spacing w:val="-46"/>
          <w:sz w:val="24"/>
          <w:szCs w:val="24"/>
        </w:rPr>
        <w:t> </w:t>
      </w:r>
      <w:r>
        <w:rPr>
          <w:rFonts w:ascii="宋体" w:hAnsi="宋体" w:cs="宋体" w:eastAsia="宋体" w:hint="default"/>
          <w:spacing w:val="-6"/>
          <w:sz w:val="24"/>
          <w:szCs w:val="24"/>
        </w:rPr>
        <w:t>年度内部控制审计报告》，具体内容详见上海证</w:t>
      </w:r>
      <w:r>
        <w:rPr>
          <w:rFonts w:ascii="宋体" w:hAnsi="宋体" w:cs="宋体" w:eastAsia="宋体" w:hint="default"/>
          <w:sz w:val="24"/>
          <w:szCs w:val="24"/>
        </w:rPr>
        <w:t> 券交易所网站</w:t>
      </w:r>
      <w:r>
        <w:rPr>
          <w:rFonts w:ascii="宋体" w:hAnsi="宋体" w:cs="宋体" w:eastAsia="宋体" w:hint="default"/>
          <w:spacing w:val="-60"/>
          <w:sz w:val="24"/>
          <w:szCs w:val="24"/>
        </w:rPr>
        <w:t> </w:t>
      </w:r>
      <w:hyperlink r:id="rId10">
        <w:r>
          <w:rPr>
            <w:rFonts w:ascii="宋体" w:hAnsi="宋体" w:cs="宋体" w:eastAsia="宋体" w:hint="default"/>
            <w:sz w:val="24"/>
            <w:szCs w:val="24"/>
          </w:rPr>
          <w:t>http://www.sse.com.cn。</w:t>
        </w:r>
      </w:hyperlink>
    </w:p>
    <w:p>
      <w:pPr>
        <w:spacing w:before="157"/>
        <w:ind w:left="118" w:right="0" w:firstLine="0"/>
        <w:jc w:val="both"/>
        <w:rPr>
          <w:rFonts w:ascii="宋体" w:hAnsi="宋体" w:cs="宋体" w:eastAsia="宋体" w:hint="default"/>
          <w:sz w:val="24"/>
          <w:szCs w:val="24"/>
        </w:rPr>
      </w:pPr>
      <w:r>
        <w:rPr>
          <w:rFonts w:ascii="宋体" w:hAnsi="宋体" w:cs="宋体" w:eastAsia="宋体" w:hint="default"/>
          <w:b/>
          <w:bCs/>
          <w:sz w:val="24"/>
          <w:szCs w:val="24"/>
        </w:rPr>
        <w:t>（七）公司披露履行社会责任的报告</w:t>
      </w:r>
      <w:r>
        <w:rPr>
          <w:rFonts w:ascii="宋体" w:hAnsi="宋体" w:cs="宋体" w:eastAsia="宋体" w:hint="default"/>
          <w:sz w:val="24"/>
          <w:szCs w:val="24"/>
        </w:rPr>
      </w:r>
    </w:p>
    <w:p>
      <w:pPr>
        <w:spacing w:line="312" w:lineRule="exact" w:before="151"/>
        <w:ind w:left="118" w:right="154" w:firstLine="480"/>
        <w:jc w:val="both"/>
        <w:rPr>
          <w:rFonts w:ascii="宋体" w:hAnsi="宋体" w:cs="宋体" w:eastAsia="宋体" w:hint="default"/>
          <w:sz w:val="24"/>
          <w:szCs w:val="24"/>
        </w:rPr>
      </w:pPr>
      <w:r>
        <w:rPr>
          <w:rFonts w:ascii="宋体" w:hAnsi="宋体" w:cs="宋体" w:eastAsia="宋体" w:hint="default"/>
          <w:sz w:val="24"/>
          <w:szCs w:val="24"/>
        </w:rPr>
        <w:t>与本年度报告公告的同时，公司披露《2011</w:t>
      </w:r>
      <w:r>
        <w:rPr>
          <w:rFonts w:ascii="宋体" w:hAnsi="宋体" w:cs="宋体" w:eastAsia="宋体" w:hint="default"/>
          <w:spacing w:val="-37"/>
          <w:sz w:val="24"/>
          <w:szCs w:val="24"/>
        </w:rPr>
        <w:t> </w:t>
      </w:r>
      <w:r>
        <w:rPr>
          <w:rFonts w:ascii="宋体" w:hAnsi="宋体" w:cs="宋体" w:eastAsia="宋体" w:hint="default"/>
          <w:spacing w:val="-8"/>
          <w:sz w:val="24"/>
          <w:szCs w:val="24"/>
        </w:rPr>
        <w:t>年度社会责任报告》，具体内容详见上</w:t>
      </w:r>
      <w:r>
        <w:rPr>
          <w:rFonts w:ascii="宋体" w:hAnsi="宋体" w:cs="宋体" w:eastAsia="宋体" w:hint="default"/>
          <w:sz w:val="24"/>
          <w:szCs w:val="24"/>
        </w:rPr>
        <w:t> 海证券交易所网站</w:t>
      </w:r>
      <w:r>
        <w:rPr>
          <w:rFonts w:ascii="宋体" w:hAnsi="宋体" w:cs="宋体" w:eastAsia="宋体" w:hint="default"/>
          <w:spacing w:val="-60"/>
          <w:sz w:val="24"/>
          <w:szCs w:val="24"/>
        </w:rPr>
        <w:t> </w:t>
      </w:r>
      <w:hyperlink r:id="rId10">
        <w:r>
          <w:rPr>
            <w:rFonts w:ascii="宋体" w:hAnsi="宋体" w:cs="宋体" w:eastAsia="宋体" w:hint="default"/>
            <w:sz w:val="24"/>
            <w:szCs w:val="24"/>
          </w:rPr>
          <w:t>http://www.sse.com.cn。</w:t>
        </w:r>
      </w:hyperlink>
    </w:p>
    <w:p>
      <w:pPr>
        <w:spacing w:line="331" w:lineRule="auto" w:before="157"/>
        <w:ind w:left="598" w:right="0" w:hanging="480"/>
        <w:jc w:val="left"/>
        <w:rPr>
          <w:rFonts w:ascii="宋体" w:hAnsi="宋体" w:cs="宋体" w:eastAsia="宋体" w:hint="default"/>
          <w:sz w:val="24"/>
          <w:szCs w:val="24"/>
        </w:rPr>
      </w:pPr>
      <w:r>
        <w:rPr>
          <w:rFonts w:ascii="宋体" w:hAnsi="宋体" w:cs="宋体" w:eastAsia="宋体" w:hint="default"/>
          <w:b/>
          <w:bCs/>
          <w:sz w:val="24"/>
          <w:szCs w:val="24"/>
        </w:rPr>
        <w:t>（八）公司建立年报信息披露重大差错责任追究制度的情况</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公司制定了《年度报告信息披露重大差错责任追究制度》，明确了公司年度报告信</w:t>
      </w:r>
      <w:r>
        <w:rPr>
          <w:rFonts w:ascii="宋体" w:hAnsi="宋体" w:cs="宋体" w:eastAsia="宋体" w:hint="default"/>
          <w:sz w:val="24"/>
          <w:szCs w:val="24"/>
        </w:rPr>
      </w:r>
    </w:p>
    <w:p>
      <w:pPr>
        <w:pStyle w:val="Heading5"/>
        <w:spacing w:line="220" w:lineRule="exact"/>
        <w:ind w:right="0"/>
        <w:jc w:val="both"/>
      </w:pPr>
      <w:r>
        <w:rPr/>
        <w:t>息披露重大差错的责任追究对象和具体处罚手段。</w:t>
      </w:r>
    </w:p>
    <w:p>
      <w:pPr>
        <w:spacing w:line="312" w:lineRule="exact" w:before="29"/>
        <w:ind w:left="118" w:right="154" w:firstLine="480"/>
        <w:jc w:val="both"/>
        <w:rPr>
          <w:rFonts w:ascii="宋体" w:hAnsi="宋体" w:cs="宋体" w:eastAsia="宋体" w:hint="default"/>
          <w:sz w:val="24"/>
          <w:szCs w:val="24"/>
        </w:rPr>
      </w:pPr>
      <w:r>
        <w:rPr>
          <w:rFonts w:ascii="宋体" w:hAnsi="宋体" w:cs="宋体" w:eastAsia="宋体" w:hint="default"/>
          <w:spacing w:val="-2"/>
          <w:sz w:val="24"/>
          <w:szCs w:val="24"/>
        </w:rPr>
        <w:t>报告期内，公司未发生重大会计差错更正、重大遗漏信息补充及业绩预告更正等情</w:t>
      </w:r>
      <w:r>
        <w:rPr>
          <w:rFonts w:ascii="宋体" w:hAnsi="宋体" w:cs="宋体" w:eastAsia="宋体" w:hint="default"/>
          <w:sz w:val="24"/>
          <w:szCs w:val="24"/>
        </w:rPr>
        <w:t> 况。</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BodyText"/>
        <w:spacing w:line="240" w:lineRule="auto"/>
        <w:ind w:left="118" w:right="3566"/>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260"/>
        </w:sect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20"/>
          <w:szCs w:val="20"/>
        </w:rPr>
      </w:pPr>
    </w:p>
    <w:p>
      <w:pPr>
        <w:pStyle w:val="Heading2"/>
        <w:spacing w:line="240" w:lineRule="auto"/>
        <w:ind w:right="112"/>
        <w:jc w:val="left"/>
        <w:rPr>
          <w:b w:val="0"/>
          <w:bCs w:val="0"/>
        </w:rPr>
      </w:pPr>
      <w:bookmarkStart w:name="_TOC_250005" w:id="8"/>
      <w:r>
        <w:rPr/>
        <w:t>七、股东大会情况简介</w:t>
      </w:r>
      <w:bookmarkEnd w:id="8"/>
      <w:r>
        <w:rPr>
          <w:b w:val="0"/>
          <w:bCs w:val="0"/>
        </w:rPr>
      </w:r>
    </w:p>
    <w:p>
      <w:pPr>
        <w:pStyle w:val="Heading4"/>
        <w:spacing w:line="240" w:lineRule="auto" w:before="197"/>
        <w:ind w:right="112"/>
        <w:jc w:val="left"/>
        <w:rPr>
          <w:b w:val="0"/>
          <w:bCs w:val="0"/>
        </w:rPr>
      </w:pPr>
      <w:r>
        <w:rPr/>
        <w:t>（一）年度股东大会情况</w:t>
      </w:r>
      <w:r>
        <w:rPr>
          <w:b w:val="0"/>
          <w:bCs w:val="0"/>
        </w:rPr>
      </w:r>
    </w:p>
    <w:p>
      <w:pPr>
        <w:pStyle w:val="Heading5"/>
        <w:spacing w:line="312" w:lineRule="exact" w:before="151"/>
        <w:ind w:right="112" w:firstLine="480"/>
        <w:jc w:val="left"/>
      </w:pPr>
      <w:r>
        <w:rPr/>
        <w:t>公司于</w:t>
      </w:r>
      <w:r>
        <w:rPr>
          <w:spacing w:val="-51"/>
        </w:rPr>
        <w:t> </w:t>
      </w:r>
      <w:r>
        <w:rPr>
          <w:spacing w:val="29"/>
        </w:rPr>
        <w:t>2011年5月</w:t>
      </w:r>
      <w:r>
        <w:rPr>
          <w:spacing w:val="-51"/>
        </w:rPr>
        <w:t> </w:t>
      </w:r>
      <w:r>
        <w:rPr/>
        <w:t>25</w:t>
      </w:r>
      <w:r>
        <w:rPr>
          <w:spacing w:val="-51"/>
        </w:rPr>
        <w:t> </w:t>
      </w:r>
      <w:r>
        <w:rPr/>
        <w:t>日召开</w:t>
      </w:r>
      <w:r>
        <w:rPr>
          <w:spacing w:val="-51"/>
        </w:rPr>
        <w:t> </w:t>
      </w:r>
      <w:r>
        <w:rPr/>
        <w:t>2010</w:t>
      </w:r>
      <w:r>
        <w:rPr>
          <w:spacing w:val="-51"/>
        </w:rPr>
        <w:t> </w:t>
      </w:r>
      <w:r>
        <w:rPr/>
        <w:t>年度股东大会，相关公告详见</w:t>
      </w:r>
      <w:r>
        <w:rPr>
          <w:spacing w:val="-51"/>
        </w:rPr>
        <w:t> </w:t>
      </w:r>
      <w:r>
        <w:rPr/>
        <w:t>2011</w:t>
      </w:r>
      <w:r>
        <w:rPr>
          <w:spacing w:val="-51"/>
        </w:rPr>
        <w:t> </w:t>
      </w:r>
      <w:r>
        <w:rPr/>
        <w:t>年</w:t>
      </w:r>
      <w:r>
        <w:rPr>
          <w:spacing w:val="-50"/>
        </w:rPr>
        <w:t> </w:t>
      </w:r>
      <w:r>
        <w:rPr/>
        <w:t>5</w:t>
      </w:r>
      <w:r>
        <w:rPr>
          <w:spacing w:val="-51"/>
        </w:rPr>
        <w:t> </w:t>
      </w:r>
      <w:r>
        <w:rPr/>
        <w:t>月</w:t>
      </w:r>
      <w:r>
        <w:rPr>
          <w:spacing w:val="-51"/>
        </w:rPr>
        <w:t> </w:t>
      </w:r>
      <w:r>
        <w:rPr/>
        <w:t>26</w:t>
      </w:r>
      <w:r>
        <w:rPr/>
        <w:t> </w:t>
      </w:r>
      <w:r>
        <w:rPr>
          <w:spacing w:val="-20"/>
        </w:rPr>
        <w:t>日的《中国证券报》、《上海证券报》。</w:t>
      </w:r>
    </w:p>
    <w:p>
      <w:pPr>
        <w:spacing w:before="157"/>
        <w:ind w:left="118" w:right="112" w:firstLine="0"/>
        <w:jc w:val="left"/>
        <w:rPr>
          <w:rFonts w:ascii="宋体" w:hAnsi="宋体" w:cs="宋体" w:eastAsia="宋体" w:hint="default"/>
          <w:sz w:val="24"/>
          <w:szCs w:val="24"/>
        </w:rPr>
      </w:pPr>
      <w:r>
        <w:rPr>
          <w:rFonts w:ascii="宋体" w:hAnsi="宋体" w:cs="宋体" w:eastAsia="宋体" w:hint="default"/>
          <w:b/>
          <w:bCs/>
          <w:sz w:val="24"/>
          <w:szCs w:val="24"/>
        </w:rPr>
        <w:t>（二）临时股东大会情况</w:t>
      </w:r>
      <w:r>
        <w:rPr>
          <w:rFonts w:ascii="宋体" w:hAnsi="宋体" w:cs="宋体" w:eastAsia="宋体" w:hint="default"/>
          <w:sz w:val="24"/>
          <w:szCs w:val="24"/>
        </w:rPr>
      </w:r>
    </w:p>
    <w:p>
      <w:pPr>
        <w:spacing w:line="313" w:lineRule="exact" w:before="121"/>
        <w:ind w:left="598" w:right="0" w:firstLine="0"/>
        <w:jc w:val="left"/>
        <w:rPr>
          <w:rFonts w:ascii="宋体" w:hAnsi="宋体" w:cs="宋体" w:eastAsia="宋体" w:hint="default"/>
          <w:sz w:val="24"/>
          <w:szCs w:val="24"/>
        </w:rPr>
      </w:pPr>
      <w:r>
        <w:rPr>
          <w:rFonts w:ascii="宋体" w:hAnsi="宋体" w:cs="宋体" w:eastAsia="宋体" w:hint="default"/>
          <w:sz w:val="24"/>
          <w:szCs w:val="24"/>
        </w:rPr>
        <w:t>公司于</w:t>
      </w:r>
      <w:r>
        <w:rPr>
          <w:rFonts w:ascii="宋体" w:hAnsi="宋体" w:cs="宋体" w:eastAsia="宋体" w:hint="default"/>
          <w:spacing w:val="-46"/>
          <w:sz w:val="24"/>
          <w:szCs w:val="24"/>
        </w:rPr>
        <w:t> </w:t>
      </w:r>
      <w:r>
        <w:rPr>
          <w:rFonts w:ascii="宋体" w:hAnsi="宋体" w:cs="宋体" w:eastAsia="宋体" w:hint="default"/>
          <w:sz w:val="24"/>
          <w:szCs w:val="24"/>
        </w:rPr>
        <w:t>2011</w:t>
      </w:r>
      <w:r>
        <w:rPr>
          <w:rFonts w:ascii="宋体" w:hAnsi="宋体" w:cs="宋体" w:eastAsia="宋体" w:hint="default"/>
          <w:spacing w:val="-46"/>
          <w:sz w:val="24"/>
          <w:szCs w:val="24"/>
        </w:rPr>
        <w:t> </w:t>
      </w:r>
      <w:r>
        <w:rPr>
          <w:rFonts w:ascii="宋体" w:hAnsi="宋体" w:cs="宋体" w:eastAsia="宋体" w:hint="default"/>
          <w:sz w:val="24"/>
          <w:szCs w:val="24"/>
        </w:rPr>
        <w:t>年</w:t>
      </w:r>
      <w:r>
        <w:rPr>
          <w:rFonts w:ascii="宋体" w:hAnsi="宋体" w:cs="宋体" w:eastAsia="宋体" w:hint="default"/>
          <w:spacing w:val="-46"/>
          <w:sz w:val="24"/>
          <w:szCs w:val="24"/>
        </w:rPr>
        <w:t> </w:t>
      </w:r>
      <w:r>
        <w:rPr>
          <w:rFonts w:ascii="宋体" w:hAnsi="宋体" w:cs="宋体" w:eastAsia="宋体" w:hint="default"/>
          <w:sz w:val="24"/>
          <w:szCs w:val="24"/>
        </w:rPr>
        <w:t>12</w:t>
      </w:r>
      <w:r>
        <w:rPr>
          <w:rFonts w:ascii="宋体" w:hAnsi="宋体" w:cs="宋体" w:eastAsia="宋体" w:hint="default"/>
          <w:spacing w:val="-46"/>
          <w:sz w:val="24"/>
          <w:szCs w:val="24"/>
        </w:rPr>
        <w:t> </w:t>
      </w:r>
      <w:r>
        <w:rPr>
          <w:rFonts w:ascii="宋体" w:hAnsi="宋体" w:cs="宋体" w:eastAsia="宋体" w:hint="default"/>
          <w:sz w:val="24"/>
          <w:szCs w:val="24"/>
        </w:rPr>
        <w:t>月</w:t>
      </w:r>
      <w:r>
        <w:rPr>
          <w:rFonts w:ascii="宋体" w:hAnsi="宋体" w:cs="宋体" w:eastAsia="宋体" w:hint="default"/>
          <w:spacing w:val="-46"/>
          <w:sz w:val="24"/>
          <w:szCs w:val="24"/>
        </w:rPr>
        <w:t> </w:t>
      </w:r>
      <w:r>
        <w:rPr>
          <w:rFonts w:ascii="宋体" w:hAnsi="宋体" w:cs="宋体" w:eastAsia="宋体" w:hint="default"/>
          <w:sz w:val="24"/>
          <w:szCs w:val="24"/>
        </w:rPr>
        <w:t>22</w:t>
      </w:r>
      <w:r>
        <w:rPr>
          <w:rFonts w:ascii="宋体" w:hAnsi="宋体" w:cs="宋体" w:eastAsia="宋体" w:hint="default"/>
          <w:spacing w:val="-46"/>
          <w:sz w:val="24"/>
          <w:szCs w:val="24"/>
        </w:rPr>
        <w:t> </w:t>
      </w:r>
      <w:r>
        <w:rPr>
          <w:rFonts w:ascii="宋体" w:hAnsi="宋体" w:cs="宋体" w:eastAsia="宋体" w:hint="default"/>
          <w:sz w:val="24"/>
          <w:szCs w:val="24"/>
        </w:rPr>
        <w:t>日召开</w:t>
      </w:r>
      <w:r>
        <w:rPr>
          <w:rFonts w:ascii="宋体" w:hAnsi="宋体" w:cs="宋体" w:eastAsia="宋体" w:hint="default"/>
          <w:spacing w:val="-46"/>
          <w:sz w:val="24"/>
          <w:szCs w:val="24"/>
        </w:rPr>
        <w:t> </w:t>
      </w:r>
      <w:r>
        <w:rPr>
          <w:rFonts w:ascii="宋体" w:hAnsi="宋体" w:cs="宋体" w:eastAsia="宋体" w:hint="default"/>
          <w:sz w:val="24"/>
          <w:szCs w:val="24"/>
        </w:rPr>
        <w:t>2011</w:t>
      </w:r>
      <w:r>
        <w:rPr>
          <w:rFonts w:ascii="宋体" w:hAnsi="宋体" w:cs="宋体" w:eastAsia="宋体" w:hint="default"/>
          <w:spacing w:val="-46"/>
          <w:sz w:val="24"/>
          <w:szCs w:val="24"/>
        </w:rPr>
        <w:t> </w:t>
      </w:r>
      <w:r>
        <w:rPr>
          <w:rFonts w:ascii="宋体" w:hAnsi="宋体" w:cs="宋体" w:eastAsia="宋体" w:hint="default"/>
          <w:sz w:val="24"/>
          <w:szCs w:val="24"/>
        </w:rPr>
        <w:t>年第一次临时股东大会，相关公告详见</w:t>
      </w:r>
      <w:r>
        <w:rPr>
          <w:rFonts w:ascii="宋体" w:hAnsi="宋体" w:cs="宋体" w:eastAsia="宋体" w:hint="default"/>
          <w:spacing w:val="-46"/>
          <w:sz w:val="24"/>
          <w:szCs w:val="24"/>
        </w:rPr>
        <w:t> </w:t>
      </w:r>
      <w:r>
        <w:rPr>
          <w:rFonts w:ascii="宋体" w:hAnsi="宋体" w:cs="宋体" w:eastAsia="宋体" w:hint="default"/>
          <w:sz w:val="24"/>
          <w:szCs w:val="24"/>
        </w:rPr>
        <w:t>2011</w:t>
      </w:r>
    </w:p>
    <w:p>
      <w:pPr>
        <w:spacing w:line="313" w:lineRule="exact" w:before="0"/>
        <w:ind w:left="118" w:right="112" w:firstLine="0"/>
        <w:jc w:val="left"/>
        <w:rPr>
          <w:rFonts w:ascii="宋体" w:hAnsi="宋体" w:cs="宋体" w:eastAsia="宋体" w:hint="default"/>
          <w:sz w:val="24"/>
          <w:szCs w:val="24"/>
        </w:rPr>
      </w:pP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23</w:t>
      </w:r>
      <w:r>
        <w:rPr>
          <w:rFonts w:ascii="宋体" w:hAnsi="宋体" w:cs="宋体" w:eastAsia="宋体" w:hint="default"/>
          <w:spacing w:val="-60"/>
          <w:sz w:val="24"/>
          <w:szCs w:val="24"/>
        </w:rPr>
        <w:t> </w:t>
      </w:r>
      <w:r>
        <w:rPr>
          <w:rFonts w:ascii="宋体" w:hAnsi="宋体" w:cs="宋体" w:eastAsia="宋体" w:hint="default"/>
          <w:sz w:val="24"/>
          <w:szCs w:val="24"/>
        </w:rPr>
        <w:t>日的《中国证券报</w:t>
      </w:r>
      <w:r>
        <w:rPr>
          <w:rFonts w:ascii="宋体" w:hAnsi="宋体" w:cs="宋体" w:eastAsia="宋体" w:hint="default"/>
          <w:spacing w:val="-120"/>
          <w:sz w:val="24"/>
          <w:szCs w:val="24"/>
        </w:rPr>
        <w:t>》、</w:t>
      </w:r>
      <w:r>
        <w:rPr>
          <w:rFonts w:ascii="宋体" w:hAnsi="宋体" w:cs="宋体" w:eastAsia="宋体" w:hint="default"/>
          <w:sz w:val="24"/>
          <w:szCs w:val="24"/>
        </w:rPr>
        <w:t>《上海证券报</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pStyle w:val="BodyText"/>
        <w:spacing w:line="240" w:lineRule="auto"/>
        <w:ind w:left="118" w:right="112"/>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300"/>
        </w:sect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20"/>
          <w:szCs w:val="20"/>
        </w:rPr>
      </w:pPr>
    </w:p>
    <w:p>
      <w:pPr>
        <w:pStyle w:val="Heading2"/>
        <w:spacing w:line="240" w:lineRule="auto"/>
        <w:ind w:right="0"/>
        <w:jc w:val="both"/>
        <w:rPr>
          <w:b w:val="0"/>
          <w:bCs w:val="0"/>
        </w:rPr>
      </w:pPr>
      <w:bookmarkStart w:name="_TOC_250004" w:id="9"/>
      <w:r>
        <w:rPr/>
        <w:t>八、董事会报告</w:t>
      </w:r>
      <w:bookmarkEnd w:id="9"/>
      <w:r>
        <w:rPr>
          <w:b w:val="0"/>
          <w:bCs w:val="0"/>
        </w:rPr>
      </w:r>
    </w:p>
    <w:p>
      <w:pPr>
        <w:pStyle w:val="Heading4"/>
        <w:spacing w:line="331" w:lineRule="auto" w:before="197"/>
        <w:ind w:right="4244"/>
        <w:jc w:val="left"/>
        <w:rPr>
          <w:b w:val="0"/>
          <w:bCs w:val="0"/>
        </w:rPr>
      </w:pPr>
      <w:r>
        <w:rPr/>
        <w:t>（一）管理层讨论与分析</w:t>
      </w:r>
      <w:r>
        <w:rPr>
          <w:spacing w:val="1"/>
          <w:w w:val="99"/>
        </w:rPr>
        <w:t> </w:t>
      </w:r>
      <w:r>
        <w:rPr>
          <w:w w:val="95"/>
        </w:rPr>
        <w:t>1、报告期内整体经营情况的讨论与分析</w:t>
      </w:r>
      <w:r>
        <w:rPr>
          <w:b w:val="0"/>
          <w:bCs w:val="0"/>
        </w:rPr>
      </w:r>
    </w:p>
    <w:p>
      <w:pPr>
        <w:pStyle w:val="Heading5"/>
        <w:spacing w:line="220" w:lineRule="exact"/>
        <w:ind w:right="100" w:firstLine="480"/>
        <w:jc w:val="left"/>
      </w:pPr>
      <w:r>
        <w:rPr/>
        <w:t>2011</w:t>
      </w:r>
      <w:r>
        <w:rPr>
          <w:spacing w:val="-57"/>
        </w:rPr>
        <w:t> </w:t>
      </w:r>
      <w:r>
        <w:rPr/>
        <w:t>年是东软产业化</w:t>
      </w:r>
      <w:r>
        <w:rPr>
          <w:spacing w:val="-57"/>
        </w:rPr>
        <w:t> </w:t>
      </w:r>
      <w:r>
        <w:rPr/>
        <w:t>20</w:t>
      </w:r>
      <w:r>
        <w:rPr>
          <w:spacing w:val="-57"/>
        </w:rPr>
        <w:t> </w:t>
      </w:r>
      <w:r>
        <w:rPr/>
        <w:t>周年，是具有里程碑纪念意义的一年。报告期内，面对复</w:t>
      </w:r>
    </w:p>
    <w:p>
      <w:pPr>
        <w:spacing w:line="312" w:lineRule="exact" w:before="29"/>
        <w:ind w:left="118" w:right="125" w:firstLine="0"/>
        <w:jc w:val="both"/>
        <w:rPr>
          <w:rFonts w:ascii="宋体" w:hAnsi="宋体" w:cs="宋体" w:eastAsia="宋体" w:hint="default"/>
          <w:sz w:val="24"/>
          <w:szCs w:val="24"/>
        </w:rPr>
      </w:pPr>
      <w:r>
        <w:rPr>
          <w:rFonts w:ascii="宋体" w:hAnsi="宋体" w:cs="宋体" w:eastAsia="宋体" w:hint="default"/>
          <w:sz w:val="24"/>
          <w:szCs w:val="24"/>
        </w:rPr>
        <w:t>杂多变的经济环境，公司持续加强全球化市场布局和面向大客户发展的营销体系建设， 优化分布式交付模型，实施积极的市场竞争策略，拓展高端客户的核心业务，加强行业 间收购兼并，同时启动卓越运营改善计划，优化资源配置，持续加强组织能力建设，保 证了公司业务的持续发展。报告期内，公司实现营业收入 575,125 万元，比上年增长</w:t>
      </w:r>
      <w:r>
        <w:rPr>
          <w:rFonts w:ascii="宋体" w:hAnsi="宋体" w:cs="宋体" w:eastAsia="宋体" w:hint="default"/>
          <w:spacing w:val="-55"/>
          <w:sz w:val="24"/>
          <w:szCs w:val="24"/>
        </w:rPr>
        <w:t> </w:t>
      </w:r>
      <w:r>
        <w:rPr>
          <w:rFonts w:ascii="宋体" w:hAnsi="宋体" w:cs="宋体" w:eastAsia="宋体" w:hint="default"/>
          <w:spacing w:val="-55"/>
          <w:sz w:val="24"/>
          <w:szCs w:val="24"/>
        </w:rPr>
      </w:r>
      <w:r>
        <w:rPr>
          <w:rFonts w:ascii="宋体" w:hAnsi="宋体" w:cs="宋体" w:eastAsia="宋体" w:hint="default"/>
          <w:sz w:val="24"/>
          <w:szCs w:val="24"/>
        </w:rPr>
        <w:t>16.5%；实现净利润（归属于上市公司股东的净利润）41,707</w:t>
      </w:r>
      <w:r>
        <w:rPr>
          <w:rFonts w:ascii="宋体" w:hAnsi="宋体" w:cs="宋体" w:eastAsia="宋体" w:hint="default"/>
          <w:spacing w:val="-60"/>
          <w:sz w:val="24"/>
          <w:szCs w:val="24"/>
        </w:rPr>
        <w:t> </w:t>
      </w:r>
      <w:r>
        <w:rPr>
          <w:rFonts w:ascii="宋体" w:hAnsi="宋体" w:cs="宋体" w:eastAsia="宋体" w:hint="default"/>
          <w:sz w:val="24"/>
          <w:szCs w:val="24"/>
        </w:rPr>
        <w:t>万元，每股收益</w:t>
      </w:r>
      <w:r>
        <w:rPr>
          <w:rFonts w:ascii="宋体" w:hAnsi="宋体" w:cs="宋体" w:eastAsia="宋体" w:hint="default"/>
          <w:spacing w:val="-60"/>
          <w:sz w:val="24"/>
          <w:szCs w:val="24"/>
        </w:rPr>
        <w:t> </w:t>
      </w:r>
      <w:r>
        <w:rPr>
          <w:rFonts w:ascii="宋体" w:hAnsi="宋体" w:cs="宋体" w:eastAsia="宋体" w:hint="default"/>
          <w:sz w:val="24"/>
          <w:szCs w:val="24"/>
        </w:rPr>
        <w:t>0.34</w:t>
      </w:r>
      <w:r>
        <w:rPr>
          <w:rFonts w:ascii="宋体" w:hAnsi="宋体" w:cs="宋体" w:eastAsia="宋体" w:hint="default"/>
          <w:spacing w:val="-60"/>
          <w:sz w:val="24"/>
          <w:szCs w:val="24"/>
        </w:rPr>
        <w:t> </w:t>
      </w:r>
      <w:r>
        <w:rPr>
          <w:rFonts w:ascii="宋体" w:hAnsi="宋体" w:cs="宋体" w:eastAsia="宋体" w:hint="default"/>
          <w:sz w:val="24"/>
          <w:szCs w:val="24"/>
        </w:rPr>
        <w:t>元，</w:t>
      </w:r>
      <w:r>
        <w:rPr>
          <w:rFonts w:ascii="宋体" w:hAnsi="宋体" w:cs="宋体" w:eastAsia="宋体" w:hint="default"/>
          <w:sz w:val="24"/>
          <w:szCs w:val="24"/>
        </w:rPr>
        <w:t> 同比下降</w:t>
      </w:r>
      <w:r>
        <w:rPr>
          <w:rFonts w:ascii="宋体" w:hAnsi="宋体" w:cs="宋体" w:eastAsia="宋体" w:hint="default"/>
          <w:spacing w:val="-60"/>
          <w:sz w:val="24"/>
          <w:szCs w:val="24"/>
        </w:rPr>
        <w:t> </w:t>
      </w:r>
      <w:r>
        <w:rPr>
          <w:rFonts w:ascii="宋体" w:hAnsi="宋体" w:cs="宋体" w:eastAsia="宋体" w:hint="default"/>
          <w:sz w:val="24"/>
          <w:szCs w:val="24"/>
        </w:rPr>
        <w:t>13.9%，扣除非经常性损益后的净利润</w:t>
      </w:r>
      <w:r>
        <w:rPr>
          <w:rFonts w:ascii="宋体" w:hAnsi="宋体" w:cs="宋体" w:eastAsia="宋体" w:hint="default"/>
          <w:spacing w:val="-60"/>
          <w:sz w:val="24"/>
          <w:szCs w:val="24"/>
        </w:rPr>
        <w:t> </w:t>
      </w:r>
      <w:r>
        <w:rPr>
          <w:rFonts w:ascii="宋体" w:hAnsi="宋体" w:cs="宋体" w:eastAsia="宋体" w:hint="default"/>
          <w:sz w:val="24"/>
          <w:szCs w:val="24"/>
        </w:rPr>
        <w:t>28,681</w:t>
      </w:r>
      <w:r>
        <w:rPr>
          <w:rFonts w:ascii="宋体" w:hAnsi="宋体" w:cs="宋体" w:eastAsia="宋体" w:hint="default"/>
          <w:spacing w:val="-60"/>
          <w:sz w:val="24"/>
          <w:szCs w:val="24"/>
        </w:rPr>
        <w:t> </w:t>
      </w:r>
      <w:r>
        <w:rPr>
          <w:rFonts w:ascii="宋体" w:hAnsi="宋体" w:cs="宋体" w:eastAsia="宋体" w:hint="default"/>
          <w:sz w:val="24"/>
          <w:szCs w:val="24"/>
        </w:rPr>
        <w:t>万元，同比下降</w:t>
      </w:r>
      <w:r>
        <w:rPr>
          <w:rFonts w:ascii="宋体" w:hAnsi="宋体" w:cs="宋体" w:eastAsia="宋体" w:hint="default"/>
          <w:spacing w:val="-60"/>
          <w:sz w:val="24"/>
          <w:szCs w:val="24"/>
        </w:rPr>
        <w:t> </w:t>
      </w:r>
      <w:r>
        <w:rPr>
          <w:rFonts w:ascii="宋体" w:hAnsi="宋体" w:cs="宋体" w:eastAsia="宋体" w:hint="default"/>
          <w:sz w:val="24"/>
          <w:szCs w:val="24"/>
        </w:rPr>
        <w:t>19.7%。</w:t>
      </w:r>
    </w:p>
    <w:p>
      <w:pPr>
        <w:spacing w:line="312" w:lineRule="exact" w:before="0"/>
        <w:ind w:left="118" w:right="100" w:firstLine="480"/>
        <w:jc w:val="left"/>
        <w:rPr>
          <w:rFonts w:ascii="宋体" w:hAnsi="宋体" w:cs="宋体" w:eastAsia="宋体" w:hint="default"/>
          <w:sz w:val="24"/>
          <w:szCs w:val="24"/>
        </w:rPr>
      </w:pPr>
      <w:r>
        <w:rPr>
          <w:rFonts w:ascii="宋体" w:hAnsi="宋体" w:cs="宋体" w:eastAsia="宋体" w:hint="default"/>
          <w:sz w:val="24"/>
          <w:szCs w:val="24"/>
        </w:rPr>
        <w:t>报告期内，公司加强和巩固已有行业和业务的市场领先竞争地位，积极通过商业模 </w:t>
      </w:r>
      <w:r>
        <w:rPr>
          <w:rFonts w:ascii="宋体" w:hAnsi="宋体" w:cs="宋体" w:eastAsia="宋体" w:hint="default"/>
          <w:spacing w:val="-3"/>
          <w:sz w:val="24"/>
          <w:szCs w:val="24"/>
        </w:rPr>
        <w:t>式创新拓展新业务，有效推动了业务规模的持续增长。同时，为保证可持续发展，公司</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pacing w:val="-3"/>
          <w:sz w:val="24"/>
          <w:szCs w:val="24"/>
        </w:rPr>
        <w:t>在市场开拓、技术研发、人力资源等方面继续加大投入，导致利润同比有所下降，主要</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包括：一、公司处于全球化发展的战略布局阶段，在平台建设和国际市场开拓等方面的</w:t>
      </w:r>
      <w:r>
        <w:rPr>
          <w:rFonts w:ascii="宋体" w:hAnsi="宋体" w:cs="宋体" w:eastAsia="宋体" w:hint="default"/>
          <w:sz w:val="24"/>
          <w:szCs w:val="24"/>
        </w:rPr>
        <w:t> </w:t>
      </w:r>
      <w:r>
        <w:rPr>
          <w:rFonts w:ascii="宋体" w:hAnsi="宋体" w:cs="宋体" w:eastAsia="宋体" w:hint="default"/>
          <w:spacing w:val="-3"/>
          <w:sz w:val="24"/>
          <w:szCs w:val="24"/>
        </w:rPr>
        <w:t>资源投入同比增加；二、在云计算/物联网、汽车信息技术、健康管理服务、医疗设备、</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pacing w:val="-3"/>
          <w:sz w:val="24"/>
          <w:szCs w:val="24"/>
        </w:rPr>
        <w:t>智能电网等方面，公司加大了研发和市场投入；三、公司人员规模同比增长，为提高员</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工薪酬水平的竞争力，公司继续实施薪酬改善计划，并加强对高端人才的获取，人力成</w:t>
      </w:r>
      <w:r>
        <w:rPr>
          <w:rFonts w:ascii="宋体" w:hAnsi="宋体" w:cs="宋体" w:eastAsia="宋体" w:hint="default"/>
          <w:sz w:val="24"/>
          <w:szCs w:val="24"/>
        </w:rPr>
        <w:t> 本上升。报告期内，公司资产负债率为</w:t>
      </w:r>
      <w:r>
        <w:rPr>
          <w:rFonts w:ascii="宋体" w:hAnsi="宋体" w:cs="宋体" w:eastAsia="宋体" w:hint="default"/>
          <w:spacing w:val="-51"/>
          <w:sz w:val="24"/>
          <w:szCs w:val="24"/>
        </w:rPr>
        <w:t> </w:t>
      </w:r>
      <w:r>
        <w:rPr>
          <w:rFonts w:ascii="宋体" w:hAnsi="宋体" w:cs="宋体" w:eastAsia="宋体" w:hint="default"/>
          <w:sz w:val="24"/>
          <w:szCs w:val="24"/>
        </w:rPr>
        <w:t>36.7%，保持在合理水平。公司经营活动产生的</w:t>
      </w:r>
      <w:r>
        <w:rPr>
          <w:rFonts w:ascii="宋体" w:hAnsi="宋体" w:cs="宋体" w:eastAsia="宋体" w:hint="default"/>
          <w:sz w:val="24"/>
          <w:szCs w:val="24"/>
        </w:rPr>
        <w:t> 现金流量净额</w:t>
      </w:r>
      <w:r>
        <w:rPr>
          <w:rFonts w:ascii="宋体" w:hAnsi="宋体" w:cs="宋体" w:eastAsia="宋体" w:hint="default"/>
          <w:spacing w:val="-48"/>
          <w:sz w:val="24"/>
          <w:szCs w:val="24"/>
        </w:rPr>
        <w:t> </w:t>
      </w:r>
      <w:r>
        <w:rPr>
          <w:rFonts w:ascii="宋体" w:hAnsi="宋体" w:cs="宋体" w:eastAsia="宋体" w:hint="default"/>
          <w:sz w:val="24"/>
          <w:szCs w:val="24"/>
        </w:rPr>
        <w:t>3.00</w:t>
      </w:r>
      <w:r>
        <w:rPr>
          <w:rFonts w:ascii="宋体" w:hAnsi="宋体" w:cs="宋体" w:eastAsia="宋体" w:hint="default"/>
          <w:spacing w:val="-48"/>
          <w:sz w:val="24"/>
          <w:szCs w:val="24"/>
        </w:rPr>
        <w:t> </w:t>
      </w:r>
      <w:r>
        <w:rPr>
          <w:rFonts w:ascii="宋体" w:hAnsi="宋体" w:cs="宋体" w:eastAsia="宋体" w:hint="default"/>
          <w:sz w:val="24"/>
          <w:szCs w:val="24"/>
        </w:rPr>
        <w:t>亿元，同比减少</w:t>
      </w:r>
      <w:r>
        <w:rPr>
          <w:rFonts w:ascii="宋体" w:hAnsi="宋体" w:cs="宋体" w:eastAsia="宋体" w:hint="default"/>
          <w:spacing w:val="-48"/>
          <w:sz w:val="24"/>
          <w:szCs w:val="24"/>
        </w:rPr>
        <w:t> </w:t>
      </w:r>
      <w:r>
        <w:rPr>
          <w:rFonts w:ascii="宋体" w:hAnsi="宋体" w:cs="宋体" w:eastAsia="宋体" w:hint="default"/>
          <w:sz w:val="24"/>
          <w:szCs w:val="24"/>
        </w:rPr>
        <w:t>0.8</w:t>
      </w:r>
      <w:r>
        <w:rPr>
          <w:rFonts w:ascii="宋体" w:hAnsi="宋体" w:cs="宋体" w:eastAsia="宋体" w:hint="default"/>
          <w:spacing w:val="-48"/>
          <w:sz w:val="24"/>
          <w:szCs w:val="24"/>
        </w:rPr>
        <w:t> </w:t>
      </w:r>
      <w:r>
        <w:rPr>
          <w:rFonts w:ascii="宋体" w:hAnsi="宋体" w:cs="宋体" w:eastAsia="宋体" w:hint="default"/>
          <w:sz w:val="24"/>
          <w:szCs w:val="24"/>
        </w:rPr>
        <w:t>亿元，主要由于采购性支出及人工费用性支出</w:t>
      </w:r>
      <w:r>
        <w:rPr>
          <w:rFonts w:ascii="宋体" w:hAnsi="宋体" w:cs="宋体" w:eastAsia="宋体" w:hint="default"/>
          <w:spacing w:val="-1"/>
          <w:sz w:val="24"/>
          <w:szCs w:val="24"/>
        </w:rPr>
        <w:t> </w:t>
      </w:r>
      <w:r>
        <w:rPr>
          <w:rFonts w:ascii="宋体" w:hAnsi="宋体" w:cs="宋体" w:eastAsia="宋体" w:hint="default"/>
          <w:sz w:val="24"/>
          <w:szCs w:val="24"/>
        </w:rPr>
        <w:t>同比增加所致。</w:t>
      </w:r>
    </w:p>
    <w:p>
      <w:pPr>
        <w:spacing w:line="312" w:lineRule="exact" w:before="0"/>
        <w:ind w:left="118" w:right="100" w:firstLine="480"/>
        <w:jc w:val="left"/>
        <w:rPr>
          <w:rFonts w:ascii="宋体" w:hAnsi="宋体" w:cs="宋体" w:eastAsia="宋体" w:hint="default"/>
          <w:sz w:val="24"/>
          <w:szCs w:val="24"/>
        </w:rPr>
      </w:pPr>
      <w:r>
        <w:rPr>
          <w:rFonts w:ascii="宋体" w:hAnsi="宋体" w:cs="宋体" w:eastAsia="宋体" w:hint="default"/>
          <w:sz w:val="24"/>
          <w:szCs w:val="24"/>
        </w:rPr>
        <w:t>在国际业务方面，面对发达国家经济复苏乏力、日本地震和核危机，以及关键客户 </w:t>
      </w:r>
      <w:r>
        <w:rPr>
          <w:rFonts w:ascii="宋体" w:hAnsi="宋体" w:cs="宋体" w:eastAsia="宋体" w:hint="default"/>
          <w:spacing w:val="-5"/>
          <w:sz w:val="24"/>
          <w:szCs w:val="24"/>
        </w:rPr>
        <w:t>的战略变化等复杂因素，公司积极调整策略，加强全球化业务布局，深度挖掘客户需求，</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3"/>
          <w:sz w:val="24"/>
          <w:szCs w:val="24"/>
        </w:rPr>
        <w:t>优化在岸、近岸、离岸的分布式交付模型，发挥在汽车电子、智能终端、信息家电等核</w:t>
      </w:r>
      <w:r>
        <w:rPr>
          <w:rFonts w:ascii="宋体" w:hAnsi="宋体" w:cs="宋体" w:eastAsia="宋体" w:hint="default"/>
          <w:spacing w:val="-89"/>
          <w:sz w:val="24"/>
          <w:szCs w:val="24"/>
        </w:rPr>
        <w:t> </w:t>
      </w:r>
      <w:r>
        <w:rPr>
          <w:rFonts w:ascii="宋体" w:hAnsi="宋体" w:cs="宋体" w:eastAsia="宋体" w:hint="default"/>
          <w:spacing w:val="-89"/>
          <w:sz w:val="24"/>
          <w:szCs w:val="24"/>
        </w:rPr>
      </w:r>
      <w:r>
        <w:rPr>
          <w:rFonts w:ascii="宋体" w:hAnsi="宋体" w:cs="宋体" w:eastAsia="宋体" w:hint="default"/>
          <w:sz w:val="24"/>
          <w:szCs w:val="24"/>
        </w:rPr>
        <w:t>心业务领域的业务能力和经验，强化国际与国内的业务互动，推动商业模式创新，使公</w:t>
      </w:r>
      <w:r>
        <w:rPr>
          <w:rFonts w:ascii="宋体" w:hAnsi="宋体" w:cs="宋体" w:eastAsia="宋体" w:hint="default"/>
          <w:sz w:val="24"/>
          <w:szCs w:val="24"/>
        </w:rPr>
        <w:t> 司业务向产业链上游转移，持续加强在核心业务领域的多点布局，国际业务得以继续快 速增长。报告期内，公司投资参股以色列</w:t>
      </w:r>
      <w:r>
        <w:rPr>
          <w:rFonts w:ascii="宋体" w:hAnsi="宋体" w:cs="宋体" w:eastAsia="宋体" w:hint="default"/>
          <w:spacing w:val="-57"/>
          <w:sz w:val="24"/>
          <w:szCs w:val="24"/>
        </w:rPr>
        <w:t> </w:t>
      </w:r>
      <w:r>
        <w:rPr>
          <w:rFonts w:ascii="宋体" w:hAnsi="宋体" w:cs="宋体" w:eastAsia="宋体" w:hint="default"/>
          <w:sz w:val="24"/>
          <w:szCs w:val="24"/>
        </w:rPr>
        <w:t>Aerotel、美国</w:t>
      </w:r>
      <w:r>
        <w:rPr>
          <w:rFonts w:ascii="宋体" w:hAnsi="宋体" w:cs="宋体" w:eastAsia="宋体" w:hint="default"/>
          <w:spacing w:val="-57"/>
          <w:sz w:val="24"/>
          <w:szCs w:val="24"/>
        </w:rPr>
        <w:t> </w:t>
      </w:r>
      <w:r>
        <w:rPr>
          <w:rFonts w:ascii="宋体" w:hAnsi="宋体" w:cs="宋体" w:eastAsia="宋体" w:hint="default"/>
          <w:sz w:val="24"/>
          <w:szCs w:val="24"/>
        </w:rPr>
        <w:t>Appconomy</w:t>
      </w:r>
      <w:r>
        <w:rPr>
          <w:rFonts w:ascii="宋体" w:hAnsi="宋体" w:cs="宋体" w:eastAsia="宋体" w:hint="default"/>
          <w:spacing w:val="-57"/>
          <w:sz w:val="24"/>
          <w:szCs w:val="24"/>
        </w:rPr>
        <w:t> </w:t>
      </w:r>
      <w:r>
        <w:rPr>
          <w:rFonts w:ascii="宋体" w:hAnsi="宋体" w:cs="宋体" w:eastAsia="宋体" w:hint="default"/>
          <w:sz w:val="24"/>
          <w:szCs w:val="24"/>
        </w:rPr>
        <w:t>公司，以资本纽带</w:t>
      </w:r>
      <w:r>
        <w:rPr>
          <w:rFonts w:ascii="宋体" w:hAnsi="宋体" w:cs="宋体" w:eastAsia="宋体" w:hint="default"/>
          <w:sz w:val="24"/>
          <w:szCs w:val="24"/>
        </w:rPr>
        <w:t> 拓展国际合作渠道。</w:t>
      </w:r>
    </w:p>
    <w:p>
      <w:pPr>
        <w:spacing w:line="312" w:lineRule="exact" w:before="0"/>
        <w:ind w:left="118" w:right="101" w:firstLine="480"/>
        <w:jc w:val="left"/>
        <w:rPr>
          <w:rFonts w:ascii="宋体" w:hAnsi="宋体" w:cs="宋体" w:eastAsia="宋体" w:hint="default"/>
          <w:sz w:val="24"/>
          <w:szCs w:val="24"/>
        </w:rPr>
      </w:pPr>
      <w:r>
        <w:rPr>
          <w:rFonts w:ascii="宋体" w:hAnsi="宋体" w:cs="宋体" w:eastAsia="宋体" w:hint="default"/>
          <w:spacing w:val="-6"/>
          <w:sz w:val="24"/>
          <w:szCs w:val="24"/>
        </w:rPr>
        <w:t>在国内解决方案业务方面，公司聚焦并重点布局高端客户群，政府、医疗</w:t>
      </w:r>
      <w:r>
        <w:rPr>
          <w:rFonts w:ascii="宋体" w:hAnsi="宋体" w:cs="宋体" w:eastAsia="宋体" w:hint="default"/>
          <w:spacing w:val="-43"/>
          <w:sz w:val="24"/>
          <w:szCs w:val="24"/>
        </w:rPr>
        <w:t> </w:t>
      </w:r>
      <w:r>
        <w:rPr>
          <w:rFonts w:ascii="宋体" w:hAnsi="宋体" w:cs="宋体" w:eastAsia="宋体" w:hint="default"/>
          <w:spacing w:val="-10"/>
          <w:sz w:val="24"/>
          <w:szCs w:val="24"/>
        </w:rPr>
        <w:t>IT、电信、</w:t>
      </w:r>
      <w:r>
        <w:rPr>
          <w:rFonts w:ascii="宋体" w:hAnsi="宋体" w:cs="宋体" w:eastAsia="宋体" w:hint="default"/>
          <w:sz w:val="24"/>
          <w:szCs w:val="24"/>
        </w:rPr>
        <w:t> 金融等行业的核心业务竞争力得到进一步增强，业务规模及市场地位不断提升。同时， 公司加强组织结构调整，对部分业务单元进行归并整合，以优化资源配置推动优势业务 发展。报告期内，公司收购北京望海公司，以增强医院信息化和公共卫生领域的产品、 技术和人才优势。并且，为加快健康管理服务业务的发展，公司投资设立熙康子公司， </w:t>
      </w:r>
      <w:r>
        <w:rPr>
          <w:rFonts w:ascii="宋体" w:hAnsi="宋体" w:cs="宋体" w:eastAsia="宋体" w:hint="default"/>
          <w:spacing w:val="-3"/>
          <w:sz w:val="24"/>
          <w:szCs w:val="24"/>
        </w:rPr>
        <w:t>发布东软“健康云”战略以及“熙康”品牌产品—熙康行表和熙康益体机，为未来创新</w:t>
      </w:r>
      <w:r>
        <w:rPr>
          <w:rFonts w:ascii="宋体" w:hAnsi="宋体" w:cs="宋体" w:eastAsia="宋体" w:hint="default"/>
          <w:spacing w:val="-89"/>
          <w:sz w:val="24"/>
          <w:szCs w:val="24"/>
        </w:rPr>
        <w:t> </w:t>
      </w:r>
      <w:r>
        <w:rPr>
          <w:rFonts w:ascii="宋体" w:hAnsi="宋体" w:cs="宋体" w:eastAsia="宋体" w:hint="default"/>
          <w:spacing w:val="-89"/>
          <w:sz w:val="24"/>
          <w:szCs w:val="24"/>
        </w:rPr>
      </w:r>
      <w:r>
        <w:rPr>
          <w:rFonts w:ascii="宋体" w:hAnsi="宋体" w:cs="宋体" w:eastAsia="宋体" w:hint="default"/>
          <w:sz w:val="24"/>
          <w:szCs w:val="24"/>
        </w:rPr>
        <w:t>业务的发展奠定基础。</w:t>
      </w:r>
    </w:p>
    <w:p>
      <w:pPr>
        <w:spacing w:line="312" w:lineRule="exact" w:before="0"/>
        <w:ind w:left="118" w:right="100" w:firstLine="480"/>
        <w:jc w:val="left"/>
        <w:rPr>
          <w:rFonts w:ascii="宋体" w:hAnsi="宋体" w:cs="宋体" w:eastAsia="宋体" w:hint="default"/>
          <w:sz w:val="24"/>
          <w:szCs w:val="24"/>
        </w:rPr>
      </w:pPr>
      <w:r>
        <w:rPr>
          <w:rFonts w:ascii="宋体" w:hAnsi="宋体" w:cs="宋体" w:eastAsia="宋体" w:hint="default"/>
          <w:sz w:val="24"/>
          <w:szCs w:val="24"/>
        </w:rPr>
        <w:t>在医疗系统业务方面，公司新产品研发取得进展，成功发布</w:t>
      </w:r>
      <w:r>
        <w:rPr>
          <w:rFonts w:ascii="宋体" w:hAnsi="宋体" w:cs="宋体" w:eastAsia="宋体" w:hint="default"/>
          <w:spacing w:val="-60"/>
          <w:sz w:val="24"/>
          <w:szCs w:val="24"/>
        </w:rPr>
        <w:t> </w:t>
      </w:r>
      <w:r>
        <w:rPr>
          <w:rFonts w:ascii="宋体" w:hAnsi="宋体" w:cs="宋体" w:eastAsia="宋体" w:hint="default"/>
          <w:sz w:val="24"/>
          <w:szCs w:val="24"/>
        </w:rPr>
        <w:t>NeuPioneer</w:t>
      </w:r>
      <w:r>
        <w:rPr>
          <w:rFonts w:ascii="宋体" w:hAnsi="宋体" w:cs="宋体" w:eastAsia="宋体" w:hint="default"/>
          <w:spacing w:val="-51"/>
          <w:sz w:val="24"/>
          <w:szCs w:val="24"/>
        </w:rPr>
        <w:t> </w:t>
      </w:r>
      <w:r>
        <w:rPr>
          <w:rFonts w:ascii="宋体" w:hAnsi="宋体" w:cs="宋体" w:eastAsia="宋体" w:hint="default"/>
          <w:sz w:val="24"/>
          <w:szCs w:val="24"/>
        </w:rPr>
        <w:t>DR</w:t>
      </w:r>
      <w:r>
        <w:rPr>
          <w:rFonts w:ascii="宋体" w:hAnsi="宋体" w:cs="宋体" w:eastAsia="宋体" w:hint="default"/>
          <w:spacing w:val="-60"/>
          <w:sz w:val="24"/>
          <w:szCs w:val="24"/>
        </w:rPr>
        <w:t> </w:t>
      </w:r>
      <w:r>
        <w:rPr>
          <w:rFonts w:ascii="宋体" w:hAnsi="宋体" w:cs="宋体" w:eastAsia="宋体" w:hint="default"/>
          <w:sz w:val="24"/>
          <w:szCs w:val="24"/>
        </w:rPr>
        <w:t>等新产</w:t>
      </w:r>
      <w:r>
        <w:rPr>
          <w:rFonts w:ascii="宋体" w:hAnsi="宋体" w:cs="宋体" w:eastAsia="宋体" w:hint="default"/>
          <w:sz w:val="24"/>
          <w:szCs w:val="24"/>
        </w:rPr>
        <w:t> </w:t>
      </w:r>
      <w:r>
        <w:rPr>
          <w:rFonts w:ascii="宋体" w:hAnsi="宋体" w:cs="宋体" w:eastAsia="宋体" w:hint="default"/>
          <w:spacing w:val="-5"/>
          <w:sz w:val="24"/>
          <w:szCs w:val="24"/>
        </w:rPr>
        <w:t>品，同时</w:t>
      </w:r>
      <w:r>
        <w:rPr>
          <w:rFonts w:ascii="宋体" w:hAnsi="宋体" w:cs="宋体" w:eastAsia="宋体" w:hint="default"/>
          <w:spacing w:val="-66"/>
          <w:sz w:val="24"/>
          <w:szCs w:val="24"/>
        </w:rPr>
        <w:t> </w:t>
      </w:r>
      <w:r>
        <w:rPr>
          <w:rFonts w:ascii="宋体" w:hAnsi="宋体" w:cs="宋体" w:eastAsia="宋体" w:hint="default"/>
          <w:sz w:val="24"/>
          <w:szCs w:val="24"/>
        </w:rPr>
        <w:t>64</w:t>
      </w:r>
      <w:r>
        <w:rPr>
          <w:rFonts w:ascii="宋体" w:hAnsi="宋体" w:cs="宋体" w:eastAsia="宋体" w:hint="default"/>
          <w:spacing w:val="-66"/>
          <w:sz w:val="24"/>
          <w:szCs w:val="24"/>
        </w:rPr>
        <w:t> </w:t>
      </w:r>
      <w:r>
        <w:rPr>
          <w:rFonts w:ascii="宋体" w:hAnsi="宋体" w:cs="宋体" w:eastAsia="宋体" w:hint="default"/>
          <w:sz w:val="24"/>
          <w:szCs w:val="24"/>
        </w:rPr>
        <w:t>层</w:t>
      </w:r>
      <w:r>
        <w:rPr>
          <w:rFonts w:ascii="宋体" w:hAnsi="宋体" w:cs="宋体" w:eastAsia="宋体" w:hint="default"/>
          <w:spacing w:val="-66"/>
          <w:sz w:val="24"/>
          <w:szCs w:val="24"/>
        </w:rPr>
        <w:t> </w:t>
      </w:r>
      <w:r>
        <w:rPr>
          <w:rFonts w:ascii="宋体" w:hAnsi="宋体" w:cs="宋体" w:eastAsia="宋体" w:hint="default"/>
          <w:sz w:val="24"/>
          <w:szCs w:val="24"/>
        </w:rPr>
        <w:t>CT</w:t>
      </w:r>
      <w:r>
        <w:rPr>
          <w:rFonts w:ascii="宋体" w:hAnsi="宋体" w:cs="宋体" w:eastAsia="宋体" w:hint="default"/>
          <w:spacing w:val="-66"/>
          <w:sz w:val="24"/>
          <w:szCs w:val="24"/>
        </w:rPr>
        <w:t> </w:t>
      </w:r>
      <w:r>
        <w:rPr>
          <w:rFonts w:ascii="宋体" w:hAnsi="宋体" w:cs="宋体" w:eastAsia="宋体" w:hint="default"/>
          <w:sz w:val="24"/>
          <w:szCs w:val="24"/>
        </w:rPr>
        <w:t>产品研发项目顺利进入临床验证阶段。报告期内，公司努力克服原材</w:t>
      </w:r>
      <w:r>
        <w:rPr>
          <w:rFonts w:ascii="宋体" w:hAnsi="宋体" w:cs="宋体" w:eastAsia="宋体" w:hint="default"/>
          <w:sz w:val="24"/>
          <w:szCs w:val="24"/>
        </w:rPr>
        <w:t> </w:t>
      </w:r>
      <w:r>
        <w:rPr>
          <w:rFonts w:ascii="宋体" w:hAnsi="宋体" w:cs="宋体" w:eastAsia="宋体" w:hint="default"/>
          <w:spacing w:val="-5"/>
          <w:sz w:val="24"/>
          <w:szCs w:val="24"/>
        </w:rPr>
        <w:t>料价格上涨的压力和困难，加强成本费用控制和存货管理，保障业务的持续发展。同时，</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3"/>
          <w:sz w:val="24"/>
          <w:szCs w:val="24"/>
        </w:rPr>
        <w:t>公司在美国、迪拜建立国际备件中心，在德国、越南建立服务中心，不断优化全球销售</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和服务网络布局。</w:t>
      </w:r>
    </w:p>
    <w:p>
      <w:pPr>
        <w:spacing w:line="312" w:lineRule="exact" w:before="0"/>
        <w:ind w:left="118" w:right="166" w:firstLine="480"/>
        <w:jc w:val="left"/>
        <w:rPr>
          <w:rFonts w:ascii="宋体" w:hAnsi="宋体" w:cs="宋体" w:eastAsia="宋体" w:hint="default"/>
          <w:sz w:val="24"/>
          <w:szCs w:val="24"/>
        </w:rPr>
      </w:pPr>
      <w:r>
        <w:rPr>
          <w:rFonts w:ascii="宋体" w:hAnsi="宋体" w:cs="宋体" w:eastAsia="宋体" w:hint="default"/>
          <w:sz w:val="24"/>
          <w:szCs w:val="24"/>
        </w:rPr>
        <w:t>报告期内，公司管理水平、创新与竞争能力不断获得认可。公司“Neusoft 东软” </w:t>
      </w:r>
      <w:r>
        <w:rPr>
          <w:rFonts w:ascii="宋体" w:hAnsi="宋体" w:cs="宋体" w:eastAsia="宋体" w:hint="default"/>
          <w:spacing w:val="5"/>
          <w:sz w:val="24"/>
          <w:szCs w:val="24"/>
        </w:rPr>
        <w:t>品牌被国家工商总局认定为中国驰名商标，有利于公司品牌的传播与业务的国际化发</w:t>
      </w:r>
      <w:r>
        <w:rPr>
          <w:rFonts w:ascii="宋体" w:hAnsi="宋体" w:cs="宋体" w:eastAsia="宋体" w:hint="default"/>
          <w:sz w:val="24"/>
          <w:szCs w:val="24"/>
        </w:rPr>
      </w:r>
    </w:p>
    <w:p>
      <w:pPr>
        <w:spacing w:line="240" w:lineRule="auto" w:before="8"/>
        <w:rPr>
          <w:rFonts w:ascii="宋体" w:hAnsi="宋体" w:cs="宋体" w:eastAsia="宋体" w:hint="default"/>
          <w:sz w:val="26"/>
          <w:szCs w:val="26"/>
        </w:rPr>
      </w:pPr>
    </w:p>
    <w:p>
      <w:pPr>
        <w:pStyle w:val="BodyText"/>
        <w:spacing w:line="240" w:lineRule="auto"/>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6"/>
        <w:rPr>
          <w:rFonts w:ascii="黑体" w:hAnsi="黑体" w:cs="黑体" w:eastAsia="黑体" w:hint="default"/>
          <w:sz w:val="15"/>
          <w:szCs w:val="15"/>
        </w:rPr>
      </w:pPr>
    </w:p>
    <w:p>
      <w:pPr>
        <w:pStyle w:val="Heading5"/>
        <w:spacing w:line="312" w:lineRule="exact" w:before="56"/>
        <w:ind w:right="229"/>
        <w:jc w:val="both"/>
      </w:pPr>
      <w:r>
        <w:rPr/>
        <w:t>展。公司成为第一家通过</w:t>
      </w:r>
      <w:r>
        <w:rPr>
          <w:spacing w:val="-60"/>
        </w:rPr>
        <w:t> </w:t>
      </w:r>
      <w:r>
        <w:rPr/>
        <w:t>PCMM</w:t>
      </w:r>
      <w:r>
        <w:rPr>
          <w:spacing w:val="-51"/>
        </w:rPr>
        <w:t> </w:t>
      </w:r>
      <w:r>
        <w:rPr/>
        <w:t>Level5</w:t>
      </w:r>
      <w:r>
        <w:rPr>
          <w:spacing w:val="-60"/>
        </w:rPr>
        <w:t> </w:t>
      </w:r>
      <w:r>
        <w:rPr/>
        <w:t>评估的中国企业，标志着东软过程改善、人力资</w:t>
      </w:r>
      <w:r>
        <w:rPr/>
        <w:t> </w:t>
      </w:r>
      <w:r>
        <w:rPr>
          <w:spacing w:val="-4"/>
        </w:rPr>
        <w:t>本管理已经达到了业界较为领先水平。同时，公司荣获怡安翰威特“2011</w:t>
      </w:r>
      <w:r>
        <w:rPr>
          <w:spacing w:val="-41"/>
        </w:rPr>
        <w:t> </w:t>
      </w:r>
      <w:r>
        <w:rPr/>
        <w:t>年亚太地区最</w:t>
      </w:r>
      <w:r>
        <w:rPr>
          <w:spacing w:val="-116"/>
        </w:rPr>
        <w:t> </w:t>
      </w:r>
      <w:r>
        <w:rPr>
          <w:spacing w:val="-116"/>
        </w:rPr>
      </w:r>
      <w:r>
        <w:rPr>
          <w:spacing w:val="-16"/>
        </w:rPr>
        <w:t>佳雇主”奖，并同时位居“2011 </w:t>
      </w:r>
      <w:r>
        <w:rPr>
          <w:spacing w:val="-8"/>
        </w:rPr>
        <w:t>年中国最佳雇主”排行榜榜首。公司第七次入围由</w:t>
      </w:r>
      <w:r>
        <w:rPr>
          <w:spacing w:val="-97"/>
        </w:rPr>
        <w:t> </w:t>
      </w:r>
      <w:r>
        <w:rPr/>
        <w:t>Global</w:t>
      </w:r>
      <w:r>
        <w:rPr>
          <w:spacing w:val="-1"/>
        </w:rPr>
        <w:t> </w:t>
      </w:r>
      <w:r>
        <w:rPr/>
        <w:t>Services</w:t>
      </w:r>
      <w:r>
        <w:rPr>
          <w:spacing w:val="-65"/>
        </w:rPr>
        <w:t> </w:t>
      </w:r>
      <w:r>
        <w:rPr/>
        <w:t>杂志评选的“全球服务</w:t>
      </w:r>
      <w:r>
        <w:rPr>
          <w:spacing w:val="-65"/>
        </w:rPr>
        <w:t> </w:t>
      </w:r>
      <w:r>
        <w:rPr/>
        <w:t>100</w:t>
      </w:r>
      <w:r>
        <w:rPr>
          <w:spacing w:val="-65"/>
        </w:rPr>
        <w:t> </w:t>
      </w:r>
      <w:r>
        <w:rPr/>
        <w:t>强”及“中国最优秀的</w:t>
      </w:r>
      <w:r>
        <w:rPr>
          <w:spacing w:val="-65"/>
        </w:rPr>
        <w:t> </w:t>
      </w:r>
      <w:r>
        <w:rPr/>
        <w:t>IT</w:t>
      </w:r>
      <w:r>
        <w:rPr>
          <w:spacing w:val="-66"/>
        </w:rPr>
        <w:t> </w:t>
      </w:r>
      <w:r>
        <w:rPr/>
        <w:t>服务提供商”榜单。报</w:t>
      </w:r>
      <w:r>
        <w:rPr>
          <w:spacing w:val="-1"/>
        </w:rPr>
        <w:t> </w:t>
      </w:r>
      <w:r>
        <w:rPr>
          <w:spacing w:val="-2"/>
        </w:rPr>
        <w:t>告期内，公司入选中国科技部认定的“第一批现代服务业创新发展示范企业”。在罗兰</w:t>
      </w:r>
      <w:r>
        <w:rPr>
          <w:spacing w:val="-106"/>
        </w:rPr>
        <w:t> </w:t>
      </w:r>
      <w:r>
        <w:rPr>
          <w:spacing w:val="-106"/>
        </w:rPr>
      </w:r>
      <w:r>
        <w:rPr>
          <w:spacing w:val="-4"/>
        </w:rPr>
        <w:t>贝格与《环球企业家》杂志联合评选中，公司再次入选“最具全球竞争力中国公司”。</w:t>
      </w:r>
    </w:p>
    <w:p>
      <w:pPr>
        <w:spacing w:line="312" w:lineRule="exact" w:before="94"/>
        <w:ind w:left="118" w:right="100" w:firstLine="0"/>
        <w:jc w:val="left"/>
        <w:rPr>
          <w:rFonts w:ascii="宋体" w:hAnsi="宋体" w:cs="宋体" w:eastAsia="宋体" w:hint="default"/>
          <w:sz w:val="24"/>
          <w:szCs w:val="24"/>
        </w:rPr>
      </w:pPr>
      <w:r>
        <w:rPr>
          <w:rFonts w:ascii="宋体" w:hAnsi="宋体" w:cs="宋体" w:eastAsia="宋体" w:hint="default"/>
          <w:b/>
          <w:bCs/>
          <w:sz w:val="24"/>
          <w:szCs w:val="24"/>
        </w:rPr>
        <w:t>2、公司具体经营情况</w:t>
      </w:r>
      <w:r>
        <w:rPr>
          <w:rFonts w:ascii="宋体" w:hAnsi="宋体" w:cs="宋体" w:eastAsia="宋体" w:hint="default"/>
          <w:sz w:val="24"/>
          <w:szCs w:val="24"/>
        </w:rPr>
      </w:r>
    </w:p>
    <w:p>
      <w:pPr>
        <w:spacing w:line="312" w:lineRule="exact" w:before="29"/>
        <w:ind w:left="598" w:right="218" w:hanging="480"/>
        <w:jc w:val="left"/>
        <w:rPr>
          <w:rFonts w:ascii="宋体" w:hAnsi="宋体" w:cs="宋体" w:eastAsia="宋体" w:hint="default"/>
          <w:sz w:val="24"/>
          <w:szCs w:val="24"/>
        </w:rPr>
      </w:pPr>
      <w:r>
        <w:rPr>
          <w:rFonts w:ascii="宋体" w:hAnsi="宋体" w:cs="宋体" w:eastAsia="宋体" w:hint="default"/>
          <w:sz w:val="24"/>
          <w:szCs w:val="24"/>
        </w:rPr>
        <w:t>（1）软件与系统集成业务 报告期内，公司软件及系统集成业务稳步增长，实现营业收入</w:t>
      </w:r>
      <w:r>
        <w:rPr>
          <w:rFonts w:ascii="宋体" w:hAnsi="宋体" w:cs="宋体" w:eastAsia="宋体" w:hint="default"/>
          <w:spacing w:val="-76"/>
          <w:sz w:val="24"/>
          <w:szCs w:val="24"/>
        </w:rPr>
        <w:t> </w:t>
      </w:r>
      <w:r>
        <w:rPr>
          <w:rFonts w:ascii="宋体" w:hAnsi="宋体" w:cs="宋体" w:eastAsia="宋体" w:hint="default"/>
          <w:sz w:val="24"/>
          <w:szCs w:val="24"/>
        </w:rPr>
        <w:t>483,052</w:t>
      </w:r>
      <w:r>
        <w:rPr>
          <w:rFonts w:ascii="宋体" w:hAnsi="宋体" w:cs="宋体" w:eastAsia="宋体" w:hint="default"/>
          <w:spacing w:val="-76"/>
          <w:sz w:val="24"/>
          <w:szCs w:val="24"/>
        </w:rPr>
        <w:t> </w:t>
      </w:r>
      <w:r>
        <w:rPr>
          <w:rFonts w:ascii="宋体" w:hAnsi="宋体" w:cs="宋体" w:eastAsia="宋体" w:hint="default"/>
          <w:spacing w:val="-4"/>
          <w:sz w:val="24"/>
          <w:szCs w:val="24"/>
        </w:rPr>
        <w:t>万元（已扣</w:t>
      </w:r>
    </w:p>
    <w:p>
      <w:pPr>
        <w:spacing w:line="312" w:lineRule="exact" w:before="0"/>
        <w:ind w:left="598" w:right="100" w:hanging="480"/>
        <w:jc w:val="left"/>
        <w:rPr>
          <w:rFonts w:ascii="宋体" w:hAnsi="宋体" w:cs="宋体" w:eastAsia="宋体" w:hint="default"/>
          <w:sz w:val="24"/>
          <w:szCs w:val="24"/>
        </w:rPr>
      </w:pPr>
      <w:r>
        <w:rPr>
          <w:rFonts w:ascii="宋体" w:hAnsi="宋体" w:cs="宋体" w:eastAsia="宋体" w:hint="default"/>
          <w:spacing w:val="-8"/>
          <w:sz w:val="24"/>
          <w:szCs w:val="24"/>
        </w:rPr>
        <w:t>除行业间抵销），较上年同期增长</w:t>
      </w:r>
      <w:r>
        <w:rPr>
          <w:rFonts w:ascii="宋体" w:hAnsi="宋体" w:cs="宋体" w:eastAsia="宋体" w:hint="default"/>
          <w:spacing w:val="-60"/>
          <w:sz w:val="24"/>
          <w:szCs w:val="24"/>
        </w:rPr>
        <w:t> </w:t>
      </w:r>
      <w:r>
        <w:rPr>
          <w:rFonts w:ascii="宋体" w:hAnsi="宋体" w:cs="宋体" w:eastAsia="宋体" w:hint="default"/>
          <w:sz w:val="24"/>
          <w:szCs w:val="24"/>
        </w:rPr>
        <w:t>24.6%，占公司营业收入的</w:t>
      </w:r>
      <w:r>
        <w:rPr>
          <w:rFonts w:ascii="宋体" w:hAnsi="宋体" w:cs="宋体" w:eastAsia="宋体" w:hint="default"/>
          <w:spacing w:val="-60"/>
          <w:sz w:val="24"/>
          <w:szCs w:val="24"/>
        </w:rPr>
        <w:t> </w:t>
      </w:r>
      <w:r>
        <w:rPr>
          <w:rFonts w:ascii="宋体" w:hAnsi="宋体" w:cs="宋体" w:eastAsia="宋体" w:hint="default"/>
          <w:sz w:val="24"/>
          <w:szCs w:val="24"/>
        </w:rPr>
        <w:t>84.0%。</w:t>
      </w:r>
      <w:r>
        <w:rPr>
          <w:rFonts w:ascii="宋体" w:hAnsi="宋体" w:cs="宋体" w:eastAsia="宋体" w:hint="default"/>
          <w:sz w:val="24"/>
          <w:szCs w:val="24"/>
        </w:rPr>
        <w:t> </w:t>
      </w:r>
      <w:r>
        <w:rPr>
          <w:rFonts w:ascii="宋体" w:hAnsi="宋体" w:cs="宋体" w:eastAsia="宋体" w:hint="default"/>
          <w:spacing w:val="-2"/>
          <w:sz w:val="24"/>
          <w:szCs w:val="24"/>
        </w:rPr>
        <w:t>在电信行业，公司与三大运营商的合作持续深入，BSS/OSS（业务支持系统/运营支</w:t>
      </w:r>
    </w:p>
    <w:p>
      <w:pPr>
        <w:spacing w:line="312" w:lineRule="exact" w:before="0"/>
        <w:ind w:left="118" w:right="100" w:firstLine="0"/>
        <w:jc w:val="left"/>
        <w:rPr>
          <w:rFonts w:ascii="宋体" w:hAnsi="宋体" w:cs="宋体" w:eastAsia="宋体" w:hint="default"/>
          <w:sz w:val="24"/>
          <w:szCs w:val="24"/>
        </w:rPr>
      </w:pPr>
      <w:r>
        <w:rPr>
          <w:rFonts w:ascii="宋体" w:hAnsi="宋体" w:cs="宋体" w:eastAsia="宋体" w:hint="default"/>
          <w:spacing w:val="-3"/>
          <w:sz w:val="24"/>
          <w:szCs w:val="24"/>
        </w:rPr>
        <w:t>持系统）等核心业务平稳增长，BI（商业智能）业务及网管业务实现快速发展。公司成</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为中国移动云计算战略合作伙伴，并获得公有云支持平台、南方基地资源池管理平台等</w:t>
      </w:r>
      <w:r>
        <w:rPr>
          <w:rFonts w:ascii="宋体" w:hAnsi="宋体" w:cs="宋体" w:eastAsia="宋体" w:hint="default"/>
          <w:sz w:val="24"/>
          <w:szCs w:val="24"/>
        </w:rPr>
        <w:t> </w:t>
      </w:r>
      <w:r>
        <w:rPr>
          <w:rFonts w:ascii="宋体" w:hAnsi="宋体" w:cs="宋体" w:eastAsia="宋体" w:hint="default"/>
          <w:spacing w:val="-3"/>
          <w:sz w:val="24"/>
          <w:szCs w:val="24"/>
        </w:rPr>
        <w:t>项目。公司积极参与中国联通、中国电信的云基础平台和应用平台的建设，并成为“中</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pacing w:val="-5"/>
          <w:sz w:val="24"/>
          <w:szCs w:val="24"/>
        </w:rPr>
        <w:t>国联通集团全国级别战略级合作厂商”中唯一的软件公司。同时，新业务领域取得突破，</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海南移动无纸化办公系统率先试点成功，公司车联网平台和校车管理平台在宇通客车集</w:t>
      </w:r>
      <w:r>
        <w:rPr>
          <w:rFonts w:ascii="宋体" w:hAnsi="宋体" w:cs="宋体" w:eastAsia="宋体" w:hint="default"/>
          <w:sz w:val="24"/>
          <w:szCs w:val="24"/>
        </w:rPr>
        <w:t> 团正式上线运营。</w:t>
      </w:r>
    </w:p>
    <w:p>
      <w:pPr>
        <w:spacing w:line="312" w:lineRule="exact" w:before="0"/>
        <w:ind w:left="118" w:right="233" w:firstLine="480"/>
        <w:jc w:val="both"/>
        <w:rPr>
          <w:rFonts w:ascii="宋体" w:hAnsi="宋体" w:cs="宋体" w:eastAsia="宋体" w:hint="default"/>
          <w:sz w:val="24"/>
          <w:szCs w:val="24"/>
        </w:rPr>
      </w:pPr>
      <w:r>
        <w:rPr>
          <w:rFonts w:ascii="宋体" w:hAnsi="宋体" w:cs="宋体" w:eastAsia="宋体" w:hint="default"/>
          <w:spacing w:val="-3"/>
          <w:sz w:val="24"/>
          <w:szCs w:val="24"/>
        </w:rPr>
        <w:t>在政府信息化领域，公司在社保行业的市场领导者地位进一步巩固，“新农合”等</w:t>
      </w:r>
      <w:r>
        <w:rPr>
          <w:rFonts w:ascii="宋体" w:hAnsi="宋体" w:cs="宋体" w:eastAsia="宋体" w:hint="default"/>
          <w:spacing w:val="2"/>
          <w:sz w:val="24"/>
          <w:szCs w:val="24"/>
        </w:rPr>
        <w:t> </w:t>
      </w:r>
      <w:r>
        <w:rPr>
          <w:rFonts w:ascii="宋体" w:hAnsi="宋体" w:cs="宋体" w:eastAsia="宋体" w:hint="default"/>
          <w:spacing w:val="-9"/>
          <w:sz w:val="24"/>
          <w:szCs w:val="24"/>
        </w:rPr>
        <w:t>业务进展顺利，服务收入快速增长。报告期内，公司拓展了辽宁、江西、宁夏等省级“金</w:t>
      </w:r>
      <w:r>
        <w:rPr>
          <w:rFonts w:ascii="宋体" w:hAnsi="宋体" w:cs="宋体" w:eastAsia="宋体" w:hint="default"/>
          <w:spacing w:val="-90"/>
          <w:sz w:val="24"/>
          <w:szCs w:val="24"/>
        </w:rPr>
        <w:t> </w:t>
      </w:r>
      <w:r>
        <w:rPr>
          <w:rFonts w:ascii="宋体" w:hAnsi="宋体" w:cs="宋体" w:eastAsia="宋体" w:hint="default"/>
          <w:spacing w:val="-90"/>
          <w:sz w:val="24"/>
          <w:szCs w:val="24"/>
        </w:rPr>
      </w:r>
      <w:r>
        <w:rPr>
          <w:rFonts w:ascii="宋体" w:hAnsi="宋体" w:cs="宋体" w:eastAsia="宋体" w:hint="default"/>
          <w:spacing w:val="-2"/>
          <w:sz w:val="24"/>
          <w:szCs w:val="24"/>
        </w:rPr>
        <w:t>保”客户。在电子政务领域，公司中标建设部等项目。在环保行业，公司继续夯实机动</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3"/>
          <w:sz w:val="24"/>
          <w:szCs w:val="24"/>
        </w:rPr>
        <w:t>车、固废等业务，进展顺利。公司积极拓展新业务领域，成功开拓水利普查业务，签订</w:t>
      </w:r>
      <w:r>
        <w:rPr>
          <w:rFonts w:ascii="宋体" w:hAnsi="宋体" w:cs="宋体" w:eastAsia="宋体" w:hint="default"/>
          <w:spacing w:val="-89"/>
          <w:sz w:val="24"/>
          <w:szCs w:val="24"/>
        </w:rPr>
        <w:t> </w:t>
      </w:r>
      <w:r>
        <w:rPr>
          <w:rFonts w:ascii="宋体" w:hAnsi="宋体" w:cs="宋体" w:eastAsia="宋体" w:hint="default"/>
          <w:spacing w:val="-89"/>
          <w:sz w:val="24"/>
          <w:szCs w:val="24"/>
        </w:rPr>
      </w:r>
      <w:r>
        <w:rPr>
          <w:rFonts w:ascii="宋体" w:hAnsi="宋体" w:cs="宋体" w:eastAsia="宋体" w:hint="default"/>
          <w:spacing w:val="-2"/>
          <w:sz w:val="24"/>
          <w:szCs w:val="24"/>
        </w:rPr>
        <w:t>水利厅及多家水利普查单位客户。在农产品溯源领域，公司成为商务部首批食品溯源试</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点城市的建设厂商，承接昆明肉类蔬菜质量溯源系统等项目。</w:t>
      </w:r>
    </w:p>
    <w:p>
      <w:pPr>
        <w:spacing w:line="312" w:lineRule="exact" w:before="0"/>
        <w:ind w:left="118" w:right="234" w:firstLine="480"/>
        <w:jc w:val="both"/>
        <w:rPr>
          <w:rFonts w:ascii="宋体" w:hAnsi="宋体" w:cs="宋体" w:eastAsia="宋体" w:hint="default"/>
          <w:sz w:val="24"/>
          <w:szCs w:val="24"/>
        </w:rPr>
      </w:pPr>
      <w:r>
        <w:rPr>
          <w:rFonts w:ascii="宋体" w:hAnsi="宋体" w:cs="宋体" w:eastAsia="宋体" w:hint="default"/>
          <w:sz w:val="24"/>
          <w:szCs w:val="24"/>
        </w:rPr>
        <w:t>在公共卫生和医疗 IT</w:t>
      </w:r>
      <w:r>
        <w:rPr>
          <w:rFonts w:ascii="宋体" w:hAnsi="宋体" w:cs="宋体" w:eastAsia="宋体" w:hint="default"/>
          <w:spacing w:val="-52"/>
          <w:sz w:val="24"/>
          <w:szCs w:val="24"/>
        </w:rPr>
        <w:t> </w:t>
      </w:r>
      <w:r>
        <w:rPr>
          <w:rFonts w:ascii="宋体" w:hAnsi="宋体" w:cs="宋体" w:eastAsia="宋体" w:hint="default"/>
          <w:sz w:val="24"/>
          <w:szCs w:val="24"/>
        </w:rPr>
        <w:t>领域，公司扩大竞争优势及市场占有率。在医疗卫生政务领</w:t>
      </w:r>
      <w:r>
        <w:rPr>
          <w:rFonts w:ascii="宋体" w:hAnsi="宋体" w:cs="宋体" w:eastAsia="宋体" w:hint="default"/>
          <w:sz w:val="24"/>
          <w:szCs w:val="24"/>
        </w:rPr>
        <w:t> </w:t>
      </w:r>
      <w:r>
        <w:rPr>
          <w:rFonts w:ascii="宋体" w:hAnsi="宋体" w:cs="宋体" w:eastAsia="宋体" w:hint="default"/>
          <w:spacing w:val="-2"/>
          <w:sz w:val="24"/>
          <w:szCs w:val="24"/>
        </w:rPr>
        <w:t>域，公司持续完善业务布局，并拓展了湖南、安徽、洛阳、青岛等地业务，不断加强市</w:t>
      </w:r>
      <w:r>
        <w:rPr>
          <w:rFonts w:ascii="宋体" w:hAnsi="宋体" w:cs="宋体" w:eastAsia="宋体" w:hint="default"/>
          <w:spacing w:val="-98"/>
          <w:sz w:val="24"/>
          <w:szCs w:val="24"/>
        </w:rPr>
        <w:t> </w:t>
      </w:r>
      <w:r>
        <w:rPr>
          <w:rFonts w:ascii="宋体" w:hAnsi="宋体" w:cs="宋体" w:eastAsia="宋体" w:hint="default"/>
          <w:spacing w:val="-98"/>
          <w:sz w:val="24"/>
          <w:szCs w:val="24"/>
        </w:rPr>
      </w:r>
      <w:r>
        <w:rPr>
          <w:rFonts w:ascii="宋体" w:hAnsi="宋体" w:cs="宋体" w:eastAsia="宋体" w:hint="default"/>
          <w:sz w:val="24"/>
          <w:szCs w:val="24"/>
        </w:rPr>
        <w:t>场优势地位。在医疗 IT</w:t>
      </w:r>
      <w:r>
        <w:rPr>
          <w:rFonts w:ascii="宋体" w:hAnsi="宋体" w:cs="宋体" w:eastAsia="宋体" w:hint="default"/>
          <w:spacing w:val="-52"/>
          <w:sz w:val="24"/>
          <w:szCs w:val="24"/>
        </w:rPr>
        <w:t> </w:t>
      </w:r>
      <w:r>
        <w:rPr>
          <w:rFonts w:ascii="宋体" w:hAnsi="宋体" w:cs="宋体" w:eastAsia="宋体" w:hint="default"/>
          <w:sz w:val="24"/>
          <w:szCs w:val="24"/>
        </w:rPr>
        <w:t>领域，公司积极参与卫生部电子病历数据集标准、卫生部医院</w:t>
      </w:r>
      <w:r>
        <w:rPr>
          <w:rFonts w:ascii="宋体" w:hAnsi="宋体" w:cs="宋体" w:eastAsia="宋体" w:hint="default"/>
          <w:sz w:val="24"/>
          <w:szCs w:val="24"/>
        </w:rPr>
        <w:t> </w:t>
      </w:r>
      <w:r>
        <w:rPr>
          <w:rFonts w:ascii="宋体" w:hAnsi="宋体" w:cs="宋体" w:eastAsia="宋体" w:hint="default"/>
          <w:spacing w:val="-2"/>
          <w:sz w:val="24"/>
          <w:szCs w:val="24"/>
        </w:rPr>
        <w:t>信息平台技术规范等标准规范的制定，新一代电子病历、手术麻醉系统等新系统产品投</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3"/>
          <w:sz w:val="24"/>
          <w:szCs w:val="24"/>
        </w:rPr>
        <w:t>放市场，签约武汉大学中南医院、江苏苏北人民医院、山东肿瘤医院等三甲医院。在健</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pacing w:val="-2"/>
          <w:sz w:val="24"/>
          <w:szCs w:val="24"/>
        </w:rPr>
        <w:t>康服务领域，公司发布终端产品—健康行表和益体机，数据中心及呼叫中心服务逐步上</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线，进一步提升了健康管理服务水平。</w:t>
      </w:r>
    </w:p>
    <w:p>
      <w:pPr>
        <w:spacing w:line="312" w:lineRule="exact" w:before="0"/>
        <w:ind w:left="118" w:right="100" w:firstLine="480"/>
        <w:jc w:val="left"/>
        <w:rPr>
          <w:rFonts w:ascii="宋体" w:hAnsi="宋体" w:cs="宋体" w:eastAsia="宋体" w:hint="default"/>
          <w:sz w:val="24"/>
          <w:szCs w:val="24"/>
        </w:rPr>
      </w:pPr>
      <w:r>
        <w:rPr>
          <w:rFonts w:ascii="宋体" w:hAnsi="宋体" w:cs="宋体" w:eastAsia="宋体" w:hint="default"/>
          <w:sz w:val="24"/>
          <w:szCs w:val="24"/>
        </w:rPr>
        <w:t>在能源领域，公司积极向能源领域全产业链模式拓展。国家电网“SG186”工程—</w:t>
      </w:r>
      <w:r>
        <w:rPr>
          <w:rFonts w:ascii="宋体" w:hAnsi="宋体" w:cs="宋体" w:eastAsia="宋体" w:hint="default"/>
          <w:spacing w:val="2"/>
          <w:sz w:val="24"/>
          <w:szCs w:val="24"/>
        </w:rPr>
        <w:t> </w:t>
      </w:r>
      <w:r>
        <w:rPr>
          <w:rFonts w:ascii="宋体" w:hAnsi="宋体" w:cs="宋体" w:eastAsia="宋体" w:hint="default"/>
          <w:sz w:val="24"/>
          <w:szCs w:val="24"/>
        </w:rPr>
        <w:t>电网公司营销业务应用系统建设项目整体通过验收，并带来新的市场机会。公司积极参</w:t>
      </w:r>
      <w:r>
        <w:rPr>
          <w:rFonts w:ascii="宋体" w:hAnsi="宋体" w:cs="宋体" w:eastAsia="宋体" w:hint="default"/>
          <w:sz w:val="24"/>
          <w:szCs w:val="24"/>
        </w:rPr>
        <w:t> </w:t>
      </w:r>
      <w:r>
        <w:rPr>
          <w:rFonts w:ascii="宋体" w:hAnsi="宋体" w:cs="宋体" w:eastAsia="宋体" w:hint="default"/>
          <w:spacing w:val="-5"/>
          <w:sz w:val="24"/>
          <w:szCs w:val="24"/>
        </w:rPr>
        <w:t>与南方电网营销标准化设计，为大连港、克拉玛依等提供计费及资产管理核心解决方案。</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pacing w:val="-5"/>
          <w:sz w:val="24"/>
          <w:szCs w:val="24"/>
        </w:rPr>
        <w:t>在智能电网领域，公司成功签订辽宁、河南等用电信息采集及衍生项目。在煤炭与发电、</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5"/>
          <w:sz w:val="24"/>
          <w:szCs w:val="24"/>
        </w:rPr>
        <w:t>石油、石化等业务领域，公司加强技术储备和市场培育，有利于未来全产业链业务布局。</w:t>
      </w:r>
    </w:p>
    <w:p>
      <w:pPr>
        <w:spacing w:line="312" w:lineRule="exact" w:before="0"/>
        <w:ind w:left="118" w:right="185" w:firstLine="480"/>
        <w:jc w:val="both"/>
        <w:rPr>
          <w:rFonts w:ascii="宋体" w:hAnsi="宋体" w:cs="宋体" w:eastAsia="宋体" w:hint="default"/>
          <w:sz w:val="24"/>
          <w:szCs w:val="24"/>
        </w:rPr>
      </w:pPr>
      <w:r>
        <w:rPr>
          <w:rFonts w:ascii="宋体" w:hAnsi="宋体" w:cs="宋体" w:eastAsia="宋体" w:hint="default"/>
          <w:sz w:val="24"/>
          <w:szCs w:val="24"/>
        </w:rPr>
        <w:t>在企业及电子商务行业，公司推进既有客户的业务系统升级，提升关键客户数量。 在烟草行业，公司新增多家省级客户，保持市场竞争能力和优势地位。在</w:t>
      </w:r>
      <w:r>
        <w:rPr>
          <w:rFonts w:ascii="宋体" w:hAnsi="宋体" w:cs="宋体" w:eastAsia="宋体" w:hint="default"/>
          <w:spacing w:val="-72"/>
          <w:sz w:val="24"/>
          <w:szCs w:val="24"/>
        </w:rPr>
        <w:t> </w:t>
      </w:r>
      <w:r>
        <w:rPr>
          <w:rFonts w:ascii="宋体" w:hAnsi="宋体" w:cs="宋体" w:eastAsia="宋体" w:hint="default"/>
          <w:sz w:val="24"/>
          <w:szCs w:val="24"/>
        </w:rPr>
        <w:t>ERP</w:t>
      </w:r>
      <w:r>
        <w:rPr>
          <w:rFonts w:ascii="宋体" w:hAnsi="宋体" w:cs="宋体" w:eastAsia="宋体" w:hint="default"/>
          <w:spacing w:val="-72"/>
          <w:sz w:val="24"/>
          <w:szCs w:val="24"/>
        </w:rPr>
        <w:t> </w:t>
      </w:r>
      <w:r>
        <w:rPr>
          <w:rFonts w:ascii="宋体" w:hAnsi="宋体" w:cs="宋体" w:eastAsia="宋体" w:hint="default"/>
          <w:spacing w:val="-4"/>
          <w:sz w:val="24"/>
          <w:szCs w:val="24"/>
        </w:rPr>
        <w:t>领域，与</w:t>
      </w:r>
      <w:r>
        <w:rPr>
          <w:rFonts w:ascii="宋体" w:hAnsi="宋体" w:cs="宋体" w:eastAsia="宋体" w:hint="default"/>
          <w:sz w:val="24"/>
          <w:szCs w:val="24"/>
        </w:rPr>
        <w:t> SAP 合作持续深入，加强与青岛海尔等客户的合作，并签约蓝思科技等新客户，ERP</w:t>
      </w:r>
      <w:r>
        <w:rPr>
          <w:rFonts w:ascii="宋体" w:hAnsi="宋体" w:cs="宋体" w:eastAsia="宋体" w:hint="default"/>
          <w:spacing w:val="-52"/>
          <w:sz w:val="24"/>
          <w:szCs w:val="24"/>
        </w:rPr>
        <w:t> </w:t>
      </w:r>
      <w:r>
        <w:rPr>
          <w:rFonts w:ascii="宋体" w:hAnsi="宋体" w:cs="宋体" w:eastAsia="宋体" w:hint="default"/>
          <w:sz w:val="24"/>
          <w:szCs w:val="24"/>
        </w:rPr>
        <w:t>运</w:t>
      </w:r>
      <w:r>
        <w:rPr>
          <w:rFonts w:ascii="宋体" w:hAnsi="宋体" w:cs="宋体" w:eastAsia="宋体" w:hint="default"/>
          <w:sz w:val="24"/>
          <w:szCs w:val="24"/>
        </w:rPr>
        <w:t> 维和技术业务的比重逐步提升。</w:t>
      </w:r>
    </w:p>
    <w:p>
      <w:pPr>
        <w:spacing w:line="312" w:lineRule="exact" w:before="0"/>
        <w:ind w:left="118" w:right="232" w:firstLine="480"/>
        <w:jc w:val="both"/>
        <w:rPr>
          <w:rFonts w:ascii="宋体" w:hAnsi="宋体" w:cs="宋体" w:eastAsia="宋体" w:hint="default"/>
          <w:sz w:val="24"/>
          <w:szCs w:val="24"/>
        </w:rPr>
      </w:pPr>
      <w:r>
        <w:rPr>
          <w:rFonts w:ascii="宋体" w:hAnsi="宋体" w:cs="宋体" w:eastAsia="宋体" w:hint="default"/>
          <w:spacing w:val="-2"/>
          <w:sz w:val="24"/>
          <w:szCs w:val="24"/>
        </w:rPr>
        <w:t>在金融行业，公司面向工商银行、浦发银行、兴业银行和国家外汇管理局等关键客</w:t>
      </w:r>
      <w:r>
        <w:rPr>
          <w:rFonts w:ascii="宋体" w:hAnsi="宋体" w:cs="宋体" w:eastAsia="宋体" w:hint="default"/>
          <w:sz w:val="24"/>
          <w:szCs w:val="24"/>
        </w:rPr>
        <w:t> </w:t>
      </w:r>
      <w:r>
        <w:rPr>
          <w:rFonts w:ascii="宋体" w:hAnsi="宋体" w:cs="宋体" w:eastAsia="宋体" w:hint="default"/>
          <w:spacing w:val="-3"/>
          <w:sz w:val="24"/>
          <w:szCs w:val="24"/>
        </w:rPr>
        <w:t>户，增强服务策划，服务规模稳步放大。报告期内，公司承接中国金融期货交易所第一</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代行情系统咨询服务业务，进一步提升在金融领域的竞争能力。</w:t>
      </w:r>
    </w:p>
    <w:p>
      <w:pPr>
        <w:spacing w:line="283" w:lineRule="exact" w:before="0"/>
        <w:ind w:left="598" w:right="100" w:firstLine="0"/>
        <w:jc w:val="left"/>
        <w:rPr>
          <w:rFonts w:ascii="宋体" w:hAnsi="宋体" w:cs="宋体" w:eastAsia="宋体" w:hint="default"/>
          <w:sz w:val="24"/>
          <w:szCs w:val="24"/>
        </w:rPr>
      </w:pPr>
      <w:r>
        <w:rPr>
          <w:rFonts w:ascii="宋体" w:hAnsi="宋体" w:cs="宋体" w:eastAsia="宋体" w:hint="default"/>
          <w:sz w:val="24"/>
          <w:szCs w:val="24"/>
        </w:rPr>
        <w:t>在教育行业，公司加强与教育部“金教工程”的合作，持续推进教育部垂直业务模</w:t>
      </w:r>
    </w:p>
    <w:p>
      <w:pPr>
        <w:spacing w:line="240" w:lineRule="auto" w:before="3"/>
        <w:rPr>
          <w:rFonts w:ascii="宋体" w:hAnsi="宋体" w:cs="宋体" w:eastAsia="宋体" w:hint="default"/>
          <w:sz w:val="24"/>
          <w:szCs w:val="24"/>
        </w:rPr>
      </w:pPr>
    </w:p>
    <w:p>
      <w:pPr>
        <w:pStyle w:val="BodyText"/>
        <w:spacing w:line="240" w:lineRule="auto"/>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6"/>
        <w:rPr>
          <w:rFonts w:ascii="黑体" w:hAnsi="黑体" w:cs="黑体" w:eastAsia="黑体" w:hint="default"/>
          <w:sz w:val="15"/>
          <w:szCs w:val="15"/>
        </w:rPr>
      </w:pPr>
    </w:p>
    <w:p>
      <w:pPr>
        <w:pStyle w:val="Heading5"/>
        <w:spacing w:line="312" w:lineRule="exact" w:before="56"/>
        <w:ind w:right="100"/>
        <w:jc w:val="left"/>
      </w:pPr>
      <w:r>
        <w:rPr>
          <w:spacing w:val="-2"/>
        </w:rPr>
        <w:t>式。报告期内，北京外国语大学社区平台成功上线，并签订中国传媒大学数字校园平台</w:t>
      </w:r>
      <w:r>
        <w:rPr>
          <w:spacing w:val="-95"/>
        </w:rPr>
        <w:t> </w:t>
      </w:r>
      <w:r>
        <w:rPr>
          <w:spacing w:val="-95"/>
        </w:rPr>
      </w:r>
      <w:r>
        <w:rPr/>
        <w:t>项目。</w:t>
      </w:r>
    </w:p>
    <w:p>
      <w:pPr>
        <w:spacing w:line="312" w:lineRule="exact" w:before="0"/>
        <w:ind w:left="118" w:right="234" w:firstLine="480"/>
        <w:jc w:val="both"/>
        <w:rPr>
          <w:rFonts w:ascii="宋体" w:hAnsi="宋体" w:cs="宋体" w:eastAsia="宋体" w:hint="default"/>
          <w:sz w:val="24"/>
          <w:szCs w:val="24"/>
        </w:rPr>
      </w:pPr>
      <w:r>
        <w:rPr>
          <w:rFonts w:ascii="宋体" w:hAnsi="宋体" w:cs="宋体" w:eastAsia="宋体" w:hint="default"/>
          <w:spacing w:val="-3"/>
          <w:sz w:val="24"/>
          <w:szCs w:val="24"/>
        </w:rPr>
        <w:t>在交通行业，公司聚焦核心行业客户，持续优化业务结构。在智能物流领域，海航</w:t>
      </w:r>
      <w:r>
        <w:rPr>
          <w:rFonts w:ascii="宋体" w:hAnsi="宋体" w:cs="宋体" w:eastAsia="宋体" w:hint="default"/>
          <w:spacing w:val="-1"/>
          <w:sz w:val="24"/>
          <w:szCs w:val="24"/>
        </w:rPr>
        <w:t> </w:t>
      </w:r>
      <w:r>
        <w:rPr>
          <w:rFonts w:ascii="宋体" w:hAnsi="宋体" w:cs="宋体" w:eastAsia="宋体" w:hint="default"/>
          <w:spacing w:val="-2"/>
          <w:sz w:val="24"/>
          <w:szCs w:val="24"/>
        </w:rPr>
        <w:t>货运、舟山港口物流等项目进展顺利。在智能交通领域，中国航空运输协会一期项目顺</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利完成验收。</w:t>
      </w:r>
    </w:p>
    <w:p>
      <w:pPr>
        <w:spacing w:line="312" w:lineRule="exact" w:before="0"/>
        <w:ind w:left="118" w:right="233" w:firstLine="480"/>
        <w:jc w:val="both"/>
        <w:rPr>
          <w:rFonts w:ascii="宋体" w:hAnsi="宋体" w:cs="宋体" w:eastAsia="宋体" w:hint="default"/>
          <w:sz w:val="24"/>
          <w:szCs w:val="24"/>
        </w:rPr>
      </w:pPr>
      <w:r>
        <w:rPr>
          <w:rFonts w:ascii="宋体" w:hAnsi="宋体" w:cs="宋体" w:eastAsia="宋体" w:hint="default"/>
          <w:spacing w:val="-2"/>
          <w:sz w:val="24"/>
          <w:szCs w:val="24"/>
        </w:rPr>
        <w:t>在软件产品领域，公司业务进展顺利。在网络安全领域，公司积极参与国家网络安</w:t>
      </w:r>
      <w:r>
        <w:rPr>
          <w:rFonts w:ascii="宋体" w:hAnsi="宋体" w:cs="宋体" w:eastAsia="宋体" w:hint="default"/>
          <w:sz w:val="24"/>
          <w:szCs w:val="24"/>
        </w:rPr>
        <w:t> 全标准的制定和科研项目，继续保持优势地位和市场占有率。在 E-HR</w:t>
      </w:r>
      <w:r>
        <w:rPr>
          <w:rFonts w:ascii="宋体" w:hAnsi="宋体" w:cs="宋体" w:eastAsia="宋体" w:hint="default"/>
          <w:spacing w:val="-52"/>
          <w:sz w:val="24"/>
          <w:szCs w:val="24"/>
        </w:rPr>
        <w:t> </w:t>
      </w:r>
      <w:r>
        <w:rPr>
          <w:rFonts w:ascii="宋体" w:hAnsi="宋体" w:cs="宋体" w:eastAsia="宋体" w:hint="default"/>
          <w:sz w:val="24"/>
          <w:szCs w:val="24"/>
        </w:rPr>
        <w:t>领域，公司持续</w:t>
      </w:r>
      <w:r>
        <w:rPr>
          <w:rFonts w:ascii="宋体" w:hAnsi="宋体" w:cs="宋体" w:eastAsia="宋体" w:hint="default"/>
          <w:sz w:val="24"/>
          <w:szCs w:val="24"/>
        </w:rPr>
        <w:t> </w:t>
      </w:r>
      <w:r>
        <w:rPr>
          <w:rFonts w:ascii="宋体" w:hAnsi="宋体" w:cs="宋体" w:eastAsia="宋体" w:hint="default"/>
          <w:spacing w:val="-2"/>
          <w:sz w:val="24"/>
          <w:szCs w:val="24"/>
        </w:rPr>
        <w:t>加强新产品研发投入以及在银行、保险、房地产等重点行业的市场布局，持续提升市场</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2"/>
          <w:sz w:val="24"/>
          <w:szCs w:val="24"/>
        </w:rPr>
        <w:t>占有率。在档案管理领域，公司顺利完成国家档案局“电子文件支撑平台二期项目”，</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开拓了北京市档案局、杭州市档案局等高端客户。</w:t>
      </w:r>
    </w:p>
    <w:p>
      <w:pPr>
        <w:spacing w:line="312" w:lineRule="exact" w:before="0"/>
        <w:ind w:left="118" w:right="233" w:firstLine="480"/>
        <w:jc w:val="both"/>
        <w:rPr>
          <w:rFonts w:ascii="宋体" w:hAnsi="宋体" w:cs="宋体" w:eastAsia="宋体" w:hint="default"/>
          <w:sz w:val="24"/>
          <w:szCs w:val="24"/>
        </w:rPr>
      </w:pPr>
      <w:r>
        <w:rPr>
          <w:rFonts w:ascii="宋体" w:hAnsi="宋体" w:cs="宋体" w:eastAsia="宋体" w:hint="default"/>
          <w:sz w:val="24"/>
          <w:szCs w:val="24"/>
        </w:rPr>
        <w:t>在</w:t>
      </w:r>
      <w:r>
        <w:rPr>
          <w:rFonts w:ascii="宋体" w:hAnsi="宋体" w:cs="宋体" w:eastAsia="宋体" w:hint="default"/>
          <w:spacing w:val="-84"/>
          <w:sz w:val="24"/>
          <w:szCs w:val="24"/>
        </w:rPr>
        <w:t> </w:t>
      </w:r>
      <w:r>
        <w:rPr>
          <w:rFonts w:ascii="宋体" w:hAnsi="宋体" w:cs="宋体" w:eastAsia="宋体" w:hint="default"/>
          <w:sz w:val="24"/>
          <w:szCs w:val="24"/>
        </w:rPr>
        <w:t>BPO</w:t>
      </w:r>
      <w:r>
        <w:rPr>
          <w:rFonts w:ascii="宋体" w:hAnsi="宋体" w:cs="宋体" w:eastAsia="宋体" w:hint="default"/>
          <w:spacing w:val="-84"/>
          <w:sz w:val="24"/>
          <w:szCs w:val="24"/>
        </w:rPr>
        <w:t> </w:t>
      </w:r>
      <w:r>
        <w:rPr>
          <w:rFonts w:ascii="宋体" w:hAnsi="宋体" w:cs="宋体" w:eastAsia="宋体" w:hint="default"/>
          <w:sz w:val="24"/>
          <w:szCs w:val="24"/>
        </w:rPr>
        <w:t>业务领域，公司积极开拓市场，为客户提供多语言、多类别、多地域、多行</w:t>
      </w:r>
      <w:r>
        <w:rPr>
          <w:rFonts w:ascii="宋体" w:hAnsi="宋体" w:cs="宋体" w:eastAsia="宋体" w:hint="default"/>
          <w:sz w:val="24"/>
          <w:szCs w:val="24"/>
        </w:rPr>
        <w:t> </w:t>
      </w:r>
      <w:r>
        <w:rPr>
          <w:rFonts w:ascii="宋体" w:hAnsi="宋体" w:cs="宋体" w:eastAsia="宋体" w:hint="default"/>
          <w:spacing w:val="-2"/>
          <w:sz w:val="24"/>
          <w:szCs w:val="24"/>
        </w:rPr>
        <w:t>业的一站式服务，集中打造以中小企业信息化服务平台、零售企业信息管理服务平台等</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11"/>
          <w:sz w:val="24"/>
          <w:szCs w:val="24"/>
        </w:rPr>
        <w:t>为核心的综合服务。报告期间，公司通过</w:t>
      </w:r>
      <w:r>
        <w:rPr>
          <w:rFonts w:ascii="宋体" w:hAnsi="宋体" w:cs="宋体" w:eastAsia="宋体" w:hint="default"/>
          <w:spacing w:val="-56"/>
          <w:sz w:val="24"/>
          <w:szCs w:val="24"/>
        </w:rPr>
        <w:t> </w:t>
      </w:r>
      <w:r>
        <w:rPr>
          <w:rFonts w:ascii="宋体" w:hAnsi="宋体" w:cs="宋体" w:eastAsia="宋体" w:hint="default"/>
          <w:sz w:val="24"/>
          <w:szCs w:val="24"/>
        </w:rPr>
        <w:t>PIPA/P-MARK</w:t>
      </w:r>
      <w:r>
        <w:rPr>
          <w:rFonts w:ascii="宋体" w:hAnsi="宋体" w:cs="宋体" w:eastAsia="宋体" w:hint="default"/>
          <w:spacing w:val="-56"/>
          <w:sz w:val="24"/>
          <w:szCs w:val="24"/>
        </w:rPr>
        <w:t> </w:t>
      </w:r>
      <w:r>
        <w:rPr>
          <w:rFonts w:ascii="宋体" w:hAnsi="宋体" w:cs="宋体" w:eastAsia="宋体" w:hint="default"/>
          <w:spacing w:val="-7"/>
          <w:sz w:val="24"/>
          <w:szCs w:val="24"/>
        </w:rPr>
        <w:t>个人信息保护规范认证，荣获“中</w:t>
      </w:r>
      <w:r>
        <w:rPr>
          <w:rFonts w:ascii="宋体" w:hAnsi="宋体" w:cs="宋体" w:eastAsia="宋体" w:hint="default"/>
          <w:sz w:val="24"/>
          <w:szCs w:val="24"/>
        </w:rPr>
        <w:t> 国最佳外包客户联络中心奖”等奖项，并成功签约多家关键客户，业务实现增长。</w:t>
      </w:r>
    </w:p>
    <w:p>
      <w:pPr>
        <w:spacing w:line="312" w:lineRule="exact" w:before="0"/>
        <w:ind w:left="118" w:right="100" w:firstLine="480"/>
        <w:jc w:val="left"/>
        <w:rPr>
          <w:rFonts w:ascii="宋体" w:hAnsi="宋体" w:cs="宋体" w:eastAsia="宋体" w:hint="default"/>
          <w:sz w:val="24"/>
          <w:szCs w:val="24"/>
        </w:rPr>
      </w:pPr>
      <w:r>
        <w:rPr>
          <w:rFonts w:ascii="宋体" w:hAnsi="宋体" w:cs="宋体" w:eastAsia="宋体" w:hint="default"/>
          <w:sz w:val="24"/>
          <w:szCs w:val="24"/>
        </w:rPr>
        <w:t>在国际软件业务领域，公司进一步优化全球化市场布局，积极推动商业模式创新及 </w:t>
      </w:r>
      <w:r>
        <w:rPr>
          <w:rFonts w:ascii="宋体" w:hAnsi="宋体" w:cs="宋体" w:eastAsia="宋体" w:hint="default"/>
          <w:spacing w:val="-5"/>
          <w:sz w:val="24"/>
          <w:szCs w:val="24"/>
        </w:rPr>
        <w:t>业务转型，不断提升公司在核心业务领域的竞争优势。在日本市场，公司克服不利影响，</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深入挖掘客户的 IT</w:t>
      </w:r>
      <w:r>
        <w:rPr>
          <w:rFonts w:ascii="宋体" w:hAnsi="宋体" w:cs="宋体" w:eastAsia="宋体" w:hint="default"/>
          <w:spacing w:val="-52"/>
          <w:sz w:val="24"/>
          <w:szCs w:val="24"/>
        </w:rPr>
        <w:t> </w:t>
      </w:r>
      <w:r>
        <w:rPr>
          <w:rFonts w:ascii="宋体" w:hAnsi="宋体" w:cs="宋体" w:eastAsia="宋体" w:hint="default"/>
          <w:sz w:val="24"/>
          <w:szCs w:val="24"/>
        </w:rPr>
        <w:t>需求，阿尔派、东芝等重要客户业务实现恢复性增长，与索尼、电</w:t>
      </w:r>
      <w:r>
        <w:rPr>
          <w:rFonts w:ascii="宋体" w:hAnsi="宋体" w:cs="宋体" w:eastAsia="宋体" w:hint="default"/>
          <w:sz w:val="24"/>
          <w:szCs w:val="24"/>
        </w:rPr>
        <w:t> 装和松下的合作进一步加强。在欧美市场，面对关键客户的战略变化，公司积极调整策 </w:t>
      </w:r>
      <w:r>
        <w:rPr>
          <w:rFonts w:ascii="宋体" w:hAnsi="宋体" w:cs="宋体" w:eastAsia="宋体" w:hint="default"/>
          <w:spacing w:val="-3"/>
          <w:sz w:val="24"/>
          <w:szCs w:val="24"/>
        </w:rPr>
        <w:t>略开拓新业务，与</w:t>
      </w:r>
      <w:r>
        <w:rPr>
          <w:rFonts w:ascii="宋体" w:hAnsi="宋体" w:cs="宋体" w:eastAsia="宋体" w:hint="default"/>
          <w:spacing w:val="-67"/>
          <w:sz w:val="24"/>
          <w:szCs w:val="24"/>
        </w:rPr>
        <w:t> </w:t>
      </w:r>
      <w:r>
        <w:rPr>
          <w:rFonts w:ascii="宋体" w:hAnsi="宋体" w:cs="宋体" w:eastAsia="宋体" w:hint="default"/>
          <w:sz w:val="24"/>
          <w:szCs w:val="24"/>
        </w:rPr>
        <w:t>Harman、Intel</w:t>
      </w:r>
      <w:r>
        <w:rPr>
          <w:rFonts w:ascii="宋体" w:hAnsi="宋体" w:cs="宋体" w:eastAsia="宋体" w:hint="default"/>
          <w:spacing w:val="-67"/>
          <w:sz w:val="24"/>
          <w:szCs w:val="24"/>
        </w:rPr>
        <w:t> </w:t>
      </w:r>
      <w:r>
        <w:rPr>
          <w:rFonts w:ascii="宋体" w:hAnsi="宋体" w:cs="宋体" w:eastAsia="宋体" w:hint="default"/>
          <w:sz w:val="24"/>
          <w:szCs w:val="24"/>
        </w:rPr>
        <w:t>等核心客户业务保持快速增长，并推进国内和国际业</w:t>
      </w:r>
      <w:r>
        <w:rPr>
          <w:rFonts w:ascii="宋体" w:hAnsi="宋体" w:cs="宋体" w:eastAsia="宋体" w:hint="default"/>
          <w:sz w:val="24"/>
          <w:szCs w:val="24"/>
        </w:rPr>
        <w:t> </w:t>
      </w:r>
      <w:r>
        <w:rPr>
          <w:rFonts w:ascii="宋体" w:hAnsi="宋体" w:cs="宋体" w:eastAsia="宋体" w:hint="default"/>
          <w:spacing w:val="5"/>
          <w:sz w:val="24"/>
          <w:szCs w:val="24"/>
        </w:rPr>
        <w:t>务的互动，与国际汽车厂商的合作更加紧密。报告期内，公司国际软件业务实现收入</w:t>
      </w:r>
      <w:r>
        <w:rPr>
          <w:rFonts w:ascii="宋体" w:hAnsi="宋体" w:cs="宋体" w:eastAsia="宋体" w:hint="default"/>
          <w:spacing w:val="5"/>
          <w:sz w:val="24"/>
          <w:szCs w:val="24"/>
        </w:rPr>
        <w:t> </w:t>
      </w:r>
      <w:r>
        <w:rPr>
          <w:rFonts w:ascii="宋体" w:hAnsi="宋体" w:cs="宋体" w:eastAsia="宋体" w:hint="default"/>
          <w:sz w:val="24"/>
          <w:szCs w:val="24"/>
        </w:rPr>
        <w:t>30,971</w:t>
      </w:r>
      <w:r>
        <w:rPr>
          <w:rFonts w:ascii="宋体" w:hAnsi="宋体" w:cs="宋体" w:eastAsia="宋体" w:hint="default"/>
          <w:spacing w:val="-60"/>
          <w:sz w:val="24"/>
          <w:szCs w:val="24"/>
        </w:rPr>
        <w:t> </w:t>
      </w:r>
      <w:r>
        <w:rPr>
          <w:rFonts w:ascii="宋体" w:hAnsi="宋体" w:cs="宋体" w:eastAsia="宋体" w:hint="default"/>
          <w:sz w:val="24"/>
          <w:szCs w:val="24"/>
        </w:rPr>
        <w:t>万美元，比上年同期增长</w:t>
      </w:r>
      <w:r>
        <w:rPr>
          <w:rFonts w:ascii="宋体" w:hAnsi="宋体" w:cs="宋体" w:eastAsia="宋体" w:hint="default"/>
          <w:spacing w:val="-60"/>
          <w:sz w:val="24"/>
          <w:szCs w:val="24"/>
        </w:rPr>
        <w:t> </w:t>
      </w:r>
      <w:r>
        <w:rPr>
          <w:rFonts w:ascii="宋体" w:hAnsi="宋体" w:cs="宋体" w:eastAsia="宋体" w:hint="default"/>
          <w:sz w:val="24"/>
          <w:szCs w:val="24"/>
        </w:rPr>
        <w:t>23.0%，占公司营业收入的</w:t>
      </w:r>
      <w:r>
        <w:rPr>
          <w:rFonts w:ascii="宋体" w:hAnsi="宋体" w:cs="宋体" w:eastAsia="宋体" w:hint="default"/>
          <w:spacing w:val="-60"/>
          <w:sz w:val="24"/>
          <w:szCs w:val="24"/>
        </w:rPr>
        <w:t> </w:t>
      </w:r>
      <w:r>
        <w:rPr>
          <w:rFonts w:ascii="宋体" w:hAnsi="宋体" w:cs="宋体" w:eastAsia="宋体" w:hint="default"/>
          <w:sz w:val="24"/>
          <w:szCs w:val="24"/>
        </w:rPr>
        <w:t>34.5%。</w:t>
      </w:r>
    </w:p>
    <w:p>
      <w:pPr>
        <w:spacing w:line="282" w:lineRule="exact" w:before="0"/>
        <w:ind w:left="118" w:right="100" w:firstLine="0"/>
        <w:jc w:val="left"/>
        <w:rPr>
          <w:rFonts w:ascii="宋体" w:hAnsi="宋体" w:cs="宋体" w:eastAsia="宋体" w:hint="default"/>
          <w:sz w:val="24"/>
          <w:szCs w:val="24"/>
        </w:rPr>
      </w:pPr>
      <w:r>
        <w:rPr>
          <w:rFonts w:ascii="宋体" w:hAnsi="宋体" w:cs="宋体" w:eastAsia="宋体" w:hint="default"/>
          <w:sz w:val="24"/>
          <w:szCs w:val="24"/>
        </w:rPr>
        <w:t>（2）医疗系统业务</w:t>
      </w:r>
    </w:p>
    <w:p>
      <w:pPr>
        <w:spacing w:line="312" w:lineRule="exact" w:before="29"/>
        <w:ind w:left="118" w:right="100" w:firstLine="48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53"/>
          <w:sz w:val="24"/>
          <w:szCs w:val="24"/>
        </w:rPr>
        <w:t> </w:t>
      </w:r>
      <w:r>
        <w:rPr>
          <w:rFonts w:ascii="宋体" w:hAnsi="宋体" w:cs="宋体" w:eastAsia="宋体" w:hint="default"/>
          <w:spacing w:val="-4"/>
          <w:sz w:val="24"/>
          <w:szCs w:val="24"/>
        </w:rPr>
        <w:t>年，公司进一步完善医疗产品销售服务网络，初步完成了全球服务备件中心布</w:t>
      </w:r>
      <w:r>
        <w:rPr>
          <w:rFonts w:ascii="宋体" w:hAnsi="宋体" w:cs="宋体" w:eastAsia="宋体" w:hint="default"/>
          <w:sz w:val="24"/>
          <w:szCs w:val="24"/>
        </w:rPr>
        <w:t> </w:t>
      </w:r>
      <w:r>
        <w:rPr>
          <w:rFonts w:ascii="宋体" w:hAnsi="宋体" w:cs="宋体" w:eastAsia="宋体" w:hint="default"/>
          <w:spacing w:val="-5"/>
          <w:sz w:val="24"/>
          <w:szCs w:val="24"/>
        </w:rPr>
        <w:t>局，不断优化全球直销和分销组织的配置，加强国际市场开拓，医疗设备销售持续增长。</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4"/>
          <w:sz w:val="24"/>
          <w:szCs w:val="24"/>
        </w:rPr>
        <w:t>报告期内，公司</w:t>
      </w:r>
      <w:r>
        <w:rPr>
          <w:rFonts w:ascii="宋体" w:hAnsi="宋体" w:cs="宋体" w:eastAsia="宋体" w:hint="default"/>
          <w:spacing w:val="-64"/>
          <w:sz w:val="24"/>
          <w:szCs w:val="24"/>
        </w:rPr>
        <w:t> </w:t>
      </w:r>
      <w:r>
        <w:rPr>
          <w:rFonts w:ascii="宋体" w:hAnsi="宋体" w:cs="宋体" w:eastAsia="宋体" w:hint="default"/>
          <w:sz w:val="24"/>
          <w:szCs w:val="24"/>
        </w:rPr>
        <w:t>64</w:t>
      </w:r>
      <w:r>
        <w:rPr>
          <w:rFonts w:ascii="宋体" w:hAnsi="宋体" w:cs="宋体" w:eastAsia="宋体" w:hint="default"/>
          <w:spacing w:val="-64"/>
          <w:sz w:val="24"/>
          <w:szCs w:val="24"/>
        </w:rPr>
        <w:t> </w:t>
      </w:r>
      <w:r>
        <w:rPr>
          <w:rFonts w:ascii="宋体" w:hAnsi="宋体" w:cs="宋体" w:eastAsia="宋体" w:hint="default"/>
          <w:sz w:val="24"/>
          <w:szCs w:val="24"/>
        </w:rPr>
        <w:t>层</w:t>
      </w:r>
      <w:r>
        <w:rPr>
          <w:rFonts w:ascii="宋体" w:hAnsi="宋体" w:cs="宋体" w:eastAsia="宋体" w:hint="default"/>
          <w:spacing w:val="-64"/>
          <w:sz w:val="24"/>
          <w:szCs w:val="24"/>
        </w:rPr>
        <w:t> </w:t>
      </w:r>
      <w:r>
        <w:rPr>
          <w:rFonts w:ascii="宋体" w:hAnsi="宋体" w:cs="宋体" w:eastAsia="宋体" w:hint="default"/>
          <w:sz w:val="24"/>
          <w:szCs w:val="24"/>
        </w:rPr>
        <w:t>CT</w:t>
      </w:r>
      <w:r>
        <w:rPr>
          <w:rFonts w:ascii="宋体" w:hAnsi="宋体" w:cs="宋体" w:eastAsia="宋体" w:hint="default"/>
          <w:spacing w:val="-64"/>
          <w:sz w:val="24"/>
          <w:szCs w:val="24"/>
        </w:rPr>
        <w:t> </w:t>
      </w:r>
      <w:r>
        <w:rPr>
          <w:rFonts w:ascii="宋体" w:hAnsi="宋体" w:cs="宋体" w:eastAsia="宋体" w:hint="default"/>
          <w:sz w:val="24"/>
          <w:szCs w:val="24"/>
        </w:rPr>
        <w:t>产品研发项目顺利进入临床验证阶段，将增强公司在医疗影像</w:t>
      </w:r>
      <w:r>
        <w:rPr>
          <w:rFonts w:ascii="宋体" w:hAnsi="宋体" w:cs="宋体" w:eastAsia="宋体" w:hint="default"/>
          <w:sz w:val="24"/>
          <w:szCs w:val="24"/>
        </w:rPr>
        <w:t> 产品市场的优势地位。报告期内，公司医疗系统业务实现收入 80,344</w:t>
      </w:r>
      <w:r>
        <w:rPr>
          <w:rFonts w:ascii="宋体" w:hAnsi="宋体" w:cs="宋体" w:eastAsia="宋体" w:hint="default"/>
          <w:spacing w:val="-52"/>
          <w:sz w:val="24"/>
          <w:szCs w:val="24"/>
        </w:rPr>
        <w:t> </w:t>
      </w:r>
      <w:r>
        <w:rPr>
          <w:rFonts w:ascii="宋体" w:hAnsi="宋体" w:cs="宋体" w:eastAsia="宋体" w:hint="default"/>
          <w:sz w:val="24"/>
          <w:szCs w:val="24"/>
        </w:rPr>
        <w:t>万人民币，比上</w:t>
      </w:r>
      <w:r>
        <w:rPr>
          <w:rFonts w:ascii="宋体" w:hAnsi="宋体" w:cs="宋体" w:eastAsia="宋体" w:hint="default"/>
          <w:sz w:val="24"/>
          <w:szCs w:val="24"/>
        </w:rPr>
        <w:t> 年同期增长</w:t>
      </w:r>
      <w:r>
        <w:rPr>
          <w:rFonts w:ascii="宋体" w:hAnsi="宋体" w:cs="宋体" w:eastAsia="宋体" w:hint="default"/>
          <w:spacing w:val="-65"/>
          <w:sz w:val="24"/>
          <w:szCs w:val="24"/>
        </w:rPr>
        <w:t> </w:t>
      </w:r>
      <w:r>
        <w:rPr>
          <w:rFonts w:ascii="宋体" w:hAnsi="宋体" w:cs="宋体" w:eastAsia="宋体" w:hint="default"/>
          <w:sz w:val="24"/>
          <w:szCs w:val="24"/>
        </w:rPr>
        <w:t>1.2%，占公司营业收入的</w:t>
      </w:r>
      <w:r>
        <w:rPr>
          <w:rFonts w:ascii="宋体" w:hAnsi="宋体" w:cs="宋体" w:eastAsia="宋体" w:hint="default"/>
          <w:spacing w:val="-65"/>
          <w:sz w:val="24"/>
          <w:szCs w:val="24"/>
        </w:rPr>
        <w:t> </w:t>
      </w:r>
      <w:r>
        <w:rPr>
          <w:rFonts w:ascii="宋体" w:hAnsi="宋体" w:cs="宋体" w:eastAsia="宋体" w:hint="default"/>
          <w:sz w:val="24"/>
          <w:szCs w:val="24"/>
        </w:rPr>
        <w:t>14.0%。同时出口实现收入</w:t>
      </w:r>
      <w:r>
        <w:rPr>
          <w:rFonts w:ascii="宋体" w:hAnsi="宋体" w:cs="宋体" w:eastAsia="宋体" w:hint="default"/>
          <w:spacing w:val="-65"/>
          <w:sz w:val="24"/>
          <w:szCs w:val="24"/>
        </w:rPr>
        <w:t> </w:t>
      </w:r>
      <w:r>
        <w:rPr>
          <w:rFonts w:ascii="宋体" w:hAnsi="宋体" w:cs="宋体" w:eastAsia="宋体" w:hint="default"/>
          <w:sz w:val="24"/>
          <w:szCs w:val="24"/>
        </w:rPr>
        <w:t>2,549</w:t>
      </w:r>
      <w:r>
        <w:rPr>
          <w:rFonts w:ascii="宋体" w:hAnsi="宋体" w:cs="宋体" w:eastAsia="宋体" w:hint="default"/>
          <w:spacing w:val="-65"/>
          <w:sz w:val="24"/>
          <w:szCs w:val="24"/>
        </w:rPr>
        <w:t> </w:t>
      </w:r>
      <w:r>
        <w:rPr>
          <w:rFonts w:ascii="宋体" w:hAnsi="宋体" w:cs="宋体" w:eastAsia="宋体" w:hint="default"/>
          <w:spacing w:val="-3"/>
          <w:sz w:val="24"/>
          <w:szCs w:val="24"/>
        </w:rPr>
        <w:t>万美元，比上年</w:t>
      </w:r>
      <w:r>
        <w:rPr>
          <w:rFonts w:ascii="宋体" w:hAnsi="宋体" w:cs="宋体" w:eastAsia="宋体" w:hint="default"/>
          <w:sz w:val="24"/>
          <w:szCs w:val="24"/>
        </w:rPr>
        <w:t> 同期减少</w:t>
      </w:r>
      <w:r>
        <w:rPr>
          <w:rFonts w:ascii="宋体" w:hAnsi="宋体" w:cs="宋体" w:eastAsia="宋体" w:hint="default"/>
          <w:spacing w:val="-60"/>
          <w:sz w:val="24"/>
          <w:szCs w:val="24"/>
        </w:rPr>
        <w:t> </w:t>
      </w:r>
      <w:r>
        <w:rPr>
          <w:rFonts w:ascii="宋体" w:hAnsi="宋体" w:cs="宋体" w:eastAsia="宋体" w:hint="default"/>
          <w:sz w:val="24"/>
          <w:szCs w:val="24"/>
        </w:rPr>
        <w:t>2.1%。</w:t>
      </w:r>
    </w:p>
    <w:p>
      <w:pPr>
        <w:spacing w:line="312" w:lineRule="exact" w:before="94"/>
        <w:ind w:left="118" w:right="100" w:firstLine="0"/>
        <w:jc w:val="left"/>
        <w:rPr>
          <w:rFonts w:ascii="宋体" w:hAnsi="宋体" w:cs="宋体" w:eastAsia="宋体" w:hint="default"/>
          <w:sz w:val="24"/>
          <w:szCs w:val="24"/>
        </w:rPr>
      </w:pPr>
      <w:r>
        <w:rPr>
          <w:rFonts w:ascii="宋体" w:hAnsi="宋体" w:cs="宋体" w:eastAsia="宋体" w:hint="default"/>
          <w:b/>
          <w:bCs/>
          <w:sz w:val="24"/>
          <w:szCs w:val="24"/>
        </w:rPr>
        <w:t>3、在经营中出现的困难与挑战</w:t>
      </w:r>
      <w:r>
        <w:rPr>
          <w:rFonts w:ascii="宋体" w:hAnsi="宋体" w:cs="宋体" w:eastAsia="宋体" w:hint="default"/>
          <w:sz w:val="24"/>
          <w:szCs w:val="24"/>
        </w:rPr>
      </w:r>
    </w:p>
    <w:p>
      <w:pPr>
        <w:spacing w:line="312" w:lineRule="exact" w:before="29"/>
        <w:ind w:left="598" w:right="111" w:firstLine="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年，公司业务规模实现持续增长的同时，也面临着一些困难和挑战。</w:t>
      </w:r>
      <w:r>
        <w:rPr>
          <w:rFonts w:ascii="宋体" w:hAnsi="宋体" w:cs="宋体" w:eastAsia="宋体" w:hint="default"/>
          <w:sz w:val="24"/>
          <w:szCs w:val="24"/>
        </w:rPr>
        <w:t> </w:t>
      </w:r>
      <w:r>
        <w:rPr>
          <w:rFonts w:ascii="宋体" w:hAnsi="宋体" w:cs="宋体" w:eastAsia="宋体" w:hint="default"/>
          <w:spacing w:val="-5"/>
          <w:sz w:val="24"/>
          <w:szCs w:val="24"/>
        </w:rPr>
        <w:t>世界经济复苏进程曲折，国际金融危机还在发展，一些国家主权债务危机持续升级，</w:t>
      </w:r>
    </w:p>
    <w:p>
      <w:pPr>
        <w:spacing w:line="312" w:lineRule="exact" w:before="0"/>
        <w:ind w:left="118" w:right="100" w:firstLine="0"/>
        <w:jc w:val="left"/>
        <w:rPr>
          <w:rFonts w:ascii="宋体" w:hAnsi="宋体" w:cs="宋体" w:eastAsia="宋体" w:hint="default"/>
          <w:sz w:val="24"/>
          <w:szCs w:val="24"/>
        </w:rPr>
      </w:pPr>
      <w:r>
        <w:rPr>
          <w:rFonts w:ascii="宋体" w:hAnsi="宋体" w:cs="宋体" w:eastAsia="宋体" w:hint="default"/>
          <w:spacing w:val="-5"/>
          <w:sz w:val="24"/>
          <w:szCs w:val="24"/>
        </w:rPr>
        <w:t>经济增长动力不足，中国经济面临通货膨胀和经济增速回落的双重压力，人力成本上升，</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人民币持续升值，对社会及企业 IT</w:t>
      </w:r>
      <w:r>
        <w:rPr>
          <w:rFonts w:ascii="宋体" w:hAnsi="宋体" w:cs="宋体" w:eastAsia="宋体" w:hint="default"/>
          <w:spacing w:val="-52"/>
          <w:sz w:val="24"/>
          <w:szCs w:val="24"/>
        </w:rPr>
        <w:t> </w:t>
      </w:r>
      <w:r>
        <w:rPr>
          <w:rFonts w:ascii="宋体" w:hAnsi="宋体" w:cs="宋体" w:eastAsia="宋体" w:hint="default"/>
          <w:sz w:val="24"/>
          <w:szCs w:val="24"/>
        </w:rPr>
        <w:t>需求和信息化投入周期产生影响，从而加剧了市场</w:t>
      </w:r>
      <w:r>
        <w:rPr>
          <w:rFonts w:ascii="宋体" w:hAnsi="宋体" w:cs="宋体" w:eastAsia="宋体" w:hint="default"/>
          <w:sz w:val="24"/>
          <w:szCs w:val="24"/>
        </w:rPr>
        <w:t> 竞争。</w:t>
      </w:r>
    </w:p>
    <w:p>
      <w:pPr>
        <w:spacing w:line="312" w:lineRule="exact" w:before="0"/>
        <w:ind w:left="118" w:right="185" w:firstLine="480"/>
        <w:jc w:val="both"/>
        <w:rPr>
          <w:rFonts w:ascii="宋体" w:hAnsi="宋体" w:cs="宋体" w:eastAsia="宋体" w:hint="default"/>
          <w:sz w:val="24"/>
          <w:szCs w:val="24"/>
        </w:rPr>
      </w:pPr>
      <w:r>
        <w:rPr>
          <w:rFonts w:ascii="宋体" w:hAnsi="宋体" w:cs="宋体" w:eastAsia="宋体" w:hint="default"/>
          <w:spacing w:val="-2"/>
          <w:sz w:val="24"/>
          <w:szCs w:val="24"/>
        </w:rPr>
        <w:t>为此，公司积极应对并调整市场策略，巩固现有业务及行业地位，加强与核心客户</w:t>
      </w:r>
      <w:r>
        <w:rPr>
          <w:rFonts w:ascii="宋体" w:hAnsi="宋体" w:cs="宋体" w:eastAsia="宋体" w:hint="default"/>
          <w:sz w:val="24"/>
          <w:szCs w:val="24"/>
        </w:rPr>
        <w:t> </w:t>
      </w:r>
      <w:r>
        <w:rPr>
          <w:rFonts w:ascii="宋体" w:hAnsi="宋体" w:cs="宋体" w:eastAsia="宋体" w:hint="default"/>
          <w:spacing w:val="-2"/>
          <w:sz w:val="24"/>
          <w:szCs w:val="24"/>
        </w:rPr>
        <w:t>的合作，深度挖掘高端客户需求，推动公司业务的持续成长。同时，公司继续加强业务</w:t>
      </w:r>
      <w:r>
        <w:rPr>
          <w:rFonts w:ascii="宋体" w:hAnsi="宋体" w:cs="宋体" w:eastAsia="宋体" w:hint="default"/>
          <w:spacing w:val="-94"/>
          <w:sz w:val="24"/>
          <w:szCs w:val="24"/>
        </w:rPr>
        <w:t> </w:t>
      </w:r>
      <w:r>
        <w:rPr>
          <w:rFonts w:ascii="宋体" w:hAnsi="宋体" w:cs="宋体" w:eastAsia="宋体" w:hint="default"/>
          <w:spacing w:val="-94"/>
          <w:sz w:val="24"/>
          <w:szCs w:val="24"/>
        </w:rPr>
      </w:r>
      <w:r>
        <w:rPr>
          <w:rFonts w:ascii="宋体" w:hAnsi="宋体" w:cs="宋体" w:eastAsia="宋体" w:hint="default"/>
          <w:spacing w:val="-2"/>
          <w:sz w:val="24"/>
          <w:szCs w:val="24"/>
        </w:rPr>
        <w:t>规划和研发策划，加大在核心业务领域的研发投入，推动商业模式创新，积极布局新业</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3"/>
          <w:sz w:val="24"/>
          <w:szCs w:val="24"/>
        </w:rPr>
        <w:t>务领域。报告期内，公司启动卓越运营改善计划，优化公司业务结构，在重点业务单元</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pacing w:val="-3"/>
          <w:sz w:val="24"/>
          <w:szCs w:val="24"/>
        </w:rPr>
        <w:t>实施薪酬体系改革，加强对高端人才的获取，以提升公司的核心竞争能力。此外，公司</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加强运营资金管理，注重资金使用效率，优化资源配置，保障公司业务健康持续增长。</w:t>
      </w:r>
    </w:p>
    <w:p>
      <w:pPr>
        <w:spacing w:line="312" w:lineRule="exact" w:before="125"/>
        <w:ind w:left="598" w:right="100" w:hanging="480"/>
        <w:jc w:val="left"/>
        <w:rPr>
          <w:rFonts w:ascii="宋体" w:hAnsi="宋体" w:cs="宋体" w:eastAsia="宋体" w:hint="default"/>
          <w:sz w:val="24"/>
          <w:szCs w:val="24"/>
        </w:rPr>
      </w:pPr>
      <w:r>
        <w:rPr>
          <w:rFonts w:ascii="宋体" w:hAnsi="宋体" w:cs="宋体" w:eastAsia="宋体" w:hint="default"/>
          <w:b/>
          <w:bCs/>
          <w:sz w:val="24"/>
          <w:szCs w:val="24"/>
        </w:rPr>
        <w:t>4、技术创新情况</w:t>
      </w:r>
      <w:r>
        <w:rPr>
          <w:rFonts w:ascii="宋体" w:hAnsi="宋体" w:cs="宋体" w:eastAsia="宋体" w:hint="default"/>
          <w:b/>
          <w:bCs/>
          <w:w w:val="99"/>
          <w:sz w:val="24"/>
          <w:szCs w:val="24"/>
        </w:rPr>
        <w:t> </w:t>
      </w:r>
      <w:r>
        <w:rPr>
          <w:rFonts w:ascii="宋体" w:hAnsi="宋体" w:cs="宋体" w:eastAsia="宋体" w:hint="default"/>
          <w:spacing w:val="-3"/>
          <w:sz w:val="24"/>
          <w:szCs w:val="24"/>
        </w:rPr>
        <w:t>作为一家以软件技术为核心的公司，公司始终坚持“开放式创新”战略，自成立以</w:t>
      </w:r>
      <w:r>
        <w:rPr>
          <w:rFonts w:ascii="宋体" w:hAnsi="宋体" w:cs="宋体" w:eastAsia="宋体" w:hint="default"/>
          <w:sz w:val="24"/>
          <w:szCs w:val="24"/>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BodyText"/>
        <w:spacing w:line="240" w:lineRule="auto"/>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6"/>
        <w:rPr>
          <w:rFonts w:ascii="黑体" w:hAnsi="黑体" w:cs="黑体" w:eastAsia="黑体" w:hint="default"/>
          <w:sz w:val="15"/>
          <w:szCs w:val="15"/>
        </w:rPr>
      </w:pPr>
    </w:p>
    <w:p>
      <w:pPr>
        <w:pStyle w:val="Heading5"/>
        <w:spacing w:line="312" w:lineRule="exact" w:before="56"/>
        <w:ind w:right="229"/>
        <w:jc w:val="both"/>
      </w:pPr>
      <w:r>
        <w:rPr/>
        <w:t>来，公司重视对研发的投入，每年都将资源投入到面向未来的新业务/产品、新技术、</w:t>
      </w:r>
      <w:r>
        <w:rPr>
          <w:spacing w:val="-49"/>
        </w:rPr>
        <w:t> </w:t>
      </w:r>
      <w:r>
        <w:rPr>
          <w:spacing w:val="-49"/>
        </w:rPr>
      </w:r>
      <w:r>
        <w:rPr>
          <w:spacing w:val="-3"/>
        </w:rPr>
        <w:t>新方法中去，有力推动了业务创新。2011</w:t>
      </w:r>
      <w:r>
        <w:rPr>
          <w:spacing w:val="-54"/>
        </w:rPr>
        <w:t> </w:t>
      </w:r>
      <w:r>
        <w:rPr>
          <w:spacing w:val="-3"/>
        </w:rPr>
        <w:t>年，加强了公司级先行研发组织的建设，面对</w:t>
      </w:r>
      <w:r>
        <w:rPr/>
        <w:t> </w:t>
      </w:r>
      <w:r>
        <w:rPr>
          <w:spacing w:val="-2"/>
        </w:rPr>
        <w:t>互联网、移动互联网、物联网市场的蓬勃发展以及相关领域技术的快速演进，成立了公</w:t>
      </w:r>
      <w:r>
        <w:rPr>
          <w:spacing w:val="-95"/>
        </w:rPr>
        <w:t> </w:t>
      </w:r>
      <w:r>
        <w:rPr>
          <w:spacing w:val="-95"/>
        </w:rPr>
      </w:r>
      <w:r>
        <w:rPr>
          <w:spacing w:val="-2"/>
        </w:rPr>
        <w:t>司级先进技术研究与应用创新中心，在云计算、物联网、移动互联网等新兴领域开展商</w:t>
      </w:r>
      <w:r>
        <w:rPr>
          <w:spacing w:val="-95"/>
        </w:rPr>
        <w:t> </w:t>
      </w:r>
      <w:r>
        <w:rPr>
          <w:spacing w:val="-95"/>
        </w:rPr>
      </w:r>
      <w:r>
        <w:rPr>
          <w:spacing w:val="-2"/>
        </w:rPr>
        <w:t>业价值与共性技术的前瞻性研究以及应用创新活动，发展公司持续创新能力。公司投入</w:t>
      </w:r>
      <w:r>
        <w:rPr>
          <w:spacing w:val="-96"/>
        </w:rPr>
        <w:t> </w:t>
      </w:r>
      <w:r>
        <w:rPr>
          <w:spacing w:val="-96"/>
        </w:rPr>
      </w:r>
      <w:r>
        <w:rPr/>
        <w:t>了新型网络化应用参考架构的研发，以支持</w:t>
      </w:r>
      <w:r>
        <w:rPr>
          <w:spacing w:val="-84"/>
        </w:rPr>
        <w:t> </w:t>
      </w:r>
      <w:r>
        <w:rPr/>
        <w:t>B2B2C</w:t>
      </w:r>
      <w:r>
        <w:rPr>
          <w:spacing w:val="-84"/>
        </w:rPr>
        <w:t> </w:t>
      </w:r>
      <w:r>
        <w:rPr/>
        <w:t>类应用的快速构建，基于此开展了一</w:t>
      </w:r>
      <w:r>
        <w:rPr/>
        <w:t> 批新产品的研发，包括敏捷云应用支撑平台</w:t>
      </w:r>
      <w:r>
        <w:rPr>
          <w:spacing w:val="-83"/>
        </w:rPr>
        <w:t> </w:t>
      </w:r>
      <w:r>
        <w:rPr/>
        <w:t>ACAP、社区应用平台</w:t>
      </w:r>
      <w:r>
        <w:rPr>
          <w:spacing w:val="-83"/>
        </w:rPr>
        <w:t> </w:t>
      </w:r>
      <w:r>
        <w:rPr/>
        <w:t>ACAP-SNAP、应用商店</w:t>
      </w:r>
      <w:r>
        <w:rPr/>
        <w:t> 平台 ACAP-AppMart、敏捷云应用管理平台</w:t>
      </w:r>
      <w:r>
        <w:rPr>
          <w:spacing w:val="-52"/>
        </w:rPr>
        <w:t> </w:t>
      </w:r>
      <w:r>
        <w:rPr/>
        <w:t>Aclome、熙康无所不在的智慧健康管理服务</w:t>
      </w:r>
      <w:r>
        <w:rPr/>
        <w:t> 平台，同时策划和启动了下一代汽车电子产品的研发。</w:t>
      </w:r>
    </w:p>
    <w:p>
      <w:pPr>
        <w:spacing w:line="312" w:lineRule="exact" w:before="0"/>
        <w:ind w:left="118" w:right="229" w:firstLine="480"/>
        <w:jc w:val="both"/>
        <w:rPr>
          <w:rFonts w:ascii="宋体" w:hAnsi="宋体" w:cs="宋体" w:eastAsia="宋体" w:hint="default"/>
          <w:sz w:val="24"/>
          <w:szCs w:val="24"/>
        </w:rPr>
      </w:pPr>
      <w:r>
        <w:rPr>
          <w:rFonts w:ascii="宋体" w:hAnsi="宋体" w:cs="宋体" w:eastAsia="宋体" w:hint="default"/>
          <w:spacing w:val="-2"/>
          <w:sz w:val="24"/>
          <w:szCs w:val="24"/>
        </w:rPr>
        <w:t>面对中国政府“十二五”计划、“转方式、扩内需”新政、新型医疗体制改革、3G</w:t>
      </w:r>
      <w:r>
        <w:rPr>
          <w:rFonts w:ascii="宋体" w:hAnsi="宋体" w:cs="宋体" w:eastAsia="宋体" w:hint="default"/>
          <w:spacing w:val="1"/>
          <w:sz w:val="24"/>
          <w:szCs w:val="24"/>
        </w:rPr>
        <w:t> </w:t>
      </w:r>
      <w:r>
        <w:rPr>
          <w:rFonts w:ascii="宋体" w:hAnsi="宋体" w:cs="宋体" w:eastAsia="宋体" w:hint="default"/>
          <w:spacing w:val="-2"/>
          <w:sz w:val="24"/>
          <w:szCs w:val="24"/>
        </w:rPr>
        <w:t>建设、智能电网、物联网、三网融合、“中国制造”升级转型等市场机遇，公司加大市</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2"/>
          <w:sz w:val="24"/>
          <w:szCs w:val="24"/>
        </w:rPr>
        <w:t>场研究投入，提升组织级新业务、新产品规划能力，并制定了与整体发展战略一致的研</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2"/>
          <w:sz w:val="24"/>
          <w:szCs w:val="24"/>
        </w:rPr>
        <w:t>发项目组合。在卫生政务、数字化医院、电力智能电网、物联网汽车远程服务、3G、三</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2"/>
          <w:sz w:val="24"/>
          <w:szCs w:val="24"/>
        </w:rPr>
        <w:t>网融合、移动互联网等领域开展核心业务平台的研发，重点加强了行业解决方案与产品</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工程的融合创新，公司在核心业务领域的竞争能力和优势地位不断提升。</w:t>
      </w:r>
    </w:p>
    <w:p>
      <w:pPr>
        <w:spacing w:line="312" w:lineRule="exact" w:before="0"/>
        <w:ind w:left="118" w:right="232" w:firstLine="480"/>
        <w:jc w:val="both"/>
        <w:rPr>
          <w:rFonts w:ascii="宋体" w:hAnsi="宋体" w:cs="宋体" w:eastAsia="宋体" w:hint="default"/>
          <w:sz w:val="24"/>
          <w:szCs w:val="24"/>
        </w:rPr>
      </w:pPr>
      <w:r>
        <w:rPr>
          <w:rFonts w:ascii="宋体" w:hAnsi="宋体" w:cs="宋体" w:eastAsia="宋体" w:hint="default"/>
          <w:sz w:val="24"/>
          <w:szCs w:val="24"/>
        </w:rPr>
        <w:t>公司继续深化实施东软解决方案高效性策略</w:t>
      </w:r>
      <w:r>
        <w:rPr>
          <w:rFonts w:ascii="宋体" w:hAnsi="宋体" w:cs="宋体" w:eastAsia="宋体" w:hint="default"/>
          <w:spacing w:val="-54"/>
          <w:sz w:val="24"/>
          <w:szCs w:val="24"/>
        </w:rPr>
        <w:t> </w:t>
      </w:r>
      <w:r>
        <w:rPr>
          <w:rFonts w:ascii="宋体" w:hAnsi="宋体" w:cs="宋体" w:eastAsia="宋体" w:hint="default"/>
          <w:spacing w:val="-6"/>
          <w:sz w:val="24"/>
          <w:szCs w:val="24"/>
        </w:rPr>
        <w:t>NeuSA™，加强开放与联合创新，通过复</w:t>
      </w:r>
      <w:r>
        <w:rPr>
          <w:rFonts w:ascii="宋体" w:hAnsi="宋体" w:cs="宋体" w:eastAsia="宋体" w:hint="default"/>
          <w:sz w:val="24"/>
          <w:szCs w:val="24"/>
        </w:rPr>
        <w:t> </w:t>
      </w:r>
      <w:r>
        <w:rPr>
          <w:rFonts w:ascii="宋体" w:hAnsi="宋体" w:cs="宋体" w:eastAsia="宋体" w:hint="default"/>
          <w:spacing w:val="-3"/>
          <w:sz w:val="24"/>
          <w:szCs w:val="24"/>
        </w:rPr>
        <w:t>用持续提升综合竞争能力。2011</w:t>
      </w:r>
      <w:r>
        <w:rPr>
          <w:rFonts w:ascii="宋体" w:hAnsi="宋体" w:cs="宋体" w:eastAsia="宋体" w:hint="default"/>
          <w:spacing w:val="-36"/>
          <w:sz w:val="24"/>
          <w:szCs w:val="24"/>
        </w:rPr>
        <w:t> </w:t>
      </w:r>
      <w:r>
        <w:rPr>
          <w:rFonts w:ascii="宋体" w:hAnsi="宋体" w:cs="宋体" w:eastAsia="宋体" w:hint="default"/>
          <w:spacing w:val="-4"/>
          <w:sz w:val="24"/>
          <w:szCs w:val="24"/>
        </w:rPr>
        <w:t>年，公司重点开展了架构师团队的建设与发展；加强面</w:t>
      </w:r>
      <w:r>
        <w:rPr>
          <w:rFonts w:ascii="宋体" w:hAnsi="宋体" w:cs="宋体" w:eastAsia="宋体" w:hint="default"/>
          <w:spacing w:val="-115"/>
          <w:sz w:val="24"/>
          <w:szCs w:val="24"/>
        </w:rPr>
        <w:t> </w:t>
      </w:r>
      <w:r>
        <w:rPr>
          <w:rFonts w:ascii="宋体" w:hAnsi="宋体" w:cs="宋体" w:eastAsia="宋体" w:hint="default"/>
          <w:spacing w:val="-115"/>
          <w:sz w:val="24"/>
          <w:szCs w:val="24"/>
        </w:rPr>
      </w:r>
      <w:r>
        <w:rPr>
          <w:rFonts w:ascii="宋体" w:hAnsi="宋体" w:cs="宋体" w:eastAsia="宋体" w:hint="default"/>
          <w:sz w:val="24"/>
          <w:szCs w:val="24"/>
        </w:rPr>
        <w:t>向领域的软件产品线建设，持续投入支持软件产品线开发模式的业务基础平台</w:t>
      </w:r>
      <w:r>
        <w:rPr>
          <w:rFonts w:ascii="宋体" w:hAnsi="宋体" w:cs="宋体" w:eastAsia="宋体" w:hint="default"/>
          <w:spacing w:val="49"/>
          <w:sz w:val="24"/>
          <w:szCs w:val="24"/>
        </w:rPr>
        <w:t> </w:t>
      </w:r>
      <w:r>
        <w:rPr>
          <w:rFonts w:ascii="宋体" w:hAnsi="宋体" w:cs="宋体" w:eastAsia="宋体" w:hint="default"/>
          <w:sz w:val="24"/>
          <w:szCs w:val="24"/>
        </w:rPr>
        <w:t>UniEAP</w:t>
      </w:r>
      <w:r>
        <w:rPr>
          <w:rFonts w:ascii="宋体" w:hAnsi="宋体" w:cs="宋体" w:eastAsia="宋体" w:hint="default"/>
          <w:spacing w:val="-112"/>
          <w:sz w:val="24"/>
          <w:szCs w:val="24"/>
        </w:rPr>
        <w:t> </w:t>
      </w:r>
      <w:r>
        <w:rPr>
          <w:rFonts w:ascii="宋体" w:hAnsi="宋体" w:cs="宋体" w:eastAsia="宋体" w:hint="default"/>
          <w:spacing w:val="-112"/>
          <w:sz w:val="24"/>
          <w:szCs w:val="24"/>
        </w:rPr>
      </w:r>
      <w:r>
        <w:rPr>
          <w:rFonts w:ascii="宋体" w:hAnsi="宋体" w:cs="宋体" w:eastAsia="宋体" w:hint="default"/>
          <w:sz w:val="24"/>
          <w:szCs w:val="24"/>
        </w:rPr>
        <w:t>v4</w:t>
      </w:r>
      <w:r>
        <w:rPr>
          <w:rFonts w:ascii="宋体" w:hAnsi="宋体" w:cs="宋体" w:eastAsia="宋体" w:hint="default"/>
          <w:spacing w:val="-60"/>
          <w:sz w:val="24"/>
          <w:szCs w:val="24"/>
        </w:rPr>
        <w:t> </w:t>
      </w:r>
      <w:r>
        <w:rPr>
          <w:rFonts w:ascii="宋体" w:hAnsi="宋体" w:cs="宋体" w:eastAsia="宋体" w:hint="default"/>
          <w:spacing w:val="-3"/>
          <w:sz w:val="24"/>
          <w:szCs w:val="24"/>
        </w:rPr>
        <w:t>的研发以及建立在此平台上的领域核心业务平台的研发，大大提升了应用解决方案的</w:t>
      </w:r>
      <w:r>
        <w:rPr>
          <w:rFonts w:ascii="宋体" w:hAnsi="宋体" w:cs="宋体" w:eastAsia="宋体" w:hint="default"/>
          <w:sz w:val="24"/>
          <w:szCs w:val="24"/>
        </w:rPr>
        <w:t> </w:t>
      </w:r>
      <w:r>
        <w:rPr>
          <w:rFonts w:ascii="宋体" w:hAnsi="宋体" w:cs="宋体" w:eastAsia="宋体" w:hint="default"/>
          <w:spacing w:val="-3"/>
          <w:sz w:val="24"/>
          <w:szCs w:val="24"/>
        </w:rPr>
        <w:t>竞争力；积极参与国际、国内开放技术标准化组织，主导行业标准规范的制定。并通过</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pacing w:val="-2"/>
          <w:sz w:val="24"/>
          <w:szCs w:val="24"/>
        </w:rPr>
        <w:t>大力推动软件架构国家重点实验室建设，以及与合作伙伴共建能力中心的机制、不断引</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入前沿技术，利用开放合作增强持续创新能力。</w:t>
      </w:r>
    </w:p>
    <w:p>
      <w:pPr>
        <w:spacing w:line="282" w:lineRule="exact" w:before="0"/>
        <w:ind w:left="598" w:right="100" w:firstLine="0"/>
        <w:jc w:val="left"/>
        <w:rPr>
          <w:rFonts w:ascii="宋体" w:hAnsi="宋体" w:cs="宋体" w:eastAsia="宋体" w:hint="default"/>
          <w:sz w:val="24"/>
          <w:szCs w:val="24"/>
        </w:rPr>
      </w:pPr>
      <w:r>
        <w:rPr>
          <w:rFonts w:ascii="宋体" w:hAnsi="宋体" w:cs="宋体" w:eastAsia="宋体" w:hint="default"/>
          <w:sz w:val="24"/>
          <w:szCs w:val="24"/>
        </w:rPr>
        <w:t>公司积极利用知识产权保护技术创新成果。截至 2011 年末，公司共申请专利</w:t>
      </w:r>
      <w:r>
        <w:rPr>
          <w:rFonts w:ascii="宋体" w:hAnsi="宋体" w:cs="宋体" w:eastAsia="宋体" w:hint="default"/>
          <w:spacing w:val="-51"/>
          <w:sz w:val="24"/>
          <w:szCs w:val="24"/>
        </w:rPr>
        <w:t> </w:t>
      </w:r>
      <w:r>
        <w:rPr>
          <w:rFonts w:ascii="宋体" w:hAnsi="宋体" w:cs="宋体" w:eastAsia="宋体" w:hint="default"/>
          <w:sz w:val="24"/>
          <w:szCs w:val="24"/>
        </w:rPr>
        <w:t>218</w:t>
      </w:r>
    </w:p>
    <w:p>
      <w:pPr>
        <w:spacing w:line="312" w:lineRule="exact" w:before="29"/>
        <w:ind w:left="118" w:right="232" w:firstLine="0"/>
        <w:jc w:val="both"/>
        <w:rPr>
          <w:rFonts w:ascii="宋体" w:hAnsi="宋体" w:cs="宋体" w:eastAsia="宋体" w:hint="default"/>
          <w:sz w:val="24"/>
          <w:szCs w:val="24"/>
        </w:rPr>
      </w:pPr>
      <w:r>
        <w:rPr>
          <w:rFonts w:ascii="宋体" w:hAnsi="宋体" w:cs="宋体" w:eastAsia="宋体" w:hint="default"/>
          <w:spacing w:val="-3"/>
          <w:sz w:val="24"/>
          <w:szCs w:val="24"/>
        </w:rPr>
        <w:t>件，授权专利</w:t>
      </w:r>
      <w:r>
        <w:rPr>
          <w:rFonts w:ascii="宋体" w:hAnsi="宋体" w:cs="宋体" w:eastAsia="宋体" w:hint="default"/>
          <w:spacing w:val="-56"/>
          <w:sz w:val="24"/>
          <w:szCs w:val="24"/>
        </w:rPr>
        <w:t> </w:t>
      </w:r>
      <w:r>
        <w:rPr>
          <w:rFonts w:ascii="宋体" w:hAnsi="宋体" w:cs="宋体" w:eastAsia="宋体" w:hint="default"/>
          <w:sz w:val="24"/>
          <w:szCs w:val="24"/>
        </w:rPr>
        <w:t>111</w:t>
      </w:r>
      <w:r>
        <w:rPr>
          <w:rFonts w:ascii="宋体" w:hAnsi="宋体" w:cs="宋体" w:eastAsia="宋体" w:hint="default"/>
          <w:spacing w:val="-56"/>
          <w:sz w:val="24"/>
          <w:szCs w:val="24"/>
        </w:rPr>
        <w:t> </w:t>
      </w:r>
      <w:r>
        <w:rPr>
          <w:rFonts w:ascii="宋体" w:hAnsi="宋体" w:cs="宋体" w:eastAsia="宋体" w:hint="default"/>
          <w:spacing w:val="-3"/>
          <w:sz w:val="24"/>
          <w:szCs w:val="24"/>
        </w:rPr>
        <w:t>件，登记软件著作权</w:t>
      </w:r>
      <w:r>
        <w:rPr>
          <w:rFonts w:ascii="宋体" w:hAnsi="宋体" w:cs="宋体" w:eastAsia="宋体" w:hint="default"/>
          <w:spacing w:val="-56"/>
          <w:sz w:val="24"/>
          <w:szCs w:val="24"/>
        </w:rPr>
        <w:t> </w:t>
      </w:r>
      <w:r>
        <w:rPr>
          <w:rFonts w:ascii="宋体" w:hAnsi="宋体" w:cs="宋体" w:eastAsia="宋体" w:hint="default"/>
          <w:sz w:val="24"/>
          <w:szCs w:val="24"/>
        </w:rPr>
        <w:t>354</w:t>
      </w:r>
      <w:r>
        <w:rPr>
          <w:rFonts w:ascii="宋体" w:hAnsi="宋体" w:cs="宋体" w:eastAsia="宋体" w:hint="default"/>
          <w:spacing w:val="-56"/>
          <w:sz w:val="24"/>
          <w:szCs w:val="24"/>
        </w:rPr>
        <w:t> </w:t>
      </w:r>
      <w:r>
        <w:rPr>
          <w:rFonts w:ascii="宋体" w:hAnsi="宋体" w:cs="宋体" w:eastAsia="宋体" w:hint="default"/>
          <w:spacing w:val="-3"/>
          <w:sz w:val="24"/>
          <w:szCs w:val="24"/>
        </w:rPr>
        <w:t>件，有力地保护了公司的核心技术，对公司</w:t>
      </w:r>
      <w:r>
        <w:rPr>
          <w:rFonts w:ascii="宋体" w:hAnsi="宋体" w:cs="宋体" w:eastAsia="宋体" w:hint="default"/>
          <w:spacing w:val="-117"/>
          <w:sz w:val="24"/>
          <w:szCs w:val="24"/>
        </w:rPr>
        <w:t> </w:t>
      </w:r>
      <w:r>
        <w:rPr>
          <w:rFonts w:ascii="宋体" w:hAnsi="宋体" w:cs="宋体" w:eastAsia="宋体" w:hint="default"/>
          <w:spacing w:val="-117"/>
          <w:sz w:val="24"/>
          <w:szCs w:val="24"/>
        </w:rPr>
      </w:r>
      <w:r>
        <w:rPr>
          <w:rFonts w:ascii="宋体" w:hAnsi="宋体" w:cs="宋体" w:eastAsia="宋体" w:hint="default"/>
          <w:spacing w:val="-2"/>
          <w:sz w:val="24"/>
          <w:szCs w:val="24"/>
        </w:rPr>
        <w:t>保持国内市场领先地位、积极开拓国际市场、打造自身核心竞争力起到了重要的保障和</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5"/>
          <w:sz w:val="24"/>
          <w:szCs w:val="24"/>
        </w:rPr>
        <w:t>推动作用。2011</w:t>
      </w:r>
      <w:r>
        <w:rPr>
          <w:rFonts w:ascii="宋体" w:hAnsi="宋体" w:cs="宋体" w:eastAsia="宋体" w:hint="default"/>
          <w:spacing w:val="-69"/>
          <w:sz w:val="24"/>
          <w:szCs w:val="24"/>
        </w:rPr>
        <w:t> </w:t>
      </w:r>
      <w:r>
        <w:rPr>
          <w:rFonts w:ascii="宋体" w:hAnsi="宋体" w:cs="宋体" w:eastAsia="宋体" w:hint="default"/>
          <w:spacing w:val="-7"/>
          <w:sz w:val="24"/>
          <w:szCs w:val="24"/>
        </w:rPr>
        <w:t>年，公司共有</w:t>
      </w:r>
      <w:r>
        <w:rPr>
          <w:rFonts w:ascii="宋体" w:hAnsi="宋体" w:cs="宋体" w:eastAsia="宋体" w:hint="default"/>
          <w:spacing w:val="-69"/>
          <w:sz w:val="24"/>
          <w:szCs w:val="24"/>
        </w:rPr>
        <w:t> </w:t>
      </w:r>
      <w:r>
        <w:rPr>
          <w:rFonts w:ascii="宋体" w:hAnsi="宋体" w:cs="宋体" w:eastAsia="宋体" w:hint="default"/>
          <w:sz w:val="24"/>
          <w:szCs w:val="24"/>
        </w:rPr>
        <w:t>6</w:t>
      </w:r>
      <w:r>
        <w:rPr>
          <w:rFonts w:ascii="宋体" w:hAnsi="宋体" w:cs="宋体" w:eastAsia="宋体" w:hint="default"/>
          <w:spacing w:val="-69"/>
          <w:sz w:val="24"/>
          <w:szCs w:val="24"/>
        </w:rPr>
        <w:t> </w:t>
      </w:r>
      <w:r>
        <w:rPr>
          <w:rFonts w:ascii="宋体" w:hAnsi="宋体" w:cs="宋体" w:eastAsia="宋体" w:hint="default"/>
          <w:sz w:val="24"/>
          <w:szCs w:val="24"/>
        </w:rPr>
        <w:t>家单位通过高新技术企业复审，公司目前通过高新技术</w:t>
      </w:r>
      <w:r>
        <w:rPr>
          <w:rFonts w:ascii="宋体" w:hAnsi="宋体" w:cs="宋体" w:eastAsia="宋体" w:hint="default"/>
          <w:sz w:val="24"/>
          <w:szCs w:val="24"/>
        </w:rPr>
        <w:t> 企业认定的单位达到</w:t>
      </w:r>
      <w:r>
        <w:rPr>
          <w:rFonts w:ascii="宋体" w:hAnsi="宋体" w:cs="宋体" w:eastAsia="宋体" w:hint="default"/>
          <w:spacing w:val="-60"/>
          <w:sz w:val="24"/>
          <w:szCs w:val="24"/>
        </w:rPr>
        <w:t> </w:t>
      </w:r>
      <w:r>
        <w:rPr>
          <w:rFonts w:ascii="宋体" w:hAnsi="宋体" w:cs="宋体" w:eastAsia="宋体" w:hint="default"/>
          <w:sz w:val="24"/>
          <w:szCs w:val="24"/>
        </w:rPr>
        <w:t>18</w:t>
      </w:r>
      <w:r>
        <w:rPr>
          <w:rFonts w:ascii="宋体" w:hAnsi="宋体" w:cs="宋体" w:eastAsia="宋体" w:hint="default"/>
          <w:spacing w:val="-60"/>
          <w:sz w:val="24"/>
          <w:szCs w:val="24"/>
        </w:rPr>
        <w:t> </w:t>
      </w:r>
      <w:r>
        <w:rPr>
          <w:rFonts w:ascii="宋体" w:hAnsi="宋体" w:cs="宋体" w:eastAsia="宋体" w:hint="default"/>
          <w:sz w:val="24"/>
          <w:szCs w:val="24"/>
        </w:rPr>
        <w:t>家，涵盖了公司主要的业务单元。</w:t>
      </w:r>
    </w:p>
    <w:p>
      <w:pPr>
        <w:spacing w:line="312" w:lineRule="exact" w:before="94"/>
        <w:ind w:left="118" w:right="0" w:firstLine="0"/>
        <w:jc w:val="both"/>
        <w:rPr>
          <w:rFonts w:ascii="宋体" w:hAnsi="宋体" w:cs="宋体" w:eastAsia="宋体" w:hint="default"/>
          <w:sz w:val="24"/>
          <w:szCs w:val="24"/>
        </w:rPr>
      </w:pPr>
      <w:r>
        <w:rPr>
          <w:rFonts w:ascii="宋体" w:hAnsi="宋体" w:cs="宋体" w:eastAsia="宋体" w:hint="default"/>
          <w:b/>
          <w:bCs/>
          <w:sz w:val="24"/>
          <w:szCs w:val="24"/>
        </w:rPr>
        <w:t>5、对公司未来的展望</w:t>
      </w:r>
      <w:r>
        <w:rPr>
          <w:rFonts w:ascii="宋体" w:hAnsi="宋体" w:cs="宋体" w:eastAsia="宋体" w:hint="default"/>
          <w:sz w:val="24"/>
          <w:szCs w:val="24"/>
        </w:rPr>
      </w:r>
    </w:p>
    <w:p>
      <w:pPr>
        <w:spacing w:line="312" w:lineRule="exact" w:before="29"/>
        <w:ind w:left="118" w:right="233" w:firstLine="480"/>
        <w:jc w:val="both"/>
        <w:rPr>
          <w:rFonts w:ascii="宋体" w:hAnsi="宋体" w:cs="宋体" w:eastAsia="宋体" w:hint="default"/>
          <w:sz w:val="24"/>
          <w:szCs w:val="24"/>
        </w:rPr>
      </w:pPr>
      <w:r>
        <w:rPr>
          <w:rFonts w:ascii="宋体" w:hAnsi="宋体" w:cs="宋体" w:eastAsia="宋体" w:hint="default"/>
          <w:sz w:val="24"/>
          <w:szCs w:val="24"/>
        </w:rPr>
        <w:t>公司于</w:t>
      </w:r>
      <w:r>
        <w:rPr>
          <w:rFonts w:ascii="宋体" w:hAnsi="宋体" w:cs="宋体" w:eastAsia="宋体" w:hint="default"/>
          <w:spacing w:val="-56"/>
          <w:sz w:val="24"/>
          <w:szCs w:val="24"/>
        </w:rPr>
        <w:t> </w:t>
      </w:r>
      <w:r>
        <w:rPr>
          <w:rFonts w:ascii="宋体" w:hAnsi="宋体" w:cs="宋体" w:eastAsia="宋体" w:hint="default"/>
          <w:sz w:val="24"/>
          <w:szCs w:val="24"/>
        </w:rPr>
        <w:t>1996</w:t>
      </w:r>
      <w:r>
        <w:rPr>
          <w:rFonts w:ascii="宋体" w:hAnsi="宋体" w:cs="宋体" w:eastAsia="宋体" w:hint="default"/>
          <w:spacing w:val="-56"/>
          <w:sz w:val="24"/>
          <w:szCs w:val="24"/>
        </w:rPr>
        <w:t> </w:t>
      </w:r>
      <w:r>
        <w:rPr>
          <w:rFonts w:ascii="宋体" w:hAnsi="宋体" w:cs="宋体" w:eastAsia="宋体" w:hint="default"/>
          <w:spacing w:val="-3"/>
          <w:sz w:val="24"/>
          <w:szCs w:val="24"/>
        </w:rPr>
        <w:t>年上市，是中国第一家上市的软件企业，是中国最大的</w:t>
      </w:r>
      <w:r>
        <w:rPr>
          <w:rFonts w:ascii="宋体" w:hAnsi="宋体" w:cs="宋体" w:eastAsia="宋体" w:hint="default"/>
          <w:spacing w:val="-56"/>
          <w:sz w:val="24"/>
          <w:szCs w:val="24"/>
        </w:rPr>
        <w:t> </w:t>
      </w:r>
      <w:r>
        <w:rPr>
          <w:rFonts w:ascii="宋体" w:hAnsi="宋体" w:cs="宋体" w:eastAsia="宋体" w:hint="default"/>
          <w:sz w:val="24"/>
          <w:szCs w:val="24"/>
        </w:rPr>
        <w:t>IT</w:t>
      </w:r>
      <w:r>
        <w:rPr>
          <w:rFonts w:ascii="宋体" w:hAnsi="宋体" w:cs="宋体" w:eastAsia="宋体" w:hint="default"/>
          <w:spacing w:val="-56"/>
          <w:sz w:val="24"/>
          <w:szCs w:val="24"/>
        </w:rPr>
        <w:t> </w:t>
      </w:r>
      <w:r>
        <w:rPr>
          <w:rFonts w:ascii="宋体" w:hAnsi="宋体" w:cs="宋体" w:eastAsia="宋体" w:hint="default"/>
          <w:sz w:val="24"/>
          <w:szCs w:val="24"/>
        </w:rPr>
        <w:t>解决方案与</w:t>
      </w:r>
      <w:r>
        <w:rPr>
          <w:rFonts w:ascii="宋体" w:hAnsi="宋体" w:cs="宋体" w:eastAsia="宋体" w:hint="default"/>
          <w:sz w:val="24"/>
          <w:szCs w:val="24"/>
        </w:rPr>
        <w:t> </w:t>
      </w:r>
      <w:r>
        <w:rPr>
          <w:rFonts w:ascii="宋体" w:hAnsi="宋体" w:cs="宋体" w:eastAsia="宋体" w:hint="default"/>
          <w:spacing w:val="-4"/>
          <w:sz w:val="24"/>
          <w:szCs w:val="24"/>
        </w:rPr>
        <w:t>服务供应商。目前，公司拥有员工</w:t>
      </w:r>
      <w:r>
        <w:rPr>
          <w:rFonts w:ascii="宋体" w:hAnsi="宋体" w:cs="宋体" w:eastAsia="宋体" w:hint="default"/>
          <w:spacing w:val="-57"/>
          <w:sz w:val="24"/>
          <w:szCs w:val="24"/>
        </w:rPr>
        <w:t> </w:t>
      </w:r>
      <w:r>
        <w:rPr>
          <w:rFonts w:ascii="宋体" w:hAnsi="宋体" w:cs="宋体" w:eastAsia="宋体" w:hint="default"/>
          <w:sz w:val="24"/>
          <w:szCs w:val="24"/>
        </w:rPr>
        <w:t>20,121</w:t>
      </w:r>
      <w:r>
        <w:rPr>
          <w:rFonts w:ascii="宋体" w:hAnsi="宋体" w:cs="宋体" w:eastAsia="宋体" w:hint="default"/>
          <w:spacing w:val="-57"/>
          <w:sz w:val="24"/>
          <w:szCs w:val="24"/>
        </w:rPr>
        <w:t> </w:t>
      </w:r>
      <w:r>
        <w:rPr>
          <w:rFonts w:ascii="宋体" w:hAnsi="宋体" w:cs="宋体" w:eastAsia="宋体" w:hint="default"/>
          <w:spacing w:val="-4"/>
          <w:sz w:val="24"/>
          <w:szCs w:val="24"/>
        </w:rPr>
        <w:t>名，在中国建立了</w:t>
      </w:r>
      <w:r>
        <w:rPr>
          <w:rFonts w:ascii="宋体" w:hAnsi="宋体" w:cs="宋体" w:eastAsia="宋体" w:hint="default"/>
          <w:spacing w:val="-57"/>
          <w:sz w:val="24"/>
          <w:szCs w:val="24"/>
        </w:rPr>
        <w:t> </w:t>
      </w:r>
      <w:r>
        <w:rPr>
          <w:rFonts w:ascii="宋体" w:hAnsi="宋体" w:cs="宋体" w:eastAsia="宋体" w:hint="default"/>
          <w:sz w:val="24"/>
          <w:szCs w:val="24"/>
        </w:rPr>
        <w:t>6</w:t>
      </w:r>
      <w:r>
        <w:rPr>
          <w:rFonts w:ascii="宋体" w:hAnsi="宋体" w:cs="宋体" w:eastAsia="宋体" w:hint="default"/>
          <w:spacing w:val="-57"/>
          <w:sz w:val="24"/>
          <w:szCs w:val="24"/>
        </w:rPr>
        <w:t> </w:t>
      </w:r>
      <w:r>
        <w:rPr>
          <w:rFonts w:ascii="宋体" w:hAnsi="宋体" w:cs="宋体" w:eastAsia="宋体" w:hint="default"/>
          <w:spacing w:val="-4"/>
          <w:sz w:val="24"/>
          <w:szCs w:val="24"/>
        </w:rPr>
        <w:t>个软件研发基地，8</w:t>
      </w:r>
      <w:r>
        <w:rPr>
          <w:rFonts w:ascii="宋体" w:hAnsi="宋体" w:cs="宋体" w:eastAsia="宋体" w:hint="default"/>
          <w:spacing w:val="-57"/>
          <w:sz w:val="24"/>
          <w:szCs w:val="24"/>
        </w:rPr>
        <w:t> </w:t>
      </w:r>
      <w:r>
        <w:rPr>
          <w:rFonts w:ascii="宋体" w:hAnsi="宋体" w:cs="宋体" w:eastAsia="宋体" w:hint="default"/>
          <w:sz w:val="24"/>
          <w:szCs w:val="24"/>
        </w:rPr>
        <w:t>个区</w:t>
      </w:r>
      <w:r>
        <w:rPr>
          <w:rFonts w:ascii="宋体" w:hAnsi="宋体" w:cs="宋体" w:eastAsia="宋体" w:hint="default"/>
          <w:sz w:val="24"/>
          <w:szCs w:val="24"/>
        </w:rPr>
        <w:t> 域总部，16</w:t>
      </w:r>
      <w:r>
        <w:rPr>
          <w:rFonts w:ascii="宋体" w:hAnsi="宋体" w:cs="宋体" w:eastAsia="宋体" w:hint="default"/>
          <w:spacing w:val="-57"/>
          <w:sz w:val="24"/>
          <w:szCs w:val="24"/>
        </w:rPr>
        <w:t> </w:t>
      </w:r>
      <w:r>
        <w:rPr>
          <w:rFonts w:ascii="宋体" w:hAnsi="宋体" w:cs="宋体" w:eastAsia="宋体" w:hint="default"/>
          <w:sz w:val="24"/>
          <w:szCs w:val="24"/>
        </w:rPr>
        <w:t>个软件开发与技术支持中心，在</w:t>
      </w:r>
      <w:r>
        <w:rPr>
          <w:rFonts w:ascii="宋体" w:hAnsi="宋体" w:cs="宋体" w:eastAsia="宋体" w:hint="default"/>
          <w:spacing w:val="-57"/>
          <w:sz w:val="24"/>
          <w:szCs w:val="24"/>
        </w:rPr>
        <w:t> </w:t>
      </w:r>
      <w:r>
        <w:rPr>
          <w:rFonts w:ascii="宋体" w:hAnsi="宋体" w:cs="宋体" w:eastAsia="宋体" w:hint="default"/>
          <w:sz w:val="24"/>
          <w:szCs w:val="24"/>
        </w:rPr>
        <w:t>40</w:t>
      </w:r>
      <w:r>
        <w:rPr>
          <w:rFonts w:ascii="宋体" w:hAnsi="宋体" w:cs="宋体" w:eastAsia="宋体" w:hint="default"/>
          <w:spacing w:val="-57"/>
          <w:sz w:val="24"/>
          <w:szCs w:val="24"/>
        </w:rPr>
        <w:t> </w:t>
      </w:r>
      <w:r>
        <w:rPr>
          <w:rFonts w:ascii="宋体" w:hAnsi="宋体" w:cs="宋体" w:eastAsia="宋体" w:hint="default"/>
          <w:sz w:val="24"/>
          <w:szCs w:val="24"/>
        </w:rPr>
        <w:t>多个城市建立营销与服务网络。公司以</w:t>
      </w:r>
      <w:r>
        <w:rPr>
          <w:rFonts w:ascii="宋体" w:hAnsi="宋体" w:cs="宋体" w:eastAsia="宋体" w:hint="default"/>
          <w:sz w:val="24"/>
          <w:szCs w:val="24"/>
        </w:rPr>
        <w:t> </w:t>
      </w:r>
      <w:r>
        <w:rPr>
          <w:rFonts w:ascii="宋体" w:hAnsi="宋体" w:cs="宋体" w:eastAsia="宋体" w:hint="default"/>
          <w:spacing w:val="-2"/>
          <w:sz w:val="24"/>
          <w:szCs w:val="24"/>
        </w:rPr>
        <w:t>软件技术为核心，通过软件与服务的结合，软件与制造的结合，技术与行业管理能力的</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结合，提供行业解决方案、产品工程解决方案及相关软件产品、平台及服务等。</w:t>
      </w:r>
    </w:p>
    <w:p>
      <w:pPr>
        <w:spacing w:line="312" w:lineRule="exact" w:before="0"/>
        <w:ind w:left="118" w:right="233" w:firstLine="480"/>
        <w:jc w:val="both"/>
        <w:rPr>
          <w:rFonts w:ascii="宋体" w:hAnsi="宋体" w:cs="宋体" w:eastAsia="宋体" w:hint="default"/>
          <w:sz w:val="24"/>
          <w:szCs w:val="24"/>
        </w:rPr>
      </w:pPr>
      <w:r>
        <w:rPr>
          <w:rFonts w:ascii="宋体" w:hAnsi="宋体" w:cs="宋体" w:eastAsia="宋体" w:hint="default"/>
          <w:spacing w:val="-2"/>
          <w:sz w:val="24"/>
          <w:szCs w:val="24"/>
        </w:rPr>
        <w:t>随着国家“十二五”规划的推进，以及国家鼓励软件产业发展政策的深入落实，将</w:t>
      </w:r>
      <w:r>
        <w:rPr>
          <w:rFonts w:ascii="宋体" w:hAnsi="宋体" w:cs="宋体" w:eastAsia="宋体" w:hint="default"/>
          <w:sz w:val="24"/>
          <w:szCs w:val="24"/>
        </w:rPr>
        <w:t> </w:t>
      </w:r>
      <w:r>
        <w:rPr>
          <w:rFonts w:ascii="宋体" w:hAnsi="宋体" w:cs="宋体" w:eastAsia="宋体" w:hint="default"/>
          <w:spacing w:val="-2"/>
          <w:sz w:val="24"/>
          <w:szCs w:val="24"/>
        </w:rPr>
        <w:t>使得国内信息化投资加速，软件服务转型加快，云计算及移动互联网等新兴领域快速增</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2"/>
          <w:sz w:val="24"/>
          <w:szCs w:val="24"/>
        </w:rPr>
        <w:t>长；同时，全球软件产业格局的重新调整，也将推动中国软件产业进一步向研发、设计</w:t>
      </w:r>
      <w:r>
        <w:rPr>
          <w:rFonts w:ascii="宋体" w:hAnsi="宋体" w:cs="宋体" w:eastAsia="宋体" w:hint="default"/>
          <w:spacing w:val="-94"/>
          <w:sz w:val="24"/>
          <w:szCs w:val="24"/>
        </w:rPr>
        <w:t> </w:t>
      </w:r>
      <w:r>
        <w:rPr>
          <w:rFonts w:ascii="宋体" w:hAnsi="宋体" w:cs="宋体" w:eastAsia="宋体" w:hint="default"/>
          <w:spacing w:val="-94"/>
          <w:sz w:val="24"/>
          <w:szCs w:val="24"/>
        </w:rPr>
      </w:r>
      <w:r>
        <w:rPr>
          <w:rFonts w:ascii="宋体" w:hAnsi="宋体" w:cs="宋体" w:eastAsia="宋体" w:hint="default"/>
          <w:spacing w:val="-2"/>
          <w:sz w:val="24"/>
          <w:szCs w:val="24"/>
        </w:rPr>
        <w:t>及全生命周期解决方案发展，产业链由低端向高端逐渐延伸，都为中国软件企业的发展</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提供了良好的市场环境和发展机会。</w:t>
      </w:r>
    </w:p>
    <w:p>
      <w:pPr>
        <w:spacing w:line="312" w:lineRule="exact" w:before="0"/>
        <w:ind w:left="118" w:right="114" w:firstLine="420"/>
        <w:jc w:val="both"/>
        <w:rPr>
          <w:rFonts w:ascii="宋体" w:hAnsi="宋体" w:cs="宋体" w:eastAsia="宋体" w:hint="default"/>
          <w:sz w:val="24"/>
          <w:szCs w:val="24"/>
        </w:rPr>
      </w:pPr>
      <w:r>
        <w:rPr>
          <w:rFonts w:ascii="宋体" w:hAnsi="宋体" w:cs="宋体" w:eastAsia="宋体" w:hint="default"/>
          <w:sz w:val="24"/>
          <w:szCs w:val="24"/>
        </w:rPr>
        <w:t>2012</w:t>
      </w:r>
      <w:r>
        <w:rPr>
          <w:rFonts w:ascii="宋体" w:hAnsi="宋体" w:cs="宋体" w:eastAsia="宋体" w:hint="default"/>
          <w:spacing w:val="-60"/>
          <w:sz w:val="24"/>
          <w:szCs w:val="24"/>
        </w:rPr>
        <w:t> </w:t>
      </w:r>
      <w:r>
        <w:rPr>
          <w:rFonts w:ascii="宋体" w:hAnsi="宋体" w:cs="宋体" w:eastAsia="宋体" w:hint="default"/>
          <w:sz w:val="24"/>
          <w:szCs w:val="24"/>
        </w:rPr>
        <w:t>年及未来几年，中国软件与信息服务业将以更快的速度融入全球化的过程中。</w:t>
      </w:r>
      <w:r>
        <w:rPr>
          <w:rFonts w:ascii="宋体" w:hAnsi="宋体" w:cs="宋体" w:eastAsia="宋体" w:hint="default"/>
          <w:sz w:val="24"/>
          <w:szCs w:val="24"/>
        </w:rPr>
        <w:t> 东软将努力适应不断变化的市场和商业环境，从一家中国本土企业向一家成熟的新兴跨 国公司转变；从以人员为基础的增长模式，向以知识资产来驱动增长的模式转变；从以 </w:t>
      </w:r>
      <w:r>
        <w:rPr>
          <w:rFonts w:ascii="宋体" w:hAnsi="宋体" w:cs="宋体" w:eastAsia="宋体" w:hint="default"/>
          <w:spacing w:val="-5"/>
          <w:sz w:val="24"/>
          <w:szCs w:val="24"/>
        </w:rPr>
        <w:t>技术为中心的商业模式，向以客户价值为中心的模式转变；从以中国为中心的成长模式，</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p>
      <w:pPr>
        <w:pStyle w:val="BodyText"/>
        <w:spacing w:line="240" w:lineRule="auto"/>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6"/>
        <w:rPr>
          <w:rFonts w:ascii="黑体" w:hAnsi="黑体" w:cs="黑体" w:eastAsia="黑体" w:hint="default"/>
          <w:sz w:val="15"/>
          <w:szCs w:val="15"/>
        </w:rPr>
      </w:pPr>
    </w:p>
    <w:p>
      <w:pPr>
        <w:pStyle w:val="Heading5"/>
        <w:spacing w:line="312" w:lineRule="exact" w:before="56"/>
        <w:ind w:left="718" w:right="666"/>
        <w:jc w:val="left"/>
      </w:pPr>
      <w:r>
        <w:rPr/>
        <w:t>向以全球市场机会为中心的模式转变。我们将通过创新、转变、不断提升核心竞争力， 实现成为全球优秀的</w:t>
      </w:r>
      <w:r>
        <w:rPr>
          <w:spacing w:val="-60"/>
        </w:rPr>
        <w:t> </w:t>
      </w:r>
      <w:r>
        <w:rPr/>
        <w:t>IT</w:t>
      </w:r>
      <w:r>
        <w:rPr>
          <w:spacing w:val="-60"/>
        </w:rPr>
        <w:t> </w:t>
      </w:r>
      <w:r>
        <w:rPr/>
        <w:t>解决方案和服务供应商的目标。</w:t>
      </w:r>
    </w:p>
    <w:p>
      <w:pPr>
        <w:spacing w:line="282" w:lineRule="exact" w:before="0"/>
        <w:ind w:left="1198" w:right="666" w:firstLine="0"/>
        <w:jc w:val="left"/>
        <w:rPr>
          <w:rFonts w:ascii="宋体" w:hAnsi="宋体" w:cs="宋体" w:eastAsia="宋体" w:hint="default"/>
          <w:sz w:val="24"/>
          <w:szCs w:val="24"/>
        </w:rPr>
      </w:pPr>
      <w:r>
        <w:rPr>
          <w:rFonts w:ascii="宋体" w:hAnsi="宋体" w:cs="宋体" w:eastAsia="宋体" w:hint="default"/>
          <w:sz w:val="24"/>
          <w:szCs w:val="24"/>
        </w:rPr>
        <w:t>在迎来机遇的同时，公司也将面临一些困难和挑战。</w:t>
      </w:r>
    </w:p>
    <w:p>
      <w:pPr>
        <w:spacing w:line="312" w:lineRule="exact" w:before="29"/>
        <w:ind w:left="718" w:right="733" w:firstLine="480"/>
        <w:jc w:val="both"/>
        <w:rPr>
          <w:rFonts w:ascii="宋体" w:hAnsi="宋体" w:cs="宋体" w:eastAsia="宋体" w:hint="default"/>
          <w:sz w:val="24"/>
          <w:szCs w:val="24"/>
        </w:rPr>
      </w:pPr>
      <w:r>
        <w:rPr>
          <w:rFonts w:ascii="宋体" w:hAnsi="宋体" w:cs="宋体" w:eastAsia="宋体" w:hint="default"/>
          <w:sz w:val="24"/>
          <w:szCs w:val="24"/>
        </w:rPr>
        <w:t>（1）国际经济环境不确定性因素加大，发达国家经济增长动力不足，汇率波动加</w:t>
      </w:r>
      <w:r>
        <w:rPr>
          <w:rFonts w:ascii="宋体" w:hAnsi="宋体" w:cs="宋体" w:eastAsia="宋体" w:hint="default"/>
          <w:spacing w:val="1"/>
          <w:sz w:val="24"/>
          <w:szCs w:val="24"/>
        </w:rPr>
        <w:t> </w:t>
      </w:r>
      <w:r>
        <w:rPr>
          <w:rFonts w:ascii="宋体" w:hAnsi="宋体" w:cs="宋体" w:eastAsia="宋体" w:hint="default"/>
          <w:sz w:val="24"/>
          <w:szCs w:val="24"/>
        </w:rPr>
        <w:t>大，都为公司拓展国际市场带来挑战。</w:t>
      </w:r>
    </w:p>
    <w:p>
      <w:pPr>
        <w:spacing w:line="312" w:lineRule="exact" w:before="0"/>
        <w:ind w:left="718" w:right="732" w:firstLine="480"/>
        <w:jc w:val="both"/>
        <w:rPr>
          <w:rFonts w:ascii="宋体" w:hAnsi="宋体" w:cs="宋体" w:eastAsia="宋体" w:hint="default"/>
          <w:sz w:val="24"/>
          <w:szCs w:val="24"/>
        </w:rPr>
      </w:pPr>
      <w:r>
        <w:rPr>
          <w:rFonts w:ascii="宋体" w:hAnsi="宋体" w:cs="宋体" w:eastAsia="宋体" w:hint="default"/>
          <w:spacing w:val="-3"/>
          <w:sz w:val="24"/>
          <w:szCs w:val="24"/>
        </w:rPr>
        <w:t>（2）中国经济外部环境复杂，经济增速放缓，可能导致国内</w:t>
      </w:r>
      <w:r>
        <w:rPr>
          <w:rFonts w:ascii="宋体" w:hAnsi="宋体" w:cs="宋体" w:eastAsia="宋体" w:hint="default"/>
          <w:spacing w:val="-51"/>
          <w:sz w:val="24"/>
          <w:szCs w:val="24"/>
        </w:rPr>
        <w:t> </w:t>
      </w:r>
      <w:r>
        <w:rPr>
          <w:rFonts w:ascii="宋体" w:hAnsi="宋体" w:cs="宋体" w:eastAsia="宋体" w:hint="default"/>
          <w:sz w:val="24"/>
          <w:szCs w:val="24"/>
        </w:rPr>
        <w:t>IT</w:t>
      </w:r>
      <w:r>
        <w:rPr>
          <w:rFonts w:ascii="宋体" w:hAnsi="宋体" w:cs="宋体" w:eastAsia="宋体" w:hint="default"/>
          <w:spacing w:val="-51"/>
          <w:sz w:val="24"/>
          <w:szCs w:val="24"/>
        </w:rPr>
        <w:t> </w:t>
      </w:r>
      <w:r>
        <w:rPr>
          <w:rFonts w:ascii="宋体" w:hAnsi="宋体" w:cs="宋体" w:eastAsia="宋体" w:hint="default"/>
          <w:spacing w:val="-3"/>
          <w:sz w:val="24"/>
          <w:szCs w:val="24"/>
        </w:rPr>
        <w:t>需求不足，市场竞</w:t>
      </w:r>
      <w:r>
        <w:rPr>
          <w:rFonts w:ascii="宋体" w:hAnsi="宋体" w:cs="宋体" w:eastAsia="宋体" w:hint="default"/>
          <w:spacing w:val="-1"/>
          <w:sz w:val="24"/>
          <w:szCs w:val="24"/>
        </w:rPr>
        <w:t> </w:t>
      </w:r>
      <w:r>
        <w:rPr>
          <w:rFonts w:ascii="宋体" w:hAnsi="宋体" w:cs="宋体" w:eastAsia="宋体" w:hint="default"/>
          <w:sz w:val="24"/>
          <w:szCs w:val="24"/>
        </w:rPr>
        <w:t>争激烈。</w:t>
      </w:r>
    </w:p>
    <w:p>
      <w:pPr>
        <w:spacing w:line="312" w:lineRule="exact" w:before="0"/>
        <w:ind w:left="718" w:right="734" w:firstLine="480"/>
        <w:jc w:val="both"/>
        <w:rPr>
          <w:rFonts w:ascii="宋体" w:hAnsi="宋体" w:cs="宋体" w:eastAsia="宋体" w:hint="default"/>
          <w:sz w:val="24"/>
          <w:szCs w:val="24"/>
        </w:rPr>
      </w:pPr>
      <w:r>
        <w:rPr>
          <w:rFonts w:ascii="宋体" w:hAnsi="宋体" w:cs="宋体" w:eastAsia="宋体" w:hint="default"/>
          <w:sz w:val="24"/>
          <w:szCs w:val="24"/>
        </w:rPr>
        <w:t>（3）作为人才密集型企业，优秀人才是公司持续发展的根本，随着</w:t>
      </w:r>
      <w:r>
        <w:rPr>
          <w:rFonts w:ascii="宋体" w:hAnsi="宋体" w:cs="宋体" w:eastAsia="宋体" w:hint="default"/>
          <w:spacing w:val="-84"/>
          <w:sz w:val="24"/>
          <w:szCs w:val="24"/>
        </w:rPr>
        <w:t> </w:t>
      </w:r>
      <w:r>
        <w:rPr>
          <w:rFonts w:ascii="宋体" w:hAnsi="宋体" w:cs="宋体" w:eastAsia="宋体" w:hint="default"/>
          <w:sz w:val="24"/>
          <w:szCs w:val="24"/>
        </w:rPr>
        <w:t>IT</w:t>
      </w:r>
      <w:r>
        <w:rPr>
          <w:rFonts w:ascii="宋体" w:hAnsi="宋体" w:cs="宋体" w:eastAsia="宋体" w:hint="default"/>
          <w:spacing w:val="-84"/>
          <w:sz w:val="24"/>
          <w:szCs w:val="24"/>
        </w:rPr>
        <w:t> </w:t>
      </w:r>
      <w:r>
        <w:rPr>
          <w:rFonts w:ascii="宋体" w:hAnsi="宋体" w:cs="宋体" w:eastAsia="宋体" w:hint="default"/>
          <w:sz w:val="24"/>
          <w:szCs w:val="24"/>
        </w:rPr>
        <w:t>市场竞争的</w:t>
      </w:r>
      <w:r>
        <w:rPr>
          <w:rFonts w:ascii="宋体" w:hAnsi="宋体" w:cs="宋体" w:eastAsia="宋体" w:hint="default"/>
          <w:sz w:val="24"/>
          <w:szCs w:val="24"/>
        </w:rPr>
        <w:t> 加剧，人力资源成本持续上升，公司可能面临核心骨干人员流失的风险。</w:t>
      </w:r>
    </w:p>
    <w:p>
      <w:pPr>
        <w:spacing w:line="312" w:lineRule="exact" w:before="0"/>
        <w:ind w:left="718" w:right="733" w:firstLine="480"/>
        <w:jc w:val="both"/>
        <w:rPr>
          <w:rFonts w:ascii="宋体" w:hAnsi="宋体" w:cs="宋体" w:eastAsia="宋体" w:hint="default"/>
          <w:sz w:val="24"/>
          <w:szCs w:val="24"/>
        </w:rPr>
      </w:pPr>
      <w:r>
        <w:rPr>
          <w:rFonts w:ascii="宋体" w:hAnsi="宋体" w:cs="宋体" w:eastAsia="宋体" w:hint="default"/>
          <w:sz w:val="24"/>
          <w:szCs w:val="24"/>
        </w:rPr>
        <w:t>（4）为实现可持续发展，公司将积极尝试商业模式转变，并为此加大研发和市场</w:t>
      </w:r>
      <w:r>
        <w:rPr>
          <w:rFonts w:ascii="宋体" w:hAnsi="宋体" w:cs="宋体" w:eastAsia="宋体" w:hint="default"/>
          <w:spacing w:val="1"/>
          <w:sz w:val="24"/>
          <w:szCs w:val="24"/>
        </w:rPr>
        <w:t> </w:t>
      </w:r>
      <w:r>
        <w:rPr>
          <w:rFonts w:ascii="宋体" w:hAnsi="宋体" w:cs="宋体" w:eastAsia="宋体" w:hint="default"/>
          <w:sz w:val="24"/>
          <w:szCs w:val="24"/>
        </w:rPr>
        <w:t>投入力度，但业务探索和推广需要时间和过程，在业务拓展期可能面临市场压力。</w:t>
      </w:r>
    </w:p>
    <w:p>
      <w:pPr>
        <w:spacing w:line="312" w:lineRule="exact" w:before="94"/>
        <w:ind w:left="1198" w:right="666" w:firstLine="0"/>
        <w:jc w:val="left"/>
        <w:rPr>
          <w:rFonts w:ascii="宋体" w:hAnsi="宋体" w:cs="宋体" w:eastAsia="宋体" w:hint="default"/>
          <w:sz w:val="24"/>
          <w:szCs w:val="24"/>
        </w:rPr>
      </w:pPr>
      <w:r>
        <w:rPr>
          <w:rFonts w:ascii="宋体" w:hAnsi="宋体" w:cs="宋体" w:eastAsia="宋体" w:hint="default"/>
          <w:sz w:val="24"/>
          <w:szCs w:val="24"/>
        </w:rPr>
        <w:t>综上，为实现公司业务在</w:t>
      </w:r>
      <w:r>
        <w:rPr>
          <w:rFonts w:ascii="宋体" w:hAnsi="宋体" w:cs="宋体" w:eastAsia="宋体" w:hint="default"/>
          <w:spacing w:val="-60"/>
          <w:sz w:val="24"/>
          <w:szCs w:val="24"/>
        </w:rPr>
        <w:t> </w:t>
      </w:r>
      <w:r>
        <w:rPr>
          <w:rFonts w:ascii="宋体" w:hAnsi="宋体" w:cs="宋体" w:eastAsia="宋体" w:hint="default"/>
          <w:sz w:val="24"/>
          <w:szCs w:val="24"/>
        </w:rPr>
        <w:t>2012</w:t>
      </w:r>
      <w:r>
        <w:rPr>
          <w:rFonts w:ascii="宋体" w:hAnsi="宋体" w:cs="宋体" w:eastAsia="宋体" w:hint="default"/>
          <w:spacing w:val="-60"/>
          <w:sz w:val="24"/>
          <w:szCs w:val="24"/>
        </w:rPr>
        <w:t> </w:t>
      </w:r>
      <w:r>
        <w:rPr>
          <w:rFonts w:ascii="宋体" w:hAnsi="宋体" w:cs="宋体" w:eastAsia="宋体" w:hint="default"/>
          <w:sz w:val="24"/>
          <w:szCs w:val="24"/>
        </w:rPr>
        <w:t>年持续规模化发展，公司制定如下计划：</w:t>
      </w:r>
    </w:p>
    <w:p>
      <w:pPr>
        <w:spacing w:line="312" w:lineRule="exact" w:before="29"/>
        <w:ind w:left="718" w:right="733" w:firstLine="480"/>
        <w:jc w:val="both"/>
        <w:rPr>
          <w:rFonts w:ascii="宋体" w:hAnsi="宋体" w:cs="宋体" w:eastAsia="宋体" w:hint="default"/>
          <w:sz w:val="24"/>
          <w:szCs w:val="24"/>
        </w:rPr>
      </w:pPr>
      <w:r>
        <w:rPr>
          <w:rFonts w:ascii="宋体" w:hAnsi="宋体" w:cs="宋体" w:eastAsia="宋体" w:hint="default"/>
          <w:sz w:val="24"/>
          <w:szCs w:val="24"/>
        </w:rPr>
        <w:t>（1）执行创新与全球化发展策略，以创造客户价值为中心，加强新业务的策划与</w:t>
      </w:r>
      <w:r>
        <w:rPr>
          <w:rFonts w:ascii="宋体" w:hAnsi="宋体" w:cs="宋体" w:eastAsia="宋体" w:hint="default"/>
          <w:spacing w:val="1"/>
          <w:sz w:val="24"/>
          <w:szCs w:val="24"/>
        </w:rPr>
        <w:t> </w:t>
      </w:r>
      <w:r>
        <w:rPr>
          <w:rFonts w:ascii="宋体" w:hAnsi="宋体" w:cs="宋体" w:eastAsia="宋体" w:hint="default"/>
          <w:sz w:val="24"/>
          <w:szCs w:val="24"/>
        </w:rPr>
        <w:t>开拓，推动以创新与服务驱动成长的业务转型，实现公司业务可持续规模化发展。</w:t>
      </w:r>
    </w:p>
    <w:p>
      <w:pPr>
        <w:spacing w:line="312" w:lineRule="exact" w:before="0"/>
        <w:ind w:left="718" w:right="733" w:firstLine="480"/>
        <w:jc w:val="both"/>
        <w:rPr>
          <w:rFonts w:ascii="宋体" w:hAnsi="宋体" w:cs="宋体" w:eastAsia="宋体" w:hint="default"/>
          <w:sz w:val="24"/>
          <w:szCs w:val="24"/>
        </w:rPr>
      </w:pPr>
      <w:r>
        <w:rPr>
          <w:rFonts w:ascii="宋体" w:hAnsi="宋体" w:cs="宋体" w:eastAsia="宋体" w:hint="default"/>
          <w:sz w:val="24"/>
          <w:szCs w:val="24"/>
        </w:rPr>
        <w:t>（2）持续构筑顺应全球化与高效率发展方向的组织级服务支撑体系，进一步推进</w:t>
      </w:r>
      <w:r>
        <w:rPr>
          <w:rFonts w:ascii="宋体" w:hAnsi="宋体" w:cs="宋体" w:eastAsia="宋体" w:hint="default"/>
          <w:spacing w:val="1"/>
          <w:sz w:val="24"/>
          <w:szCs w:val="24"/>
        </w:rPr>
        <w:t> </w:t>
      </w:r>
      <w:r>
        <w:rPr>
          <w:rFonts w:ascii="宋体" w:hAnsi="宋体" w:cs="宋体" w:eastAsia="宋体" w:hint="default"/>
          <w:sz w:val="24"/>
          <w:szCs w:val="24"/>
        </w:rPr>
        <w:t>卓越运营改善计划，提升公司整体管理水平和运营效率。</w:t>
      </w:r>
    </w:p>
    <w:p>
      <w:pPr>
        <w:spacing w:line="312" w:lineRule="exact" w:before="0"/>
        <w:ind w:left="718" w:right="733" w:firstLine="480"/>
        <w:jc w:val="both"/>
        <w:rPr>
          <w:rFonts w:ascii="宋体" w:hAnsi="宋体" w:cs="宋体" w:eastAsia="宋体" w:hint="default"/>
          <w:sz w:val="24"/>
          <w:szCs w:val="24"/>
        </w:rPr>
      </w:pPr>
      <w:r>
        <w:rPr>
          <w:rFonts w:ascii="宋体" w:hAnsi="宋体" w:cs="宋体" w:eastAsia="宋体" w:hint="default"/>
          <w:sz w:val="24"/>
          <w:szCs w:val="24"/>
        </w:rPr>
        <w:t>（3）在国内解决方案业务，巩固和加强已有行业和业务的市场领先竞争地位，以</w:t>
      </w:r>
      <w:r>
        <w:rPr>
          <w:rFonts w:ascii="宋体" w:hAnsi="宋体" w:cs="宋体" w:eastAsia="宋体" w:hint="default"/>
          <w:spacing w:val="1"/>
          <w:sz w:val="24"/>
          <w:szCs w:val="24"/>
        </w:rPr>
        <w:t> </w:t>
      </w:r>
      <w:r>
        <w:rPr>
          <w:rFonts w:ascii="宋体" w:hAnsi="宋体" w:cs="宋体" w:eastAsia="宋体" w:hint="default"/>
          <w:spacing w:val="-2"/>
          <w:sz w:val="24"/>
          <w:szCs w:val="24"/>
        </w:rPr>
        <w:t>积极智慧拓展高端客户业务，加强面向客户未来业务的规划，提升技术和咨询拉动业务</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发展的能力，加强整体市场拓展计划和分布式交付组织的建设，加快业务增长。</w:t>
      </w:r>
    </w:p>
    <w:p>
      <w:pPr>
        <w:spacing w:line="312" w:lineRule="exact" w:before="0"/>
        <w:ind w:left="718" w:right="733" w:firstLine="480"/>
        <w:jc w:val="both"/>
        <w:rPr>
          <w:rFonts w:ascii="宋体" w:hAnsi="宋体" w:cs="宋体" w:eastAsia="宋体" w:hint="default"/>
          <w:sz w:val="24"/>
          <w:szCs w:val="24"/>
        </w:rPr>
      </w:pPr>
      <w:r>
        <w:rPr>
          <w:rFonts w:ascii="宋体" w:hAnsi="宋体" w:cs="宋体" w:eastAsia="宋体" w:hint="default"/>
          <w:sz w:val="24"/>
          <w:szCs w:val="24"/>
        </w:rPr>
        <w:t>（4）在国际软件业务，加强日本、欧洲、北美的市场开拓，持续加强策划、咨询</w:t>
      </w:r>
      <w:r>
        <w:rPr>
          <w:rFonts w:ascii="宋体" w:hAnsi="宋体" w:cs="宋体" w:eastAsia="宋体" w:hint="default"/>
          <w:spacing w:val="1"/>
          <w:sz w:val="24"/>
          <w:szCs w:val="24"/>
        </w:rPr>
        <w:t> </w:t>
      </w:r>
      <w:r>
        <w:rPr>
          <w:rFonts w:ascii="宋体" w:hAnsi="宋体" w:cs="宋体" w:eastAsia="宋体" w:hint="default"/>
          <w:spacing w:val="-2"/>
          <w:sz w:val="24"/>
          <w:szCs w:val="24"/>
        </w:rPr>
        <w:t>和系统设计等上游工程能力，加强核心知识资产建设，发展战略合作伙伴，深化国内和</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海外的业务整合和互动，推动业务实现快速发展。</w:t>
      </w:r>
    </w:p>
    <w:p>
      <w:pPr>
        <w:spacing w:line="312" w:lineRule="exact" w:before="0"/>
        <w:ind w:left="718" w:right="733" w:firstLine="480"/>
        <w:jc w:val="both"/>
        <w:rPr>
          <w:rFonts w:ascii="宋体" w:hAnsi="宋体" w:cs="宋体" w:eastAsia="宋体" w:hint="default"/>
          <w:sz w:val="24"/>
          <w:szCs w:val="24"/>
        </w:rPr>
      </w:pPr>
      <w:r>
        <w:rPr>
          <w:rFonts w:ascii="宋体" w:hAnsi="宋体" w:cs="宋体" w:eastAsia="宋体" w:hint="default"/>
          <w:sz w:val="24"/>
          <w:szCs w:val="24"/>
        </w:rPr>
        <w:t>（5）在医疗系统业务，加强研发投入和组织能力建设，持续提升产品与服务全生</w:t>
      </w:r>
      <w:r>
        <w:rPr>
          <w:rFonts w:ascii="宋体" w:hAnsi="宋体" w:cs="宋体" w:eastAsia="宋体" w:hint="default"/>
          <w:spacing w:val="1"/>
          <w:sz w:val="24"/>
          <w:szCs w:val="24"/>
        </w:rPr>
        <w:t> </w:t>
      </w:r>
      <w:r>
        <w:rPr>
          <w:rFonts w:ascii="宋体" w:hAnsi="宋体" w:cs="宋体" w:eastAsia="宋体" w:hint="default"/>
          <w:spacing w:val="-2"/>
          <w:sz w:val="24"/>
          <w:szCs w:val="24"/>
        </w:rPr>
        <w:t>命周期的综合价值，同时加强全球化营销策划，扩大销售队伍规模并提升组织级开拓市</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场能力，通过直销和分销组织的优化，全力拓展中国和海外市场。</w:t>
      </w:r>
    </w:p>
    <w:p>
      <w:pPr>
        <w:spacing w:line="313" w:lineRule="exact" w:before="94"/>
        <w:ind w:left="1198" w:right="666" w:firstLine="0"/>
        <w:jc w:val="left"/>
        <w:rPr>
          <w:rFonts w:ascii="宋体" w:hAnsi="宋体" w:cs="宋体" w:eastAsia="宋体" w:hint="default"/>
          <w:sz w:val="24"/>
          <w:szCs w:val="24"/>
        </w:rPr>
      </w:pPr>
      <w:r>
        <w:rPr>
          <w:rFonts w:ascii="宋体" w:hAnsi="宋体" w:cs="宋体" w:eastAsia="宋体" w:hint="default"/>
          <w:sz w:val="24"/>
          <w:szCs w:val="24"/>
        </w:rPr>
        <w:t>根据预测，2012</w:t>
      </w:r>
      <w:r>
        <w:rPr>
          <w:rFonts w:ascii="宋体" w:hAnsi="宋体" w:cs="宋体" w:eastAsia="宋体" w:hint="default"/>
          <w:spacing w:val="-34"/>
          <w:sz w:val="24"/>
          <w:szCs w:val="24"/>
        </w:rPr>
        <w:t> </w:t>
      </w:r>
      <w:r>
        <w:rPr>
          <w:rFonts w:ascii="宋体" w:hAnsi="宋体" w:cs="宋体" w:eastAsia="宋体" w:hint="default"/>
          <w:sz w:val="24"/>
          <w:szCs w:val="24"/>
        </w:rPr>
        <w:t>年公司计划实现营业收入</w:t>
      </w:r>
      <w:r>
        <w:rPr>
          <w:rFonts w:ascii="宋体" w:hAnsi="宋体" w:cs="宋体" w:eastAsia="宋体" w:hint="default"/>
          <w:spacing w:val="-34"/>
          <w:sz w:val="24"/>
          <w:szCs w:val="24"/>
        </w:rPr>
        <w:t> </w:t>
      </w:r>
      <w:r>
        <w:rPr>
          <w:rFonts w:ascii="宋体" w:hAnsi="宋体" w:cs="宋体" w:eastAsia="宋体" w:hint="default"/>
          <w:sz w:val="24"/>
          <w:szCs w:val="24"/>
        </w:rPr>
        <w:t>69</w:t>
      </w:r>
      <w:r>
        <w:rPr>
          <w:rFonts w:ascii="宋体" w:hAnsi="宋体" w:cs="宋体" w:eastAsia="宋体" w:hint="default"/>
          <w:spacing w:val="-34"/>
          <w:sz w:val="24"/>
          <w:szCs w:val="24"/>
        </w:rPr>
        <w:t> </w:t>
      </w:r>
      <w:r>
        <w:rPr>
          <w:rFonts w:ascii="宋体" w:hAnsi="宋体" w:cs="宋体" w:eastAsia="宋体" w:hint="default"/>
          <w:sz w:val="24"/>
          <w:szCs w:val="24"/>
        </w:rPr>
        <w:t>亿元，营业成本</w:t>
      </w:r>
      <w:r>
        <w:rPr>
          <w:rFonts w:ascii="宋体" w:hAnsi="宋体" w:cs="宋体" w:eastAsia="宋体" w:hint="default"/>
          <w:spacing w:val="-34"/>
          <w:sz w:val="24"/>
          <w:szCs w:val="24"/>
        </w:rPr>
        <w:t> </w:t>
      </w:r>
      <w:r>
        <w:rPr>
          <w:rFonts w:ascii="宋体" w:hAnsi="宋体" w:cs="宋体" w:eastAsia="宋体" w:hint="default"/>
          <w:sz w:val="24"/>
          <w:szCs w:val="24"/>
        </w:rPr>
        <w:t>48</w:t>
      </w:r>
      <w:r>
        <w:rPr>
          <w:rFonts w:ascii="宋体" w:hAnsi="宋体" w:cs="宋体" w:eastAsia="宋体" w:hint="default"/>
          <w:spacing w:val="-35"/>
          <w:sz w:val="24"/>
          <w:szCs w:val="24"/>
        </w:rPr>
        <w:t> </w:t>
      </w:r>
      <w:r>
        <w:rPr>
          <w:rFonts w:ascii="宋体" w:hAnsi="宋体" w:cs="宋体" w:eastAsia="宋体" w:hint="default"/>
          <w:sz w:val="24"/>
          <w:szCs w:val="24"/>
        </w:rPr>
        <w:t>亿元，期间费用</w:t>
      </w:r>
    </w:p>
    <w:p>
      <w:pPr>
        <w:spacing w:line="312" w:lineRule="exact" w:before="0"/>
        <w:ind w:left="718" w:right="666" w:firstLine="0"/>
        <w:jc w:val="left"/>
        <w:rPr>
          <w:rFonts w:ascii="宋体" w:hAnsi="宋体" w:cs="宋体" w:eastAsia="宋体" w:hint="default"/>
          <w:sz w:val="24"/>
          <w:szCs w:val="24"/>
        </w:rPr>
      </w:pPr>
      <w:r>
        <w:rPr>
          <w:rFonts w:ascii="宋体" w:hAnsi="宋体" w:cs="宋体" w:eastAsia="宋体" w:hint="default"/>
          <w:sz w:val="24"/>
          <w:szCs w:val="24"/>
        </w:rPr>
        <w:t>16</w:t>
      </w:r>
      <w:r>
        <w:rPr>
          <w:rFonts w:ascii="宋体" w:hAnsi="宋体" w:cs="宋体" w:eastAsia="宋体" w:hint="default"/>
          <w:spacing w:val="-59"/>
          <w:sz w:val="24"/>
          <w:szCs w:val="24"/>
        </w:rPr>
        <w:t> </w:t>
      </w:r>
      <w:r>
        <w:rPr>
          <w:rFonts w:ascii="宋体" w:hAnsi="宋体" w:cs="宋体" w:eastAsia="宋体" w:hint="default"/>
          <w:spacing w:val="-5"/>
          <w:sz w:val="24"/>
          <w:szCs w:val="24"/>
        </w:rPr>
        <w:t>亿元。为完成上述</w:t>
      </w:r>
      <w:r>
        <w:rPr>
          <w:rFonts w:ascii="宋体" w:hAnsi="宋体" w:cs="宋体" w:eastAsia="宋体" w:hint="default"/>
          <w:spacing w:val="-59"/>
          <w:sz w:val="24"/>
          <w:szCs w:val="24"/>
        </w:rPr>
        <w:t> </w:t>
      </w:r>
      <w:r>
        <w:rPr>
          <w:rFonts w:ascii="宋体" w:hAnsi="宋体" w:cs="宋体" w:eastAsia="宋体" w:hint="default"/>
          <w:sz w:val="24"/>
          <w:szCs w:val="24"/>
        </w:rPr>
        <w:t>2012</w:t>
      </w:r>
      <w:r>
        <w:rPr>
          <w:rFonts w:ascii="宋体" w:hAnsi="宋体" w:cs="宋体" w:eastAsia="宋体" w:hint="default"/>
          <w:spacing w:val="-59"/>
          <w:sz w:val="24"/>
          <w:szCs w:val="24"/>
        </w:rPr>
        <w:t> </w:t>
      </w:r>
      <w:r>
        <w:rPr>
          <w:rFonts w:ascii="宋体" w:hAnsi="宋体" w:cs="宋体" w:eastAsia="宋体" w:hint="default"/>
          <w:spacing w:val="-4"/>
          <w:sz w:val="24"/>
          <w:szCs w:val="24"/>
        </w:rPr>
        <w:t>年度经营计划，公司预计</w:t>
      </w:r>
      <w:r>
        <w:rPr>
          <w:rFonts w:ascii="宋体" w:hAnsi="宋体" w:cs="宋体" w:eastAsia="宋体" w:hint="default"/>
          <w:spacing w:val="-59"/>
          <w:sz w:val="24"/>
          <w:szCs w:val="24"/>
        </w:rPr>
        <w:t> </w:t>
      </w:r>
      <w:r>
        <w:rPr>
          <w:rFonts w:ascii="宋体" w:hAnsi="宋体" w:cs="宋体" w:eastAsia="宋体" w:hint="default"/>
          <w:sz w:val="24"/>
          <w:szCs w:val="24"/>
        </w:rPr>
        <w:t>2012</w:t>
      </w:r>
      <w:r>
        <w:rPr>
          <w:rFonts w:ascii="宋体" w:hAnsi="宋体" w:cs="宋体" w:eastAsia="宋体" w:hint="default"/>
          <w:spacing w:val="-59"/>
          <w:sz w:val="24"/>
          <w:szCs w:val="24"/>
        </w:rPr>
        <w:t> </w:t>
      </w:r>
      <w:r>
        <w:rPr>
          <w:rFonts w:ascii="宋体" w:hAnsi="宋体" w:cs="宋体" w:eastAsia="宋体" w:hint="default"/>
          <w:spacing w:val="-3"/>
          <w:sz w:val="24"/>
          <w:szCs w:val="24"/>
        </w:rPr>
        <w:t>年的日常经营、基本建设及股</w:t>
      </w:r>
    </w:p>
    <w:p>
      <w:pPr>
        <w:spacing w:line="312" w:lineRule="exact" w:before="29"/>
        <w:ind w:left="718" w:right="718" w:firstLine="0"/>
        <w:jc w:val="left"/>
        <w:rPr>
          <w:rFonts w:ascii="宋体" w:hAnsi="宋体" w:cs="宋体" w:eastAsia="宋体" w:hint="default"/>
          <w:sz w:val="24"/>
          <w:szCs w:val="24"/>
        </w:rPr>
      </w:pPr>
      <w:r>
        <w:rPr>
          <w:rFonts w:ascii="宋体" w:hAnsi="宋体" w:cs="宋体" w:eastAsia="宋体" w:hint="default"/>
          <w:sz w:val="24"/>
          <w:szCs w:val="24"/>
        </w:rPr>
        <w:t>权投资的资金需求为人民币 22</w:t>
      </w:r>
      <w:r>
        <w:rPr>
          <w:rFonts w:ascii="宋体" w:hAnsi="宋体" w:cs="宋体" w:eastAsia="宋体" w:hint="default"/>
          <w:spacing w:val="-52"/>
          <w:sz w:val="24"/>
          <w:szCs w:val="24"/>
        </w:rPr>
        <w:t> </w:t>
      </w:r>
      <w:r>
        <w:rPr>
          <w:rFonts w:ascii="宋体" w:hAnsi="宋体" w:cs="宋体" w:eastAsia="宋体" w:hint="default"/>
          <w:sz w:val="24"/>
          <w:szCs w:val="24"/>
        </w:rPr>
        <w:t>亿元，资金来源预计主要为自有资金、银行贷款和债券</w:t>
      </w:r>
      <w:r>
        <w:rPr>
          <w:rFonts w:ascii="宋体" w:hAnsi="宋体" w:cs="宋体" w:eastAsia="宋体" w:hint="default"/>
          <w:sz w:val="24"/>
          <w:szCs w:val="24"/>
        </w:rPr>
        <w:t> 融资。</w:t>
      </w:r>
    </w:p>
    <w:p>
      <w:pPr>
        <w:spacing w:line="312" w:lineRule="exact" w:before="94"/>
        <w:ind w:left="718" w:right="666" w:firstLine="0"/>
        <w:jc w:val="left"/>
        <w:rPr>
          <w:rFonts w:ascii="宋体" w:hAnsi="宋体" w:cs="宋体" w:eastAsia="宋体" w:hint="default"/>
          <w:sz w:val="24"/>
          <w:szCs w:val="24"/>
        </w:rPr>
      </w:pPr>
      <w:r>
        <w:rPr>
          <w:rFonts w:ascii="宋体" w:hAnsi="宋体" w:cs="宋体" w:eastAsia="宋体" w:hint="default"/>
          <w:b/>
          <w:bCs/>
          <w:sz w:val="24"/>
          <w:szCs w:val="24"/>
        </w:rPr>
        <w:t>6、公司主营业务及其经营状况</w:t>
      </w:r>
      <w:r>
        <w:rPr>
          <w:rFonts w:ascii="宋体" w:hAnsi="宋体" w:cs="宋体" w:eastAsia="宋体" w:hint="default"/>
          <w:sz w:val="24"/>
          <w:szCs w:val="24"/>
        </w:rPr>
      </w:r>
    </w:p>
    <w:p>
      <w:pPr>
        <w:spacing w:line="312" w:lineRule="exact" w:before="0"/>
        <w:ind w:left="718" w:right="666" w:firstLine="0"/>
        <w:jc w:val="left"/>
        <w:rPr>
          <w:rFonts w:ascii="宋体" w:hAnsi="宋体" w:cs="宋体" w:eastAsia="宋体" w:hint="default"/>
          <w:sz w:val="24"/>
          <w:szCs w:val="24"/>
        </w:rPr>
      </w:pPr>
      <w:r>
        <w:rPr>
          <w:rFonts w:ascii="宋体" w:hAnsi="宋体" w:cs="宋体" w:eastAsia="宋体" w:hint="default"/>
          <w:sz w:val="24"/>
          <w:szCs w:val="24"/>
        </w:rPr>
        <w:t>（1）主营业务分行业情况表</w:t>
      </w:r>
    </w:p>
    <w:p>
      <w:pPr>
        <w:pStyle w:val="BodyText"/>
        <w:spacing w:line="240" w:lineRule="auto" w:before="22"/>
        <w:ind w:left="0" w:right="734"/>
        <w:jc w:val="right"/>
        <w:rPr>
          <w:rFonts w:ascii="宋体" w:hAnsi="宋体" w:cs="宋体" w:eastAsia="宋体" w:hint="default"/>
        </w:rPr>
      </w:pPr>
      <w:r>
        <w:rPr>
          <w:rFonts w:ascii="宋体" w:hAnsi="宋体" w:cs="宋体" w:eastAsia="宋体" w:hint="default"/>
        </w:rPr>
        <w:t>单位：元</w:t>
      </w:r>
      <w:r>
        <w:rPr>
          <w:rFonts w:ascii="宋体" w:hAnsi="宋体" w:cs="宋体" w:eastAsia="宋体" w:hint="default"/>
          <w:spacing w:val="-2"/>
        </w:rPr>
        <w:t> </w:t>
      </w:r>
      <w:r>
        <w:rPr>
          <w:rFonts w:ascii="宋体" w:hAnsi="宋体" w:cs="宋体" w:eastAsia="宋体" w:hint="default"/>
        </w:rPr>
        <w:t>币种：人民币</w:t>
      </w:r>
    </w:p>
    <w:p>
      <w:pPr>
        <w:spacing w:line="240" w:lineRule="auto" w:before="13"/>
        <w:rPr>
          <w:rFonts w:ascii="宋体" w:hAnsi="宋体" w:cs="宋体" w:eastAsia="宋体" w:hint="default"/>
          <w:sz w:val="3"/>
          <w:szCs w:val="3"/>
        </w:rPr>
      </w:pPr>
    </w:p>
    <w:tbl>
      <w:tblPr>
        <w:tblW w:w="0" w:type="auto"/>
        <w:jc w:val="left"/>
        <w:tblInd w:w="103" w:type="dxa"/>
        <w:tblLayout w:type="fixed"/>
        <w:tblCellMar>
          <w:top w:w="0" w:type="dxa"/>
          <w:left w:w="0" w:type="dxa"/>
          <w:bottom w:w="0" w:type="dxa"/>
          <w:right w:w="0" w:type="dxa"/>
        </w:tblCellMar>
        <w:tblLook w:val="01E0"/>
      </w:tblPr>
      <w:tblGrid>
        <w:gridCol w:w="2005"/>
        <w:gridCol w:w="1580"/>
        <w:gridCol w:w="1582"/>
        <w:gridCol w:w="1056"/>
        <w:gridCol w:w="1031"/>
        <w:gridCol w:w="1037"/>
        <w:gridCol w:w="1998"/>
      </w:tblGrid>
      <w:tr>
        <w:trPr>
          <w:trHeight w:val="316" w:hRule="exact"/>
        </w:trPr>
        <w:tc>
          <w:tcPr>
            <w:tcW w:w="2005" w:type="dxa"/>
            <w:tcBorders>
              <w:top w:val="single" w:sz="4" w:space="0" w:color="000000"/>
              <w:left w:val="single" w:sz="4" w:space="0" w:color="000000"/>
              <w:bottom w:val="nil" w:sz="6" w:space="0" w:color="auto"/>
              <w:right w:val="single" w:sz="4" w:space="0" w:color="000000"/>
            </w:tcBorders>
          </w:tcPr>
          <w:p>
            <w:pPr/>
          </w:p>
        </w:tc>
        <w:tc>
          <w:tcPr>
            <w:tcW w:w="1580" w:type="dxa"/>
            <w:tcBorders>
              <w:top w:val="single" w:sz="4" w:space="0" w:color="000000"/>
              <w:left w:val="single" w:sz="4" w:space="0" w:color="000000"/>
              <w:bottom w:val="nil" w:sz="6" w:space="0" w:color="auto"/>
              <w:right w:val="single" w:sz="4" w:space="0" w:color="000000"/>
            </w:tcBorders>
          </w:tcPr>
          <w:p>
            <w:pPr/>
          </w:p>
        </w:tc>
        <w:tc>
          <w:tcPr>
            <w:tcW w:w="1582" w:type="dxa"/>
            <w:tcBorders>
              <w:top w:val="single" w:sz="4" w:space="0" w:color="000000"/>
              <w:left w:val="single" w:sz="4" w:space="0" w:color="000000"/>
              <w:bottom w:val="nil" w:sz="6" w:space="0" w:color="auto"/>
              <w:right w:val="single" w:sz="4" w:space="0" w:color="000000"/>
            </w:tcBorders>
          </w:tcPr>
          <w:p>
            <w:pPr/>
          </w:p>
        </w:tc>
        <w:tc>
          <w:tcPr>
            <w:tcW w:w="1056" w:type="dxa"/>
            <w:tcBorders>
              <w:top w:val="single" w:sz="4" w:space="0" w:color="000000"/>
              <w:left w:val="single" w:sz="4" w:space="0" w:color="000000"/>
              <w:bottom w:val="nil" w:sz="6" w:space="0" w:color="auto"/>
              <w:right w:val="single" w:sz="4" w:space="0" w:color="000000"/>
            </w:tcBorders>
          </w:tcPr>
          <w:p>
            <w:pPr/>
          </w:p>
        </w:tc>
        <w:tc>
          <w:tcPr>
            <w:tcW w:w="1031"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194"/>
              <w:jc w:val="right"/>
              <w:rPr>
                <w:rFonts w:ascii="宋体" w:hAnsi="宋体" w:cs="宋体" w:eastAsia="宋体" w:hint="default"/>
                <w:sz w:val="21"/>
                <w:szCs w:val="21"/>
              </w:rPr>
            </w:pPr>
            <w:r>
              <w:rPr>
                <w:rFonts w:ascii="宋体" w:hAnsi="宋体" w:cs="宋体" w:eastAsia="宋体" w:hint="default"/>
                <w:sz w:val="21"/>
                <w:szCs w:val="21"/>
              </w:rPr>
              <w:t>营业收</w:t>
            </w:r>
          </w:p>
        </w:tc>
        <w:tc>
          <w:tcPr>
            <w:tcW w:w="1037"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198"/>
              <w:jc w:val="right"/>
              <w:rPr>
                <w:rFonts w:ascii="宋体" w:hAnsi="宋体" w:cs="宋体" w:eastAsia="宋体" w:hint="default"/>
                <w:sz w:val="21"/>
                <w:szCs w:val="21"/>
              </w:rPr>
            </w:pPr>
            <w:r>
              <w:rPr>
                <w:rFonts w:ascii="宋体" w:hAnsi="宋体" w:cs="宋体" w:eastAsia="宋体" w:hint="default"/>
                <w:sz w:val="21"/>
                <w:szCs w:val="21"/>
              </w:rPr>
              <w:t>营业成</w:t>
            </w:r>
          </w:p>
        </w:tc>
        <w:tc>
          <w:tcPr>
            <w:tcW w:w="1998" w:type="dxa"/>
            <w:tcBorders>
              <w:top w:val="single" w:sz="4" w:space="0" w:color="000000"/>
              <w:left w:val="single" w:sz="4" w:space="0" w:color="000000"/>
              <w:bottom w:val="nil" w:sz="6" w:space="0" w:color="auto"/>
              <w:right w:val="single" w:sz="4" w:space="0" w:color="000000"/>
            </w:tcBorders>
          </w:tcPr>
          <w:p>
            <w:pPr/>
          </w:p>
        </w:tc>
      </w:tr>
      <w:tr>
        <w:trPr>
          <w:trHeight w:val="624" w:hRule="exact"/>
        </w:trPr>
        <w:tc>
          <w:tcPr>
            <w:tcW w:w="2005"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分行业</w:t>
            </w:r>
          </w:p>
        </w:tc>
        <w:tc>
          <w:tcPr>
            <w:tcW w:w="1580"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left="36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82"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left="365"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056"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营业利润</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率(%)</w:t>
            </w:r>
          </w:p>
        </w:tc>
        <w:tc>
          <w:tcPr>
            <w:tcW w:w="1031"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94" w:right="0"/>
              <w:jc w:val="left"/>
              <w:rPr>
                <w:rFonts w:ascii="宋体" w:hAnsi="宋体" w:cs="宋体" w:eastAsia="宋体" w:hint="default"/>
                <w:sz w:val="21"/>
                <w:szCs w:val="21"/>
              </w:rPr>
            </w:pPr>
            <w:r>
              <w:rPr>
                <w:rFonts w:ascii="宋体" w:hAnsi="宋体" w:cs="宋体" w:eastAsia="宋体" w:hint="default"/>
                <w:sz w:val="21"/>
                <w:szCs w:val="21"/>
              </w:rPr>
              <w:t>入比上</w:t>
            </w:r>
          </w:p>
          <w:p>
            <w:pPr>
              <w:pStyle w:val="TableParagraph"/>
              <w:spacing w:line="240" w:lineRule="auto" w:before="37"/>
              <w:ind w:left="194" w:right="0"/>
              <w:jc w:val="left"/>
              <w:rPr>
                <w:rFonts w:ascii="宋体" w:hAnsi="宋体" w:cs="宋体" w:eastAsia="宋体" w:hint="default"/>
                <w:sz w:val="21"/>
                <w:szCs w:val="21"/>
              </w:rPr>
            </w:pPr>
            <w:r>
              <w:rPr>
                <w:rFonts w:ascii="宋体" w:hAnsi="宋体" w:cs="宋体" w:eastAsia="宋体" w:hint="default"/>
                <w:sz w:val="21"/>
                <w:szCs w:val="21"/>
              </w:rPr>
              <w:t>年增减</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96" w:right="0"/>
              <w:jc w:val="left"/>
              <w:rPr>
                <w:rFonts w:ascii="宋体" w:hAnsi="宋体" w:cs="宋体" w:eastAsia="宋体" w:hint="default"/>
                <w:sz w:val="21"/>
                <w:szCs w:val="21"/>
              </w:rPr>
            </w:pPr>
            <w:r>
              <w:rPr>
                <w:rFonts w:ascii="宋体" w:hAnsi="宋体" w:cs="宋体" w:eastAsia="宋体" w:hint="default"/>
                <w:sz w:val="21"/>
                <w:szCs w:val="21"/>
              </w:rPr>
              <w:t>本比上</w:t>
            </w:r>
          </w:p>
          <w:p>
            <w:pPr>
              <w:pStyle w:val="TableParagraph"/>
              <w:spacing w:line="240" w:lineRule="auto" w:before="37"/>
              <w:ind w:left="196" w:right="0"/>
              <w:jc w:val="left"/>
              <w:rPr>
                <w:rFonts w:ascii="宋体" w:hAnsi="宋体" w:cs="宋体" w:eastAsia="宋体" w:hint="default"/>
                <w:sz w:val="21"/>
                <w:szCs w:val="21"/>
              </w:rPr>
            </w:pPr>
            <w:r>
              <w:rPr>
                <w:rFonts w:ascii="宋体" w:hAnsi="宋体" w:cs="宋体" w:eastAsia="宋体" w:hint="default"/>
                <w:sz w:val="21"/>
                <w:szCs w:val="21"/>
              </w:rPr>
              <w:t>年增减</w:t>
            </w:r>
          </w:p>
        </w:tc>
        <w:tc>
          <w:tcPr>
            <w:tcW w:w="1998"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468" w:right="0"/>
              <w:jc w:val="left"/>
              <w:rPr>
                <w:rFonts w:ascii="宋体" w:hAnsi="宋体" w:cs="宋体" w:eastAsia="宋体" w:hint="default"/>
                <w:sz w:val="21"/>
                <w:szCs w:val="21"/>
              </w:rPr>
            </w:pPr>
            <w:r>
              <w:rPr>
                <w:rFonts w:ascii="宋体" w:hAnsi="宋体" w:cs="宋体" w:eastAsia="宋体" w:hint="default"/>
                <w:sz w:val="21"/>
                <w:szCs w:val="21"/>
              </w:rPr>
              <w:t>营业利润率</w:t>
            </w:r>
          </w:p>
          <w:p>
            <w:pPr>
              <w:pStyle w:val="TableParagraph"/>
              <w:spacing w:line="240" w:lineRule="auto" w:before="37"/>
              <w:ind w:left="468" w:right="0"/>
              <w:jc w:val="left"/>
              <w:rPr>
                <w:rFonts w:ascii="宋体" w:hAnsi="宋体" w:cs="宋体" w:eastAsia="宋体" w:hint="default"/>
                <w:sz w:val="21"/>
                <w:szCs w:val="21"/>
              </w:rPr>
            </w:pPr>
            <w:r>
              <w:rPr>
                <w:rFonts w:ascii="宋体" w:hAnsi="宋体" w:cs="宋体" w:eastAsia="宋体" w:hint="default"/>
                <w:sz w:val="21"/>
                <w:szCs w:val="21"/>
              </w:rPr>
              <w:t>比上年增减</w:t>
            </w:r>
          </w:p>
        </w:tc>
      </w:tr>
      <w:tr>
        <w:trPr>
          <w:trHeight w:val="318" w:hRule="exact"/>
        </w:trPr>
        <w:tc>
          <w:tcPr>
            <w:tcW w:w="2005" w:type="dxa"/>
            <w:tcBorders>
              <w:top w:val="nil" w:sz="6" w:space="0" w:color="auto"/>
              <w:left w:val="single" w:sz="4" w:space="0" w:color="000000"/>
              <w:bottom w:val="single" w:sz="4" w:space="0" w:color="000000"/>
              <w:right w:val="single" w:sz="4" w:space="0" w:color="000000"/>
            </w:tcBorders>
          </w:tcPr>
          <w:p>
            <w:pPr/>
          </w:p>
        </w:tc>
        <w:tc>
          <w:tcPr>
            <w:tcW w:w="1580" w:type="dxa"/>
            <w:tcBorders>
              <w:top w:val="nil" w:sz="6" w:space="0" w:color="auto"/>
              <w:left w:val="single" w:sz="4" w:space="0" w:color="000000"/>
              <w:bottom w:val="single" w:sz="4" w:space="0" w:color="000000"/>
              <w:right w:val="single" w:sz="4" w:space="0" w:color="000000"/>
            </w:tcBorders>
          </w:tcPr>
          <w:p>
            <w:pPr/>
          </w:p>
        </w:tc>
        <w:tc>
          <w:tcPr>
            <w:tcW w:w="1582" w:type="dxa"/>
            <w:tcBorders>
              <w:top w:val="nil" w:sz="6" w:space="0" w:color="auto"/>
              <w:left w:val="single" w:sz="4" w:space="0" w:color="000000"/>
              <w:bottom w:val="single" w:sz="4" w:space="0" w:color="000000"/>
              <w:right w:val="single" w:sz="4" w:space="0" w:color="000000"/>
            </w:tcBorders>
          </w:tcPr>
          <w:p>
            <w:pPr/>
          </w:p>
        </w:tc>
        <w:tc>
          <w:tcPr>
            <w:tcW w:w="1056" w:type="dxa"/>
            <w:tcBorders>
              <w:top w:val="nil" w:sz="6" w:space="0" w:color="auto"/>
              <w:left w:val="single" w:sz="4" w:space="0" w:color="000000"/>
              <w:bottom w:val="single" w:sz="4" w:space="0" w:color="000000"/>
              <w:right w:val="single" w:sz="4" w:space="0" w:color="000000"/>
            </w:tcBorders>
          </w:tcPr>
          <w:p>
            <w:pPr/>
          </w:p>
        </w:tc>
        <w:tc>
          <w:tcPr>
            <w:tcW w:w="1031"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w:t>
            </w:r>
          </w:p>
        </w:tc>
        <w:tc>
          <w:tcPr>
            <w:tcW w:w="1037"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w:t>
            </w:r>
          </w:p>
        </w:tc>
        <w:tc>
          <w:tcPr>
            <w:tcW w:w="1998" w:type="dxa"/>
            <w:tcBorders>
              <w:top w:val="nil" w:sz="6" w:space="0" w:color="auto"/>
              <w:left w:val="single" w:sz="4" w:space="0" w:color="000000"/>
              <w:bottom w:val="single" w:sz="4" w:space="0" w:color="000000"/>
              <w:right w:val="single" w:sz="4" w:space="0" w:color="000000"/>
            </w:tcBorders>
          </w:tcPr>
          <w:p>
            <w:pPr/>
          </w:p>
        </w:tc>
      </w:tr>
      <w:tr>
        <w:trPr>
          <w:trHeight w:val="323" w:hRule="exact"/>
        </w:trPr>
        <w:tc>
          <w:tcPr>
            <w:tcW w:w="2005"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软件及系统集成</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1"/>
              <w:jc w:val="right"/>
              <w:rPr>
                <w:rFonts w:ascii="宋体" w:hAnsi="宋体" w:cs="宋体" w:eastAsia="宋体" w:hint="default"/>
                <w:sz w:val="21"/>
                <w:szCs w:val="21"/>
              </w:rPr>
            </w:pPr>
            <w:r>
              <w:rPr>
                <w:rFonts w:ascii="宋体"/>
                <w:sz w:val="21"/>
              </w:rPr>
              <w:t>4,830,519,072</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2"/>
              <w:jc w:val="right"/>
              <w:rPr>
                <w:rFonts w:ascii="宋体" w:hAnsi="宋体" w:cs="宋体" w:eastAsia="宋体" w:hint="default"/>
                <w:sz w:val="21"/>
                <w:szCs w:val="21"/>
              </w:rPr>
            </w:pPr>
            <w:r>
              <w:rPr>
                <w:rFonts w:ascii="宋体"/>
                <w:spacing w:val="-1"/>
                <w:sz w:val="21"/>
              </w:rPr>
              <w:t>3,476,555,703</w:t>
            </w:r>
            <w:r>
              <w:rPr>
                <w:rFonts w:ascii="宋体"/>
                <w:sz w:val="21"/>
              </w:rPr>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28.03</w:t>
            </w:r>
          </w:p>
        </w:tc>
        <w:tc>
          <w:tcPr>
            <w:tcW w:w="1031"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94"/>
              <w:jc w:val="right"/>
              <w:rPr>
                <w:rFonts w:ascii="宋体" w:hAnsi="宋体" w:cs="宋体" w:eastAsia="宋体" w:hint="default"/>
                <w:sz w:val="21"/>
                <w:szCs w:val="21"/>
              </w:rPr>
            </w:pPr>
            <w:r>
              <w:rPr>
                <w:rFonts w:ascii="宋体"/>
                <w:spacing w:val="-1"/>
                <w:w w:val="95"/>
                <w:sz w:val="21"/>
              </w:rPr>
              <w:t>24.59</w:t>
            </w:r>
            <w:r>
              <w:rPr>
                <w:rFonts w:ascii="宋体"/>
                <w:w w:val="95"/>
                <w:sz w:val="21"/>
              </w:rPr>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97"/>
              <w:jc w:val="right"/>
              <w:rPr>
                <w:rFonts w:ascii="宋体" w:hAnsi="宋体" w:cs="宋体" w:eastAsia="宋体" w:hint="default"/>
                <w:sz w:val="21"/>
                <w:szCs w:val="21"/>
              </w:rPr>
            </w:pPr>
            <w:r>
              <w:rPr>
                <w:rFonts w:ascii="宋体"/>
                <w:spacing w:val="-1"/>
                <w:w w:val="95"/>
                <w:sz w:val="21"/>
              </w:rPr>
              <w:t>27.61</w:t>
            </w:r>
            <w:r>
              <w:rPr>
                <w:rFonts w:ascii="宋体"/>
                <w:w w:val="95"/>
                <w:sz w:val="21"/>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7"/>
                <w:sz w:val="21"/>
                <w:szCs w:val="21"/>
              </w:rPr>
              <w:t> </w:t>
            </w:r>
            <w:r>
              <w:rPr>
                <w:rFonts w:ascii="宋体" w:hAnsi="宋体" w:cs="宋体" w:eastAsia="宋体" w:hint="default"/>
                <w:sz w:val="21"/>
                <w:szCs w:val="21"/>
              </w:rPr>
              <w:t>1.70</w:t>
            </w:r>
            <w:r>
              <w:rPr>
                <w:rFonts w:ascii="宋体" w:hAnsi="宋体" w:cs="宋体" w:eastAsia="宋体" w:hint="default"/>
                <w:spacing w:val="-56"/>
                <w:sz w:val="21"/>
                <w:szCs w:val="21"/>
              </w:rPr>
              <w:t> </w:t>
            </w:r>
            <w:r>
              <w:rPr>
                <w:rFonts w:ascii="宋体" w:hAnsi="宋体" w:cs="宋体" w:eastAsia="宋体" w:hint="default"/>
                <w:sz w:val="21"/>
                <w:szCs w:val="21"/>
              </w:rPr>
              <w:t>个百分点</w:t>
            </w:r>
          </w:p>
        </w:tc>
      </w:tr>
      <w:tr>
        <w:trPr>
          <w:trHeight w:val="322" w:hRule="exact"/>
        </w:trPr>
        <w:tc>
          <w:tcPr>
            <w:tcW w:w="200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医疗系统</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3"/>
              <w:jc w:val="right"/>
              <w:rPr>
                <w:rFonts w:ascii="宋体" w:hAnsi="宋体" w:cs="宋体" w:eastAsia="宋体" w:hint="default"/>
                <w:sz w:val="21"/>
                <w:szCs w:val="21"/>
              </w:rPr>
            </w:pPr>
            <w:r>
              <w:rPr>
                <w:rFonts w:ascii="宋体"/>
                <w:spacing w:val="-1"/>
                <w:sz w:val="21"/>
              </w:rPr>
              <w:t>803,436,708</w:t>
            </w:r>
            <w:r>
              <w:rPr>
                <w:rFonts w:ascii="宋体"/>
                <w:sz w:val="21"/>
              </w:rPr>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3"/>
              <w:jc w:val="right"/>
              <w:rPr>
                <w:rFonts w:ascii="宋体" w:hAnsi="宋体" w:cs="宋体" w:eastAsia="宋体" w:hint="default"/>
                <w:sz w:val="21"/>
                <w:szCs w:val="21"/>
              </w:rPr>
            </w:pPr>
            <w:r>
              <w:rPr>
                <w:rFonts w:ascii="宋体"/>
                <w:spacing w:val="-1"/>
                <w:sz w:val="21"/>
              </w:rPr>
              <w:t>486,024,807</w:t>
            </w:r>
            <w:r>
              <w:rPr>
                <w:rFonts w:ascii="宋体"/>
                <w:sz w:val="21"/>
              </w:rPr>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sz w:val="21"/>
              </w:rPr>
              <w:t>39.51</w:t>
            </w:r>
          </w:p>
        </w:tc>
        <w:tc>
          <w:tcPr>
            <w:tcW w:w="103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4"/>
              <w:jc w:val="right"/>
              <w:rPr>
                <w:rFonts w:ascii="宋体" w:hAnsi="宋体" w:cs="宋体" w:eastAsia="宋体" w:hint="default"/>
                <w:sz w:val="21"/>
                <w:szCs w:val="21"/>
              </w:rPr>
            </w:pPr>
            <w:r>
              <w:rPr>
                <w:rFonts w:ascii="宋体"/>
                <w:sz w:val="21"/>
              </w:rPr>
              <w:t>1.21</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7"/>
              <w:jc w:val="right"/>
              <w:rPr>
                <w:rFonts w:ascii="宋体" w:hAnsi="宋体" w:cs="宋体" w:eastAsia="宋体" w:hint="default"/>
                <w:sz w:val="21"/>
                <w:szCs w:val="21"/>
              </w:rPr>
            </w:pPr>
            <w:r>
              <w:rPr>
                <w:rFonts w:ascii="宋体"/>
                <w:sz w:val="21"/>
              </w:rPr>
              <w:t>-1.89</w:t>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6"/>
                <w:sz w:val="21"/>
                <w:szCs w:val="21"/>
              </w:rPr>
              <w:t> </w:t>
            </w:r>
            <w:r>
              <w:rPr>
                <w:rFonts w:ascii="宋体" w:hAnsi="宋体" w:cs="宋体" w:eastAsia="宋体" w:hint="default"/>
                <w:sz w:val="21"/>
                <w:szCs w:val="21"/>
              </w:rPr>
              <w:t>1.91</w:t>
            </w:r>
            <w:r>
              <w:rPr>
                <w:rFonts w:ascii="宋体" w:hAnsi="宋体" w:cs="宋体" w:eastAsia="宋体" w:hint="default"/>
                <w:spacing w:val="-55"/>
                <w:sz w:val="21"/>
                <w:szCs w:val="21"/>
              </w:rPr>
              <w:t> </w:t>
            </w:r>
            <w:r>
              <w:rPr>
                <w:rFonts w:ascii="宋体" w:hAnsi="宋体" w:cs="宋体" w:eastAsia="宋体" w:hint="default"/>
                <w:sz w:val="21"/>
                <w:szCs w:val="21"/>
              </w:rPr>
              <w:t>个百分点</w:t>
            </w:r>
          </w:p>
        </w:tc>
      </w:tr>
      <w:tr>
        <w:trPr>
          <w:trHeight w:val="322" w:hRule="exact"/>
        </w:trPr>
        <w:tc>
          <w:tcPr>
            <w:tcW w:w="200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其中：关联交易</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z w:val="21"/>
              </w:rPr>
              <w:t>692,501,476</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pacing w:val="-1"/>
                <w:sz w:val="21"/>
              </w:rPr>
              <w:t>525,886,032</w:t>
            </w:r>
            <w:r>
              <w:rPr>
                <w:rFonts w:ascii="宋体"/>
                <w:sz w:val="21"/>
              </w:rPr>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24.06</w:t>
            </w:r>
          </w:p>
        </w:tc>
        <w:tc>
          <w:tcPr>
            <w:tcW w:w="103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3"/>
              <w:jc w:val="right"/>
              <w:rPr>
                <w:rFonts w:ascii="宋体" w:hAnsi="宋体" w:cs="宋体" w:eastAsia="宋体" w:hint="default"/>
                <w:sz w:val="21"/>
                <w:szCs w:val="21"/>
              </w:rPr>
            </w:pPr>
            <w:r>
              <w:rPr>
                <w:rFonts w:ascii="宋体"/>
                <w:spacing w:val="-1"/>
                <w:w w:val="95"/>
                <w:sz w:val="21"/>
              </w:rPr>
              <w:t>24.54</w:t>
            </w:r>
            <w:r>
              <w:rPr>
                <w:rFonts w:ascii="宋体"/>
                <w:w w:val="95"/>
                <w:sz w:val="21"/>
              </w:rPr>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97"/>
              <w:jc w:val="right"/>
              <w:rPr>
                <w:rFonts w:ascii="宋体" w:hAnsi="宋体" w:cs="宋体" w:eastAsia="宋体" w:hint="default"/>
                <w:sz w:val="21"/>
                <w:szCs w:val="21"/>
              </w:rPr>
            </w:pPr>
            <w:r>
              <w:rPr>
                <w:rFonts w:ascii="宋体"/>
                <w:spacing w:val="-1"/>
                <w:w w:val="95"/>
                <w:sz w:val="21"/>
              </w:rPr>
              <w:t>38.44</w:t>
            </w:r>
            <w:r>
              <w:rPr>
                <w:rFonts w:ascii="宋体"/>
                <w:w w:val="95"/>
                <w:sz w:val="21"/>
              </w:rPr>
            </w:r>
          </w:p>
        </w:tc>
        <w:tc>
          <w:tcPr>
            <w:tcW w:w="199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60"/>
                <w:sz w:val="21"/>
                <w:szCs w:val="21"/>
              </w:rPr>
              <w:t> </w:t>
            </w:r>
            <w:r>
              <w:rPr>
                <w:rFonts w:ascii="宋体" w:hAnsi="宋体" w:cs="宋体" w:eastAsia="宋体" w:hint="default"/>
                <w:sz w:val="21"/>
                <w:szCs w:val="21"/>
              </w:rPr>
              <w:t>7.62</w:t>
            </w:r>
            <w:r>
              <w:rPr>
                <w:rFonts w:ascii="宋体" w:hAnsi="宋体" w:cs="宋体" w:eastAsia="宋体" w:hint="default"/>
                <w:spacing w:val="-59"/>
                <w:sz w:val="21"/>
                <w:szCs w:val="21"/>
              </w:rPr>
              <w:t> </w:t>
            </w:r>
            <w:r>
              <w:rPr>
                <w:rFonts w:ascii="宋体" w:hAnsi="宋体" w:cs="宋体" w:eastAsia="宋体" w:hint="default"/>
                <w:sz w:val="21"/>
                <w:szCs w:val="21"/>
              </w:rPr>
              <w:t>个百分点</w:t>
            </w:r>
          </w:p>
        </w:tc>
      </w:tr>
      <w:tr>
        <w:trPr>
          <w:trHeight w:val="323" w:hRule="exact"/>
        </w:trPr>
        <w:tc>
          <w:tcPr>
            <w:tcW w:w="2005"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关联交易定价原则</w:t>
            </w:r>
          </w:p>
        </w:tc>
        <w:tc>
          <w:tcPr>
            <w:tcW w:w="8284" w:type="dxa"/>
            <w:gridSpan w:val="6"/>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z w:val="21"/>
                <w:szCs w:val="21"/>
              </w:rPr>
              <w:t>按照市场价格协议定价</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p>
      <w:pPr>
        <w:pStyle w:val="BodyText"/>
        <w:spacing w:line="240" w:lineRule="auto"/>
        <w:ind w:left="718" w:right="666"/>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700" w:right="680"/>
        </w:sectPr>
      </w:pPr>
    </w:p>
    <w:p>
      <w:pPr>
        <w:spacing w:line="240" w:lineRule="auto" w:before="6"/>
        <w:rPr>
          <w:rFonts w:ascii="黑体" w:hAnsi="黑体" w:cs="黑体" w:eastAsia="黑体" w:hint="default"/>
          <w:sz w:val="15"/>
          <w:szCs w:val="15"/>
        </w:rPr>
      </w:pPr>
    </w:p>
    <w:p>
      <w:pPr>
        <w:pStyle w:val="Heading5"/>
        <w:spacing w:line="313" w:lineRule="exact" w:before="26"/>
        <w:ind w:left="1078" w:right="3706"/>
        <w:jc w:val="left"/>
      </w:pPr>
      <w:r>
        <w:rPr/>
        <w:t>变动情况说明：</w:t>
      </w:r>
    </w:p>
    <w:p>
      <w:pPr>
        <w:spacing w:line="312" w:lineRule="exact" w:before="29"/>
        <w:ind w:left="1078" w:right="1058" w:firstLine="480"/>
        <w:jc w:val="left"/>
        <w:rPr>
          <w:rFonts w:ascii="宋体" w:hAnsi="宋体" w:cs="宋体" w:eastAsia="宋体" w:hint="default"/>
          <w:sz w:val="24"/>
          <w:szCs w:val="24"/>
        </w:rPr>
      </w:pPr>
      <w:r>
        <w:rPr>
          <w:rFonts w:ascii="宋体" w:hAnsi="宋体" w:cs="宋体" w:eastAsia="宋体" w:hint="default"/>
          <w:sz w:val="24"/>
          <w:szCs w:val="24"/>
        </w:rPr>
        <w:t>①报告期内，软件及系统集成营业利润率较上年同期减少 1.70</w:t>
      </w:r>
      <w:r>
        <w:rPr>
          <w:rFonts w:ascii="宋体" w:hAnsi="宋体" w:cs="宋体" w:eastAsia="宋体" w:hint="default"/>
          <w:spacing w:val="-52"/>
          <w:sz w:val="24"/>
          <w:szCs w:val="24"/>
        </w:rPr>
        <w:t> </w:t>
      </w:r>
      <w:r>
        <w:rPr>
          <w:rFonts w:ascii="宋体" w:hAnsi="宋体" w:cs="宋体" w:eastAsia="宋体" w:hint="default"/>
          <w:sz w:val="24"/>
          <w:szCs w:val="24"/>
        </w:rPr>
        <w:t>个百分点，主要由</w:t>
      </w:r>
      <w:r>
        <w:rPr>
          <w:rFonts w:ascii="宋体" w:hAnsi="宋体" w:cs="宋体" w:eastAsia="宋体" w:hint="default"/>
          <w:sz w:val="24"/>
          <w:szCs w:val="24"/>
        </w:rPr>
        <w:t> 于公司人工费用等成本增加所致；</w:t>
      </w:r>
    </w:p>
    <w:p>
      <w:pPr>
        <w:spacing w:line="312" w:lineRule="exact" w:before="0"/>
        <w:ind w:left="1078" w:right="1058" w:firstLine="480"/>
        <w:jc w:val="left"/>
        <w:rPr>
          <w:rFonts w:ascii="宋体" w:hAnsi="宋体" w:cs="宋体" w:eastAsia="宋体" w:hint="default"/>
          <w:sz w:val="24"/>
          <w:szCs w:val="24"/>
        </w:rPr>
      </w:pPr>
      <w:r>
        <w:rPr>
          <w:rFonts w:ascii="宋体" w:hAnsi="宋体" w:cs="宋体" w:eastAsia="宋体" w:hint="default"/>
          <w:sz w:val="24"/>
          <w:szCs w:val="24"/>
        </w:rPr>
        <w:t>②报告期内医疗系统业务营业利润率较上年同期增加 1.91</w:t>
      </w:r>
      <w:r>
        <w:rPr>
          <w:rFonts w:ascii="宋体" w:hAnsi="宋体" w:cs="宋体" w:eastAsia="宋体" w:hint="default"/>
          <w:spacing w:val="-52"/>
          <w:sz w:val="24"/>
          <w:szCs w:val="24"/>
        </w:rPr>
        <w:t> </w:t>
      </w:r>
      <w:r>
        <w:rPr>
          <w:rFonts w:ascii="宋体" w:hAnsi="宋体" w:cs="宋体" w:eastAsia="宋体" w:hint="default"/>
          <w:sz w:val="24"/>
          <w:szCs w:val="24"/>
        </w:rPr>
        <w:t>个百分点，主要由于产</w:t>
      </w:r>
      <w:r>
        <w:rPr>
          <w:rFonts w:ascii="宋体" w:hAnsi="宋体" w:cs="宋体" w:eastAsia="宋体" w:hint="default"/>
          <w:sz w:val="24"/>
          <w:szCs w:val="24"/>
        </w:rPr>
        <w:t> 品结构变化所致。</w:t>
      </w:r>
    </w:p>
    <w:p>
      <w:pPr>
        <w:spacing w:before="94"/>
        <w:ind w:left="1078" w:right="3706" w:firstLine="0"/>
        <w:jc w:val="left"/>
        <w:rPr>
          <w:rFonts w:ascii="宋体" w:hAnsi="宋体" w:cs="宋体" w:eastAsia="宋体" w:hint="default"/>
          <w:sz w:val="24"/>
          <w:szCs w:val="24"/>
        </w:rPr>
      </w:pPr>
      <w:r>
        <w:rPr>
          <w:rFonts w:ascii="宋体" w:hAnsi="宋体" w:cs="宋体" w:eastAsia="宋体" w:hint="default"/>
          <w:sz w:val="24"/>
          <w:szCs w:val="24"/>
        </w:rPr>
        <w:t>（2）主营业务分地区情况</w:t>
      </w:r>
    </w:p>
    <w:p>
      <w:pPr>
        <w:pStyle w:val="BodyText"/>
        <w:spacing w:line="240" w:lineRule="auto" w:before="21"/>
        <w:ind w:left="0" w:right="1074"/>
        <w:jc w:val="right"/>
        <w:rPr>
          <w:rFonts w:ascii="宋体" w:hAnsi="宋体" w:cs="宋体" w:eastAsia="宋体" w:hint="default"/>
        </w:rPr>
      </w:pPr>
      <w:r>
        <w:rPr>
          <w:rFonts w:ascii="宋体" w:hAnsi="宋体" w:cs="宋体" w:eastAsia="宋体" w:hint="default"/>
        </w:rPr>
        <w:t>单位：元</w:t>
      </w:r>
      <w:r>
        <w:rPr>
          <w:rFonts w:ascii="宋体" w:hAnsi="宋体" w:cs="宋体" w:eastAsia="宋体" w:hint="default"/>
          <w:spacing w:val="-2"/>
        </w:rPr>
        <w:t> </w:t>
      </w:r>
      <w:r>
        <w:rPr>
          <w:rFonts w:ascii="宋体" w:hAnsi="宋体" w:cs="宋体" w:eastAsia="宋体" w:hint="default"/>
        </w:rPr>
        <w:t>币种：人民币</w:t>
      </w:r>
    </w:p>
    <w:p>
      <w:pPr>
        <w:spacing w:line="240" w:lineRule="auto" w:before="13"/>
        <w:rPr>
          <w:rFonts w:ascii="宋体" w:hAnsi="宋体" w:cs="宋体" w:eastAsia="宋体" w:hint="default"/>
          <w:sz w:val="3"/>
          <w:szCs w:val="3"/>
        </w:rPr>
      </w:pPr>
    </w:p>
    <w:tbl>
      <w:tblPr>
        <w:tblW w:w="0" w:type="auto"/>
        <w:jc w:val="left"/>
        <w:tblInd w:w="1062" w:type="dxa"/>
        <w:tblLayout w:type="fixed"/>
        <w:tblCellMar>
          <w:top w:w="0" w:type="dxa"/>
          <w:left w:w="0" w:type="dxa"/>
          <w:bottom w:w="0" w:type="dxa"/>
          <w:right w:w="0" w:type="dxa"/>
        </w:tblCellMar>
        <w:tblLook w:val="01E0"/>
      </w:tblPr>
      <w:tblGrid>
        <w:gridCol w:w="2443"/>
        <w:gridCol w:w="3005"/>
        <w:gridCol w:w="3632"/>
      </w:tblGrid>
      <w:tr>
        <w:trPr>
          <w:trHeight w:val="328" w:hRule="exact"/>
        </w:trPr>
        <w:tc>
          <w:tcPr>
            <w:tcW w:w="24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地区</w:t>
            </w:r>
          </w:p>
        </w:tc>
        <w:tc>
          <w:tcPr>
            <w:tcW w:w="300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363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48" w:right="0"/>
              <w:jc w:val="left"/>
              <w:rPr>
                <w:rFonts w:ascii="宋体" w:hAnsi="宋体" w:cs="宋体" w:eastAsia="宋体" w:hint="default"/>
                <w:sz w:val="21"/>
                <w:szCs w:val="21"/>
              </w:rPr>
            </w:pPr>
            <w:r>
              <w:rPr>
                <w:rFonts w:ascii="宋体" w:hAnsi="宋体" w:cs="宋体" w:eastAsia="宋体" w:hint="default"/>
                <w:sz w:val="21"/>
                <w:szCs w:val="21"/>
              </w:rPr>
              <w:t>营业收入比上年增减（％）</w:t>
            </w:r>
          </w:p>
        </w:tc>
      </w:tr>
      <w:tr>
        <w:trPr>
          <w:trHeight w:val="326" w:hRule="exact"/>
        </w:trPr>
        <w:tc>
          <w:tcPr>
            <w:tcW w:w="244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境内</w:t>
            </w:r>
          </w:p>
        </w:tc>
        <w:tc>
          <w:tcPr>
            <w:tcW w:w="3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3,897,770,840</w:t>
            </w:r>
          </w:p>
        </w:tc>
        <w:tc>
          <w:tcPr>
            <w:tcW w:w="3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15.81</w:t>
            </w:r>
          </w:p>
        </w:tc>
      </w:tr>
      <w:tr>
        <w:trPr>
          <w:trHeight w:val="328" w:hRule="exact"/>
        </w:trPr>
        <w:tc>
          <w:tcPr>
            <w:tcW w:w="24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境外</w:t>
            </w:r>
          </w:p>
        </w:tc>
        <w:tc>
          <w:tcPr>
            <w:tcW w:w="3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1,853,478,490</w:t>
            </w:r>
          </w:p>
        </w:tc>
        <w:tc>
          <w:tcPr>
            <w:tcW w:w="3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17.90</w:t>
            </w:r>
          </w:p>
        </w:tc>
      </w:tr>
    </w:tbl>
    <w:p>
      <w:pPr>
        <w:pStyle w:val="Heading5"/>
        <w:spacing w:line="274" w:lineRule="exact"/>
        <w:ind w:left="1078" w:right="3706"/>
        <w:jc w:val="left"/>
      </w:pPr>
      <w:r>
        <w:rPr/>
        <w:t>变动情况说明：</w:t>
      </w:r>
    </w:p>
    <w:p>
      <w:pPr>
        <w:spacing w:line="312" w:lineRule="exact" w:before="29"/>
        <w:ind w:left="1078" w:right="1060" w:firstLine="480"/>
        <w:jc w:val="left"/>
        <w:rPr>
          <w:rFonts w:ascii="宋体" w:hAnsi="宋体" w:cs="宋体" w:eastAsia="宋体" w:hint="default"/>
          <w:sz w:val="24"/>
          <w:szCs w:val="24"/>
        </w:rPr>
      </w:pPr>
      <w:r>
        <w:rPr>
          <w:rFonts w:ascii="宋体" w:hAnsi="宋体" w:cs="宋体" w:eastAsia="宋体" w:hint="default"/>
          <w:sz w:val="24"/>
          <w:szCs w:val="24"/>
        </w:rPr>
        <w:t>报告期内公司境外营业收入较上年增长</w:t>
      </w:r>
      <w:r>
        <w:rPr>
          <w:rFonts w:ascii="宋体" w:hAnsi="宋体" w:cs="宋体" w:eastAsia="宋体" w:hint="default"/>
          <w:spacing w:val="-42"/>
          <w:sz w:val="24"/>
          <w:szCs w:val="24"/>
        </w:rPr>
        <w:t> </w:t>
      </w:r>
      <w:r>
        <w:rPr>
          <w:rFonts w:ascii="宋体" w:hAnsi="宋体" w:cs="宋体" w:eastAsia="宋体" w:hint="default"/>
          <w:spacing w:val="-6"/>
          <w:sz w:val="24"/>
          <w:szCs w:val="24"/>
        </w:rPr>
        <w:t>17.90%，主要是由于国际软件业务的增长贡</w:t>
      </w:r>
      <w:r>
        <w:rPr>
          <w:rFonts w:ascii="宋体" w:hAnsi="宋体" w:cs="宋体" w:eastAsia="宋体" w:hint="default"/>
          <w:sz w:val="24"/>
          <w:szCs w:val="24"/>
        </w:rPr>
        <w:t> 献；境内营业收入较上年同期增长</w:t>
      </w:r>
      <w:r>
        <w:rPr>
          <w:rFonts w:ascii="宋体" w:hAnsi="宋体" w:cs="宋体" w:eastAsia="宋体" w:hint="default"/>
          <w:spacing w:val="-60"/>
          <w:sz w:val="24"/>
          <w:szCs w:val="24"/>
        </w:rPr>
        <w:t> </w:t>
      </w:r>
      <w:r>
        <w:rPr>
          <w:rFonts w:ascii="宋体" w:hAnsi="宋体" w:cs="宋体" w:eastAsia="宋体" w:hint="default"/>
          <w:sz w:val="24"/>
          <w:szCs w:val="24"/>
        </w:rPr>
        <w:t>15.81%，主要是公司业务拓展带来的增长。</w:t>
      </w:r>
    </w:p>
    <w:p>
      <w:pPr>
        <w:spacing w:before="94"/>
        <w:ind w:left="1078" w:right="3706" w:firstLine="0"/>
        <w:jc w:val="left"/>
        <w:rPr>
          <w:rFonts w:ascii="宋体" w:hAnsi="宋体" w:cs="宋体" w:eastAsia="宋体" w:hint="default"/>
          <w:sz w:val="24"/>
          <w:szCs w:val="24"/>
        </w:rPr>
      </w:pPr>
      <w:r>
        <w:rPr>
          <w:rFonts w:ascii="宋体" w:hAnsi="宋体" w:cs="宋体" w:eastAsia="宋体" w:hint="default"/>
          <w:sz w:val="24"/>
          <w:szCs w:val="24"/>
        </w:rPr>
        <w:t>（3）对公司净利润影响达到</w:t>
      </w:r>
      <w:r>
        <w:rPr>
          <w:rFonts w:ascii="宋体" w:hAnsi="宋体" w:cs="宋体" w:eastAsia="宋体" w:hint="default"/>
          <w:spacing w:val="-60"/>
          <w:sz w:val="24"/>
          <w:szCs w:val="24"/>
        </w:rPr>
        <w:t> </w:t>
      </w:r>
      <w:r>
        <w:rPr>
          <w:rFonts w:ascii="宋体" w:hAnsi="宋体" w:cs="宋体" w:eastAsia="宋体" w:hint="default"/>
          <w:sz w:val="24"/>
          <w:szCs w:val="24"/>
        </w:rPr>
        <w:t>10%以上公司</w:t>
      </w:r>
    </w:p>
    <w:p>
      <w:pPr>
        <w:pStyle w:val="BodyText"/>
        <w:spacing w:line="240" w:lineRule="auto" w:before="22"/>
        <w:ind w:left="0" w:right="1074"/>
        <w:jc w:val="right"/>
        <w:rPr>
          <w:rFonts w:ascii="宋体" w:hAnsi="宋体" w:cs="宋体" w:eastAsia="宋体" w:hint="default"/>
        </w:rPr>
      </w:pPr>
      <w:r>
        <w:rPr>
          <w:rFonts w:ascii="宋体" w:hAnsi="宋体" w:cs="宋体" w:eastAsia="宋体" w:hint="default"/>
        </w:rPr>
        <w:t>单位：元</w:t>
      </w:r>
      <w:r>
        <w:rPr>
          <w:rFonts w:ascii="宋体" w:hAnsi="宋体" w:cs="宋体" w:eastAsia="宋体" w:hint="default"/>
          <w:spacing w:val="-2"/>
        </w:rPr>
        <w:t> </w:t>
      </w:r>
      <w:r>
        <w:rPr>
          <w:rFonts w:ascii="宋体" w:hAnsi="宋体" w:cs="宋体" w:eastAsia="宋体" w:hint="default"/>
        </w:rPr>
        <w:t>币种：人民币</w:t>
      </w:r>
    </w:p>
    <w:p>
      <w:pPr>
        <w:spacing w:line="240" w:lineRule="auto" w:before="13"/>
        <w:rPr>
          <w:rFonts w:ascii="宋体" w:hAnsi="宋体" w:cs="宋体" w:eastAsia="宋体" w:hint="default"/>
          <w:sz w:val="3"/>
          <w:szCs w:val="3"/>
        </w:rPr>
      </w:pPr>
    </w:p>
    <w:tbl>
      <w:tblPr>
        <w:tblW w:w="0" w:type="auto"/>
        <w:jc w:val="left"/>
        <w:tblInd w:w="117" w:type="dxa"/>
        <w:tblLayout w:type="fixed"/>
        <w:tblCellMar>
          <w:top w:w="0" w:type="dxa"/>
          <w:left w:w="0" w:type="dxa"/>
          <w:bottom w:w="0" w:type="dxa"/>
          <w:right w:w="0" w:type="dxa"/>
        </w:tblCellMar>
        <w:tblLook w:val="01E0"/>
      </w:tblPr>
      <w:tblGrid>
        <w:gridCol w:w="1308"/>
        <w:gridCol w:w="1043"/>
        <w:gridCol w:w="1291"/>
        <w:gridCol w:w="1181"/>
        <w:gridCol w:w="1403"/>
        <w:gridCol w:w="1343"/>
        <w:gridCol w:w="1202"/>
        <w:gridCol w:w="1080"/>
        <w:gridCol w:w="1132"/>
      </w:tblGrid>
      <w:tr>
        <w:trPr>
          <w:trHeight w:val="634" w:hRule="exact"/>
        </w:trPr>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469" w:right="197" w:hanging="270"/>
              <w:jc w:val="left"/>
              <w:rPr>
                <w:rFonts w:ascii="宋体" w:hAnsi="宋体" w:cs="宋体" w:eastAsia="宋体" w:hint="default"/>
                <w:sz w:val="18"/>
                <w:szCs w:val="18"/>
              </w:rPr>
            </w:pPr>
            <w:r>
              <w:rPr>
                <w:rFonts w:ascii="宋体" w:hAnsi="宋体" w:cs="宋体" w:eastAsia="宋体" w:hint="default"/>
                <w:sz w:val="18"/>
                <w:szCs w:val="18"/>
              </w:rPr>
              <w:t>被投资单位 名称</w:t>
            </w:r>
          </w:p>
        </w:tc>
        <w:tc>
          <w:tcPr>
            <w:tcW w:w="1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56" w:right="0"/>
              <w:jc w:val="left"/>
              <w:rPr>
                <w:rFonts w:ascii="宋体" w:hAnsi="宋体" w:cs="宋体" w:eastAsia="宋体" w:hint="default"/>
                <w:sz w:val="18"/>
                <w:szCs w:val="18"/>
              </w:rPr>
            </w:pPr>
            <w:r>
              <w:rPr>
                <w:rFonts w:ascii="宋体" w:hAnsi="宋体" w:cs="宋体" w:eastAsia="宋体" w:hint="default"/>
                <w:sz w:val="18"/>
                <w:szCs w:val="18"/>
              </w:rPr>
              <w:t>经营范围</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79"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4" w:right="134" w:hanging="90"/>
              <w:jc w:val="left"/>
              <w:rPr>
                <w:rFonts w:ascii="宋体" w:hAnsi="宋体" w:cs="宋体" w:eastAsia="宋体" w:hint="default"/>
                <w:sz w:val="18"/>
                <w:szCs w:val="18"/>
              </w:rPr>
            </w:pPr>
            <w:r>
              <w:rPr>
                <w:rFonts w:ascii="宋体" w:hAnsi="宋体" w:cs="宋体" w:eastAsia="宋体" w:hint="default"/>
                <w:sz w:val="18"/>
                <w:szCs w:val="18"/>
              </w:rPr>
              <w:t>本公司直接 持股比例</w:t>
            </w:r>
          </w:p>
        </w:tc>
        <w:tc>
          <w:tcPr>
            <w:tcW w:w="1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44" w:right="0"/>
              <w:jc w:val="left"/>
              <w:rPr>
                <w:rFonts w:ascii="宋体" w:hAnsi="宋体" w:cs="宋体" w:eastAsia="宋体" w:hint="default"/>
                <w:sz w:val="18"/>
                <w:szCs w:val="18"/>
              </w:rPr>
            </w:pPr>
            <w:r>
              <w:rPr>
                <w:rFonts w:ascii="宋体" w:hAnsi="宋体" w:cs="宋体" w:eastAsia="宋体" w:hint="default"/>
                <w:sz w:val="18"/>
                <w:szCs w:val="18"/>
              </w:rPr>
              <w:t>期末总资产</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14" w:right="0"/>
              <w:jc w:val="left"/>
              <w:rPr>
                <w:rFonts w:ascii="宋体" w:hAnsi="宋体" w:cs="宋体" w:eastAsia="宋体" w:hint="default"/>
                <w:sz w:val="18"/>
                <w:szCs w:val="18"/>
              </w:rPr>
            </w:pPr>
            <w:r>
              <w:rPr>
                <w:rFonts w:ascii="宋体" w:hAnsi="宋体" w:cs="宋体" w:eastAsia="宋体" w:hint="default"/>
                <w:sz w:val="18"/>
                <w:szCs w:val="18"/>
              </w:rPr>
              <w:t>期末净资产</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3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营业利润</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当期净利润</w:t>
            </w:r>
          </w:p>
        </w:tc>
      </w:tr>
      <w:tr>
        <w:trPr>
          <w:trHeight w:val="634" w:hRule="exact"/>
        </w:trPr>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98"/>
              <w:jc w:val="left"/>
              <w:rPr>
                <w:rFonts w:ascii="宋体" w:hAnsi="宋体" w:cs="宋体" w:eastAsia="宋体" w:hint="default"/>
                <w:sz w:val="18"/>
                <w:szCs w:val="18"/>
              </w:rPr>
            </w:pPr>
            <w:r>
              <w:rPr>
                <w:rFonts w:ascii="宋体" w:hAnsi="宋体" w:cs="宋体" w:eastAsia="宋体" w:hint="default"/>
                <w:spacing w:val="2"/>
                <w:sz w:val="18"/>
                <w:szCs w:val="18"/>
              </w:rPr>
              <w:t>沈阳东软医疗 </w:t>
            </w:r>
            <w:r>
              <w:rPr>
                <w:rFonts w:ascii="宋体" w:hAnsi="宋体" w:cs="宋体" w:eastAsia="宋体" w:hint="default"/>
                <w:sz w:val="18"/>
                <w:szCs w:val="18"/>
              </w:rPr>
              <w:t>系统有限公司</w:t>
            </w:r>
          </w:p>
        </w:tc>
        <w:tc>
          <w:tcPr>
            <w:tcW w:w="104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68"/>
              <w:jc w:val="left"/>
              <w:rPr>
                <w:rFonts w:ascii="宋体" w:hAnsi="宋体" w:cs="宋体" w:eastAsia="宋体" w:hint="default"/>
                <w:sz w:val="18"/>
                <w:szCs w:val="18"/>
              </w:rPr>
            </w:pPr>
            <w:r>
              <w:rPr>
                <w:rFonts w:ascii="宋体" w:hAnsi="宋体" w:cs="宋体" w:eastAsia="宋体" w:hint="default"/>
                <w:spacing w:val="25"/>
                <w:sz w:val="18"/>
                <w:szCs w:val="18"/>
              </w:rPr>
              <w:t>经营医疗</w:t>
            </w:r>
            <w:r>
              <w:rPr>
                <w:rFonts w:ascii="宋体" w:hAnsi="宋体" w:cs="宋体" w:eastAsia="宋体" w:hint="default"/>
                <w:spacing w:val="-56"/>
                <w:sz w:val="18"/>
                <w:szCs w:val="18"/>
              </w:rPr>
              <w:t> </w:t>
            </w:r>
            <w:r>
              <w:rPr>
                <w:rFonts w:ascii="宋体" w:hAnsi="宋体" w:cs="宋体" w:eastAsia="宋体" w:hint="default"/>
                <w:sz w:val="18"/>
                <w:szCs w:val="18"/>
              </w:rPr>
              <w:t>系统</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78,000,000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w:t>
            </w:r>
          </w:p>
        </w:tc>
        <w:tc>
          <w:tcPr>
            <w:tcW w:w="1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50"/>
              <w:jc w:val="right"/>
              <w:rPr>
                <w:rFonts w:ascii="宋体" w:hAnsi="宋体" w:cs="宋体" w:eastAsia="宋体" w:hint="default"/>
                <w:sz w:val="18"/>
                <w:szCs w:val="18"/>
              </w:rPr>
            </w:pPr>
            <w:r>
              <w:rPr>
                <w:rFonts w:ascii="宋体"/>
                <w:sz w:val="18"/>
              </w:rPr>
              <w:t>1,422,937,977</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50"/>
              <w:jc w:val="right"/>
              <w:rPr>
                <w:rFonts w:ascii="宋体" w:hAnsi="宋体" w:cs="宋体" w:eastAsia="宋体" w:hint="default"/>
                <w:sz w:val="18"/>
                <w:szCs w:val="18"/>
              </w:rPr>
            </w:pPr>
            <w:r>
              <w:rPr>
                <w:rFonts w:ascii="宋体"/>
                <w:sz w:val="18"/>
              </w:rPr>
              <w:t>804,382,313</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50"/>
              <w:jc w:val="right"/>
              <w:rPr>
                <w:rFonts w:ascii="宋体" w:hAnsi="宋体" w:cs="宋体" w:eastAsia="宋体" w:hint="default"/>
                <w:sz w:val="18"/>
                <w:szCs w:val="18"/>
              </w:rPr>
            </w:pPr>
            <w:r>
              <w:rPr>
                <w:rFonts w:ascii="宋体"/>
                <w:sz w:val="18"/>
              </w:rPr>
              <w:t>889,512,382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4" w:right="0"/>
              <w:jc w:val="center"/>
              <w:rPr>
                <w:rFonts w:ascii="宋体" w:hAnsi="宋体" w:cs="宋体" w:eastAsia="宋体" w:hint="default"/>
                <w:sz w:val="18"/>
                <w:szCs w:val="18"/>
              </w:rPr>
            </w:pPr>
            <w:r>
              <w:rPr>
                <w:rFonts w:ascii="宋体"/>
                <w:sz w:val="18"/>
              </w:rPr>
              <w:t>34,319,203</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3" w:right="0"/>
              <w:jc w:val="center"/>
              <w:rPr>
                <w:rFonts w:ascii="宋体" w:hAnsi="宋体" w:cs="宋体" w:eastAsia="宋体" w:hint="default"/>
                <w:sz w:val="18"/>
                <w:szCs w:val="18"/>
              </w:rPr>
            </w:pPr>
            <w:r>
              <w:rPr>
                <w:rFonts w:ascii="宋体"/>
                <w:sz w:val="18"/>
              </w:rPr>
              <w:t>58,494,719</w:t>
            </w:r>
          </w:p>
        </w:tc>
      </w:tr>
      <w:tr>
        <w:trPr>
          <w:trHeight w:val="635" w:hRule="exact"/>
        </w:trPr>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98"/>
              <w:jc w:val="left"/>
              <w:rPr>
                <w:rFonts w:ascii="宋体" w:hAnsi="宋体" w:cs="宋体" w:eastAsia="宋体" w:hint="default"/>
                <w:sz w:val="18"/>
                <w:szCs w:val="18"/>
              </w:rPr>
            </w:pPr>
            <w:r>
              <w:rPr>
                <w:rFonts w:ascii="宋体" w:hAnsi="宋体" w:cs="宋体" w:eastAsia="宋体" w:hint="default"/>
                <w:spacing w:val="2"/>
                <w:sz w:val="18"/>
                <w:szCs w:val="18"/>
              </w:rPr>
              <w:t>东软集团（大 </w:t>
            </w:r>
            <w:r>
              <w:rPr>
                <w:rFonts w:ascii="宋体" w:hAnsi="宋体" w:cs="宋体" w:eastAsia="宋体" w:hint="default"/>
                <w:sz w:val="18"/>
                <w:szCs w:val="18"/>
              </w:rPr>
              <w:t>连）有限公司</w:t>
            </w:r>
          </w:p>
        </w:tc>
        <w:tc>
          <w:tcPr>
            <w:tcW w:w="104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68"/>
              <w:jc w:val="left"/>
              <w:rPr>
                <w:rFonts w:ascii="宋体" w:hAnsi="宋体" w:cs="宋体" w:eastAsia="宋体" w:hint="default"/>
                <w:sz w:val="18"/>
                <w:szCs w:val="18"/>
              </w:rPr>
            </w:pPr>
            <w:r>
              <w:rPr>
                <w:rFonts w:ascii="宋体" w:hAnsi="宋体" w:cs="宋体" w:eastAsia="宋体" w:hint="default"/>
                <w:spacing w:val="25"/>
                <w:sz w:val="18"/>
                <w:szCs w:val="18"/>
              </w:rPr>
              <w:t>经营计算</w:t>
            </w:r>
            <w:r>
              <w:rPr>
                <w:rFonts w:ascii="宋体" w:hAnsi="宋体" w:cs="宋体" w:eastAsia="宋体" w:hint="default"/>
                <w:spacing w:val="-56"/>
                <w:sz w:val="18"/>
                <w:szCs w:val="18"/>
              </w:rPr>
              <w:t> </w:t>
            </w:r>
            <w:r>
              <w:rPr>
                <w:rFonts w:ascii="宋体" w:hAnsi="宋体" w:cs="宋体" w:eastAsia="宋体" w:hint="default"/>
                <w:spacing w:val="-15"/>
                <w:sz w:val="18"/>
                <w:szCs w:val="18"/>
              </w:rPr>
              <w:t>机软、硬件</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300,000,000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w:t>
            </w:r>
          </w:p>
        </w:tc>
        <w:tc>
          <w:tcPr>
            <w:tcW w:w="1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50"/>
              <w:jc w:val="right"/>
              <w:rPr>
                <w:rFonts w:ascii="宋体" w:hAnsi="宋体" w:cs="宋体" w:eastAsia="宋体" w:hint="default"/>
                <w:sz w:val="18"/>
                <w:szCs w:val="18"/>
              </w:rPr>
            </w:pPr>
            <w:r>
              <w:rPr>
                <w:rFonts w:ascii="宋体"/>
                <w:sz w:val="18"/>
              </w:rPr>
              <w:t>765,827,435</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50"/>
              <w:jc w:val="right"/>
              <w:rPr>
                <w:rFonts w:ascii="宋体" w:hAnsi="宋体" w:cs="宋体" w:eastAsia="宋体" w:hint="default"/>
                <w:sz w:val="18"/>
                <w:szCs w:val="18"/>
              </w:rPr>
            </w:pPr>
            <w:r>
              <w:rPr>
                <w:rFonts w:ascii="宋体"/>
                <w:sz w:val="18"/>
              </w:rPr>
              <w:t>456,685,151</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50"/>
              <w:jc w:val="right"/>
              <w:rPr>
                <w:rFonts w:ascii="宋体" w:hAnsi="宋体" w:cs="宋体" w:eastAsia="宋体" w:hint="default"/>
                <w:sz w:val="18"/>
                <w:szCs w:val="18"/>
              </w:rPr>
            </w:pPr>
            <w:r>
              <w:rPr>
                <w:rFonts w:ascii="宋体"/>
                <w:sz w:val="18"/>
              </w:rPr>
              <w:t>737,038,510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4" w:right="0"/>
              <w:jc w:val="center"/>
              <w:rPr>
                <w:rFonts w:ascii="宋体" w:hAnsi="宋体" w:cs="宋体" w:eastAsia="宋体" w:hint="default"/>
                <w:sz w:val="18"/>
                <w:szCs w:val="18"/>
              </w:rPr>
            </w:pPr>
            <w:r>
              <w:rPr>
                <w:rFonts w:ascii="宋体"/>
                <w:sz w:val="18"/>
              </w:rPr>
              <w:t>70,779,034</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3" w:right="0"/>
              <w:jc w:val="center"/>
              <w:rPr>
                <w:rFonts w:ascii="宋体" w:hAnsi="宋体" w:cs="宋体" w:eastAsia="宋体" w:hint="default"/>
                <w:sz w:val="18"/>
                <w:szCs w:val="18"/>
              </w:rPr>
            </w:pPr>
            <w:r>
              <w:rPr>
                <w:rFonts w:ascii="宋体"/>
                <w:sz w:val="18"/>
              </w:rPr>
              <w:t>75,430,505</w:t>
            </w:r>
          </w:p>
        </w:tc>
      </w:tr>
    </w:tbl>
    <w:p>
      <w:pPr>
        <w:spacing w:after="0" w:line="240" w:lineRule="auto"/>
        <w:jc w:val="center"/>
        <w:rPr>
          <w:rFonts w:ascii="宋体" w:hAnsi="宋体" w:cs="宋体" w:eastAsia="宋体" w:hint="default"/>
          <w:sz w:val="18"/>
          <w:szCs w:val="18"/>
        </w:rPr>
        <w:sectPr>
          <w:pgSz w:w="11910" w:h="16840"/>
          <w:pgMar w:header="1012" w:footer="480" w:top="1360" w:bottom="660" w:left="340" w:right="340"/>
        </w:sectPr>
      </w:pPr>
    </w:p>
    <w:p>
      <w:pPr>
        <w:pStyle w:val="Heading5"/>
        <w:spacing w:line="240" w:lineRule="auto" w:before="85"/>
        <w:ind w:left="1078" w:right="-20"/>
        <w:jc w:val="left"/>
      </w:pPr>
      <w:r>
        <w:rPr/>
        <w:t>（4）其他主要公司</w:t>
      </w:r>
    </w:p>
    <w:p>
      <w:pPr>
        <w:spacing w:line="240" w:lineRule="auto" w:before="0"/>
        <w:rPr>
          <w:rFonts w:ascii="宋体" w:hAnsi="宋体" w:cs="宋体" w:eastAsia="宋体" w:hint="default"/>
          <w:sz w:val="20"/>
          <w:szCs w:val="20"/>
        </w:rPr>
      </w:pPr>
      <w:r>
        <w:rPr/>
        <w:br w:type="column"/>
      </w:r>
      <w:r>
        <w:rPr>
          <w:rFonts w:ascii="宋体"/>
          <w:sz w:val="20"/>
        </w:rPr>
      </w:r>
    </w:p>
    <w:p>
      <w:pPr>
        <w:pStyle w:val="BodyText"/>
        <w:spacing w:line="240" w:lineRule="auto" w:before="159"/>
        <w:ind w:left="1078" w:right="0"/>
        <w:jc w:val="left"/>
        <w:rPr>
          <w:rFonts w:ascii="宋体" w:hAnsi="宋体" w:cs="宋体" w:eastAsia="宋体" w:hint="default"/>
        </w:rPr>
      </w:pPr>
      <w:r>
        <w:rPr>
          <w:rFonts w:ascii="宋体" w:hAnsi="宋体" w:cs="宋体" w:eastAsia="宋体" w:hint="default"/>
        </w:rPr>
        <w:t>单位：元</w:t>
      </w:r>
      <w:r>
        <w:rPr>
          <w:rFonts w:ascii="宋体" w:hAnsi="宋体" w:cs="宋体" w:eastAsia="宋体" w:hint="default"/>
          <w:spacing w:val="-2"/>
        </w:rPr>
        <w:t> </w:t>
      </w:r>
      <w:r>
        <w:rPr>
          <w:rFonts w:ascii="宋体" w:hAnsi="宋体" w:cs="宋体" w:eastAsia="宋体" w:hint="default"/>
        </w:rPr>
        <w:t>币种：人民币</w:t>
      </w:r>
    </w:p>
    <w:p>
      <w:pPr>
        <w:spacing w:after="0" w:line="240" w:lineRule="auto"/>
        <w:jc w:val="left"/>
        <w:rPr>
          <w:rFonts w:ascii="宋体" w:hAnsi="宋体" w:cs="宋体" w:eastAsia="宋体" w:hint="default"/>
        </w:rPr>
        <w:sectPr>
          <w:type w:val="continuous"/>
          <w:pgSz w:w="11910" w:h="16840"/>
          <w:pgMar w:top="1600" w:bottom="280" w:left="340" w:right="340"/>
          <w:cols w:num="2" w:equalWidth="0">
            <w:col w:w="3119" w:space="3746"/>
            <w:col w:w="4365"/>
          </w:cols>
        </w:sectPr>
      </w:pPr>
    </w:p>
    <w:p>
      <w:pPr>
        <w:spacing w:line="240" w:lineRule="auto" w:before="13"/>
        <w:rPr>
          <w:rFonts w:ascii="宋体" w:hAnsi="宋体" w:cs="宋体" w:eastAsia="宋体" w:hint="default"/>
          <w:sz w:val="3"/>
          <w:szCs w:val="3"/>
        </w:rPr>
      </w:pPr>
    </w:p>
    <w:tbl>
      <w:tblPr>
        <w:tblW w:w="0" w:type="auto"/>
        <w:jc w:val="left"/>
        <w:tblInd w:w="325" w:type="dxa"/>
        <w:tblLayout w:type="fixed"/>
        <w:tblCellMar>
          <w:top w:w="0" w:type="dxa"/>
          <w:left w:w="0" w:type="dxa"/>
          <w:bottom w:w="0" w:type="dxa"/>
          <w:right w:w="0" w:type="dxa"/>
        </w:tblCellMar>
        <w:tblLook w:val="01E0"/>
      </w:tblPr>
      <w:tblGrid>
        <w:gridCol w:w="1633"/>
        <w:gridCol w:w="1417"/>
        <w:gridCol w:w="1277"/>
        <w:gridCol w:w="1134"/>
        <w:gridCol w:w="1276"/>
        <w:gridCol w:w="1274"/>
        <w:gridCol w:w="1277"/>
        <w:gridCol w:w="1276"/>
      </w:tblGrid>
      <w:tr>
        <w:trPr>
          <w:trHeight w:val="635" w:hRule="exact"/>
        </w:trPr>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1"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经营范围</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200" w:right="113" w:hanging="90"/>
              <w:jc w:val="left"/>
              <w:rPr>
                <w:rFonts w:ascii="宋体" w:hAnsi="宋体" w:cs="宋体" w:eastAsia="宋体" w:hint="default"/>
                <w:sz w:val="18"/>
                <w:szCs w:val="18"/>
              </w:rPr>
            </w:pPr>
            <w:r>
              <w:rPr>
                <w:rFonts w:ascii="宋体" w:hAnsi="宋体" w:cs="宋体" w:eastAsia="宋体" w:hint="default"/>
                <w:sz w:val="18"/>
                <w:szCs w:val="18"/>
              </w:rPr>
              <w:t>本公司直接 持股比例</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期末总资产</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1" w:right="0"/>
              <w:jc w:val="left"/>
              <w:rPr>
                <w:rFonts w:ascii="宋体" w:hAnsi="宋体" w:cs="宋体" w:eastAsia="宋体" w:hint="default"/>
                <w:sz w:val="18"/>
                <w:szCs w:val="18"/>
              </w:rPr>
            </w:pPr>
            <w:r>
              <w:rPr>
                <w:rFonts w:ascii="宋体" w:hAnsi="宋体" w:cs="宋体" w:eastAsia="宋体" w:hint="default"/>
                <w:sz w:val="18"/>
                <w:szCs w:val="18"/>
              </w:rPr>
              <w:t>期末净资产</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7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81" w:right="0"/>
              <w:jc w:val="left"/>
              <w:rPr>
                <w:rFonts w:ascii="宋体" w:hAnsi="宋体" w:cs="宋体" w:eastAsia="宋体" w:hint="default"/>
                <w:sz w:val="18"/>
                <w:szCs w:val="18"/>
              </w:rPr>
            </w:pPr>
            <w:r>
              <w:rPr>
                <w:rFonts w:ascii="宋体" w:hAnsi="宋体" w:cs="宋体" w:eastAsia="宋体" w:hint="default"/>
                <w:sz w:val="18"/>
                <w:szCs w:val="18"/>
              </w:rPr>
              <w:t>当期净利润</w:t>
            </w:r>
          </w:p>
        </w:tc>
      </w:tr>
      <w:tr>
        <w:trPr>
          <w:trHeight w:val="634" w:hRule="exact"/>
        </w:trPr>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74"/>
              <w:jc w:val="left"/>
              <w:rPr>
                <w:rFonts w:ascii="宋体" w:hAnsi="宋体" w:cs="宋体" w:eastAsia="宋体" w:hint="default"/>
                <w:sz w:val="18"/>
                <w:szCs w:val="18"/>
              </w:rPr>
            </w:pPr>
            <w:r>
              <w:rPr>
                <w:rFonts w:ascii="宋体" w:hAnsi="宋体" w:cs="宋体" w:eastAsia="宋体" w:hint="default"/>
                <w:spacing w:val="20"/>
                <w:sz w:val="18"/>
                <w:szCs w:val="18"/>
              </w:rPr>
              <w:t>沈阳东软信</w:t>
            </w:r>
            <w:r>
              <w:rPr>
                <w:rFonts w:ascii="宋体" w:hAnsi="宋体" w:cs="宋体" w:eastAsia="宋体" w:hint="default"/>
                <w:spacing w:val="-64"/>
                <w:sz w:val="18"/>
                <w:szCs w:val="18"/>
              </w:rPr>
              <w:t> </w:t>
            </w:r>
            <w:r>
              <w:rPr>
                <w:rFonts w:ascii="宋体" w:hAnsi="宋体" w:cs="宋体" w:eastAsia="宋体" w:hint="default"/>
                <w:spacing w:val="13"/>
                <w:sz w:val="18"/>
                <w:szCs w:val="18"/>
              </w:rPr>
              <w:t>息技</w:t>
            </w:r>
            <w:r>
              <w:rPr>
                <w:rFonts w:ascii="宋体" w:hAnsi="宋体" w:cs="宋体" w:eastAsia="宋体" w:hint="default"/>
                <w:spacing w:val="-88"/>
                <w:sz w:val="18"/>
                <w:szCs w:val="18"/>
              </w:rPr>
              <w:t> </w:t>
            </w:r>
            <w:r>
              <w:rPr>
                <w:rFonts w:ascii="宋体" w:hAnsi="宋体" w:cs="宋体" w:eastAsia="宋体" w:hint="default"/>
                <w:sz w:val="18"/>
                <w:szCs w:val="18"/>
              </w:rPr>
              <w:t>术有限公司</w:t>
            </w:r>
          </w:p>
        </w:tc>
        <w:tc>
          <w:tcPr>
            <w:tcW w:w="1417" w:type="dxa"/>
            <w:vMerge w:val="restart"/>
            <w:tcBorders>
              <w:top w:val="single" w:sz="4" w:space="0" w:color="000000"/>
              <w:left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316" w:lineRule="auto"/>
              <w:ind w:left="103" w:right="42"/>
              <w:jc w:val="left"/>
              <w:rPr>
                <w:rFonts w:ascii="宋体" w:hAnsi="宋体" w:cs="宋体" w:eastAsia="宋体" w:hint="default"/>
                <w:sz w:val="18"/>
                <w:szCs w:val="18"/>
              </w:rPr>
            </w:pPr>
            <w:r>
              <w:rPr>
                <w:rFonts w:ascii="宋体" w:hAnsi="宋体" w:cs="宋体" w:eastAsia="宋体" w:hint="default"/>
                <w:sz w:val="18"/>
                <w:szCs w:val="18"/>
              </w:rPr>
              <w:t>经营计算机软、 硬件</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8" w:right="0"/>
              <w:jc w:val="center"/>
              <w:rPr>
                <w:rFonts w:ascii="宋体" w:hAnsi="宋体" w:cs="宋体" w:eastAsia="宋体" w:hint="default"/>
                <w:sz w:val="18"/>
                <w:szCs w:val="18"/>
              </w:rPr>
            </w:pPr>
            <w:r>
              <w:rPr>
                <w:rFonts w:ascii="宋体"/>
                <w:sz w:val="18"/>
              </w:rPr>
              <w:t>310,000,000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7" w:right="0"/>
              <w:jc w:val="center"/>
              <w:rPr>
                <w:rFonts w:ascii="宋体" w:hAnsi="宋体" w:cs="宋体" w:eastAsia="宋体" w:hint="default"/>
                <w:sz w:val="18"/>
                <w:szCs w:val="18"/>
              </w:rPr>
            </w:pPr>
            <w:r>
              <w:rPr>
                <w:rFonts w:ascii="宋体"/>
                <w:sz w:val="18"/>
              </w:rPr>
              <w:t>838,452,813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70" w:right="0"/>
              <w:jc w:val="left"/>
              <w:rPr>
                <w:rFonts w:ascii="宋体" w:hAnsi="宋体" w:cs="宋体" w:eastAsia="宋体" w:hint="default"/>
                <w:sz w:val="18"/>
                <w:szCs w:val="18"/>
              </w:rPr>
            </w:pPr>
            <w:r>
              <w:rPr>
                <w:rFonts w:ascii="宋体"/>
                <w:sz w:val="18"/>
              </w:rPr>
              <w:t>429,291,565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179,844,465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20,944,312</w:t>
            </w:r>
          </w:p>
        </w:tc>
      </w:tr>
      <w:tr>
        <w:trPr>
          <w:trHeight w:val="634" w:hRule="exact"/>
        </w:trPr>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3"/>
                <w:sz w:val="18"/>
                <w:szCs w:val="18"/>
              </w:rPr>
              <w:t>东软（日本）有限</w:t>
            </w:r>
            <w:r>
              <w:rPr>
                <w:rFonts w:ascii="宋体" w:hAnsi="宋体" w:cs="宋体" w:eastAsia="宋体" w:hint="default"/>
                <w:sz w:val="18"/>
                <w:szCs w:val="18"/>
              </w:rPr>
              <w:t> 公司</w:t>
            </w:r>
          </w:p>
        </w:tc>
        <w:tc>
          <w:tcPr>
            <w:tcW w:w="1417" w:type="dxa"/>
            <w:vMerge/>
            <w:tcBorders>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72" w:right="0"/>
              <w:jc w:val="left"/>
              <w:rPr>
                <w:rFonts w:ascii="宋体" w:hAnsi="宋体" w:cs="宋体" w:eastAsia="宋体" w:hint="default"/>
                <w:sz w:val="18"/>
                <w:szCs w:val="18"/>
              </w:rPr>
            </w:pPr>
            <w:r>
              <w:rPr>
                <w:rFonts w:ascii="宋体"/>
                <w:sz w:val="18"/>
              </w:rPr>
              <w:t>187,750,000</w:t>
            </w:r>
          </w:p>
          <w:p>
            <w:pPr>
              <w:pStyle w:val="TableParagraph"/>
              <w:spacing w:line="240" w:lineRule="auto" w:before="76"/>
              <w:ind w:left="80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7" w:right="0"/>
              <w:jc w:val="center"/>
              <w:rPr>
                <w:rFonts w:ascii="宋体" w:hAnsi="宋体" w:cs="宋体" w:eastAsia="宋体" w:hint="default"/>
                <w:sz w:val="18"/>
                <w:szCs w:val="18"/>
              </w:rPr>
            </w:pPr>
            <w:r>
              <w:rPr>
                <w:rFonts w:ascii="宋体"/>
                <w:sz w:val="18"/>
              </w:rPr>
              <w:t>240,511,864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83,686,375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760,828,661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3,385,691</w:t>
            </w:r>
          </w:p>
        </w:tc>
      </w:tr>
      <w:tr>
        <w:trPr>
          <w:trHeight w:val="635" w:hRule="exact"/>
        </w:trPr>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left"/>
              <w:rPr>
                <w:rFonts w:ascii="宋体" w:hAnsi="宋体" w:cs="宋体" w:eastAsia="宋体" w:hint="default"/>
                <w:sz w:val="18"/>
                <w:szCs w:val="18"/>
              </w:rPr>
            </w:pPr>
            <w:r>
              <w:rPr>
                <w:rFonts w:ascii="宋体" w:hAnsi="宋体" w:cs="宋体" w:eastAsia="宋体" w:hint="default"/>
                <w:spacing w:val="-3"/>
                <w:sz w:val="18"/>
                <w:szCs w:val="18"/>
              </w:rPr>
              <w:t>东软（欧洲）有限</w:t>
            </w:r>
            <w:r>
              <w:rPr>
                <w:rFonts w:ascii="宋体" w:hAnsi="宋体" w:cs="宋体" w:eastAsia="宋体" w:hint="default"/>
                <w:sz w:val="18"/>
                <w:szCs w:val="18"/>
              </w:rPr>
              <w:t> 公司</w:t>
            </w:r>
          </w:p>
        </w:tc>
        <w:tc>
          <w:tcPr>
            <w:tcW w:w="1417"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03" w:right="78"/>
              <w:jc w:val="both"/>
              <w:rPr>
                <w:rFonts w:ascii="宋体" w:hAnsi="宋体" w:cs="宋体" w:eastAsia="宋体" w:hint="default"/>
                <w:sz w:val="18"/>
                <w:szCs w:val="18"/>
              </w:rPr>
            </w:pPr>
            <w:r>
              <w:rPr>
                <w:rFonts w:ascii="宋体" w:hAnsi="宋体" w:cs="宋体" w:eastAsia="宋体" w:hint="default"/>
                <w:spacing w:val="20"/>
                <w:sz w:val="18"/>
                <w:szCs w:val="18"/>
              </w:rPr>
              <w:t>经营计算机软</w:t>
            </w:r>
            <w:r>
              <w:rPr>
                <w:rFonts w:ascii="宋体" w:hAnsi="宋体" w:cs="宋体" w:eastAsia="宋体" w:hint="default"/>
                <w:spacing w:val="-66"/>
                <w:sz w:val="18"/>
                <w:szCs w:val="18"/>
              </w:rPr>
              <w:t> </w:t>
            </w:r>
            <w:r>
              <w:rPr>
                <w:rFonts w:ascii="宋体" w:hAnsi="宋体" w:cs="宋体" w:eastAsia="宋体" w:hint="default"/>
                <w:spacing w:val="20"/>
                <w:sz w:val="18"/>
                <w:szCs w:val="18"/>
              </w:rPr>
              <w:t>硬件、技术咨</w:t>
            </w:r>
            <w:r>
              <w:rPr>
                <w:rFonts w:ascii="宋体" w:hAnsi="宋体" w:cs="宋体" w:eastAsia="宋体" w:hint="default"/>
                <w:spacing w:val="-66"/>
                <w:sz w:val="18"/>
                <w:szCs w:val="18"/>
              </w:rPr>
              <w:t> </w:t>
            </w:r>
            <w:r>
              <w:rPr>
                <w:rFonts w:ascii="宋体" w:hAnsi="宋体" w:cs="宋体" w:eastAsia="宋体" w:hint="default"/>
                <w:sz w:val="18"/>
                <w:szCs w:val="18"/>
              </w:rPr>
              <w:t>询、服务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58" w:right="0"/>
              <w:jc w:val="center"/>
              <w:rPr>
                <w:rFonts w:ascii="宋体" w:hAnsi="宋体" w:cs="宋体" w:eastAsia="宋体" w:hint="default"/>
                <w:sz w:val="18"/>
                <w:szCs w:val="18"/>
              </w:rPr>
            </w:pPr>
            <w:r>
              <w:rPr>
                <w:rFonts w:ascii="宋体"/>
                <w:sz w:val="18"/>
              </w:rPr>
              <w:t>37,900,000</w:t>
            </w:r>
          </w:p>
          <w:p>
            <w:pPr>
              <w:pStyle w:val="TableParagraph"/>
              <w:spacing w:line="240" w:lineRule="auto" w:before="76"/>
              <w:ind w:left="338" w:right="0"/>
              <w:jc w:val="center"/>
              <w:rPr>
                <w:rFonts w:ascii="宋体" w:hAnsi="宋体" w:cs="宋体" w:eastAsia="宋体" w:hint="default"/>
                <w:sz w:val="18"/>
                <w:szCs w:val="18"/>
              </w:rPr>
            </w:pPr>
            <w:r>
              <w:rPr>
                <w:rFonts w:ascii="宋体" w:hAnsi="宋体" w:cs="宋体" w:eastAsia="宋体" w:hint="default"/>
                <w:sz w:val="18"/>
                <w:szCs w:val="18"/>
              </w:rPr>
              <w:t>瑞士法郎</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7" w:right="0"/>
              <w:jc w:val="center"/>
              <w:rPr>
                <w:rFonts w:ascii="宋体" w:hAnsi="宋体" w:cs="宋体" w:eastAsia="宋体" w:hint="default"/>
                <w:sz w:val="18"/>
                <w:szCs w:val="18"/>
              </w:rPr>
            </w:pPr>
            <w:r>
              <w:rPr>
                <w:rFonts w:ascii="宋体"/>
                <w:sz w:val="18"/>
              </w:rPr>
              <w:t>239,403,494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0" w:right="0"/>
              <w:jc w:val="left"/>
              <w:rPr>
                <w:rFonts w:ascii="宋体" w:hAnsi="宋体" w:cs="宋体" w:eastAsia="宋体" w:hint="default"/>
                <w:sz w:val="18"/>
                <w:szCs w:val="18"/>
              </w:rPr>
            </w:pPr>
            <w:r>
              <w:rPr>
                <w:rFonts w:ascii="宋体"/>
                <w:sz w:val="18"/>
              </w:rPr>
              <w:t>204,996,898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257,912,149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-16,247,176</w:t>
            </w:r>
          </w:p>
        </w:tc>
      </w:tr>
      <w:tr>
        <w:trPr>
          <w:trHeight w:val="634" w:hRule="exact"/>
        </w:trPr>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74"/>
              <w:jc w:val="left"/>
              <w:rPr>
                <w:rFonts w:ascii="宋体" w:hAnsi="宋体" w:cs="宋体" w:eastAsia="宋体" w:hint="default"/>
                <w:sz w:val="18"/>
                <w:szCs w:val="18"/>
              </w:rPr>
            </w:pPr>
            <w:r>
              <w:rPr>
                <w:rFonts w:ascii="宋体" w:hAnsi="宋体" w:cs="宋体" w:eastAsia="宋体" w:hint="default"/>
                <w:spacing w:val="20"/>
                <w:sz w:val="18"/>
                <w:szCs w:val="18"/>
              </w:rPr>
              <w:t>东软科技有</w:t>
            </w:r>
            <w:r>
              <w:rPr>
                <w:rFonts w:ascii="宋体" w:hAnsi="宋体" w:cs="宋体" w:eastAsia="宋体" w:hint="default"/>
                <w:spacing w:val="-64"/>
                <w:sz w:val="18"/>
                <w:szCs w:val="18"/>
              </w:rPr>
              <w:t> </w:t>
            </w:r>
            <w:r>
              <w:rPr>
                <w:rFonts w:ascii="宋体" w:hAnsi="宋体" w:cs="宋体" w:eastAsia="宋体" w:hint="default"/>
                <w:spacing w:val="13"/>
                <w:sz w:val="18"/>
                <w:szCs w:val="18"/>
              </w:rPr>
              <w:t>限公</w:t>
            </w:r>
            <w:r>
              <w:rPr>
                <w:rFonts w:ascii="宋体" w:hAnsi="宋体" w:cs="宋体" w:eastAsia="宋体" w:hint="default"/>
                <w:spacing w:val="-88"/>
                <w:sz w:val="18"/>
                <w:szCs w:val="18"/>
              </w:rPr>
              <w:t> </w:t>
            </w:r>
            <w:r>
              <w:rPr>
                <w:rFonts w:ascii="宋体" w:hAnsi="宋体" w:cs="宋体" w:eastAsia="宋体" w:hint="default"/>
                <w:sz w:val="18"/>
                <w:szCs w:val="18"/>
              </w:rPr>
              <w:t>司</w:t>
            </w:r>
          </w:p>
        </w:tc>
        <w:tc>
          <w:tcPr>
            <w:tcW w:w="1417" w:type="dxa"/>
            <w:vMerge/>
            <w:tcBorders>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712" w:right="0"/>
              <w:jc w:val="left"/>
              <w:rPr>
                <w:rFonts w:ascii="宋体" w:hAnsi="宋体" w:cs="宋体" w:eastAsia="宋体" w:hint="default"/>
                <w:sz w:val="18"/>
                <w:szCs w:val="18"/>
              </w:rPr>
            </w:pPr>
            <w:r>
              <w:rPr>
                <w:rFonts w:ascii="宋体"/>
                <w:sz w:val="18"/>
              </w:rPr>
              <w:t>1,000</w:t>
            </w:r>
          </w:p>
          <w:p>
            <w:pPr>
              <w:pStyle w:val="TableParagraph"/>
              <w:spacing w:line="240" w:lineRule="auto" w:before="76"/>
              <w:ind w:left="80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57" w:right="0"/>
              <w:jc w:val="center"/>
              <w:rPr>
                <w:rFonts w:ascii="宋体" w:hAnsi="宋体" w:cs="宋体" w:eastAsia="宋体" w:hint="default"/>
                <w:sz w:val="18"/>
                <w:szCs w:val="18"/>
              </w:rPr>
            </w:pPr>
            <w:r>
              <w:rPr>
                <w:rFonts w:ascii="宋体"/>
                <w:sz w:val="18"/>
              </w:rPr>
              <w:t>35,576,819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30,417,876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13,702,816</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-20,671,860</w:t>
            </w:r>
          </w:p>
        </w:tc>
      </w:tr>
      <w:tr>
        <w:trPr>
          <w:trHeight w:val="635" w:hRule="exact"/>
        </w:trPr>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3"/>
                <w:sz w:val="18"/>
                <w:szCs w:val="18"/>
              </w:rPr>
              <w:t>东软（香港）有限</w:t>
            </w:r>
            <w:r>
              <w:rPr>
                <w:rFonts w:ascii="宋体" w:hAnsi="宋体" w:cs="宋体" w:eastAsia="宋体" w:hint="default"/>
                <w:sz w:val="18"/>
                <w:szCs w:val="18"/>
              </w:rPr>
              <w:t> 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78"/>
              <w:jc w:val="left"/>
              <w:rPr>
                <w:rFonts w:ascii="宋体" w:hAnsi="宋体" w:cs="宋体" w:eastAsia="宋体" w:hint="default"/>
                <w:sz w:val="18"/>
                <w:szCs w:val="18"/>
              </w:rPr>
            </w:pPr>
            <w:r>
              <w:rPr>
                <w:rFonts w:ascii="宋体" w:hAnsi="宋体" w:cs="宋体" w:eastAsia="宋体" w:hint="default"/>
                <w:spacing w:val="20"/>
                <w:sz w:val="18"/>
                <w:szCs w:val="18"/>
              </w:rPr>
              <w:t>计算机软件开</w:t>
            </w:r>
            <w:r>
              <w:rPr>
                <w:rFonts w:ascii="宋体" w:hAnsi="宋体" w:cs="宋体" w:eastAsia="宋体" w:hint="default"/>
                <w:spacing w:val="-66"/>
                <w:sz w:val="18"/>
                <w:szCs w:val="18"/>
              </w:rPr>
              <w:t> </w:t>
            </w:r>
            <w:r>
              <w:rPr>
                <w:rFonts w:ascii="宋体" w:hAnsi="宋体" w:cs="宋体" w:eastAsia="宋体" w:hint="default"/>
                <w:spacing w:val="-9"/>
                <w:sz w:val="18"/>
                <w:szCs w:val="18"/>
              </w:rPr>
              <w:t>发、销售、咨询</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32" w:right="0"/>
              <w:jc w:val="left"/>
              <w:rPr>
                <w:rFonts w:ascii="宋体" w:hAnsi="宋体" w:cs="宋体" w:eastAsia="宋体" w:hint="default"/>
                <w:sz w:val="18"/>
                <w:szCs w:val="18"/>
              </w:rPr>
            </w:pPr>
            <w:r>
              <w:rPr>
                <w:rFonts w:ascii="宋体"/>
                <w:sz w:val="18"/>
              </w:rPr>
              <w:t>850,000</w:t>
            </w:r>
          </w:p>
          <w:p>
            <w:pPr>
              <w:pStyle w:val="TableParagraph"/>
              <w:spacing w:line="240" w:lineRule="auto" w:before="76"/>
              <w:ind w:left="80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7" w:right="0"/>
              <w:jc w:val="center"/>
              <w:rPr>
                <w:rFonts w:ascii="宋体" w:hAnsi="宋体" w:cs="宋体" w:eastAsia="宋体" w:hint="default"/>
                <w:sz w:val="18"/>
                <w:szCs w:val="18"/>
              </w:rPr>
            </w:pPr>
            <w:r>
              <w:rPr>
                <w:rFonts w:ascii="宋体"/>
                <w:sz w:val="18"/>
              </w:rPr>
              <w:t>130,598,204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83,070,439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56,594,335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-8,915,930</w:t>
            </w:r>
          </w:p>
        </w:tc>
      </w:tr>
    </w:tbl>
    <w:p>
      <w:pPr>
        <w:pStyle w:val="Heading5"/>
        <w:spacing w:line="274" w:lineRule="exact"/>
        <w:ind w:left="1558" w:right="0"/>
        <w:jc w:val="left"/>
      </w:pPr>
      <w:r>
        <w:rPr/>
        <w:t>注</w:t>
      </w:r>
      <w:r>
        <w:rPr>
          <w:spacing w:val="-116"/>
        </w:rPr>
        <w:t>：</w:t>
      </w:r>
      <w:r>
        <w:rPr/>
        <w:t>报告期内</w:t>
      </w:r>
      <w:r>
        <w:rPr>
          <w:spacing w:val="-116"/>
        </w:rPr>
        <w:t>，</w:t>
      </w:r>
      <w:r>
        <w:rPr/>
        <w:t>公司未有来源于单个参股公司的投资收益对公司净利润影响达到</w:t>
      </w:r>
      <w:r>
        <w:rPr>
          <w:spacing w:val="-60"/>
        </w:rPr>
        <w:t> </w:t>
      </w:r>
      <w:r>
        <w:rPr/>
        <w:t>10%</w:t>
      </w:r>
    </w:p>
    <w:p>
      <w:pPr>
        <w:spacing w:line="313" w:lineRule="exact" w:before="0"/>
        <w:ind w:left="1078" w:right="3706" w:firstLine="0"/>
        <w:jc w:val="left"/>
        <w:rPr>
          <w:rFonts w:ascii="宋体" w:hAnsi="宋体" w:cs="宋体" w:eastAsia="宋体" w:hint="default"/>
          <w:sz w:val="24"/>
          <w:szCs w:val="24"/>
        </w:rPr>
      </w:pPr>
      <w:r>
        <w:rPr>
          <w:rFonts w:ascii="宋体" w:hAnsi="宋体" w:cs="宋体" w:eastAsia="宋体" w:hint="default"/>
          <w:sz w:val="24"/>
          <w:szCs w:val="24"/>
        </w:rPr>
        <w:t>以上的情况。</w:t>
      </w:r>
    </w:p>
    <w:p>
      <w:pPr>
        <w:spacing w:before="122"/>
        <w:ind w:left="1078" w:right="3706" w:firstLine="0"/>
        <w:jc w:val="left"/>
        <w:rPr>
          <w:rFonts w:ascii="宋体" w:hAnsi="宋体" w:cs="宋体" w:eastAsia="宋体" w:hint="default"/>
          <w:sz w:val="24"/>
          <w:szCs w:val="24"/>
        </w:rPr>
      </w:pPr>
      <w:r>
        <w:rPr>
          <w:rFonts w:ascii="宋体" w:hAnsi="宋体" w:cs="宋体" w:eastAsia="宋体" w:hint="default"/>
          <w:sz w:val="24"/>
          <w:szCs w:val="24"/>
        </w:rPr>
        <w:t>（5）主要供应商、客户情况</w:t>
      </w:r>
    </w:p>
    <w:p>
      <w:pPr>
        <w:pStyle w:val="BodyText"/>
        <w:spacing w:line="240" w:lineRule="auto" w:before="21"/>
        <w:ind w:left="0" w:right="1074"/>
        <w:jc w:val="right"/>
        <w:rPr>
          <w:rFonts w:ascii="宋体" w:hAnsi="宋体" w:cs="宋体" w:eastAsia="宋体" w:hint="default"/>
        </w:rPr>
      </w:pPr>
      <w:r>
        <w:rPr>
          <w:rFonts w:ascii="宋体" w:hAnsi="宋体" w:cs="宋体" w:eastAsia="宋体" w:hint="default"/>
        </w:rPr>
        <w:t>单位：元</w:t>
      </w:r>
      <w:r>
        <w:rPr>
          <w:rFonts w:ascii="宋体" w:hAnsi="宋体" w:cs="宋体" w:eastAsia="宋体" w:hint="default"/>
          <w:spacing w:val="-2"/>
        </w:rPr>
        <w:t> </w:t>
      </w:r>
      <w:r>
        <w:rPr>
          <w:rFonts w:ascii="宋体" w:hAnsi="宋体" w:cs="宋体" w:eastAsia="宋体" w:hint="default"/>
        </w:rPr>
        <w:t>币种：人民币</w:t>
      </w:r>
    </w:p>
    <w:p>
      <w:pPr>
        <w:spacing w:line="240" w:lineRule="auto" w:before="13"/>
        <w:rPr>
          <w:rFonts w:ascii="宋体" w:hAnsi="宋体" w:cs="宋体" w:eastAsia="宋体" w:hint="default"/>
          <w:sz w:val="3"/>
          <w:szCs w:val="3"/>
        </w:rPr>
      </w:pPr>
    </w:p>
    <w:tbl>
      <w:tblPr>
        <w:tblW w:w="0" w:type="auto"/>
        <w:jc w:val="left"/>
        <w:tblInd w:w="860" w:type="dxa"/>
        <w:tblLayout w:type="fixed"/>
        <w:tblCellMar>
          <w:top w:w="0" w:type="dxa"/>
          <w:left w:w="0" w:type="dxa"/>
          <w:bottom w:w="0" w:type="dxa"/>
          <w:right w:w="0" w:type="dxa"/>
        </w:tblCellMar>
        <w:tblLook w:val="01E0"/>
      </w:tblPr>
      <w:tblGrid>
        <w:gridCol w:w="3065"/>
        <w:gridCol w:w="2946"/>
        <w:gridCol w:w="2222"/>
        <w:gridCol w:w="1264"/>
      </w:tblGrid>
      <w:tr>
        <w:trPr>
          <w:trHeight w:val="322" w:hRule="exact"/>
        </w:trPr>
        <w:tc>
          <w:tcPr>
            <w:tcW w:w="306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前五名供应商采购金额合计</w:t>
            </w:r>
          </w:p>
        </w:tc>
        <w:tc>
          <w:tcPr>
            <w:tcW w:w="294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z w:val="21"/>
              </w:rPr>
              <w:t>579,596,457</w:t>
            </w:r>
          </w:p>
        </w:tc>
        <w:tc>
          <w:tcPr>
            <w:tcW w:w="222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6"/>
              <w:jc w:val="right"/>
              <w:rPr>
                <w:rFonts w:ascii="宋体" w:hAnsi="宋体" w:cs="宋体" w:eastAsia="宋体" w:hint="default"/>
                <w:sz w:val="21"/>
                <w:szCs w:val="21"/>
              </w:rPr>
            </w:pPr>
            <w:r>
              <w:rPr>
                <w:rFonts w:ascii="宋体" w:hAnsi="宋体" w:cs="宋体" w:eastAsia="宋体" w:hint="default"/>
                <w:sz w:val="21"/>
                <w:szCs w:val="21"/>
              </w:rPr>
              <w:t>占采购总额比重（%）</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2"/>
              <w:jc w:val="right"/>
              <w:rPr>
                <w:rFonts w:ascii="宋体" w:hAnsi="宋体" w:cs="宋体" w:eastAsia="宋体" w:hint="default"/>
                <w:sz w:val="21"/>
                <w:szCs w:val="21"/>
              </w:rPr>
            </w:pPr>
            <w:r>
              <w:rPr>
                <w:rFonts w:ascii="宋体"/>
                <w:sz w:val="21"/>
              </w:rPr>
              <w:t>38.53</w:t>
            </w:r>
          </w:p>
        </w:tc>
      </w:tr>
      <w:tr>
        <w:trPr>
          <w:trHeight w:val="323" w:hRule="exact"/>
        </w:trPr>
        <w:tc>
          <w:tcPr>
            <w:tcW w:w="3065"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前五名销售客户销售金额合计</w:t>
            </w:r>
          </w:p>
        </w:tc>
        <w:tc>
          <w:tcPr>
            <w:tcW w:w="294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1"/>
              <w:jc w:val="right"/>
              <w:rPr>
                <w:rFonts w:ascii="宋体" w:hAnsi="宋体" w:cs="宋体" w:eastAsia="宋体" w:hint="default"/>
                <w:sz w:val="21"/>
                <w:szCs w:val="21"/>
              </w:rPr>
            </w:pPr>
            <w:r>
              <w:rPr>
                <w:rFonts w:ascii="宋体"/>
                <w:spacing w:val="-1"/>
                <w:sz w:val="21"/>
              </w:rPr>
              <w:t>1,163,204,403</w:t>
            </w:r>
            <w:r>
              <w:rPr>
                <w:rFonts w:ascii="宋体"/>
                <w:sz w:val="21"/>
              </w:rPr>
            </w:r>
          </w:p>
        </w:tc>
        <w:tc>
          <w:tcPr>
            <w:tcW w:w="2222"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7"/>
              <w:jc w:val="right"/>
              <w:rPr>
                <w:rFonts w:ascii="宋体" w:hAnsi="宋体" w:cs="宋体" w:eastAsia="宋体" w:hint="default"/>
                <w:sz w:val="21"/>
                <w:szCs w:val="21"/>
              </w:rPr>
            </w:pPr>
            <w:r>
              <w:rPr>
                <w:rFonts w:ascii="宋体" w:hAnsi="宋体" w:cs="宋体" w:eastAsia="宋体" w:hint="default"/>
                <w:spacing w:val="-1"/>
                <w:sz w:val="21"/>
                <w:szCs w:val="21"/>
              </w:rPr>
              <w:t>占销售总额比重（%）</w:t>
            </w:r>
            <w:r>
              <w:rPr>
                <w:rFonts w:ascii="宋体" w:hAnsi="宋体" w:cs="宋体" w:eastAsia="宋体" w:hint="default"/>
                <w:sz w:val="21"/>
                <w:szCs w:val="21"/>
              </w:rPr>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2"/>
              <w:jc w:val="right"/>
              <w:rPr>
                <w:rFonts w:ascii="宋体" w:hAnsi="宋体" w:cs="宋体" w:eastAsia="宋体" w:hint="default"/>
                <w:sz w:val="21"/>
                <w:szCs w:val="21"/>
              </w:rPr>
            </w:pPr>
            <w:r>
              <w:rPr>
                <w:rFonts w:ascii="宋体"/>
                <w:spacing w:val="-1"/>
                <w:w w:val="95"/>
                <w:sz w:val="21"/>
              </w:rPr>
              <w:t>20.22</w:t>
            </w:r>
            <w:r>
              <w:rPr>
                <w:rFonts w:ascii="宋体"/>
                <w:w w:val="95"/>
                <w:sz w:val="21"/>
              </w:rPr>
            </w:r>
          </w:p>
        </w:tc>
      </w:tr>
    </w:tbl>
    <w:p>
      <w:pPr>
        <w:spacing w:line="240" w:lineRule="auto" w:before="4"/>
        <w:rPr>
          <w:rFonts w:ascii="宋体" w:hAnsi="宋体" w:cs="宋体" w:eastAsia="宋体" w:hint="default"/>
          <w:sz w:val="25"/>
          <w:szCs w:val="25"/>
        </w:rPr>
      </w:pPr>
    </w:p>
    <w:p>
      <w:pPr>
        <w:pStyle w:val="BodyText"/>
        <w:spacing w:line="240" w:lineRule="auto"/>
        <w:ind w:left="1078" w:right="3706"/>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type w:val="continuous"/>
          <w:pgSz w:w="11910" w:h="16840"/>
          <w:pgMar w:top="1600" w:bottom="280" w:left="340" w:right="340"/>
        </w:sectPr>
      </w:pPr>
    </w:p>
    <w:p>
      <w:pPr>
        <w:spacing w:line="240" w:lineRule="auto" w:before="7"/>
        <w:rPr>
          <w:rFonts w:ascii="黑体" w:hAnsi="黑体" w:cs="黑体" w:eastAsia="黑体" w:hint="default"/>
          <w:sz w:val="15"/>
          <w:szCs w:val="15"/>
        </w:rPr>
      </w:pPr>
    </w:p>
    <w:p>
      <w:pPr>
        <w:spacing w:line="310" w:lineRule="exact" w:before="58"/>
        <w:ind w:left="658" w:right="396" w:hanging="480"/>
        <w:jc w:val="left"/>
        <w:rPr>
          <w:rFonts w:ascii="宋体" w:hAnsi="宋体" w:cs="宋体" w:eastAsia="宋体" w:hint="default"/>
          <w:sz w:val="24"/>
          <w:szCs w:val="24"/>
        </w:rPr>
      </w:pPr>
      <w:r>
        <w:rPr>
          <w:rFonts w:ascii="宋体" w:hAnsi="宋体" w:cs="宋体" w:eastAsia="宋体" w:hint="default"/>
          <w:b/>
          <w:bCs/>
          <w:sz w:val="24"/>
          <w:szCs w:val="24"/>
        </w:rPr>
        <w:t>7、同公允价值计量相关的内部控制制度情况</w:t>
      </w:r>
      <w:r>
        <w:rPr>
          <w:rFonts w:ascii="宋体" w:hAnsi="宋体" w:cs="宋体" w:eastAsia="宋体" w:hint="default"/>
          <w:b/>
          <w:bCs/>
          <w:w w:val="99"/>
          <w:sz w:val="24"/>
          <w:szCs w:val="24"/>
        </w:rPr>
        <w:t> </w:t>
      </w:r>
      <w:r>
        <w:rPr>
          <w:rFonts w:ascii="宋体" w:hAnsi="宋体" w:cs="宋体" w:eastAsia="宋体" w:hint="default"/>
          <w:spacing w:val="-3"/>
          <w:sz w:val="24"/>
          <w:szCs w:val="24"/>
        </w:rPr>
        <w:t>公司根据《企业会计准则》及《企业内部控制基本规范》的规定，制定了公允价值</w:t>
      </w:r>
      <w:r>
        <w:rPr>
          <w:rFonts w:ascii="宋体" w:hAnsi="宋体" w:cs="宋体" w:eastAsia="宋体" w:hint="default"/>
          <w:sz w:val="24"/>
          <w:szCs w:val="24"/>
        </w:rPr>
      </w:r>
    </w:p>
    <w:p>
      <w:pPr>
        <w:pStyle w:val="Heading5"/>
        <w:spacing w:line="312" w:lineRule="exact"/>
        <w:ind w:left="178" w:right="365"/>
        <w:jc w:val="both"/>
      </w:pPr>
      <w:r>
        <w:rPr>
          <w:spacing w:val="-2"/>
        </w:rPr>
        <w:t>相关的内部控制制度，对公允价值的使用、取得、计量、披露都作了明确的规定。财务</w:t>
      </w:r>
      <w:r>
        <w:rPr>
          <w:spacing w:val="-95"/>
        </w:rPr>
        <w:t> </w:t>
      </w:r>
      <w:r>
        <w:rPr>
          <w:spacing w:val="-95"/>
        </w:rPr>
      </w:r>
      <w:r>
        <w:rPr/>
        <w:t>核算方面，公司严格按照企业会计准则的相关规定进行核算与披露；在内部审核方面， </w:t>
      </w:r>
      <w:r>
        <w:rPr>
          <w:spacing w:val="-2"/>
        </w:rPr>
        <w:t>公司指派专业人员对公允价值的使用范围及取得途径进行复核，并对制度的遵循性进行</w:t>
      </w:r>
      <w:r>
        <w:rPr>
          <w:spacing w:val="-95"/>
        </w:rPr>
        <w:t> </w:t>
      </w:r>
      <w:r>
        <w:rPr>
          <w:spacing w:val="-95"/>
        </w:rPr>
      </w:r>
      <w:r>
        <w:rPr/>
        <w:t>内部审计监督检查。</w:t>
      </w:r>
    </w:p>
    <w:p>
      <w:pPr>
        <w:spacing w:line="283" w:lineRule="exact" w:before="0"/>
        <w:ind w:left="658" w:right="396" w:firstLine="0"/>
        <w:jc w:val="left"/>
        <w:rPr>
          <w:rFonts w:ascii="宋体" w:hAnsi="宋体" w:cs="宋体" w:eastAsia="宋体" w:hint="default"/>
          <w:sz w:val="24"/>
          <w:szCs w:val="24"/>
        </w:rPr>
      </w:pPr>
      <w:r>
        <w:rPr>
          <w:rFonts w:ascii="宋体" w:hAnsi="宋体" w:cs="宋体" w:eastAsia="宋体" w:hint="default"/>
          <w:sz w:val="24"/>
          <w:szCs w:val="24"/>
        </w:rPr>
        <w:t>与公允价值计量相关的项目：</w:t>
      </w:r>
    </w:p>
    <w:p>
      <w:pPr>
        <w:pStyle w:val="BodyText"/>
        <w:tabs>
          <w:tab w:pos="7508" w:val="left" w:leader="none"/>
        </w:tabs>
        <w:spacing w:line="240" w:lineRule="auto" w:before="22"/>
        <w:ind w:left="6353" w:right="396"/>
        <w:jc w:val="left"/>
        <w:rPr>
          <w:rFonts w:ascii="宋体" w:hAnsi="宋体" w:cs="宋体" w:eastAsia="宋体" w:hint="default"/>
        </w:rPr>
      </w:pPr>
      <w:r>
        <w:rPr>
          <w:rFonts w:ascii="宋体" w:hAnsi="宋体" w:cs="宋体" w:eastAsia="宋体" w:hint="default"/>
          <w:spacing w:val="-1"/>
        </w:rPr>
        <w:t>单位:万元</w:t>
        <w:tab/>
        <w:t>币种：人民币</w:t>
      </w:r>
      <w:r>
        <w:rPr>
          <w:rFonts w:ascii="宋体" w:hAnsi="宋体" w:cs="宋体" w:eastAsia="宋体" w:hint="default"/>
        </w:rPr>
      </w:r>
    </w:p>
    <w:p>
      <w:pPr>
        <w:spacing w:line="240" w:lineRule="auto" w:before="13"/>
        <w:rPr>
          <w:rFonts w:ascii="宋体" w:hAnsi="宋体" w:cs="宋体" w:eastAsia="宋体" w:hint="default"/>
          <w:sz w:val="3"/>
          <w:szCs w:val="3"/>
        </w:rPr>
      </w:pPr>
    </w:p>
    <w:tbl>
      <w:tblPr>
        <w:tblW w:w="0" w:type="auto"/>
        <w:jc w:val="left"/>
        <w:tblInd w:w="161" w:type="dxa"/>
        <w:tblLayout w:type="fixed"/>
        <w:tblCellMar>
          <w:top w:w="0" w:type="dxa"/>
          <w:left w:w="0" w:type="dxa"/>
          <w:bottom w:w="0" w:type="dxa"/>
          <w:right w:w="0" w:type="dxa"/>
        </w:tblCellMar>
        <w:tblLook w:val="01E0"/>
      </w:tblPr>
      <w:tblGrid>
        <w:gridCol w:w="3252"/>
        <w:gridCol w:w="1080"/>
        <w:gridCol w:w="1260"/>
        <w:gridCol w:w="1508"/>
        <w:gridCol w:w="1192"/>
        <w:gridCol w:w="1080"/>
      </w:tblGrid>
      <w:tr>
        <w:trPr>
          <w:trHeight w:val="640" w:hRule="exact"/>
        </w:trPr>
        <w:tc>
          <w:tcPr>
            <w:tcW w:w="3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期初金额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4"/>
              <w:ind w:left="175" w:right="173"/>
              <w:jc w:val="left"/>
              <w:rPr>
                <w:rFonts w:ascii="宋体" w:hAnsi="宋体" w:cs="宋体" w:eastAsia="宋体" w:hint="default"/>
                <w:sz w:val="18"/>
                <w:szCs w:val="18"/>
              </w:rPr>
            </w:pPr>
            <w:r>
              <w:rPr>
                <w:rFonts w:ascii="宋体" w:hAnsi="宋体" w:cs="宋体" w:eastAsia="宋体" w:hint="default"/>
                <w:sz w:val="18"/>
                <w:szCs w:val="18"/>
              </w:rPr>
              <w:t>本期公允价 值变动损益</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4"/>
              <w:ind w:left="208" w:right="119" w:hanging="90"/>
              <w:jc w:val="left"/>
              <w:rPr>
                <w:rFonts w:ascii="宋体" w:hAnsi="宋体" w:cs="宋体" w:eastAsia="宋体" w:hint="default"/>
                <w:sz w:val="18"/>
                <w:szCs w:val="18"/>
              </w:rPr>
            </w:pPr>
            <w:r>
              <w:rPr>
                <w:rFonts w:ascii="宋体" w:hAnsi="宋体" w:cs="宋体" w:eastAsia="宋体" w:hint="default"/>
                <w:sz w:val="18"/>
                <w:szCs w:val="18"/>
              </w:rPr>
              <w:t>计入权益的累计 公允价值变动</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4"/>
              <w:ind w:left="409" w:right="140" w:hanging="270"/>
              <w:jc w:val="left"/>
              <w:rPr>
                <w:rFonts w:ascii="宋体" w:hAnsi="宋体" w:cs="宋体" w:eastAsia="宋体" w:hint="default"/>
                <w:sz w:val="18"/>
                <w:szCs w:val="18"/>
              </w:rPr>
            </w:pPr>
            <w:r>
              <w:rPr>
                <w:rFonts w:ascii="宋体" w:hAnsi="宋体" w:cs="宋体" w:eastAsia="宋体" w:hint="default"/>
                <w:sz w:val="18"/>
                <w:szCs w:val="18"/>
              </w:rPr>
              <w:t>本期计提的 减值</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期末金额</w:t>
            </w:r>
          </w:p>
        </w:tc>
      </w:tr>
      <w:tr>
        <w:trPr>
          <w:trHeight w:val="323" w:hRule="exact"/>
        </w:trPr>
        <w:tc>
          <w:tcPr>
            <w:tcW w:w="9372"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金融资产</w:t>
            </w:r>
          </w:p>
        </w:tc>
      </w:tr>
      <w:tr>
        <w:trPr>
          <w:trHeight w:val="634" w:hRule="exact"/>
        </w:trPr>
        <w:tc>
          <w:tcPr>
            <w:tcW w:w="32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2"/>
                <w:sz w:val="18"/>
                <w:szCs w:val="18"/>
              </w:rPr>
              <w:t>其中：1.以公允价值计量且其变动计入</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当期损益的金融资产</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97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-11</w:t>
            </w:r>
          </w:p>
        </w:tc>
        <w:tc>
          <w:tcPr>
            <w:tcW w:w="1508" w:type="dxa"/>
            <w:tcBorders>
              <w:top w:val="single" w:sz="4" w:space="0" w:color="000000"/>
              <w:left w:val="single" w:sz="4" w:space="0" w:color="000000"/>
              <w:bottom w:val="single" w:sz="4" w:space="0" w:color="000000"/>
              <w:right w:val="single" w:sz="4" w:space="0" w:color="000000"/>
            </w:tcBorders>
          </w:tcPr>
          <w:p>
            <w:pPr/>
          </w:p>
        </w:tc>
        <w:tc>
          <w:tcPr>
            <w:tcW w:w="1192"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86</w:t>
            </w:r>
          </w:p>
        </w:tc>
      </w:tr>
      <w:tr>
        <w:trPr>
          <w:trHeight w:val="322" w:hRule="exact"/>
        </w:trPr>
        <w:tc>
          <w:tcPr>
            <w:tcW w:w="3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其中：1.衍生金融资产</w:t>
            </w: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08" w:type="dxa"/>
            <w:tcBorders>
              <w:top w:val="single" w:sz="4" w:space="0" w:color="000000"/>
              <w:left w:val="single" w:sz="4" w:space="0" w:color="000000"/>
              <w:bottom w:val="single" w:sz="4" w:space="0" w:color="000000"/>
              <w:right w:val="single" w:sz="4" w:space="0" w:color="000000"/>
            </w:tcBorders>
          </w:tcPr>
          <w:p>
            <w:pPr/>
          </w:p>
        </w:tc>
        <w:tc>
          <w:tcPr>
            <w:tcW w:w="1192"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733" w:right="0"/>
              <w:jc w:val="left"/>
              <w:rPr>
                <w:rFonts w:ascii="宋体" w:hAnsi="宋体" w:cs="宋体" w:eastAsia="宋体" w:hint="default"/>
                <w:sz w:val="18"/>
                <w:szCs w:val="18"/>
              </w:rPr>
            </w:pPr>
            <w:r>
              <w:rPr>
                <w:rFonts w:ascii="宋体" w:hAnsi="宋体" w:cs="宋体" w:eastAsia="宋体" w:hint="default"/>
                <w:sz w:val="18"/>
                <w:szCs w:val="18"/>
              </w:rPr>
              <w:t>2.可供出售金融资产</w:t>
            </w: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08" w:type="dxa"/>
            <w:tcBorders>
              <w:top w:val="single" w:sz="4" w:space="0" w:color="000000"/>
              <w:left w:val="single" w:sz="4" w:space="0" w:color="000000"/>
              <w:bottom w:val="single" w:sz="4" w:space="0" w:color="000000"/>
              <w:right w:val="single" w:sz="4" w:space="0" w:color="000000"/>
            </w:tcBorders>
          </w:tcPr>
          <w:p>
            <w:pPr/>
          </w:p>
        </w:tc>
        <w:tc>
          <w:tcPr>
            <w:tcW w:w="1192"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金融资产小计</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97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w:t>
            </w:r>
          </w:p>
        </w:tc>
        <w:tc>
          <w:tcPr>
            <w:tcW w:w="1508" w:type="dxa"/>
            <w:tcBorders>
              <w:top w:val="single" w:sz="4" w:space="0" w:color="000000"/>
              <w:left w:val="single" w:sz="4" w:space="0" w:color="000000"/>
              <w:bottom w:val="single" w:sz="4" w:space="0" w:color="000000"/>
              <w:right w:val="single" w:sz="4" w:space="0" w:color="000000"/>
            </w:tcBorders>
          </w:tcPr>
          <w:p>
            <w:pPr/>
          </w:p>
        </w:tc>
        <w:tc>
          <w:tcPr>
            <w:tcW w:w="1192"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86</w:t>
            </w:r>
          </w:p>
        </w:tc>
      </w:tr>
      <w:tr>
        <w:trPr>
          <w:trHeight w:val="322" w:hRule="exact"/>
        </w:trPr>
        <w:tc>
          <w:tcPr>
            <w:tcW w:w="3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106</w:t>
            </w:r>
          </w:p>
        </w:tc>
        <w:tc>
          <w:tcPr>
            <w:tcW w:w="1508" w:type="dxa"/>
            <w:tcBorders>
              <w:top w:val="single" w:sz="4" w:space="0" w:color="000000"/>
              <w:left w:val="single" w:sz="4" w:space="0" w:color="000000"/>
              <w:bottom w:val="single" w:sz="4" w:space="0" w:color="000000"/>
              <w:right w:val="single" w:sz="4" w:space="0" w:color="000000"/>
            </w:tcBorders>
          </w:tcPr>
          <w:p>
            <w:pPr/>
          </w:p>
        </w:tc>
        <w:tc>
          <w:tcPr>
            <w:tcW w:w="1192"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17</w:t>
            </w:r>
          </w:p>
        </w:tc>
      </w:tr>
      <w:tr>
        <w:trPr>
          <w:trHeight w:val="323" w:hRule="exact"/>
        </w:trPr>
        <w:tc>
          <w:tcPr>
            <w:tcW w:w="3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08" w:type="dxa"/>
            <w:tcBorders>
              <w:top w:val="single" w:sz="4" w:space="0" w:color="000000"/>
              <w:left w:val="single" w:sz="4" w:space="0" w:color="000000"/>
              <w:bottom w:val="single" w:sz="4" w:space="0" w:color="000000"/>
              <w:right w:val="single" w:sz="4" w:space="0" w:color="000000"/>
            </w:tcBorders>
          </w:tcPr>
          <w:p>
            <w:pPr/>
          </w:p>
        </w:tc>
        <w:tc>
          <w:tcPr>
            <w:tcW w:w="1192"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08" w:type="dxa"/>
            <w:tcBorders>
              <w:top w:val="single" w:sz="4" w:space="0" w:color="000000"/>
              <w:left w:val="single" w:sz="4" w:space="0" w:color="000000"/>
              <w:bottom w:val="single" w:sz="4" w:space="0" w:color="000000"/>
              <w:right w:val="single" w:sz="4" w:space="0" w:color="000000"/>
            </w:tcBorders>
          </w:tcPr>
          <w:p>
            <w:pPr/>
          </w:p>
        </w:tc>
        <w:tc>
          <w:tcPr>
            <w:tcW w:w="1192"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08" w:type="dxa"/>
            <w:tcBorders>
              <w:top w:val="single" w:sz="4" w:space="0" w:color="000000"/>
              <w:left w:val="single" w:sz="4" w:space="0" w:color="000000"/>
              <w:bottom w:val="single" w:sz="4" w:space="0" w:color="000000"/>
              <w:right w:val="single" w:sz="4" w:space="0" w:color="000000"/>
            </w:tcBorders>
          </w:tcPr>
          <w:p>
            <w:pPr/>
          </w:p>
        </w:tc>
        <w:tc>
          <w:tcPr>
            <w:tcW w:w="1192"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bl>
    <w:p>
      <w:pPr>
        <w:spacing w:line="310" w:lineRule="exact" w:before="118"/>
        <w:ind w:left="658" w:right="3466" w:hanging="480"/>
        <w:jc w:val="left"/>
        <w:rPr>
          <w:rFonts w:ascii="宋体" w:hAnsi="宋体" w:cs="宋体" w:eastAsia="宋体" w:hint="default"/>
          <w:sz w:val="24"/>
          <w:szCs w:val="24"/>
        </w:rPr>
      </w:pPr>
      <w:r>
        <w:rPr>
          <w:rFonts w:ascii="宋体" w:hAnsi="宋体" w:cs="宋体" w:eastAsia="宋体" w:hint="default"/>
          <w:b/>
          <w:bCs/>
          <w:sz w:val="24"/>
          <w:szCs w:val="24"/>
        </w:rPr>
        <w:t>8、持有外币金融资产、金融负债情况</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报告期内，公司持有外币金融资产为远期外汇合同。</w:t>
      </w:r>
    </w:p>
    <w:p>
      <w:pPr>
        <w:spacing w:line="240" w:lineRule="auto" w:before="1"/>
        <w:rPr>
          <w:rFonts w:ascii="宋体" w:hAnsi="宋体" w:cs="宋体" w:eastAsia="宋体" w:hint="default"/>
          <w:sz w:val="10"/>
          <w:szCs w:val="10"/>
        </w:rPr>
      </w:pPr>
    </w:p>
    <w:p>
      <w:pPr>
        <w:spacing w:after="0" w:line="240" w:lineRule="auto"/>
        <w:rPr>
          <w:rFonts w:ascii="宋体" w:hAnsi="宋体" w:cs="宋体" w:eastAsia="宋体" w:hint="default"/>
          <w:sz w:val="10"/>
          <w:szCs w:val="10"/>
        </w:rPr>
        <w:sectPr>
          <w:pgSz w:w="11910" w:h="16840"/>
          <w:pgMar w:header="1012" w:footer="480" w:top="1360" w:bottom="660" w:left="1240" w:right="1000"/>
        </w:sectPr>
      </w:pPr>
    </w:p>
    <w:p>
      <w:pPr>
        <w:spacing w:line="331" w:lineRule="auto" w:before="26"/>
        <w:ind w:left="178" w:right="-20" w:firstLine="0"/>
        <w:jc w:val="left"/>
        <w:rPr>
          <w:rFonts w:ascii="宋体" w:hAnsi="宋体" w:cs="宋体" w:eastAsia="宋体" w:hint="default"/>
          <w:sz w:val="24"/>
          <w:szCs w:val="24"/>
        </w:rPr>
      </w:pPr>
      <w:r>
        <w:rPr>
          <w:rFonts w:ascii="宋体" w:hAnsi="宋体" w:cs="宋体" w:eastAsia="宋体" w:hint="default"/>
          <w:b/>
          <w:bCs/>
          <w:sz w:val="24"/>
          <w:szCs w:val="24"/>
        </w:rPr>
        <w:t>（二）报告期内公司财务状况经营成果分析</w:t>
      </w:r>
      <w:r>
        <w:rPr>
          <w:rFonts w:ascii="宋体" w:hAnsi="宋体" w:cs="宋体" w:eastAsia="宋体" w:hint="default"/>
          <w:b/>
          <w:bCs/>
          <w:w w:val="99"/>
          <w:sz w:val="24"/>
          <w:szCs w:val="24"/>
        </w:rPr>
        <w:t> </w:t>
      </w:r>
      <w:r>
        <w:rPr>
          <w:rFonts w:ascii="宋体" w:hAnsi="宋体" w:cs="宋体" w:eastAsia="宋体" w:hint="default"/>
          <w:sz w:val="24"/>
          <w:szCs w:val="24"/>
        </w:rPr>
        <w:t>1、报告期内公司总体财务状况、经营成果分析</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pStyle w:val="BodyText"/>
        <w:tabs>
          <w:tab w:pos="1228" w:val="left" w:leader="none"/>
        </w:tabs>
        <w:spacing w:line="240" w:lineRule="auto" w:before="0"/>
        <w:ind w:left="178" w:right="0"/>
        <w:jc w:val="left"/>
        <w:rPr>
          <w:rFonts w:ascii="宋体" w:hAnsi="宋体" w:cs="宋体" w:eastAsia="宋体" w:hint="default"/>
        </w:rPr>
      </w:pPr>
      <w:r>
        <w:rPr>
          <w:rFonts w:ascii="宋体" w:hAnsi="宋体" w:cs="宋体" w:eastAsia="宋体" w:hint="default"/>
        </w:rPr>
        <w:t>单位：元</w:t>
        <w:tab/>
        <w:t>币种：人民币</w:t>
      </w:r>
    </w:p>
    <w:p>
      <w:pPr>
        <w:spacing w:after="0" w:line="240" w:lineRule="auto"/>
        <w:jc w:val="left"/>
        <w:rPr>
          <w:rFonts w:ascii="宋体" w:hAnsi="宋体" w:cs="宋体" w:eastAsia="宋体" w:hint="default"/>
        </w:rPr>
        <w:sectPr>
          <w:type w:val="continuous"/>
          <w:pgSz w:w="11910" w:h="16840"/>
          <w:pgMar w:top="1600" w:bottom="280" w:left="1240" w:right="1000"/>
          <w:cols w:num="2" w:equalWidth="0">
            <w:col w:w="5099" w:space="1181"/>
            <w:col w:w="3390"/>
          </w:cols>
        </w:sectPr>
      </w:pPr>
    </w:p>
    <w:p>
      <w:pPr>
        <w:spacing w:line="240" w:lineRule="auto" w:before="13"/>
        <w:rPr>
          <w:rFonts w:ascii="宋体" w:hAnsi="宋体" w:cs="宋体" w:eastAsia="宋体" w:hint="default"/>
          <w:sz w:val="3"/>
          <w:szCs w:val="3"/>
        </w:rPr>
      </w:pPr>
    </w:p>
    <w:tbl>
      <w:tblPr>
        <w:tblW w:w="0" w:type="auto"/>
        <w:jc w:val="left"/>
        <w:tblInd w:w="103" w:type="dxa"/>
        <w:tblLayout w:type="fixed"/>
        <w:tblCellMar>
          <w:top w:w="0" w:type="dxa"/>
          <w:left w:w="0" w:type="dxa"/>
          <w:bottom w:w="0" w:type="dxa"/>
          <w:right w:w="0" w:type="dxa"/>
        </w:tblCellMar>
        <w:tblLook w:val="01E0"/>
      </w:tblPr>
      <w:tblGrid>
        <w:gridCol w:w="3074"/>
        <w:gridCol w:w="1604"/>
        <w:gridCol w:w="1604"/>
        <w:gridCol w:w="1441"/>
        <w:gridCol w:w="962"/>
        <w:gridCol w:w="522"/>
      </w:tblGrid>
      <w:tr>
        <w:trPr>
          <w:trHeight w:val="306" w:hRule="exact"/>
        </w:trPr>
        <w:tc>
          <w:tcPr>
            <w:tcW w:w="3074" w:type="dxa"/>
            <w:tcBorders>
              <w:top w:val="single" w:sz="4" w:space="0" w:color="000000"/>
              <w:left w:val="single" w:sz="4" w:space="0" w:color="000000"/>
              <w:bottom w:val="nil" w:sz="6" w:space="0" w:color="auto"/>
              <w:right w:val="single" w:sz="4" w:space="0" w:color="000000"/>
            </w:tcBorders>
          </w:tcPr>
          <w:p>
            <w:pPr/>
          </w:p>
        </w:tc>
        <w:tc>
          <w:tcPr>
            <w:tcW w:w="16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51" w:right="0"/>
              <w:jc w:val="left"/>
              <w:rPr>
                <w:rFonts w:ascii="宋体" w:hAnsi="宋体" w:cs="宋体" w:eastAsia="宋体" w:hint="default"/>
                <w:sz w:val="18"/>
                <w:szCs w:val="18"/>
              </w:rPr>
            </w:pPr>
            <w:r>
              <w:rPr>
                <w:rFonts w:ascii="宋体" w:hAnsi="宋体" w:cs="宋体" w:eastAsia="宋体" w:hint="default"/>
                <w:b/>
                <w:bCs/>
                <w:spacing w:val="9"/>
                <w:sz w:val="18"/>
                <w:szCs w:val="18"/>
              </w:rPr>
              <w:t>2011年</w:t>
            </w:r>
            <w:r>
              <w:rPr>
                <w:rFonts w:ascii="宋体" w:hAnsi="宋体" w:cs="宋体" w:eastAsia="宋体" w:hint="default"/>
                <w:b/>
                <w:bCs/>
                <w:spacing w:val="-48"/>
                <w:sz w:val="18"/>
                <w:szCs w:val="18"/>
              </w:rPr>
              <w:t> </w:t>
            </w:r>
            <w:r>
              <w:rPr>
                <w:rFonts w:ascii="宋体" w:hAnsi="宋体" w:cs="宋体" w:eastAsia="宋体" w:hint="default"/>
                <w:b/>
                <w:bCs/>
                <w:spacing w:val="15"/>
                <w:sz w:val="18"/>
                <w:szCs w:val="18"/>
              </w:rPr>
              <w:t>12月</w:t>
            </w:r>
            <w:r>
              <w:rPr>
                <w:rFonts w:ascii="宋体" w:hAnsi="宋体" w:cs="宋体" w:eastAsia="宋体" w:hint="default"/>
                <w:b/>
                <w:bCs/>
                <w:spacing w:val="-49"/>
                <w:sz w:val="18"/>
                <w:szCs w:val="18"/>
              </w:rPr>
              <w:t> </w:t>
            </w:r>
            <w:r>
              <w:rPr>
                <w:rFonts w:ascii="宋体" w:hAnsi="宋体" w:cs="宋体" w:eastAsia="宋体" w:hint="default"/>
                <w:b/>
                <w:bCs/>
                <w:sz w:val="18"/>
                <w:szCs w:val="18"/>
              </w:rPr>
              <w:t>31</w:t>
            </w:r>
            <w:r>
              <w:rPr>
                <w:rFonts w:ascii="宋体" w:hAnsi="宋体" w:cs="宋体" w:eastAsia="宋体" w:hint="default"/>
                <w:b/>
                <w:bCs/>
                <w:spacing w:val="-48"/>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160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51" w:right="0"/>
              <w:jc w:val="left"/>
              <w:rPr>
                <w:rFonts w:ascii="宋体" w:hAnsi="宋体" w:cs="宋体" w:eastAsia="宋体" w:hint="default"/>
                <w:sz w:val="18"/>
                <w:szCs w:val="18"/>
              </w:rPr>
            </w:pPr>
            <w:r>
              <w:rPr>
                <w:rFonts w:ascii="宋体" w:hAnsi="宋体" w:cs="宋体" w:eastAsia="宋体" w:hint="default"/>
                <w:b/>
                <w:bCs/>
                <w:sz w:val="18"/>
                <w:szCs w:val="18"/>
              </w:rPr>
              <w:t>2010</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7"/>
                <w:sz w:val="18"/>
                <w:szCs w:val="18"/>
              </w:rPr>
              <w:t> </w:t>
            </w:r>
            <w:r>
              <w:rPr>
                <w:rFonts w:ascii="宋体" w:hAnsi="宋体" w:cs="宋体" w:eastAsia="宋体" w:hint="default"/>
                <w:b/>
                <w:bCs/>
                <w:sz w:val="18"/>
                <w:szCs w:val="18"/>
              </w:rPr>
              <w:t>31</w:t>
            </w:r>
            <w:r>
              <w:rPr>
                <w:rFonts w:ascii="宋体" w:hAnsi="宋体" w:cs="宋体" w:eastAsia="宋体" w:hint="default"/>
                <w:b/>
                <w:bCs/>
                <w:spacing w:val="-47"/>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1441" w:type="dxa"/>
            <w:tcBorders>
              <w:top w:val="single" w:sz="4" w:space="0" w:color="000000"/>
              <w:left w:val="single" w:sz="4" w:space="0" w:color="000000"/>
              <w:bottom w:val="nil" w:sz="6" w:space="0" w:color="auto"/>
              <w:right w:val="single" w:sz="4" w:space="0" w:color="000000"/>
            </w:tcBorders>
          </w:tcPr>
          <w:p>
            <w:pPr/>
          </w:p>
        </w:tc>
        <w:tc>
          <w:tcPr>
            <w:tcW w:w="962" w:type="dxa"/>
            <w:tcBorders>
              <w:top w:val="single" w:sz="4" w:space="0" w:color="000000"/>
              <w:left w:val="single" w:sz="4" w:space="0" w:color="000000"/>
              <w:bottom w:val="nil" w:sz="6" w:space="0" w:color="auto"/>
              <w:right w:val="single" w:sz="4" w:space="0" w:color="000000"/>
            </w:tcBorders>
          </w:tcPr>
          <w:p>
            <w:pPr/>
          </w:p>
        </w:tc>
        <w:tc>
          <w:tcPr>
            <w:tcW w:w="522" w:type="dxa"/>
            <w:tcBorders>
              <w:top w:val="single" w:sz="4" w:space="0" w:color="000000"/>
              <w:left w:val="single" w:sz="4" w:space="0" w:color="000000"/>
              <w:bottom w:val="nil" w:sz="6" w:space="0" w:color="auto"/>
              <w:right w:val="single" w:sz="4" w:space="0" w:color="000000"/>
            </w:tcBorders>
          </w:tcPr>
          <w:p>
            <w:pPr/>
          </w:p>
        </w:tc>
      </w:tr>
      <w:tr>
        <w:trPr>
          <w:trHeight w:val="325" w:hRule="exact"/>
        </w:trPr>
        <w:tc>
          <w:tcPr>
            <w:tcW w:w="3074" w:type="dxa"/>
            <w:tcBorders>
              <w:top w:val="nil" w:sz="6" w:space="0" w:color="auto"/>
              <w:left w:val="single" w:sz="4" w:space="0" w:color="000000"/>
              <w:bottom w:val="nil" w:sz="6" w:space="0" w:color="auto"/>
              <w:right w:val="single" w:sz="4" w:space="0" w:color="000000"/>
            </w:tcBorders>
          </w:tcPr>
          <w:p>
            <w:pPr>
              <w:pStyle w:val="TableParagraph"/>
              <w:spacing w:line="233" w:lineRule="exact"/>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604"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51" w:right="0"/>
              <w:jc w:val="left"/>
              <w:rPr>
                <w:rFonts w:ascii="宋体" w:hAnsi="宋体" w:cs="宋体" w:eastAsia="宋体" w:hint="default"/>
                <w:sz w:val="18"/>
                <w:szCs w:val="18"/>
              </w:rPr>
            </w:pPr>
            <w:r>
              <w:rPr>
                <w:rFonts w:ascii="宋体" w:hAnsi="宋体" w:cs="宋体" w:eastAsia="宋体" w:hint="default"/>
                <w:b/>
                <w:bCs/>
                <w:sz w:val="18"/>
                <w:szCs w:val="18"/>
              </w:rPr>
              <w:t>/2011</w:t>
            </w:r>
            <w:r>
              <w:rPr>
                <w:rFonts w:ascii="宋体" w:hAnsi="宋体" w:cs="宋体" w:eastAsia="宋体" w:hint="default"/>
                <w:b/>
                <w:bCs/>
                <w:spacing w:val="-29"/>
                <w:sz w:val="18"/>
                <w:szCs w:val="18"/>
              </w:rPr>
              <w:t> </w:t>
            </w:r>
            <w:r>
              <w:rPr>
                <w:rFonts w:ascii="宋体" w:hAnsi="宋体" w:cs="宋体" w:eastAsia="宋体" w:hint="default"/>
                <w:b/>
                <w:bCs/>
                <w:sz w:val="18"/>
                <w:szCs w:val="18"/>
              </w:rPr>
              <w:t>年</w:t>
            </w:r>
            <w:r>
              <w:rPr>
                <w:rFonts w:ascii="宋体" w:hAnsi="宋体" w:cs="宋体" w:eastAsia="宋体" w:hint="default"/>
                <w:b/>
                <w:bCs/>
                <w:spacing w:val="-29"/>
                <w:sz w:val="18"/>
                <w:szCs w:val="18"/>
              </w:rPr>
              <w:t> </w:t>
            </w:r>
            <w:r>
              <w:rPr>
                <w:rFonts w:ascii="宋体" w:hAnsi="宋体" w:cs="宋体" w:eastAsia="宋体" w:hint="default"/>
                <w:b/>
                <w:bCs/>
                <w:sz w:val="18"/>
                <w:szCs w:val="18"/>
              </w:rPr>
              <w:t>1</w:t>
            </w:r>
            <w:r>
              <w:rPr>
                <w:rFonts w:ascii="宋体" w:hAnsi="宋体" w:cs="宋体" w:eastAsia="宋体" w:hint="default"/>
                <w:b/>
                <w:bCs/>
                <w:spacing w:val="-30"/>
                <w:sz w:val="18"/>
                <w:szCs w:val="18"/>
              </w:rPr>
              <w:t> </w:t>
            </w:r>
            <w:r>
              <w:rPr>
                <w:rFonts w:ascii="宋体" w:hAnsi="宋体" w:cs="宋体" w:eastAsia="宋体" w:hint="default"/>
                <w:b/>
                <w:bCs/>
                <w:sz w:val="18"/>
                <w:szCs w:val="18"/>
              </w:rPr>
              <w:t>月</w:t>
            </w:r>
            <w:r>
              <w:rPr>
                <w:rFonts w:ascii="宋体" w:hAnsi="宋体" w:cs="宋体" w:eastAsia="宋体" w:hint="default"/>
                <w:b/>
                <w:bCs/>
                <w:spacing w:val="-30"/>
                <w:sz w:val="18"/>
                <w:szCs w:val="18"/>
              </w:rPr>
              <w:t> </w:t>
            </w:r>
            <w:r>
              <w:rPr>
                <w:rFonts w:ascii="宋体" w:hAnsi="宋体" w:cs="宋体" w:eastAsia="宋体" w:hint="default"/>
                <w:b/>
                <w:bCs/>
                <w:sz w:val="18"/>
                <w:szCs w:val="18"/>
              </w:rPr>
              <w:t>1</w:t>
            </w:r>
            <w:r>
              <w:rPr>
                <w:rFonts w:ascii="宋体" w:hAnsi="宋体" w:cs="宋体" w:eastAsia="宋体" w:hint="default"/>
                <w:b/>
                <w:bCs/>
                <w:spacing w:val="-29"/>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c>
        <w:tc>
          <w:tcPr>
            <w:tcW w:w="1604"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11"/>
              <w:jc w:val="right"/>
              <w:rPr>
                <w:rFonts w:ascii="宋体" w:hAnsi="宋体" w:cs="宋体" w:eastAsia="宋体" w:hint="default"/>
                <w:sz w:val="18"/>
                <w:szCs w:val="18"/>
              </w:rPr>
            </w:pPr>
            <w:r>
              <w:rPr>
                <w:rFonts w:ascii="宋体" w:hAnsi="宋体" w:cs="宋体" w:eastAsia="宋体" w:hint="default"/>
                <w:b/>
                <w:bCs/>
                <w:spacing w:val="24"/>
                <w:sz w:val="18"/>
                <w:szCs w:val="18"/>
              </w:rPr>
              <w:t>/2010年1月</w:t>
            </w:r>
            <w:r>
              <w:rPr>
                <w:rFonts w:ascii="宋体" w:hAnsi="宋体" w:cs="宋体" w:eastAsia="宋体" w:hint="default"/>
                <w:b/>
                <w:bCs/>
                <w:spacing w:val="-36"/>
                <w:sz w:val="18"/>
                <w:szCs w:val="18"/>
              </w:rPr>
              <w:t> </w:t>
            </w:r>
            <w:r>
              <w:rPr>
                <w:rFonts w:ascii="宋体" w:hAnsi="宋体" w:cs="宋体" w:eastAsia="宋体" w:hint="default"/>
                <w:b/>
                <w:bCs/>
                <w:spacing w:val="31"/>
                <w:sz w:val="18"/>
                <w:szCs w:val="18"/>
              </w:rPr>
              <w:t>1日</w:t>
            </w:r>
            <w:r>
              <w:rPr>
                <w:rFonts w:ascii="宋体" w:hAnsi="宋体" w:cs="宋体" w:eastAsia="宋体" w:hint="default"/>
                <w:b/>
                <w:bCs/>
                <w:spacing w:val="-28"/>
                <w:sz w:val="18"/>
                <w:szCs w:val="18"/>
              </w:rPr>
              <w:t> </w:t>
            </w:r>
            <w:r>
              <w:rPr>
                <w:rFonts w:ascii="宋体" w:hAnsi="宋体" w:cs="宋体" w:eastAsia="宋体" w:hint="default"/>
                <w:sz w:val="18"/>
                <w:szCs w:val="18"/>
              </w:rPr>
            </w:r>
          </w:p>
        </w:tc>
        <w:tc>
          <w:tcPr>
            <w:tcW w:w="1441"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443" w:right="0"/>
              <w:jc w:val="left"/>
              <w:rPr>
                <w:rFonts w:ascii="宋体" w:hAnsi="宋体" w:cs="宋体" w:eastAsia="宋体" w:hint="default"/>
                <w:sz w:val="18"/>
                <w:szCs w:val="18"/>
              </w:rPr>
            </w:pPr>
            <w:r>
              <w:rPr>
                <w:rFonts w:ascii="宋体" w:hAnsi="宋体" w:cs="宋体" w:eastAsia="宋体" w:hint="default"/>
                <w:b/>
                <w:bCs/>
                <w:sz w:val="18"/>
                <w:szCs w:val="18"/>
              </w:rPr>
              <w:t>增减额</w:t>
            </w:r>
            <w:r>
              <w:rPr>
                <w:rFonts w:ascii="宋体" w:hAnsi="宋体" w:cs="宋体" w:eastAsia="宋体" w:hint="default"/>
                <w:sz w:val="18"/>
                <w:szCs w:val="18"/>
              </w:rPr>
            </w:r>
          </w:p>
        </w:tc>
        <w:tc>
          <w:tcPr>
            <w:tcW w:w="962" w:type="dxa"/>
            <w:tcBorders>
              <w:top w:val="nil" w:sz="6" w:space="0" w:color="auto"/>
              <w:left w:val="single" w:sz="4" w:space="0" w:color="000000"/>
              <w:bottom w:val="nil" w:sz="6" w:space="0" w:color="auto"/>
              <w:right w:val="single" w:sz="4" w:space="0" w:color="000000"/>
            </w:tcBorders>
          </w:tcPr>
          <w:p>
            <w:pPr>
              <w:pStyle w:val="TableParagraph"/>
              <w:spacing w:line="233" w:lineRule="exact"/>
              <w:ind w:right="67"/>
              <w:jc w:val="right"/>
              <w:rPr>
                <w:rFonts w:ascii="宋体" w:hAnsi="宋体" w:cs="宋体" w:eastAsia="宋体" w:hint="default"/>
                <w:sz w:val="18"/>
                <w:szCs w:val="18"/>
              </w:rPr>
            </w:pPr>
            <w:r>
              <w:rPr>
                <w:rFonts w:ascii="宋体" w:hAnsi="宋体" w:cs="宋体" w:eastAsia="宋体" w:hint="default"/>
                <w:b/>
                <w:bCs/>
                <w:sz w:val="18"/>
                <w:szCs w:val="18"/>
              </w:rPr>
              <w:t>增减幅度%</w:t>
            </w:r>
            <w:r>
              <w:rPr>
                <w:rFonts w:ascii="宋体" w:hAnsi="宋体" w:cs="宋体" w:eastAsia="宋体" w:hint="default"/>
                <w:sz w:val="18"/>
                <w:szCs w:val="18"/>
              </w:rPr>
            </w:r>
          </w:p>
        </w:tc>
        <w:tc>
          <w:tcPr>
            <w:tcW w:w="522" w:type="dxa"/>
            <w:tcBorders>
              <w:top w:val="nil" w:sz="6" w:space="0" w:color="auto"/>
              <w:left w:val="single" w:sz="4" w:space="0" w:color="000000"/>
              <w:bottom w:val="nil" w:sz="6" w:space="0" w:color="auto"/>
              <w:right w:val="single" w:sz="4" w:space="0" w:color="000000"/>
            </w:tcBorders>
          </w:tcPr>
          <w:p>
            <w:pPr>
              <w:pStyle w:val="TableParagraph"/>
              <w:spacing w:line="233" w:lineRule="exact"/>
              <w:ind w:right="1"/>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r>
      <w:tr>
        <w:trPr>
          <w:trHeight w:val="268" w:hRule="exact"/>
        </w:trPr>
        <w:tc>
          <w:tcPr>
            <w:tcW w:w="3074" w:type="dxa"/>
            <w:tcBorders>
              <w:top w:val="nil" w:sz="6" w:space="0" w:color="auto"/>
              <w:left w:val="single" w:sz="4" w:space="0" w:color="000000"/>
              <w:bottom w:val="single" w:sz="4" w:space="0" w:color="000000"/>
              <w:right w:val="single" w:sz="4" w:space="0" w:color="000000"/>
            </w:tcBorders>
          </w:tcPr>
          <w:p>
            <w:pPr/>
          </w:p>
        </w:tc>
        <w:tc>
          <w:tcPr>
            <w:tcW w:w="160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51" w:right="0"/>
              <w:jc w:val="left"/>
              <w:rPr>
                <w:rFonts w:ascii="宋体" w:hAnsi="宋体" w:cs="宋体" w:eastAsia="宋体" w:hint="default"/>
                <w:sz w:val="18"/>
                <w:szCs w:val="18"/>
              </w:rPr>
            </w:pPr>
            <w:r>
              <w:rPr>
                <w:rFonts w:ascii="宋体" w:hAnsi="宋体" w:cs="宋体" w:eastAsia="宋体" w:hint="default"/>
                <w:b/>
                <w:bCs/>
                <w:sz w:val="18"/>
                <w:szCs w:val="18"/>
              </w:rPr>
              <w:t>至</w:t>
            </w:r>
            <w:r>
              <w:rPr>
                <w:rFonts w:ascii="宋体" w:hAnsi="宋体" w:cs="宋体" w:eastAsia="宋体" w:hint="default"/>
                <w:b/>
                <w:bCs/>
                <w:spacing w:val="-46"/>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宋体" w:hAnsi="宋体" w:cs="宋体" w:eastAsia="宋体" w:hint="default"/>
                <w:b/>
                <w:bCs/>
                <w:sz w:val="18"/>
                <w:szCs w:val="18"/>
              </w:rPr>
              <w:t>31</w:t>
            </w:r>
            <w:r>
              <w:rPr>
                <w:rFonts w:ascii="宋体" w:hAnsi="宋体" w:cs="宋体" w:eastAsia="宋体" w:hint="default"/>
                <w:b/>
                <w:bCs/>
                <w:spacing w:val="-46"/>
                <w:sz w:val="18"/>
                <w:szCs w:val="18"/>
              </w:rPr>
              <w:t> </w:t>
            </w:r>
            <w:r>
              <w:rPr>
                <w:rFonts w:ascii="宋体" w:hAnsi="宋体" w:cs="宋体" w:eastAsia="宋体" w:hint="default"/>
                <w:b/>
                <w:bCs/>
                <w:sz w:val="18"/>
                <w:szCs w:val="18"/>
              </w:rPr>
              <w:t>日止</w:t>
            </w:r>
            <w:r>
              <w:rPr>
                <w:rFonts w:ascii="宋体" w:hAnsi="宋体" w:cs="宋体" w:eastAsia="宋体" w:hint="default"/>
                <w:sz w:val="18"/>
                <w:szCs w:val="18"/>
              </w:rPr>
            </w:r>
          </w:p>
        </w:tc>
        <w:tc>
          <w:tcPr>
            <w:tcW w:w="160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51" w:right="0"/>
              <w:jc w:val="left"/>
              <w:rPr>
                <w:rFonts w:ascii="宋体" w:hAnsi="宋体" w:cs="宋体" w:eastAsia="宋体" w:hint="default"/>
                <w:sz w:val="18"/>
                <w:szCs w:val="18"/>
              </w:rPr>
            </w:pPr>
            <w:r>
              <w:rPr>
                <w:rFonts w:ascii="宋体" w:hAnsi="宋体" w:cs="宋体" w:eastAsia="宋体" w:hint="default"/>
                <w:b/>
                <w:bCs/>
                <w:sz w:val="18"/>
                <w:szCs w:val="18"/>
              </w:rPr>
              <w:t>至</w:t>
            </w:r>
            <w:r>
              <w:rPr>
                <w:rFonts w:ascii="宋体" w:hAnsi="宋体" w:cs="宋体" w:eastAsia="宋体" w:hint="default"/>
                <w:b/>
                <w:bCs/>
                <w:spacing w:val="-46"/>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宋体" w:hAnsi="宋体" w:cs="宋体" w:eastAsia="宋体" w:hint="default"/>
                <w:b/>
                <w:bCs/>
                <w:sz w:val="18"/>
                <w:szCs w:val="18"/>
              </w:rPr>
              <w:t>31</w:t>
            </w:r>
            <w:r>
              <w:rPr>
                <w:rFonts w:ascii="宋体" w:hAnsi="宋体" w:cs="宋体" w:eastAsia="宋体" w:hint="default"/>
                <w:b/>
                <w:bCs/>
                <w:spacing w:val="-46"/>
                <w:sz w:val="18"/>
                <w:szCs w:val="18"/>
              </w:rPr>
              <w:t> </w:t>
            </w:r>
            <w:r>
              <w:rPr>
                <w:rFonts w:ascii="宋体" w:hAnsi="宋体" w:cs="宋体" w:eastAsia="宋体" w:hint="default"/>
                <w:b/>
                <w:bCs/>
                <w:sz w:val="18"/>
                <w:szCs w:val="18"/>
              </w:rPr>
              <w:t>日止</w:t>
            </w:r>
            <w:r>
              <w:rPr>
                <w:rFonts w:ascii="宋体" w:hAnsi="宋体" w:cs="宋体" w:eastAsia="宋体" w:hint="default"/>
                <w:sz w:val="18"/>
                <w:szCs w:val="18"/>
              </w:rPr>
            </w:r>
          </w:p>
        </w:tc>
        <w:tc>
          <w:tcPr>
            <w:tcW w:w="1441" w:type="dxa"/>
            <w:tcBorders>
              <w:top w:val="nil" w:sz="6" w:space="0" w:color="auto"/>
              <w:left w:val="single" w:sz="4" w:space="0" w:color="000000"/>
              <w:bottom w:val="single" w:sz="4" w:space="0" w:color="000000"/>
              <w:right w:val="single" w:sz="4" w:space="0" w:color="000000"/>
            </w:tcBorders>
          </w:tcPr>
          <w:p>
            <w:pPr/>
          </w:p>
        </w:tc>
        <w:tc>
          <w:tcPr>
            <w:tcW w:w="962" w:type="dxa"/>
            <w:tcBorders>
              <w:top w:val="nil" w:sz="6" w:space="0" w:color="auto"/>
              <w:left w:val="single" w:sz="4" w:space="0" w:color="000000"/>
              <w:bottom w:val="single" w:sz="4" w:space="0" w:color="000000"/>
              <w:right w:val="single" w:sz="4" w:space="0" w:color="000000"/>
            </w:tcBorders>
          </w:tcPr>
          <w:p>
            <w:pPr/>
          </w:p>
        </w:tc>
        <w:tc>
          <w:tcPr>
            <w:tcW w:w="522" w:type="dxa"/>
            <w:tcBorders>
              <w:top w:val="nil" w:sz="6" w:space="0" w:color="auto"/>
              <w:left w:val="single" w:sz="4" w:space="0" w:color="000000"/>
              <w:bottom w:val="single" w:sz="4" w:space="0" w:color="000000"/>
              <w:right w:val="single" w:sz="4" w:space="0" w:color="000000"/>
            </w:tcBorders>
          </w:tcPr>
          <w:p>
            <w:pPr/>
          </w:p>
        </w:tc>
      </w:tr>
      <w:tr>
        <w:trPr>
          <w:trHeight w:val="340"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1"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7,925,285,114</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2"/>
              <w:jc w:val="right"/>
              <w:rPr>
                <w:rFonts w:ascii="宋体" w:hAnsi="宋体" w:cs="宋体" w:eastAsia="宋体" w:hint="default"/>
                <w:sz w:val="18"/>
                <w:szCs w:val="18"/>
              </w:rPr>
            </w:pPr>
            <w:r>
              <w:rPr>
                <w:rFonts w:ascii="宋体"/>
                <w:sz w:val="18"/>
              </w:rPr>
              <w:t>6,858,879,805</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1,066,405,309</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15.55</w:t>
            </w:r>
          </w:p>
        </w:tc>
        <w:tc>
          <w:tcPr>
            <w:tcW w:w="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9" w:right="0"/>
              <w:jc w:val="center"/>
              <w:rPr>
                <w:rFonts w:ascii="宋体" w:hAnsi="宋体" w:cs="宋体" w:eastAsia="宋体" w:hint="default"/>
                <w:sz w:val="18"/>
                <w:szCs w:val="18"/>
              </w:rPr>
            </w:pPr>
            <w:r>
              <w:rPr>
                <w:rFonts w:ascii="宋体"/>
                <w:sz w:val="18"/>
              </w:rPr>
              <w:t>(1)</w:t>
            </w:r>
          </w:p>
        </w:tc>
      </w:tr>
      <w:tr>
        <w:trPr>
          <w:trHeight w:val="340"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2,910,161,846</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2"/>
              <w:jc w:val="right"/>
              <w:rPr>
                <w:rFonts w:ascii="宋体" w:hAnsi="宋体" w:cs="宋体" w:eastAsia="宋体" w:hint="default"/>
                <w:sz w:val="18"/>
                <w:szCs w:val="18"/>
              </w:rPr>
            </w:pPr>
            <w:r>
              <w:rPr>
                <w:rFonts w:ascii="宋体"/>
                <w:sz w:val="18"/>
              </w:rPr>
              <w:t>2,273,667,334</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636,494,512</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27.99</w:t>
            </w:r>
          </w:p>
        </w:tc>
        <w:tc>
          <w:tcPr>
            <w:tcW w:w="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9" w:right="0"/>
              <w:jc w:val="center"/>
              <w:rPr>
                <w:rFonts w:ascii="宋体" w:hAnsi="宋体" w:cs="宋体" w:eastAsia="宋体" w:hint="default"/>
                <w:sz w:val="18"/>
                <w:szCs w:val="18"/>
              </w:rPr>
            </w:pPr>
            <w:r>
              <w:rPr>
                <w:rFonts w:ascii="宋体"/>
                <w:sz w:val="18"/>
              </w:rPr>
              <w:t>(2)</w:t>
            </w:r>
          </w:p>
        </w:tc>
      </w:tr>
      <w:tr>
        <w:trPr>
          <w:trHeight w:val="341"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1" w:right="0"/>
              <w:jc w:val="left"/>
              <w:rPr>
                <w:rFonts w:ascii="宋体" w:hAnsi="宋体" w:cs="宋体" w:eastAsia="宋体" w:hint="default"/>
                <w:sz w:val="18"/>
                <w:szCs w:val="18"/>
              </w:rPr>
            </w:pPr>
            <w:r>
              <w:rPr>
                <w:rFonts w:ascii="宋体" w:hAnsi="宋体" w:cs="宋体" w:eastAsia="宋体" w:hint="default"/>
                <w:sz w:val="18"/>
                <w:szCs w:val="18"/>
              </w:rPr>
              <w:t>归属于上市公司股东的所有者权益</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4,674,677,555</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2"/>
              <w:jc w:val="right"/>
              <w:rPr>
                <w:rFonts w:ascii="宋体" w:hAnsi="宋体" w:cs="宋体" w:eastAsia="宋体" w:hint="default"/>
                <w:sz w:val="18"/>
                <w:szCs w:val="18"/>
              </w:rPr>
            </w:pPr>
            <w:r>
              <w:rPr>
                <w:rFonts w:ascii="宋体"/>
                <w:sz w:val="18"/>
              </w:rPr>
              <w:t>4,280,208,312</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394,469,243</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9.22</w:t>
            </w:r>
          </w:p>
        </w:tc>
        <w:tc>
          <w:tcPr>
            <w:tcW w:w="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19" w:right="0"/>
              <w:jc w:val="center"/>
              <w:rPr>
                <w:rFonts w:ascii="宋体" w:hAnsi="宋体" w:cs="宋体" w:eastAsia="宋体" w:hint="default"/>
                <w:sz w:val="18"/>
                <w:szCs w:val="18"/>
              </w:rPr>
            </w:pPr>
            <w:r>
              <w:rPr>
                <w:rFonts w:ascii="宋体"/>
                <w:sz w:val="18"/>
              </w:rPr>
              <w:t>(3)</w:t>
            </w:r>
          </w:p>
        </w:tc>
      </w:tr>
      <w:tr>
        <w:trPr>
          <w:trHeight w:val="340"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1"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310,300,179</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2"/>
              <w:jc w:val="right"/>
              <w:rPr>
                <w:rFonts w:ascii="宋体" w:hAnsi="宋体" w:cs="宋体" w:eastAsia="宋体" w:hint="default"/>
                <w:sz w:val="18"/>
                <w:szCs w:val="18"/>
              </w:rPr>
            </w:pPr>
            <w:r>
              <w:rPr>
                <w:rFonts w:ascii="宋体"/>
                <w:sz w:val="18"/>
              </w:rPr>
              <w:t>407,491,880</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-97,191,701</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-23.85</w:t>
            </w:r>
          </w:p>
        </w:tc>
        <w:tc>
          <w:tcPr>
            <w:tcW w:w="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9" w:right="0"/>
              <w:jc w:val="center"/>
              <w:rPr>
                <w:rFonts w:ascii="宋体" w:hAnsi="宋体" w:cs="宋体" w:eastAsia="宋体" w:hint="default"/>
                <w:sz w:val="18"/>
                <w:szCs w:val="18"/>
              </w:rPr>
            </w:pPr>
            <w:r>
              <w:rPr>
                <w:rFonts w:ascii="宋体"/>
                <w:sz w:val="18"/>
              </w:rPr>
              <w:t>(4)</w:t>
            </w:r>
          </w:p>
        </w:tc>
      </w:tr>
      <w:tr>
        <w:trPr>
          <w:trHeight w:val="340"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417,068,980</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2"/>
              <w:jc w:val="right"/>
              <w:rPr>
                <w:rFonts w:ascii="宋体" w:hAnsi="宋体" w:cs="宋体" w:eastAsia="宋体" w:hint="default"/>
                <w:sz w:val="18"/>
                <w:szCs w:val="18"/>
              </w:rPr>
            </w:pPr>
            <w:r>
              <w:rPr>
                <w:rFonts w:ascii="宋体"/>
                <w:sz w:val="18"/>
              </w:rPr>
              <w:t>484,675,178</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-67,606,198</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-13.95</w:t>
            </w:r>
          </w:p>
        </w:tc>
        <w:tc>
          <w:tcPr>
            <w:tcW w:w="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9" w:right="0"/>
              <w:jc w:val="center"/>
              <w:rPr>
                <w:rFonts w:ascii="宋体" w:hAnsi="宋体" w:cs="宋体" w:eastAsia="宋体" w:hint="default"/>
                <w:sz w:val="18"/>
                <w:szCs w:val="18"/>
              </w:rPr>
            </w:pPr>
            <w:r>
              <w:rPr>
                <w:rFonts w:ascii="宋体"/>
                <w:sz w:val="18"/>
              </w:rPr>
              <w:t>(5)</w:t>
            </w:r>
          </w:p>
        </w:tc>
      </w:tr>
      <w:tr>
        <w:trPr>
          <w:trHeight w:val="341"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300,196,604</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2"/>
              <w:jc w:val="right"/>
              <w:rPr>
                <w:rFonts w:ascii="宋体" w:hAnsi="宋体" w:cs="宋体" w:eastAsia="宋体" w:hint="default"/>
                <w:sz w:val="18"/>
                <w:szCs w:val="18"/>
              </w:rPr>
            </w:pPr>
            <w:r>
              <w:rPr>
                <w:rFonts w:ascii="宋体"/>
                <w:sz w:val="18"/>
              </w:rPr>
              <w:t>381,889,530</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-81,692,926</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-21.39</w:t>
            </w:r>
          </w:p>
        </w:tc>
        <w:tc>
          <w:tcPr>
            <w:tcW w:w="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19" w:right="0"/>
              <w:jc w:val="center"/>
              <w:rPr>
                <w:rFonts w:ascii="宋体" w:hAnsi="宋体" w:cs="宋体" w:eastAsia="宋体" w:hint="default"/>
                <w:sz w:val="18"/>
                <w:szCs w:val="18"/>
              </w:rPr>
            </w:pPr>
            <w:r>
              <w:rPr>
                <w:rFonts w:ascii="宋体"/>
                <w:sz w:val="18"/>
              </w:rPr>
              <w:t>(6)</w:t>
            </w:r>
          </w:p>
        </w:tc>
      </w:tr>
      <w:tr>
        <w:trPr>
          <w:trHeight w:val="340"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48,727,823</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2"/>
              <w:jc w:val="right"/>
              <w:rPr>
                <w:rFonts w:ascii="宋体" w:hAnsi="宋体" w:cs="宋体" w:eastAsia="宋体" w:hint="default"/>
                <w:sz w:val="18"/>
                <w:szCs w:val="18"/>
              </w:rPr>
            </w:pPr>
            <w:r>
              <w:rPr>
                <w:rFonts w:ascii="宋体"/>
                <w:sz w:val="18"/>
              </w:rPr>
              <w:t>71,990,061</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-23,262,238</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5"/>
              <w:jc w:val="right"/>
              <w:rPr>
                <w:rFonts w:ascii="宋体" w:hAnsi="宋体" w:cs="宋体" w:eastAsia="宋体" w:hint="default"/>
                <w:sz w:val="18"/>
                <w:szCs w:val="18"/>
              </w:rPr>
            </w:pPr>
            <w:r>
              <w:rPr>
                <w:rFonts w:ascii="宋体"/>
                <w:sz w:val="18"/>
              </w:rPr>
              <w:t>-32.31</w:t>
            </w:r>
          </w:p>
        </w:tc>
        <w:tc>
          <w:tcPr>
            <w:tcW w:w="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9" w:right="0"/>
              <w:jc w:val="center"/>
              <w:rPr>
                <w:rFonts w:ascii="宋体" w:hAnsi="宋体" w:cs="宋体" w:eastAsia="宋体" w:hint="default"/>
                <w:sz w:val="18"/>
                <w:szCs w:val="18"/>
              </w:rPr>
            </w:pPr>
            <w:r>
              <w:rPr>
                <w:rFonts w:ascii="宋体"/>
                <w:sz w:val="18"/>
              </w:rPr>
              <w:t>(7)</w:t>
            </w:r>
          </w:p>
        </w:tc>
      </w:tr>
    </w:tbl>
    <w:p>
      <w:pPr>
        <w:pStyle w:val="Heading5"/>
        <w:spacing w:line="313" w:lineRule="exact" w:before="54"/>
        <w:ind w:left="178" w:right="396"/>
        <w:jc w:val="left"/>
      </w:pPr>
      <w:r>
        <w:rPr/>
        <w:t>变动说明：</w:t>
      </w:r>
    </w:p>
    <w:p>
      <w:pPr>
        <w:spacing w:line="312" w:lineRule="exact" w:before="29"/>
        <w:ind w:left="178" w:right="396" w:firstLine="480"/>
        <w:jc w:val="left"/>
        <w:rPr>
          <w:rFonts w:ascii="宋体" w:hAnsi="宋体" w:cs="宋体" w:eastAsia="宋体" w:hint="default"/>
          <w:sz w:val="24"/>
          <w:szCs w:val="24"/>
        </w:rPr>
      </w:pPr>
      <w:r>
        <w:rPr>
          <w:rFonts w:ascii="宋体" w:hAnsi="宋体" w:cs="宋体" w:eastAsia="宋体" w:hint="default"/>
          <w:sz w:val="24"/>
          <w:szCs w:val="24"/>
        </w:rPr>
        <w:t>（1）总资产期末较期初增加</w:t>
      </w:r>
      <w:r>
        <w:rPr>
          <w:rFonts w:ascii="宋体" w:hAnsi="宋体" w:cs="宋体" w:eastAsia="宋体" w:hint="default"/>
          <w:spacing w:val="-69"/>
          <w:sz w:val="24"/>
          <w:szCs w:val="24"/>
        </w:rPr>
        <w:t> </w:t>
      </w:r>
      <w:r>
        <w:rPr>
          <w:rFonts w:ascii="宋体" w:hAnsi="宋体" w:cs="宋体" w:eastAsia="宋体" w:hint="default"/>
          <w:sz w:val="24"/>
          <w:szCs w:val="24"/>
        </w:rPr>
        <w:t>106,641</w:t>
      </w:r>
      <w:r>
        <w:rPr>
          <w:rFonts w:ascii="宋体" w:hAnsi="宋体" w:cs="宋体" w:eastAsia="宋体" w:hint="default"/>
          <w:spacing w:val="-69"/>
          <w:sz w:val="24"/>
          <w:szCs w:val="24"/>
        </w:rPr>
        <w:t> </w:t>
      </w:r>
      <w:r>
        <w:rPr>
          <w:rFonts w:ascii="宋体" w:hAnsi="宋体" w:cs="宋体" w:eastAsia="宋体" w:hint="default"/>
          <w:spacing w:val="-3"/>
          <w:sz w:val="24"/>
          <w:szCs w:val="24"/>
        </w:rPr>
        <w:t>万元，上升</w:t>
      </w:r>
      <w:r>
        <w:rPr>
          <w:rFonts w:ascii="宋体" w:hAnsi="宋体" w:cs="宋体" w:eastAsia="宋体" w:hint="default"/>
          <w:spacing w:val="-17"/>
          <w:sz w:val="24"/>
          <w:szCs w:val="24"/>
        </w:rPr>
        <w:t> </w:t>
      </w:r>
      <w:r>
        <w:rPr>
          <w:rFonts w:ascii="宋体" w:hAnsi="宋体" w:cs="宋体" w:eastAsia="宋体" w:hint="default"/>
          <w:sz w:val="24"/>
          <w:szCs w:val="24"/>
        </w:rPr>
        <w:t>15.55%，主要由于应收账款、存</w:t>
      </w:r>
      <w:r>
        <w:rPr>
          <w:rFonts w:ascii="宋体" w:hAnsi="宋体" w:cs="宋体" w:eastAsia="宋体" w:hint="default"/>
          <w:sz w:val="24"/>
          <w:szCs w:val="24"/>
        </w:rPr>
        <w:t> 货等流动资产以及在建工程、持有至到期投资等非流动资产增加所致；</w:t>
      </w:r>
    </w:p>
    <w:p>
      <w:pPr>
        <w:spacing w:line="312" w:lineRule="exact" w:before="0"/>
        <w:ind w:left="178" w:right="399" w:firstLine="480"/>
        <w:jc w:val="left"/>
        <w:rPr>
          <w:rFonts w:ascii="宋体" w:hAnsi="宋体" w:cs="宋体" w:eastAsia="宋体" w:hint="default"/>
          <w:sz w:val="24"/>
          <w:szCs w:val="24"/>
        </w:rPr>
      </w:pPr>
      <w:r>
        <w:rPr>
          <w:rFonts w:ascii="宋体" w:hAnsi="宋体" w:cs="宋体" w:eastAsia="宋体" w:hint="default"/>
          <w:sz w:val="24"/>
          <w:szCs w:val="24"/>
        </w:rPr>
        <w:t>（2）负债合计期末较期初增加</w:t>
      </w:r>
      <w:r>
        <w:rPr>
          <w:rFonts w:ascii="宋体" w:hAnsi="宋体" w:cs="宋体" w:eastAsia="宋体" w:hint="default"/>
          <w:spacing w:val="-65"/>
          <w:sz w:val="24"/>
          <w:szCs w:val="24"/>
        </w:rPr>
        <w:t> </w:t>
      </w:r>
      <w:r>
        <w:rPr>
          <w:rFonts w:ascii="宋体" w:hAnsi="宋体" w:cs="宋体" w:eastAsia="宋体" w:hint="default"/>
          <w:sz w:val="24"/>
          <w:szCs w:val="24"/>
        </w:rPr>
        <w:t>63,649</w:t>
      </w:r>
      <w:r>
        <w:rPr>
          <w:rFonts w:ascii="宋体" w:hAnsi="宋体" w:cs="宋体" w:eastAsia="宋体" w:hint="default"/>
          <w:spacing w:val="-65"/>
          <w:sz w:val="24"/>
          <w:szCs w:val="24"/>
        </w:rPr>
        <w:t> </w:t>
      </w:r>
      <w:r>
        <w:rPr>
          <w:rFonts w:ascii="宋体" w:hAnsi="宋体" w:cs="宋体" w:eastAsia="宋体" w:hint="default"/>
          <w:spacing w:val="-6"/>
          <w:sz w:val="24"/>
          <w:szCs w:val="24"/>
        </w:rPr>
        <w:t>万元，上升</w:t>
      </w:r>
      <w:r>
        <w:rPr>
          <w:rFonts w:ascii="宋体" w:hAnsi="宋体" w:cs="宋体" w:eastAsia="宋体" w:hint="default"/>
          <w:spacing w:val="-65"/>
          <w:sz w:val="24"/>
          <w:szCs w:val="24"/>
        </w:rPr>
        <w:t> </w:t>
      </w:r>
      <w:r>
        <w:rPr>
          <w:rFonts w:ascii="宋体" w:hAnsi="宋体" w:cs="宋体" w:eastAsia="宋体" w:hint="default"/>
          <w:spacing w:val="-4"/>
          <w:sz w:val="24"/>
          <w:szCs w:val="24"/>
        </w:rPr>
        <w:t>27.99%，主要由于短期借款、应</w:t>
      </w:r>
      <w:r>
        <w:rPr>
          <w:rFonts w:ascii="宋体" w:hAnsi="宋体" w:cs="宋体" w:eastAsia="宋体" w:hint="default"/>
          <w:sz w:val="24"/>
          <w:szCs w:val="24"/>
        </w:rPr>
        <w:t> 付债券、应交税费等增加所致；</w:t>
      </w:r>
    </w:p>
    <w:p>
      <w:pPr>
        <w:spacing w:line="283" w:lineRule="exact" w:before="0"/>
        <w:ind w:left="658" w:right="234" w:firstLine="0"/>
        <w:jc w:val="left"/>
        <w:rPr>
          <w:rFonts w:ascii="宋体" w:hAnsi="宋体" w:cs="宋体" w:eastAsia="宋体" w:hint="default"/>
          <w:sz w:val="24"/>
          <w:szCs w:val="24"/>
        </w:rPr>
      </w:pPr>
      <w:r>
        <w:rPr>
          <w:rFonts w:ascii="宋体" w:hAnsi="宋体" w:cs="宋体" w:eastAsia="宋体" w:hint="default"/>
          <w:spacing w:val="-4"/>
          <w:sz w:val="24"/>
          <w:szCs w:val="24"/>
        </w:rPr>
        <w:t>（3）归属于上市公司股东的所有者权益期末较期初增加</w:t>
      </w:r>
      <w:r>
        <w:rPr>
          <w:rFonts w:ascii="宋体" w:hAnsi="宋体" w:cs="宋体" w:eastAsia="宋体" w:hint="default"/>
          <w:spacing w:val="-56"/>
          <w:sz w:val="24"/>
          <w:szCs w:val="24"/>
        </w:rPr>
        <w:t> </w:t>
      </w:r>
      <w:r>
        <w:rPr>
          <w:rFonts w:ascii="宋体" w:hAnsi="宋体" w:cs="宋体" w:eastAsia="宋体" w:hint="default"/>
          <w:sz w:val="24"/>
          <w:szCs w:val="24"/>
        </w:rPr>
        <w:t>39,447</w:t>
      </w:r>
      <w:r>
        <w:rPr>
          <w:rFonts w:ascii="宋体" w:hAnsi="宋体" w:cs="宋体" w:eastAsia="宋体" w:hint="default"/>
          <w:spacing w:val="-56"/>
          <w:sz w:val="24"/>
          <w:szCs w:val="24"/>
        </w:rPr>
        <w:t> </w:t>
      </w:r>
      <w:r>
        <w:rPr>
          <w:rFonts w:ascii="宋体" w:hAnsi="宋体" w:cs="宋体" w:eastAsia="宋体" w:hint="default"/>
          <w:spacing w:val="-18"/>
          <w:sz w:val="24"/>
          <w:szCs w:val="24"/>
        </w:rPr>
        <w:t>万元，上升</w:t>
      </w:r>
      <w:r>
        <w:rPr>
          <w:rFonts w:ascii="宋体" w:hAnsi="宋体" w:cs="宋体" w:eastAsia="宋体" w:hint="default"/>
          <w:spacing w:val="9"/>
          <w:sz w:val="24"/>
          <w:szCs w:val="24"/>
        </w:rPr>
        <w:t> </w:t>
      </w:r>
      <w:r>
        <w:rPr>
          <w:rFonts w:ascii="宋体" w:hAnsi="宋体" w:cs="宋体" w:eastAsia="宋体" w:hint="default"/>
          <w:sz w:val="24"/>
          <w:szCs w:val="24"/>
        </w:rPr>
        <w:t>9.22%，</w:t>
      </w:r>
    </w:p>
    <w:p>
      <w:pPr>
        <w:spacing w:line="240" w:lineRule="auto" w:before="5"/>
        <w:rPr>
          <w:rFonts w:ascii="宋体" w:hAnsi="宋体" w:cs="宋体" w:eastAsia="宋体" w:hint="default"/>
          <w:sz w:val="19"/>
          <w:szCs w:val="19"/>
        </w:rPr>
      </w:pPr>
    </w:p>
    <w:p>
      <w:pPr>
        <w:pStyle w:val="BodyText"/>
        <w:spacing w:line="240" w:lineRule="auto"/>
        <w:ind w:left="178" w:right="396"/>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type w:val="continuous"/>
          <w:pgSz w:w="11910" w:h="16840"/>
          <w:pgMar w:top="1600" w:bottom="280" w:left="1240" w:right="1000"/>
        </w:sectPr>
      </w:pPr>
    </w:p>
    <w:p>
      <w:pPr>
        <w:spacing w:line="240" w:lineRule="auto" w:before="6"/>
        <w:rPr>
          <w:rFonts w:ascii="黑体" w:hAnsi="黑体" w:cs="黑体" w:eastAsia="黑体" w:hint="default"/>
          <w:sz w:val="15"/>
          <w:szCs w:val="15"/>
        </w:rPr>
      </w:pPr>
    </w:p>
    <w:p>
      <w:pPr>
        <w:pStyle w:val="Heading5"/>
        <w:spacing w:line="313" w:lineRule="exact" w:before="26"/>
        <w:ind w:right="100"/>
        <w:jc w:val="left"/>
      </w:pPr>
      <w:r>
        <w:rPr/>
        <w:t>主要由于报告期内实现归属于上市公司股东的净利润</w:t>
      </w:r>
      <w:r>
        <w:rPr>
          <w:spacing w:val="-60"/>
        </w:rPr>
        <w:t> </w:t>
      </w:r>
      <w:r>
        <w:rPr/>
        <w:t>41,707</w:t>
      </w:r>
      <w:r>
        <w:rPr>
          <w:spacing w:val="-60"/>
        </w:rPr>
        <w:t> </w:t>
      </w:r>
      <w:r>
        <w:rPr/>
        <w:t>万元所致；</w:t>
      </w:r>
    </w:p>
    <w:p>
      <w:pPr>
        <w:spacing w:line="312" w:lineRule="exact" w:before="29"/>
        <w:ind w:left="118" w:right="233" w:firstLine="480"/>
        <w:jc w:val="both"/>
        <w:rPr>
          <w:rFonts w:ascii="宋体" w:hAnsi="宋体" w:cs="宋体" w:eastAsia="宋体" w:hint="default"/>
          <w:sz w:val="24"/>
          <w:szCs w:val="24"/>
        </w:rPr>
      </w:pPr>
      <w:r>
        <w:rPr>
          <w:rFonts w:ascii="宋体" w:hAnsi="宋体" w:cs="宋体" w:eastAsia="宋体" w:hint="default"/>
          <w:sz w:val="24"/>
          <w:szCs w:val="24"/>
        </w:rPr>
        <w:t>（4）营业利润较上年同期减少</w:t>
      </w:r>
      <w:r>
        <w:rPr>
          <w:rFonts w:ascii="宋体" w:hAnsi="宋体" w:cs="宋体" w:eastAsia="宋体" w:hint="default"/>
          <w:spacing w:val="-57"/>
          <w:sz w:val="24"/>
          <w:szCs w:val="24"/>
        </w:rPr>
        <w:t> </w:t>
      </w:r>
      <w:r>
        <w:rPr>
          <w:rFonts w:ascii="宋体" w:hAnsi="宋体" w:cs="宋体" w:eastAsia="宋体" w:hint="default"/>
          <w:sz w:val="24"/>
          <w:szCs w:val="24"/>
        </w:rPr>
        <w:t>9,719</w:t>
      </w:r>
      <w:r>
        <w:rPr>
          <w:rFonts w:ascii="宋体" w:hAnsi="宋体" w:cs="宋体" w:eastAsia="宋体" w:hint="default"/>
          <w:spacing w:val="-57"/>
          <w:sz w:val="24"/>
          <w:szCs w:val="24"/>
        </w:rPr>
        <w:t> </w:t>
      </w:r>
      <w:r>
        <w:rPr>
          <w:rFonts w:ascii="宋体" w:hAnsi="宋体" w:cs="宋体" w:eastAsia="宋体" w:hint="default"/>
          <w:sz w:val="24"/>
          <w:szCs w:val="24"/>
        </w:rPr>
        <w:t>万元，下降</w:t>
      </w:r>
      <w:r>
        <w:rPr>
          <w:rFonts w:ascii="宋体" w:hAnsi="宋体" w:cs="宋体" w:eastAsia="宋体" w:hint="default"/>
          <w:spacing w:val="-57"/>
          <w:sz w:val="24"/>
          <w:szCs w:val="24"/>
        </w:rPr>
        <w:t> </w:t>
      </w:r>
      <w:r>
        <w:rPr>
          <w:rFonts w:ascii="宋体" w:hAnsi="宋体" w:cs="宋体" w:eastAsia="宋体" w:hint="default"/>
          <w:sz w:val="24"/>
          <w:szCs w:val="24"/>
        </w:rPr>
        <w:t>23.85%，主要由于报告期内毛利</w:t>
      </w:r>
      <w:r>
        <w:rPr>
          <w:rFonts w:ascii="宋体" w:hAnsi="宋体" w:cs="宋体" w:eastAsia="宋体" w:hint="default"/>
          <w:sz w:val="24"/>
          <w:szCs w:val="24"/>
        </w:rPr>
        <w:t> </w:t>
      </w:r>
      <w:r>
        <w:rPr>
          <w:rFonts w:ascii="宋体" w:hAnsi="宋体" w:cs="宋体" w:eastAsia="宋体" w:hint="default"/>
          <w:spacing w:val="-2"/>
          <w:sz w:val="24"/>
          <w:szCs w:val="24"/>
        </w:rPr>
        <w:t>率受人工费用增长等因素影响同比有所下降，同时因人工费用增长、市场投入及研发投</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入增加使销售费用、管理费用同比增长所致；</w:t>
      </w:r>
    </w:p>
    <w:p>
      <w:pPr>
        <w:spacing w:line="312" w:lineRule="exact" w:before="0"/>
        <w:ind w:left="118" w:right="234" w:firstLine="480"/>
        <w:jc w:val="both"/>
        <w:rPr>
          <w:rFonts w:ascii="宋体" w:hAnsi="宋体" w:cs="宋体" w:eastAsia="宋体" w:hint="default"/>
          <w:sz w:val="24"/>
          <w:szCs w:val="24"/>
        </w:rPr>
      </w:pPr>
      <w:r>
        <w:rPr>
          <w:rFonts w:ascii="宋体" w:hAnsi="宋体" w:cs="宋体" w:eastAsia="宋体" w:hint="default"/>
          <w:sz w:val="24"/>
          <w:szCs w:val="24"/>
        </w:rPr>
        <w:t>（5）归属于上市公司股东的净利润较上年同期减少</w:t>
      </w:r>
      <w:r>
        <w:rPr>
          <w:rFonts w:ascii="宋体" w:hAnsi="宋体" w:cs="宋体" w:eastAsia="宋体" w:hint="default"/>
          <w:spacing w:val="-62"/>
          <w:sz w:val="24"/>
          <w:szCs w:val="24"/>
        </w:rPr>
        <w:t> </w:t>
      </w:r>
      <w:r>
        <w:rPr>
          <w:rFonts w:ascii="宋体" w:hAnsi="宋体" w:cs="宋体" w:eastAsia="宋体" w:hint="default"/>
          <w:sz w:val="24"/>
          <w:szCs w:val="24"/>
        </w:rPr>
        <w:t>6,761</w:t>
      </w:r>
      <w:r>
        <w:rPr>
          <w:rFonts w:ascii="宋体" w:hAnsi="宋体" w:cs="宋体" w:eastAsia="宋体" w:hint="default"/>
          <w:spacing w:val="-62"/>
          <w:sz w:val="24"/>
          <w:szCs w:val="24"/>
        </w:rPr>
        <w:t> </w:t>
      </w:r>
      <w:r>
        <w:rPr>
          <w:rFonts w:ascii="宋体" w:hAnsi="宋体" w:cs="宋体" w:eastAsia="宋体" w:hint="default"/>
          <w:spacing w:val="-4"/>
          <w:sz w:val="24"/>
          <w:szCs w:val="24"/>
        </w:rPr>
        <w:t>万元，下降 </w:t>
      </w:r>
      <w:r>
        <w:rPr>
          <w:rFonts w:ascii="宋体" w:hAnsi="宋体" w:cs="宋体" w:eastAsia="宋体" w:hint="default"/>
          <w:spacing w:val="-3"/>
          <w:sz w:val="24"/>
          <w:szCs w:val="24"/>
        </w:rPr>
        <w:t>13.95%，主</w:t>
      </w:r>
      <w:r>
        <w:rPr>
          <w:rFonts w:ascii="宋体" w:hAnsi="宋体" w:cs="宋体" w:eastAsia="宋体" w:hint="default"/>
          <w:sz w:val="24"/>
          <w:szCs w:val="24"/>
        </w:rPr>
        <w:t> 要由于报告期内公司营业利润同比减少</w:t>
      </w:r>
      <w:r>
        <w:rPr>
          <w:rFonts w:ascii="宋体" w:hAnsi="宋体" w:cs="宋体" w:eastAsia="宋体" w:hint="default"/>
          <w:spacing w:val="-59"/>
          <w:sz w:val="24"/>
          <w:szCs w:val="24"/>
        </w:rPr>
        <w:t> </w:t>
      </w:r>
      <w:r>
        <w:rPr>
          <w:rFonts w:ascii="宋体" w:hAnsi="宋体" w:cs="宋体" w:eastAsia="宋体" w:hint="default"/>
          <w:sz w:val="24"/>
          <w:szCs w:val="24"/>
        </w:rPr>
        <w:t>9,719</w:t>
      </w:r>
      <w:r>
        <w:rPr>
          <w:rFonts w:ascii="宋体" w:hAnsi="宋体" w:cs="宋体" w:eastAsia="宋体" w:hint="default"/>
          <w:spacing w:val="-59"/>
          <w:sz w:val="24"/>
          <w:szCs w:val="24"/>
        </w:rPr>
        <w:t> </w:t>
      </w:r>
      <w:r>
        <w:rPr>
          <w:rFonts w:ascii="宋体" w:hAnsi="宋体" w:cs="宋体" w:eastAsia="宋体" w:hint="default"/>
          <w:spacing w:val="-4"/>
          <w:sz w:val="24"/>
          <w:szCs w:val="24"/>
        </w:rPr>
        <w:t>万元，同时营业外收入同比增加</w:t>
      </w:r>
      <w:r>
        <w:rPr>
          <w:rFonts w:ascii="宋体" w:hAnsi="宋体" w:cs="宋体" w:eastAsia="宋体" w:hint="default"/>
          <w:spacing w:val="-59"/>
          <w:sz w:val="24"/>
          <w:szCs w:val="24"/>
        </w:rPr>
        <w:t> </w:t>
      </w:r>
      <w:r>
        <w:rPr>
          <w:rFonts w:ascii="宋体" w:hAnsi="宋体" w:cs="宋体" w:eastAsia="宋体" w:hint="default"/>
          <w:sz w:val="24"/>
          <w:szCs w:val="24"/>
        </w:rPr>
        <w:t>2,726</w:t>
      </w:r>
      <w:r>
        <w:rPr>
          <w:rFonts w:ascii="宋体" w:hAnsi="宋体" w:cs="宋体" w:eastAsia="宋体" w:hint="default"/>
          <w:spacing w:val="-59"/>
          <w:sz w:val="24"/>
          <w:szCs w:val="24"/>
        </w:rPr>
        <w:t> </w:t>
      </w:r>
      <w:r>
        <w:rPr>
          <w:rFonts w:ascii="宋体" w:hAnsi="宋体" w:cs="宋体" w:eastAsia="宋体" w:hint="default"/>
          <w:sz w:val="24"/>
          <w:szCs w:val="24"/>
        </w:rPr>
        <w:t>万</w:t>
      </w:r>
      <w:r>
        <w:rPr>
          <w:rFonts w:ascii="宋体" w:hAnsi="宋体" w:cs="宋体" w:eastAsia="宋体" w:hint="default"/>
          <w:sz w:val="24"/>
          <w:szCs w:val="24"/>
        </w:rPr>
        <w:t> 元所致；</w:t>
      </w:r>
    </w:p>
    <w:p>
      <w:pPr>
        <w:spacing w:line="312" w:lineRule="exact" w:before="0"/>
        <w:ind w:left="118" w:right="233" w:firstLine="480"/>
        <w:jc w:val="both"/>
        <w:rPr>
          <w:rFonts w:ascii="宋体" w:hAnsi="宋体" w:cs="宋体" w:eastAsia="宋体" w:hint="default"/>
          <w:sz w:val="24"/>
          <w:szCs w:val="24"/>
        </w:rPr>
      </w:pPr>
      <w:r>
        <w:rPr>
          <w:rFonts w:ascii="宋体" w:hAnsi="宋体" w:cs="宋体" w:eastAsia="宋体" w:hint="default"/>
          <w:sz w:val="24"/>
          <w:szCs w:val="24"/>
        </w:rPr>
        <w:t>（6）经营活动产生的现金流量净额较上年同期减少</w:t>
      </w:r>
      <w:r>
        <w:rPr>
          <w:rFonts w:ascii="宋体" w:hAnsi="宋体" w:cs="宋体" w:eastAsia="宋体" w:hint="default"/>
          <w:spacing w:val="-57"/>
          <w:sz w:val="24"/>
          <w:szCs w:val="24"/>
        </w:rPr>
        <w:t> </w:t>
      </w:r>
      <w:r>
        <w:rPr>
          <w:rFonts w:ascii="宋体" w:hAnsi="宋体" w:cs="宋体" w:eastAsia="宋体" w:hint="default"/>
          <w:sz w:val="24"/>
          <w:szCs w:val="24"/>
        </w:rPr>
        <w:t>8,169</w:t>
      </w:r>
      <w:r>
        <w:rPr>
          <w:rFonts w:ascii="宋体" w:hAnsi="宋体" w:cs="宋体" w:eastAsia="宋体" w:hint="default"/>
          <w:spacing w:val="-57"/>
          <w:sz w:val="24"/>
          <w:szCs w:val="24"/>
        </w:rPr>
        <w:t> </w:t>
      </w:r>
      <w:r>
        <w:rPr>
          <w:rFonts w:ascii="宋体" w:hAnsi="宋体" w:cs="宋体" w:eastAsia="宋体" w:hint="default"/>
          <w:sz w:val="24"/>
          <w:szCs w:val="24"/>
        </w:rPr>
        <w:t>万元，下降</w:t>
      </w:r>
      <w:r>
        <w:rPr>
          <w:rFonts w:ascii="宋体" w:hAnsi="宋体" w:cs="宋体" w:eastAsia="宋体" w:hint="default"/>
          <w:spacing w:val="-57"/>
          <w:sz w:val="24"/>
          <w:szCs w:val="24"/>
        </w:rPr>
        <w:t> </w:t>
      </w:r>
      <w:r>
        <w:rPr>
          <w:rFonts w:ascii="宋体" w:hAnsi="宋体" w:cs="宋体" w:eastAsia="宋体" w:hint="default"/>
          <w:sz w:val="24"/>
          <w:szCs w:val="24"/>
        </w:rPr>
        <w:t>21.39%，主</w:t>
      </w:r>
      <w:r>
        <w:rPr>
          <w:rFonts w:ascii="宋体" w:hAnsi="宋体" w:cs="宋体" w:eastAsia="宋体" w:hint="default"/>
          <w:sz w:val="24"/>
          <w:szCs w:val="24"/>
        </w:rPr>
        <w:t> 要由于报告期内采购性支出及人工费用性支出的增长大于回款的增长所致；</w:t>
      </w:r>
    </w:p>
    <w:p>
      <w:pPr>
        <w:spacing w:line="312" w:lineRule="exact" w:before="0"/>
        <w:ind w:left="118" w:right="233" w:firstLine="480"/>
        <w:jc w:val="both"/>
        <w:rPr>
          <w:rFonts w:ascii="宋体" w:hAnsi="宋体" w:cs="宋体" w:eastAsia="宋体" w:hint="default"/>
          <w:sz w:val="24"/>
          <w:szCs w:val="24"/>
        </w:rPr>
      </w:pPr>
      <w:r>
        <w:rPr>
          <w:rFonts w:ascii="宋体" w:hAnsi="宋体" w:cs="宋体" w:eastAsia="宋体" w:hint="default"/>
          <w:sz w:val="24"/>
          <w:szCs w:val="24"/>
        </w:rPr>
        <w:t>（7）现金及现金等价物净增加额比上年同期减少</w:t>
      </w:r>
      <w:r>
        <w:rPr>
          <w:rFonts w:ascii="宋体" w:hAnsi="宋体" w:cs="宋体" w:eastAsia="宋体" w:hint="default"/>
          <w:spacing w:val="-57"/>
          <w:sz w:val="24"/>
          <w:szCs w:val="24"/>
        </w:rPr>
        <w:t> </w:t>
      </w:r>
      <w:r>
        <w:rPr>
          <w:rFonts w:ascii="宋体" w:hAnsi="宋体" w:cs="宋体" w:eastAsia="宋体" w:hint="default"/>
          <w:sz w:val="24"/>
          <w:szCs w:val="24"/>
        </w:rPr>
        <w:t>2,326</w:t>
      </w:r>
      <w:r>
        <w:rPr>
          <w:rFonts w:ascii="宋体" w:hAnsi="宋体" w:cs="宋体" w:eastAsia="宋体" w:hint="default"/>
          <w:spacing w:val="-57"/>
          <w:sz w:val="24"/>
          <w:szCs w:val="24"/>
        </w:rPr>
        <w:t> </w:t>
      </w:r>
      <w:r>
        <w:rPr>
          <w:rFonts w:ascii="宋体" w:hAnsi="宋体" w:cs="宋体" w:eastAsia="宋体" w:hint="default"/>
          <w:sz w:val="24"/>
          <w:szCs w:val="24"/>
        </w:rPr>
        <w:t>万元，下降</w:t>
      </w:r>
      <w:r>
        <w:rPr>
          <w:rFonts w:ascii="宋体" w:hAnsi="宋体" w:cs="宋体" w:eastAsia="宋体" w:hint="default"/>
          <w:spacing w:val="-57"/>
          <w:sz w:val="24"/>
          <w:szCs w:val="24"/>
        </w:rPr>
        <w:t> </w:t>
      </w:r>
      <w:r>
        <w:rPr>
          <w:rFonts w:ascii="宋体" w:hAnsi="宋体" w:cs="宋体" w:eastAsia="宋体" w:hint="default"/>
          <w:sz w:val="24"/>
          <w:szCs w:val="24"/>
        </w:rPr>
        <w:t>32.31%，主要</w:t>
      </w:r>
      <w:r>
        <w:rPr>
          <w:rFonts w:ascii="宋体" w:hAnsi="宋体" w:cs="宋体" w:eastAsia="宋体" w:hint="default"/>
          <w:sz w:val="24"/>
          <w:szCs w:val="24"/>
        </w:rPr>
        <w:t> </w:t>
      </w:r>
      <w:r>
        <w:rPr>
          <w:rFonts w:ascii="宋体" w:hAnsi="宋体" w:cs="宋体" w:eastAsia="宋体" w:hint="default"/>
          <w:spacing w:val="-7"/>
          <w:sz w:val="24"/>
          <w:szCs w:val="24"/>
        </w:rPr>
        <w:t>由于经营活动现金净流量的减少所致，其中：经营活动现金净流量比上年同期减少</w:t>
      </w:r>
      <w:r>
        <w:rPr>
          <w:rFonts w:ascii="宋体" w:hAnsi="宋体" w:cs="宋体" w:eastAsia="宋体" w:hint="default"/>
          <w:spacing w:val="-40"/>
          <w:sz w:val="24"/>
          <w:szCs w:val="24"/>
        </w:rPr>
        <w:t> </w:t>
      </w:r>
      <w:r>
        <w:rPr>
          <w:rFonts w:ascii="宋体" w:hAnsi="宋体" w:cs="宋体" w:eastAsia="宋体" w:hint="default"/>
          <w:sz w:val="24"/>
          <w:szCs w:val="24"/>
        </w:rPr>
        <w:t>8,169</w:t>
      </w:r>
    </w:p>
    <w:p>
      <w:pPr>
        <w:spacing w:line="282" w:lineRule="exact" w:before="0"/>
        <w:ind w:left="118" w:right="100" w:firstLine="0"/>
        <w:jc w:val="left"/>
        <w:rPr>
          <w:rFonts w:ascii="宋体" w:hAnsi="宋体" w:cs="宋体" w:eastAsia="宋体" w:hint="default"/>
          <w:sz w:val="24"/>
          <w:szCs w:val="24"/>
        </w:rPr>
      </w:pPr>
      <w:r>
        <w:rPr>
          <w:rFonts w:ascii="宋体" w:hAnsi="宋体" w:cs="宋体" w:eastAsia="宋体" w:hint="default"/>
          <w:sz w:val="24"/>
          <w:szCs w:val="24"/>
        </w:rPr>
        <w:t>万元；投资活动现金净流量比上年同期减少 54,469</w:t>
      </w:r>
      <w:r>
        <w:rPr>
          <w:rFonts w:ascii="宋体" w:hAnsi="宋体" w:cs="宋体" w:eastAsia="宋体" w:hint="default"/>
          <w:spacing w:val="-52"/>
          <w:sz w:val="24"/>
          <w:szCs w:val="24"/>
        </w:rPr>
        <w:t> </w:t>
      </w:r>
      <w:r>
        <w:rPr>
          <w:rFonts w:ascii="宋体" w:hAnsi="宋体" w:cs="宋体" w:eastAsia="宋体" w:hint="default"/>
          <w:sz w:val="24"/>
          <w:szCs w:val="24"/>
        </w:rPr>
        <w:t>万元；筹资活动现金净流量比上年</w:t>
      </w:r>
    </w:p>
    <w:p>
      <w:pPr>
        <w:spacing w:line="312" w:lineRule="exact" w:before="29"/>
        <w:ind w:left="598" w:right="100" w:hanging="480"/>
        <w:jc w:val="left"/>
        <w:rPr>
          <w:rFonts w:ascii="宋体" w:hAnsi="宋体" w:cs="宋体" w:eastAsia="宋体" w:hint="default"/>
          <w:sz w:val="24"/>
          <w:szCs w:val="24"/>
        </w:rPr>
      </w:pPr>
      <w:r>
        <w:rPr>
          <w:rFonts w:ascii="宋体" w:hAnsi="宋体" w:cs="宋体" w:eastAsia="宋体" w:hint="default"/>
          <w:sz w:val="24"/>
          <w:szCs w:val="24"/>
        </w:rPr>
        <w:t>同期增加</w:t>
      </w:r>
      <w:r>
        <w:rPr>
          <w:rFonts w:ascii="宋体" w:hAnsi="宋体" w:cs="宋体" w:eastAsia="宋体" w:hint="default"/>
          <w:spacing w:val="-60"/>
          <w:sz w:val="24"/>
          <w:szCs w:val="24"/>
        </w:rPr>
        <w:t> </w:t>
      </w:r>
      <w:r>
        <w:rPr>
          <w:rFonts w:ascii="宋体" w:hAnsi="宋体" w:cs="宋体" w:eastAsia="宋体" w:hint="default"/>
          <w:sz w:val="24"/>
          <w:szCs w:val="24"/>
        </w:rPr>
        <w:t>61,697</w:t>
      </w:r>
      <w:r>
        <w:rPr>
          <w:rFonts w:ascii="宋体" w:hAnsi="宋体" w:cs="宋体" w:eastAsia="宋体" w:hint="default"/>
          <w:spacing w:val="-60"/>
          <w:sz w:val="24"/>
          <w:szCs w:val="24"/>
        </w:rPr>
        <w:t> </w:t>
      </w:r>
      <w:r>
        <w:rPr>
          <w:rFonts w:ascii="宋体" w:hAnsi="宋体" w:cs="宋体" w:eastAsia="宋体" w:hint="default"/>
          <w:sz w:val="24"/>
          <w:szCs w:val="24"/>
        </w:rPr>
        <w:t>万元。</w:t>
      </w:r>
      <w:r>
        <w:rPr>
          <w:rFonts w:ascii="宋体" w:hAnsi="宋体" w:cs="宋体" w:eastAsia="宋体" w:hint="default"/>
          <w:sz w:val="24"/>
          <w:szCs w:val="24"/>
        </w:rPr>
        <w:t> </w:t>
      </w:r>
      <w:r>
        <w:rPr>
          <w:rFonts w:ascii="宋体" w:hAnsi="宋体" w:cs="宋体" w:eastAsia="宋体" w:hint="default"/>
          <w:spacing w:val="-2"/>
          <w:sz w:val="24"/>
          <w:szCs w:val="24"/>
        </w:rPr>
        <w:t>从上述公司总体财务状况与经营成果的同期比较分析可见，公司报告期内主营业务</w:t>
      </w:r>
    </w:p>
    <w:p>
      <w:pPr>
        <w:spacing w:line="312" w:lineRule="exact" w:before="0"/>
        <w:ind w:left="118" w:right="100" w:firstLine="0"/>
        <w:jc w:val="left"/>
        <w:rPr>
          <w:rFonts w:ascii="宋体" w:hAnsi="宋体" w:cs="宋体" w:eastAsia="宋体" w:hint="default"/>
          <w:sz w:val="24"/>
          <w:szCs w:val="24"/>
        </w:rPr>
      </w:pPr>
      <w:r>
        <w:rPr>
          <w:rFonts w:ascii="宋体" w:hAnsi="宋体" w:cs="宋体" w:eastAsia="宋体" w:hint="default"/>
          <w:spacing w:val="-5"/>
          <w:sz w:val="24"/>
          <w:szCs w:val="24"/>
        </w:rPr>
        <w:t>有较好的增长，但人力资源成本同比增加，市场及研发等核心业务领域资源投入的增加，</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使得公司利润同比下降，公司总体的盈利能力及获现能力表现有所下降。</w:t>
      </w:r>
    </w:p>
    <w:p>
      <w:pPr>
        <w:spacing w:before="94"/>
        <w:ind w:left="118" w:right="100" w:firstLine="0"/>
        <w:jc w:val="left"/>
        <w:rPr>
          <w:rFonts w:ascii="宋体" w:hAnsi="宋体" w:cs="宋体" w:eastAsia="宋体" w:hint="default"/>
          <w:sz w:val="24"/>
          <w:szCs w:val="24"/>
        </w:rPr>
      </w:pPr>
      <w:r>
        <w:rPr>
          <w:rFonts w:ascii="宋体" w:hAnsi="宋体" w:cs="宋体" w:eastAsia="宋体" w:hint="default"/>
          <w:sz w:val="24"/>
          <w:szCs w:val="24"/>
        </w:rPr>
        <w:t>2、公司经营成果各具体指标对比分析如下</w:t>
      </w:r>
    </w:p>
    <w:p>
      <w:pPr>
        <w:pStyle w:val="BodyText"/>
        <w:tabs>
          <w:tab w:pos="1154" w:val="left" w:leader="none"/>
        </w:tabs>
        <w:spacing w:line="240" w:lineRule="auto" w:before="21"/>
        <w:ind w:left="0" w:right="714"/>
        <w:jc w:val="right"/>
        <w:rPr>
          <w:rFonts w:ascii="宋体" w:hAnsi="宋体" w:cs="宋体" w:eastAsia="宋体" w:hint="default"/>
        </w:rPr>
      </w:pPr>
      <w:r>
        <w:rPr>
          <w:rFonts w:ascii="宋体" w:hAnsi="宋体" w:cs="宋体" w:eastAsia="宋体" w:hint="default"/>
          <w:spacing w:val="-1"/>
        </w:rPr>
        <w:t>单位：元</w:t>
        <w:tab/>
        <w:t>币种：人民币</w:t>
      </w:r>
      <w:r>
        <w:rPr>
          <w:rFonts w:ascii="宋体" w:hAnsi="宋体" w:cs="宋体" w:eastAsia="宋体" w:hint="default"/>
        </w:rPr>
      </w:r>
    </w:p>
    <w:p>
      <w:pPr>
        <w:spacing w:line="240" w:lineRule="auto" w:before="13"/>
        <w:rPr>
          <w:rFonts w:ascii="宋体" w:hAnsi="宋体" w:cs="宋体" w:eastAsia="宋体" w:hint="default"/>
          <w:sz w:val="3"/>
          <w:szCs w:val="3"/>
        </w:rPr>
      </w:pPr>
    </w:p>
    <w:tbl>
      <w:tblPr>
        <w:tblW w:w="0" w:type="auto"/>
        <w:jc w:val="left"/>
        <w:tblInd w:w="110" w:type="dxa"/>
        <w:tblLayout w:type="fixed"/>
        <w:tblCellMar>
          <w:top w:w="0" w:type="dxa"/>
          <w:left w:w="0" w:type="dxa"/>
          <w:bottom w:w="0" w:type="dxa"/>
          <w:right w:w="0" w:type="dxa"/>
        </w:tblCellMar>
        <w:tblLook w:val="01E0"/>
      </w:tblPr>
      <w:tblGrid>
        <w:gridCol w:w="1507"/>
        <w:gridCol w:w="2200"/>
        <w:gridCol w:w="2174"/>
        <w:gridCol w:w="1488"/>
        <w:gridCol w:w="1020"/>
        <w:gridCol w:w="688"/>
      </w:tblGrid>
      <w:tr>
        <w:trPr>
          <w:trHeight w:val="775" w:hRule="exact"/>
        </w:trPr>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77" w:right="0"/>
              <w:jc w:val="left"/>
              <w:rPr>
                <w:rFonts w:ascii="宋体" w:hAnsi="宋体" w:cs="宋体" w:eastAsia="宋体" w:hint="default"/>
                <w:sz w:val="18"/>
                <w:szCs w:val="18"/>
              </w:rPr>
            </w:pPr>
            <w:r>
              <w:rPr>
                <w:rFonts w:ascii="宋体" w:hAnsi="宋体" w:cs="宋体" w:eastAsia="宋体" w:hint="default"/>
                <w:b/>
                <w:bCs/>
                <w:sz w:val="18"/>
                <w:szCs w:val="18"/>
              </w:rPr>
              <w:t>项</w:t>
            </w:r>
            <w:r>
              <w:rPr>
                <w:rFonts w:ascii="宋体" w:hAnsi="宋体" w:cs="宋体" w:eastAsia="宋体" w:hint="default"/>
                <w:b/>
                <w:bCs/>
                <w:spacing w:val="90"/>
                <w:sz w:val="18"/>
                <w:szCs w:val="18"/>
              </w:rPr>
              <w:t> </w:t>
            </w:r>
            <w:r>
              <w:rPr>
                <w:rFonts w:ascii="宋体" w:hAnsi="宋体" w:cs="宋体" w:eastAsia="宋体" w:hint="default"/>
                <w:b/>
                <w:bCs/>
                <w:sz w:val="18"/>
                <w:szCs w:val="18"/>
              </w:rPr>
              <w:t>目</w:t>
            </w:r>
            <w:r>
              <w:rPr>
                <w:rFonts w:ascii="宋体" w:hAnsi="宋体" w:cs="宋体" w:eastAsia="宋体" w:hint="default"/>
                <w:sz w:val="18"/>
                <w:szCs w:val="18"/>
              </w:rPr>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b/>
                <w:bCs/>
                <w:sz w:val="18"/>
                <w:szCs w:val="18"/>
              </w:rPr>
              <w:t>2011</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宋体" w:hAnsi="宋体" w:cs="宋体" w:eastAsia="宋体" w:hint="default"/>
                <w:b/>
                <w:bCs/>
                <w:sz w:val="18"/>
                <w:szCs w:val="18"/>
              </w:rPr>
              <w:t>31</w:t>
            </w:r>
            <w:r>
              <w:rPr>
                <w:rFonts w:ascii="宋体" w:hAnsi="宋体" w:cs="宋体" w:eastAsia="宋体" w:hint="default"/>
                <w:b/>
                <w:bCs/>
                <w:spacing w:val="-46"/>
                <w:sz w:val="18"/>
                <w:szCs w:val="18"/>
              </w:rPr>
              <w:t> </w:t>
            </w:r>
            <w:r>
              <w:rPr>
                <w:rFonts w:ascii="宋体" w:hAnsi="宋体" w:cs="宋体" w:eastAsia="宋体" w:hint="default"/>
                <w:b/>
                <w:bCs/>
                <w:sz w:val="18"/>
                <w:szCs w:val="18"/>
              </w:rPr>
              <w:t>日/2011</w:t>
            </w:r>
            <w:r>
              <w:rPr>
                <w:rFonts w:ascii="宋体" w:hAnsi="宋体" w:cs="宋体" w:eastAsia="宋体" w:hint="default"/>
                <w:b/>
                <w:bCs/>
                <w:spacing w:val="-46"/>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b/>
                <w:bCs/>
                <w:spacing w:val="22"/>
                <w:sz w:val="18"/>
                <w:szCs w:val="18"/>
              </w:rPr>
              <w:t>1月</w:t>
            </w:r>
            <w:r>
              <w:rPr>
                <w:rFonts w:ascii="宋体" w:hAnsi="宋体" w:cs="宋体" w:eastAsia="宋体" w:hint="default"/>
                <w:b/>
                <w:bCs/>
                <w:spacing w:val="-46"/>
                <w:sz w:val="18"/>
                <w:szCs w:val="18"/>
              </w:rPr>
              <w:t> </w:t>
            </w:r>
            <w:r>
              <w:rPr>
                <w:rFonts w:ascii="宋体" w:hAnsi="宋体" w:cs="宋体" w:eastAsia="宋体" w:hint="default"/>
                <w:b/>
                <w:bCs/>
                <w:sz w:val="18"/>
                <w:szCs w:val="18"/>
              </w:rPr>
              <w:t>1</w:t>
            </w:r>
            <w:r>
              <w:rPr>
                <w:rFonts w:ascii="宋体" w:hAnsi="宋体" w:cs="宋体" w:eastAsia="宋体" w:hint="default"/>
                <w:b/>
                <w:bCs/>
                <w:spacing w:val="-48"/>
                <w:sz w:val="18"/>
                <w:szCs w:val="18"/>
              </w:rPr>
              <w:t> </w:t>
            </w:r>
            <w:r>
              <w:rPr>
                <w:rFonts w:ascii="宋体" w:hAnsi="宋体" w:cs="宋体" w:eastAsia="宋体" w:hint="default"/>
                <w:b/>
                <w:bCs/>
                <w:sz w:val="18"/>
                <w:szCs w:val="18"/>
              </w:rPr>
              <w:t>日至</w:t>
            </w:r>
            <w:r>
              <w:rPr>
                <w:rFonts w:ascii="宋体" w:hAnsi="宋体" w:cs="宋体" w:eastAsia="宋体" w:hint="default"/>
                <w:b/>
                <w:bCs/>
                <w:spacing w:val="-46"/>
                <w:sz w:val="18"/>
                <w:szCs w:val="18"/>
              </w:rPr>
              <w:t> </w:t>
            </w:r>
            <w:r>
              <w:rPr>
                <w:rFonts w:ascii="宋体" w:hAnsi="宋体" w:cs="宋体" w:eastAsia="宋体" w:hint="default"/>
                <w:b/>
                <w:bCs/>
                <w:spacing w:val="15"/>
                <w:sz w:val="18"/>
                <w:szCs w:val="18"/>
              </w:rPr>
              <w:t>12月</w:t>
            </w:r>
            <w:r>
              <w:rPr>
                <w:rFonts w:ascii="宋体" w:hAnsi="宋体" w:cs="宋体" w:eastAsia="宋体" w:hint="default"/>
                <w:b/>
                <w:bCs/>
                <w:spacing w:val="-46"/>
                <w:sz w:val="18"/>
                <w:szCs w:val="18"/>
              </w:rPr>
              <w:t> </w:t>
            </w:r>
            <w:r>
              <w:rPr>
                <w:rFonts w:ascii="宋体" w:hAnsi="宋体" w:cs="宋体" w:eastAsia="宋体" w:hint="default"/>
                <w:b/>
                <w:bCs/>
                <w:sz w:val="18"/>
                <w:szCs w:val="18"/>
              </w:rPr>
              <w:t>31</w:t>
            </w:r>
            <w:r>
              <w:rPr>
                <w:rFonts w:ascii="宋体" w:hAnsi="宋体" w:cs="宋体" w:eastAsia="宋体" w:hint="default"/>
                <w:b/>
                <w:bCs/>
                <w:spacing w:val="-46"/>
                <w:sz w:val="18"/>
                <w:szCs w:val="18"/>
              </w:rPr>
              <w:t> </w:t>
            </w:r>
            <w:r>
              <w:rPr>
                <w:rFonts w:ascii="宋体" w:hAnsi="宋体" w:cs="宋体" w:eastAsia="宋体" w:hint="default"/>
                <w:b/>
                <w:bCs/>
                <w:sz w:val="18"/>
                <w:szCs w:val="18"/>
              </w:rPr>
              <w:t>日止</w:t>
            </w:r>
            <w:r>
              <w:rPr>
                <w:rFonts w:ascii="宋体" w:hAnsi="宋体" w:cs="宋体" w:eastAsia="宋体" w:hint="default"/>
                <w:sz w:val="18"/>
                <w:szCs w:val="18"/>
              </w:rPr>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
              <w:jc w:val="center"/>
              <w:rPr>
                <w:rFonts w:ascii="宋体" w:hAnsi="宋体" w:cs="宋体" w:eastAsia="宋体" w:hint="default"/>
                <w:sz w:val="18"/>
                <w:szCs w:val="18"/>
              </w:rPr>
            </w:pPr>
            <w:r>
              <w:rPr>
                <w:rFonts w:ascii="宋体" w:hAnsi="宋体" w:cs="宋体" w:eastAsia="宋体" w:hint="default"/>
                <w:b/>
                <w:bCs/>
                <w:sz w:val="18"/>
                <w:szCs w:val="18"/>
              </w:rPr>
              <w:t>2010</w:t>
            </w:r>
            <w:r>
              <w:rPr>
                <w:rFonts w:ascii="宋体" w:hAnsi="宋体" w:cs="宋体" w:eastAsia="宋体" w:hint="default"/>
                <w:b/>
                <w:bCs/>
                <w:spacing w:val="-50"/>
                <w:sz w:val="18"/>
                <w:szCs w:val="18"/>
              </w:rPr>
              <w:t> </w:t>
            </w:r>
            <w:r>
              <w:rPr>
                <w:rFonts w:ascii="宋体" w:hAnsi="宋体" w:cs="宋体" w:eastAsia="宋体" w:hint="default"/>
                <w:b/>
                <w:bCs/>
                <w:sz w:val="18"/>
                <w:szCs w:val="18"/>
              </w:rPr>
              <w:t>年</w:t>
            </w:r>
            <w:r>
              <w:rPr>
                <w:rFonts w:ascii="宋体" w:hAnsi="宋体" w:cs="宋体" w:eastAsia="宋体" w:hint="default"/>
                <w:b/>
                <w:bCs/>
                <w:spacing w:val="-50"/>
                <w:sz w:val="18"/>
                <w:szCs w:val="18"/>
              </w:rPr>
              <w:t> </w:t>
            </w:r>
            <w:r>
              <w:rPr>
                <w:rFonts w:ascii="宋体" w:hAnsi="宋体" w:cs="宋体" w:eastAsia="宋体" w:hint="default"/>
                <w:b/>
                <w:bCs/>
                <w:sz w:val="18"/>
                <w:szCs w:val="18"/>
              </w:rPr>
              <w:t>12</w:t>
            </w:r>
            <w:r>
              <w:rPr>
                <w:rFonts w:ascii="宋体" w:hAnsi="宋体" w:cs="宋体" w:eastAsia="宋体" w:hint="default"/>
                <w:b/>
                <w:bCs/>
                <w:spacing w:val="-50"/>
                <w:sz w:val="18"/>
                <w:szCs w:val="18"/>
              </w:rPr>
              <w:t> </w:t>
            </w:r>
            <w:r>
              <w:rPr>
                <w:rFonts w:ascii="宋体" w:hAnsi="宋体" w:cs="宋体" w:eastAsia="宋体" w:hint="default"/>
                <w:b/>
                <w:bCs/>
                <w:sz w:val="18"/>
                <w:szCs w:val="18"/>
              </w:rPr>
              <w:t>月</w:t>
            </w:r>
            <w:r>
              <w:rPr>
                <w:rFonts w:ascii="宋体" w:hAnsi="宋体" w:cs="宋体" w:eastAsia="宋体" w:hint="default"/>
                <w:b/>
                <w:bCs/>
                <w:spacing w:val="-51"/>
                <w:sz w:val="18"/>
                <w:szCs w:val="18"/>
              </w:rPr>
              <w:t> </w:t>
            </w:r>
            <w:r>
              <w:rPr>
                <w:rFonts w:ascii="宋体" w:hAnsi="宋体" w:cs="宋体" w:eastAsia="宋体" w:hint="default"/>
                <w:b/>
                <w:bCs/>
                <w:sz w:val="18"/>
                <w:szCs w:val="18"/>
              </w:rPr>
              <w:t>31</w:t>
            </w:r>
            <w:r>
              <w:rPr>
                <w:rFonts w:ascii="宋体" w:hAnsi="宋体" w:cs="宋体" w:eastAsia="宋体" w:hint="default"/>
                <w:b/>
                <w:bCs/>
                <w:spacing w:val="-50"/>
                <w:sz w:val="18"/>
                <w:szCs w:val="18"/>
              </w:rPr>
              <w:t> </w:t>
            </w:r>
            <w:r>
              <w:rPr>
                <w:rFonts w:ascii="宋体" w:hAnsi="宋体" w:cs="宋体" w:eastAsia="宋体" w:hint="default"/>
                <w:b/>
                <w:bCs/>
                <w:sz w:val="18"/>
                <w:szCs w:val="18"/>
              </w:rPr>
              <w:t>日/2010</w:t>
            </w:r>
            <w:r>
              <w:rPr>
                <w:rFonts w:ascii="宋体" w:hAnsi="宋体" w:cs="宋体" w:eastAsia="宋体" w:hint="default"/>
                <w:b/>
                <w:bCs/>
                <w:spacing w:val="-50"/>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b/>
                <w:bCs/>
                <w:spacing w:val="22"/>
                <w:sz w:val="18"/>
                <w:szCs w:val="18"/>
              </w:rPr>
              <w:t>1月</w:t>
            </w:r>
            <w:r>
              <w:rPr>
                <w:rFonts w:ascii="宋体" w:hAnsi="宋体" w:cs="宋体" w:eastAsia="宋体" w:hint="default"/>
                <w:b/>
                <w:bCs/>
                <w:spacing w:val="-46"/>
                <w:sz w:val="18"/>
                <w:szCs w:val="18"/>
              </w:rPr>
              <w:t> </w:t>
            </w:r>
            <w:r>
              <w:rPr>
                <w:rFonts w:ascii="宋体" w:hAnsi="宋体" w:cs="宋体" w:eastAsia="宋体" w:hint="default"/>
                <w:b/>
                <w:bCs/>
                <w:sz w:val="18"/>
                <w:szCs w:val="18"/>
              </w:rPr>
              <w:t>1</w:t>
            </w:r>
            <w:r>
              <w:rPr>
                <w:rFonts w:ascii="宋体" w:hAnsi="宋体" w:cs="宋体" w:eastAsia="宋体" w:hint="default"/>
                <w:b/>
                <w:bCs/>
                <w:spacing w:val="-48"/>
                <w:sz w:val="18"/>
                <w:szCs w:val="18"/>
              </w:rPr>
              <w:t> </w:t>
            </w:r>
            <w:r>
              <w:rPr>
                <w:rFonts w:ascii="宋体" w:hAnsi="宋体" w:cs="宋体" w:eastAsia="宋体" w:hint="default"/>
                <w:b/>
                <w:bCs/>
                <w:sz w:val="18"/>
                <w:szCs w:val="18"/>
              </w:rPr>
              <w:t>日至</w:t>
            </w:r>
            <w:r>
              <w:rPr>
                <w:rFonts w:ascii="宋体" w:hAnsi="宋体" w:cs="宋体" w:eastAsia="宋体" w:hint="default"/>
                <w:b/>
                <w:bCs/>
                <w:spacing w:val="-46"/>
                <w:sz w:val="18"/>
                <w:szCs w:val="18"/>
              </w:rPr>
              <w:t> </w:t>
            </w:r>
            <w:r>
              <w:rPr>
                <w:rFonts w:ascii="宋体" w:hAnsi="宋体" w:cs="宋体" w:eastAsia="宋体" w:hint="default"/>
                <w:b/>
                <w:bCs/>
                <w:spacing w:val="15"/>
                <w:sz w:val="18"/>
                <w:szCs w:val="18"/>
              </w:rPr>
              <w:t>12月</w:t>
            </w:r>
            <w:r>
              <w:rPr>
                <w:rFonts w:ascii="宋体" w:hAnsi="宋体" w:cs="宋体" w:eastAsia="宋体" w:hint="default"/>
                <w:b/>
                <w:bCs/>
                <w:spacing w:val="-46"/>
                <w:sz w:val="18"/>
                <w:szCs w:val="18"/>
              </w:rPr>
              <w:t> </w:t>
            </w:r>
            <w:r>
              <w:rPr>
                <w:rFonts w:ascii="宋体" w:hAnsi="宋体" w:cs="宋体" w:eastAsia="宋体" w:hint="default"/>
                <w:b/>
                <w:bCs/>
                <w:sz w:val="18"/>
                <w:szCs w:val="18"/>
              </w:rPr>
              <w:t>31</w:t>
            </w:r>
            <w:r>
              <w:rPr>
                <w:rFonts w:ascii="宋体" w:hAnsi="宋体" w:cs="宋体" w:eastAsia="宋体" w:hint="default"/>
                <w:b/>
                <w:bCs/>
                <w:spacing w:val="-46"/>
                <w:sz w:val="18"/>
                <w:szCs w:val="18"/>
              </w:rPr>
              <w:t> </w:t>
            </w:r>
            <w:r>
              <w:rPr>
                <w:rFonts w:ascii="宋体" w:hAnsi="宋体" w:cs="宋体" w:eastAsia="宋体" w:hint="default"/>
                <w:b/>
                <w:bCs/>
                <w:sz w:val="18"/>
                <w:szCs w:val="18"/>
              </w:rPr>
              <w:t>日止</w:t>
            </w:r>
            <w:r>
              <w:rPr>
                <w:rFonts w:ascii="宋体" w:hAnsi="宋体" w:cs="宋体" w:eastAsia="宋体" w:hint="default"/>
                <w:sz w:val="18"/>
                <w:szCs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466" w:right="0"/>
              <w:jc w:val="left"/>
              <w:rPr>
                <w:rFonts w:ascii="宋体" w:hAnsi="宋体" w:cs="宋体" w:eastAsia="宋体" w:hint="default"/>
                <w:sz w:val="18"/>
                <w:szCs w:val="18"/>
              </w:rPr>
            </w:pPr>
            <w:r>
              <w:rPr>
                <w:rFonts w:ascii="宋体" w:hAnsi="宋体" w:cs="宋体" w:eastAsia="宋体" w:hint="default"/>
                <w:b/>
                <w:bCs/>
                <w:sz w:val="18"/>
                <w:szCs w:val="18"/>
              </w:rPr>
              <w:t>增减额</w:t>
            </w:r>
            <w:r>
              <w:rPr>
                <w:rFonts w:ascii="宋体" w:hAnsi="宋体" w:cs="宋体" w:eastAsia="宋体" w:hint="default"/>
                <w:sz w:val="18"/>
                <w:szCs w:val="18"/>
              </w:rPr>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18"/>
                <w:szCs w:val="18"/>
              </w:rPr>
            </w:pPr>
            <w:r>
              <w:rPr>
                <w:rFonts w:ascii="宋体" w:hAnsi="宋体" w:cs="宋体" w:eastAsia="宋体" w:hint="default"/>
                <w:b/>
                <w:bCs/>
                <w:sz w:val="18"/>
                <w:szCs w:val="18"/>
              </w:rPr>
              <w:t>增减幅度%</w:t>
            </w:r>
            <w:r>
              <w:rPr>
                <w:rFonts w:ascii="宋体" w:hAnsi="宋体" w:cs="宋体" w:eastAsia="宋体" w:hint="default"/>
                <w:sz w:val="18"/>
                <w:szCs w:val="18"/>
              </w:rPr>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r>
      <w:tr>
        <w:trPr>
          <w:trHeight w:val="396" w:hRule="exact"/>
        </w:trPr>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4"/>
              <w:jc w:val="right"/>
              <w:rPr>
                <w:rFonts w:ascii="宋体" w:hAnsi="宋体" w:cs="宋体" w:eastAsia="宋体" w:hint="default"/>
                <w:sz w:val="18"/>
                <w:szCs w:val="18"/>
              </w:rPr>
            </w:pPr>
            <w:r>
              <w:rPr>
                <w:rFonts w:ascii="宋体"/>
                <w:sz w:val="18"/>
              </w:rPr>
              <w:t>5,751,249,330</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4"/>
              <w:jc w:val="right"/>
              <w:rPr>
                <w:rFonts w:ascii="宋体" w:hAnsi="宋体" w:cs="宋体" w:eastAsia="宋体" w:hint="default"/>
                <w:sz w:val="18"/>
                <w:szCs w:val="18"/>
              </w:rPr>
            </w:pPr>
            <w:r>
              <w:rPr>
                <w:rFonts w:ascii="宋体"/>
                <w:sz w:val="18"/>
              </w:rPr>
              <w:t>4,937,696,440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5"/>
              <w:jc w:val="right"/>
              <w:rPr>
                <w:rFonts w:ascii="宋体" w:hAnsi="宋体" w:cs="宋体" w:eastAsia="宋体" w:hint="default"/>
                <w:sz w:val="18"/>
                <w:szCs w:val="18"/>
              </w:rPr>
            </w:pPr>
            <w:r>
              <w:rPr>
                <w:rFonts w:ascii="宋体"/>
                <w:sz w:val="18"/>
              </w:rPr>
              <w:t>813,552,890</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5"/>
              <w:jc w:val="right"/>
              <w:rPr>
                <w:rFonts w:ascii="宋体" w:hAnsi="宋体" w:cs="宋体" w:eastAsia="宋体" w:hint="default"/>
                <w:sz w:val="18"/>
                <w:szCs w:val="18"/>
              </w:rPr>
            </w:pPr>
            <w:r>
              <w:rPr>
                <w:rFonts w:ascii="宋体"/>
                <w:sz w:val="18"/>
              </w:rPr>
              <w:t>16.48</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(1)</w:t>
            </w:r>
          </w:p>
        </w:tc>
      </w:tr>
      <w:tr>
        <w:trPr>
          <w:trHeight w:val="396" w:hRule="exact"/>
        </w:trPr>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4"/>
              <w:jc w:val="right"/>
              <w:rPr>
                <w:rFonts w:ascii="宋体" w:hAnsi="宋体" w:cs="宋体" w:eastAsia="宋体" w:hint="default"/>
                <w:sz w:val="18"/>
                <w:szCs w:val="18"/>
              </w:rPr>
            </w:pPr>
            <w:r>
              <w:rPr>
                <w:rFonts w:ascii="宋体"/>
                <w:sz w:val="18"/>
              </w:rPr>
              <w:t>4,004,998,405</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4"/>
              <w:jc w:val="right"/>
              <w:rPr>
                <w:rFonts w:ascii="宋体" w:hAnsi="宋体" w:cs="宋体" w:eastAsia="宋体" w:hint="default"/>
                <w:sz w:val="18"/>
                <w:szCs w:val="18"/>
              </w:rPr>
            </w:pPr>
            <w:r>
              <w:rPr>
                <w:rFonts w:ascii="宋体"/>
                <w:sz w:val="18"/>
              </w:rPr>
              <w:t>3,383,628,845</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5"/>
              <w:jc w:val="right"/>
              <w:rPr>
                <w:rFonts w:ascii="宋体" w:hAnsi="宋体" w:cs="宋体" w:eastAsia="宋体" w:hint="default"/>
                <w:sz w:val="18"/>
                <w:szCs w:val="18"/>
              </w:rPr>
            </w:pPr>
            <w:r>
              <w:rPr>
                <w:rFonts w:ascii="宋体"/>
                <w:sz w:val="18"/>
              </w:rPr>
              <w:t>621,369,560</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5"/>
              <w:jc w:val="right"/>
              <w:rPr>
                <w:rFonts w:ascii="宋体" w:hAnsi="宋体" w:cs="宋体" w:eastAsia="宋体" w:hint="default"/>
                <w:sz w:val="18"/>
                <w:szCs w:val="18"/>
              </w:rPr>
            </w:pPr>
            <w:r>
              <w:rPr>
                <w:rFonts w:ascii="宋体"/>
                <w:sz w:val="18"/>
              </w:rPr>
              <w:t>18.36</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(2)</w:t>
            </w:r>
          </w:p>
        </w:tc>
      </w:tr>
      <w:tr>
        <w:trPr>
          <w:trHeight w:val="396" w:hRule="exact"/>
        </w:trPr>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4"/>
              <w:jc w:val="right"/>
              <w:rPr>
                <w:rFonts w:ascii="宋体" w:hAnsi="宋体" w:cs="宋体" w:eastAsia="宋体" w:hint="default"/>
                <w:sz w:val="18"/>
                <w:szCs w:val="18"/>
              </w:rPr>
            </w:pPr>
            <w:r>
              <w:rPr>
                <w:rFonts w:ascii="宋体"/>
                <w:sz w:val="18"/>
              </w:rPr>
              <w:t>497,920,161</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4"/>
              <w:jc w:val="right"/>
              <w:rPr>
                <w:rFonts w:ascii="宋体" w:hAnsi="宋体" w:cs="宋体" w:eastAsia="宋体" w:hint="default"/>
                <w:sz w:val="18"/>
                <w:szCs w:val="18"/>
              </w:rPr>
            </w:pPr>
            <w:r>
              <w:rPr>
                <w:rFonts w:ascii="宋体"/>
                <w:sz w:val="18"/>
              </w:rPr>
              <w:t>391,904,135</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5"/>
              <w:jc w:val="right"/>
              <w:rPr>
                <w:rFonts w:ascii="宋体" w:hAnsi="宋体" w:cs="宋体" w:eastAsia="宋体" w:hint="default"/>
                <w:sz w:val="18"/>
                <w:szCs w:val="18"/>
              </w:rPr>
            </w:pPr>
            <w:r>
              <w:rPr>
                <w:rFonts w:ascii="宋体"/>
                <w:sz w:val="18"/>
              </w:rPr>
              <w:t>106,016,026</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5"/>
              <w:jc w:val="right"/>
              <w:rPr>
                <w:rFonts w:ascii="宋体" w:hAnsi="宋体" w:cs="宋体" w:eastAsia="宋体" w:hint="default"/>
                <w:sz w:val="18"/>
                <w:szCs w:val="18"/>
              </w:rPr>
            </w:pPr>
            <w:r>
              <w:rPr>
                <w:rFonts w:ascii="宋体"/>
                <w:sz w:val="18"/>
              </w:rPr>
              <w:t>27.05</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(3)</w:t>
            </w:r>
          </w:p>
        </w:tc>
      </w:tr>
      <w:tr>
        <w:trPr>
          <w:trHeight w:val="396" w:hRule="exact"/>
        </w:trPr>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4"/>
              <w:jc w:val="right"/>
              <w:rPr>
                <w:rFonts w:ascii="宋体" w:hAnsi="宋体" w:cs="宋体" w:eastAsia="宋体" w:hint="default"/>
                <w:sz w:val="18"/>
                <w:szCs w:val="18"/>
              </w:rPr>
            </w:pPr>
            <w:r>
              <w:rPr>
                <w:rFonts w:ascii="宋体"/>
                <w:sz w:val="18"/>
              </w:rPr>
              <w:t>819,957,825</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4"/>
              <w:jc w:val="right"/>
              <w:rPr>
                <w:rFonts w:ascii="宋体" w:hAnsi="宋体" w:cs="宋体" w:eastAsia="宋体" w:hint="default"/>
                <w:sz w:val="18"/>
                <w:szCs w:val="18"/>
              </w:rPr>
            </w:pPr>
            <w:r>
              <w:rPr>
                <w:rFonts w:ascii="宋体"/>
                <w:sz w:val="18"/>
              </w:rPr>
              <w:t>713,916,675</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5"/>
              <w:jc w:val="right"/>
              <w:rPr>
                <w:rFonts w:ascii="宋体" w:hAnsi="宋体" w:cs="宋体" w:eastAsia="宋体" w:hint="default"/>
                <w:sz w:val="18"/>
                <w:szCs w:val="18"/>
              </w:rPr>
            </w:pPr>
            <w:r>
              <w:rPr>
                <w:rFonts w:ascii="宋体"/>
                <w:sz w:val="18"/>
              </w:rPr>
              <w:t>106,041,150</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5"/>
              <w:jc w:val="right"/>
              <w:rPr>
                <w:rFonts w:ascii="宋体" w:hAnsi="宋体" w:cs="宋体" w:eastAsia="宋体" w:hint="default"/>
                <w:sz w:val="18"/>
                <w:szCs w:val="18"/>
              </w:rPr>
            </w:pPr>
            <w:r>
              <w:rPr>
                <w:rFonts w:ascii="宋体"/>
                <w:sz w:val="18"/>
              </w:rPr>
              <w:t>14.85</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(4)</w:t>
            </w:r>
          </w:p>
        </w:tc>
      </w:tr>
      <w:tr>
        <w:trPr>
          <w:trHeight w:val="396" w:hRule="exact"/>
        </w:trPr>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4"/>
              <w:jc w:val="right"/>
              <w:rPr>
                <w:rFonts w:ascii="宋体" w:hAnsi="宋体" w:cs="宋体" w:eastAsia="宋体" w:hint="default"/>
                <w:sz w:val="18"/>
                <w:szCs w:val="18"/>
              </w:rPr>
            </w:pPr>
            <w:r>
              <w:rPr>
                <w:rFonts w:ascii="宋体"/>
                <w:sz w:val="18"/>
              </w:rPr>
              <w:t>23,649,196</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4"/>
              <w:jc w:val="right"/>
              <w:rPr>
                <w:rFonts w:ascii="宋体" w:hAnsi="宋体" w:cs="宋体" w:eastAsia="宋体" w:hint="default"/>
                <w:sz w:val="18"/>
                <w:szCs w:val="18"/>
              </w:rPr>
            </w:pPr>
            <w:r>
              <w:rPr>
                <w:rFonts w:ascii="宋体"/>
                <w:sz w:val="18"/>
              </w:rPr>
              <w:t>-356,749</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5"/>
              <w:jc w:val="right"/>
              <w:rPr>
                <w:rFonts w:ascii="宋体" w:hAnsi="宋体" w:cs="宋体" w:eastAsia="宋体" w:hint="default"/>
                <w:sz w:val="18"/>
                <w:szCs w:val="18"/>
              </w:rPr>
            </w:pPr>
            <w:r>
              <w:rPr>
                <w:rFonts w:ascii="宋体"/>
                <w:sz w:val="18"/>
              </w:rPr>
              <w:t>24,005,945</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5"/>
              <w:jc w:val="right"/>
              <w:rPr>
                <w:rFonts w:ascii="宋体" w:hAnsi="宋体" w:cs="宋体" w:eastAsia="宋体" w:hint="default"/>
                <w:sz w:val="18"/>
                <w:szCs w:val="18"/>
              </w:rPr>
            </w:pPr>
            <w:r>
              <w:rPr>
                <w:rFonts w:ascii="宋体"/>
                <w:sz w:val="18"/>
              </w:rPr>
              <w:t>6,729.09</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(5)</w:t>
            </w:r>
          </w:p>
        </w:tc>
      </w:tr>
      <w:tr>
        <w:trPr>
          <w:trHeight w:val="396" w:hRule="exact"/>
        </w:trPr>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4"/>
              <w:jc w:val="right"/>
              <w:rPr>
                <w:rFonts w:ascii="宋体" w:hAnsi="宋体" w:cs="宋体" w:eastAsia="宋体" w:hint="default"/>
                <w:sz w:val="18"/>
                <w:szCs w:val="18"/>
              </w:rPr>
            </w:pPr>
            <w:r>
              <w:rPr>
                <w:rFonts w:ascii="宋体"/>
                <w:sz w:val="18"/>
              </w:rPr>
              <w:t>42,136,578</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4"/>
              <w:jc w:val="right"/>
              <w:rPr>
                <w:rFonts w:ascii="宋体" w:hAnsi="宋体" w:cs="宋体" w:eastAsia="宋体" w:hint="default"/>
                <w:sz w:val="18"/>
                <w:szCs w:val="18"/>
              </w:rPr>
            </w:pPr>
            <w:r>
              <w:rPr>
                <w:rFonts w:ascii="宋体"/>
                <w:sz w:val="18"/>
              </w:rPr>
              <w:t>46,121,940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5"/>
              <w:jc w:val="right"/>
              <w:rPr>
                <w:rFonts w:ascii="宋体" w:hAnsi="宋体" w:cs="宋体" w:eastAsia="宋体" w:hint="default"/>
                <w:sz w:val="18"/>
                <w:szCs w:val="18"/>
              </w:rPr>
            </w:pPr>
            <w:r>
              <w:rPr>
                <w:rFonts w:ascii="宋体"/>
                <w:sz w:val="18"/>
              </w:rPr>
              <w:t>-3,985,362</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5"/>
              <w:jc w:val="right"/>
              <w:rPr>
                <w:rFonts w:ascii="宋体" w:hAnsi="宋体" w:cs="宋体" w:eastAsia="宋体" w:hint="default"/>
                <w:sz w:val="18"/>
                <w:szCs w:val="18"/>
              </w:rPr>
            </w:pPr>
            <w:r>
              <w:rPr>
                <w:rFonts w:ascii="宋体"/>
                <w:sz w:val="18"/>
              </w:rPr>
              <w:t>-8.64</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(6)</w:t>
            </w:r>
          </w:p>
        </w:tc>
      </w:tr>
      <w:tr>
        <w:trPr>
          <w:trHeight w:val="396" w:hRule="exact"/>
        </w:trPr>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营业外收支净额</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4"/>
              <w:jc w:val="right"/>
              <w:rPr>
                <w:rFonts w:ascii="宋体" w:hAnsi="宋体" w:cs="宋体" w:eastAsia="宋体" w:hint="default"/>
                <w:sz w:val="18"/>
                <w:szCs w:val="18"/>
              </w:rPr>
            </w:pPr>
            <w:r>
              <w:rPr>
                <w:rFonts w:ascii="宋体"/>
                <w:sz w:val="18"/>
              </w:rPr>
              <w:t>182,586,481</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4"/>
              <w:jc w:val="right"/>
              <w:rPr>
                <w:rFonts w:ascii="宋体" w:hAnsi="宋体" w:cs="宋体" w:eastAsia="宋体" w:hint="default"/>
                <w:sz w:val="18"/>
                <w:szCs w:val="18"/>
              </w:rPr>
            </w:pPr>
            <w:r>
              <w:rPr>
                <w:rFonts w:ascii="宋体"/>
                <w:sz w:val="18"/>
              </w:rPr>
              <w:t>152,613,448</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5"/>
              <w:jc w:val="right"/>
              <w:rPr>
                <w:rFonts w:ascii="宋体" w:hAnsi="宋体" w:cs="宋体" w:eastAsia="宋体" w:hint="default"/>
                <w:sz w:val="18"/>
                <w:szCs w:val="18"/>
              </w:rPr>
            </w:pPr>
            <w:r>
              <w:rPr>
                <w:rFonts w:ascii="宋体"/>
                <w:sz w:val="18"/>
              </w:rPr>
              <w:t>29,973,033</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5"/>
              <w:jc w:val="right"/>
              <w:rPr>
                <w:rFonts w:ascii="宋体" w:hAnsi="宋体" w:cs="宋体" w:eastAsia="宋体" w:hint="default"/>
                <w:sz w:val="18"/>
                <w:szCs w:val="18"/>
              </w:rPr>
            </w:pPr>
            <w:r>
              <w:rPr>
                <w:rFonts w:ascii="宋体"/>
                <w:sz w:val="18"/>
              </w:rPr>
              <w:t>19.64</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sz w:val="18"/>
              </w:rPr>
              <w:t>(7)</w:t>
            </w:r>
          </w:p>
        </w:tc>
      </w:tr>
      <w:tr>
        <w:trPr>
          <w:trHeight w:val="397" w:hRule="exact"/>
        </w:trPr>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4"/>
              <w:jc w:val="right"/>
              <w:rPr>
                <w:rFonts w:ascii="宋体" w:hAnsi="宋体" w:cs="宋体" w:eastAsia="宋体" w:hint="default"/>
                <w:sz w:val="18"/>
                <w:szCs w:val="18"/>
              </w:rPr>
            </w:pPr>
            <w:r>
              <w:rPr>
                <w:rFonts w:ascii="宋体"/>
                <w:sz w:val="18"/>
              </w:rPr>
              <w:t>69,341,108</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4"/>
              <w:jc w:val="right"/>
              <w:rPr>
                <w:rFonts w:ascii="宋体" w:hAnsi="宋体" w:cs="宋体" w:eastAsia="宋体" w:hint="default"/>
                <w:sz w:val="18"/>
                <w:szCs w:val="18"/>
              </w:rPr>
            </w:pPr>
            <w:r>
              <w:rPr>
                <w:rFonts w:ascii="宋体"/>
                <w:sz w:val="18"/>
              </w:rPr>
              <w:t>52,802,832</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5"/>
              <w:jc w:val="right"/>
              <w:rPr>
                <w:rFonts w:ascii="宋体" w:hAnsi="宋体" w:cs="宋体" w:eastAsia="宋体" w:hint="default"/>
                <w:sz w:val="18"/>
                <w:szCs w:val="18"/>
              </w:rPr>
            </w:pPr>
            <w:r>
              <w:rPr>
                <w:rFonts w:ascii="宋体"/>
                <w:sz w:val="18"/>
              </w:rPr>
              <w:t>16,538,276</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5"/>
              <w:jc w:val="right"/>
              <w:rPr>
                <w:rFonts w:ascii="宋体" w:hAnsi="宋体" w:cs="宋体" w:eastAsia="宋体" w:hint="default"/>
                <w:sz w:val="18"/>
                <w:szCs w:val="18"/>
              </w:rPr>
            </w:pPr>
            <w:r>
              <w:rPr>
                <w:rFonts w:ascii="宋体"/>
                <w:sz w:val="18"/>
              </w:rPr>
              <w:t>31.32</w:t>
            </w:r>
          </w:p>
        </w:tc>
        <w:tc>
          <w:tcPr>
            <w:tcW w:w="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sz w:val="18"/>
              </w:rPr>
              <w:t>(8)</w:t>
            </w:r>
          </w:p>
        </w:tc>
      </w:tr>
    </w:tbl>
    <w:p>
      <w:pPr>
        <w:pStyle w:val="Heading5"/>
        <w:spacing w:line="313" w:lineRule="exact" w:before="85"/>
        <w:ind w:right="100"/>
        <w:jc w:val="left"/>
      </w:pPr>
      <w:r>
        <w:rPr/>
        <w:t>变动说明：</w:t>
      </w:r>
    </w:p>
    <w:p>
      <w:pPr>
        <w:spacing w:line="312" w:lineRule="exact" w:before="29"/>
        <w:ind w:left="118" w:right="221" w:firstLine="480"/>
        <w:jc w:val="left"/>
        <w:rPr>
          <w:rFonts w:ascii="宋体" w:hAnsi="宋体" w:cs="宋体" w:eastAsia="宋体" w:hint="default"/>
          <w:sz w:val="24"/>
          <w:szCs w:val="24"/>
        </w:rPr>
      </w:pPr>
      <w:r>
        <w:rPr>
          <w:rFonts w:ascii="宋体" w:hAnsi="宋体" w:cs="宋体" w:eastAsia="宋体" w:hint="default"/>
          <w:spacing w:val="-3"/>
          <w:sz w:val="24"/>
          <w:szCs w:val="24"/>
        </w:rPr>
        <w:t>（1）营业收入较上年同期增加</w:t>
      </w:r>
      <w:r>
        <w:rPr>
          <w:rFonts w:ascii="宋体" w:hAnsi="宋体" w:cs="宋体" w:eastAsia="宋体" w:hint="default"/>
          <w:spacing w:val="-54"/>
          <w:sz w:val="24"/>
          <w:szCs w:val="24"/>
        </w:rPr>
        <w:t> </w:t>
      </w:r>
      <w:r>
        <w:rPr>
          <w:rFonts w:ascii="宋体" w:hAnsi="宋体" w:cs="宋体" w:eastAsia="宋体" w:hint="default"/>
          <w:sz w:val="24"/>
          <w:szCs w:val="24"/>
        </w:rPr>
        <w:t>81,355</w:t>
      </w:r>
      <w:r>
        <w:rPr>
          <w:rFonts w:ascii="宋体" w:hAnsi="宋体" w:cs="宋体" w:eastAsia="宋体" w:hint="default"/>
          <w:spacing w:val="-54"/>
          <w:sz w:val="24"/>
          <w:szCs w:val="24"/>
        </w:rPr>
        <w:t> </w:t>
      </w:r>
      <w:r>
        <w:rPr>
          <w:rFonts w:ascii="宋体" w:hAnsi="宋体" w:cs="宋体" w:eastAsia="宋体" w:hint="default"/>
          <w:spacing w:val="-8"/>
          <w:sz w:val="24"/>
          <w:szCs w:val="24"/>
        </w:rPr>
        <w:t>万元，上升</w:t>
      </w:r>
      <w:r>
        <w:rPr>
          <w:rFonts w:ascii="宋体" w:hAnsi="宋体" w:cs="宋体" w:eastAsia="宋体" w:hint="default"/>
          <w:spacing w:val="-54"/>
          <w:sz w:val="24"/>
          <w:szCs w:val="24"/>
        </w:rPr>
        <w:t> </w:t>
      </w:r>
      <w:r>
        <w:rPr>
          <w:rFonts w:ascii="宋体" w:hAnsi="宋体" w:cs="宋体" w:eastAsia="宋体" w:hint="default"/>
          <w:spacing w:val="-3"/>
          <w:sz w:val="24"/>
          <w:szCs w:val="24"/>
        </w:rPr>
        <w:t>16.48%，主要由于报告期内公司</w:t>
      </w:r>
      <w:r>
        <w:rPr>
          <w:rFonts w:ascii="宋体" w:hAnsi="宋体" w:cs="宋体" w:eastAsia="宋体" w:hint="default"/>
          <w:sz w:val="24"/>
          <w:szCs w:val="24"/>
        </w:rPr>
        <w:t> 国内解决方案业务收入及国际业务收入的增长所致；</w:t>
      </w:r>
    </w:p>
    <w:p>
      <w:pPr>
        <w:spacing w:line="312" w:lineRule="exact" w:before="0"/>
        <w:ind w:left="118" w:right="221" w:firstLine="480"/>
        <w:jc w:val="left"/>
        <w:rPr>
          <w:rFonts w:ascii="宋体" w:hAnsi="宋体" w:cs="宋体" w:eastAsia="宋体" w:hint="default"/>
          <w:sz w:val="24"/>
          <w:szCs w:val="24"/>
        </w:rPr>
      </w:pPr>
      <w:r>
        <w:rPr>
          <w:rFonts w:ascii="宋体" w:hAnsi="宋体" w:cs="宋体" w:eastAsia="宋体" w:hint="default"/>
          <w:spacing w:val="-3"/>
          <w:sz w:val="24"/>
          <w:szCs w:val="24"/>
        </w:rPr>
        <w:t>（2）营业成本较上年同期增加</w:t>
      </w:r>
      <w:r>
        <w:rPr>
          <w:rFonts w:ascii="宋体" w:hAnsi="宋体" w:cs="宋体" w:eastAsia="宋体" w:hint="default"/>
          <w:spacing w:val="-54"/>
          <w:sz w:val="24"/>
          <w:szCs w:val="24"/>
        </w:rPr>
        <w:t> </w:t>
      </w:r>
      <w:r>
        <w:rPr>
          <w:rFonts w:ascii="宋体" w:hAnsi="宋体" w:cs="宋体" w:eastAsia="宋体" w:hint="default"/>
          <w:sz w:val="24"/>
          <w:szCs w:val="24"/>
        </w:rPr>
        <w:t>62,137</w:t>
      </w:r>
      <w:r>
        <w:rPr>
          <w:rFonts w:ascii="宋体" w:hAnsi="宋体" w:cs="宋体" w:eastAsia="宋体" w:hint="default"/>
          <w:spacing w:val="-54"/>
          <w:sz w:val="24"/>
          <w:szCs w:val="24"/>
        </w:rPr>
        <w:t> </w:t>
      </w:r>
      <w:r>
        <w:rPr>
          <w:rFonts w:ascii="宋体" w:hAnsi="宋体" w:cs="宋体" w:eastAsia="宋体" w:hint="default"/>
          <w:spacing w:val="-8"/>
          <w:sz w:val="24"/>
          <w:szCs w:val="24"/>
        </w:rPr>
        <w:t>万元，上升</w:t>
      </w:r>
      <w:r>
        <w:rPr>
          <w:rFonts w:ascii="宋体" w:hAnsi="宋体" w:cs="宋体" w:eastAsia="宋体" w:hint="default"/>
          <w:spacing w:val="-54"/>
          <w:sz w:val="24"/>
          <w:szCs w:val="24"/>
        </w:rPr>
        <w:t> </w:t>
      </w:r>
      <w:r>
        <w:rPr>
          <w:rFonts w:ascii="宋体" w:hAnsi="宋体" w:cs="宋体" w:eastAsia="宋体" w:hint="default"/>
          <w:spacing w:val="-3"/>
          <w:sz w:val="24"/>
          <w:szCs w:val="24"/>
        </w:rPr>
        <w:t>18.36%，主要由于报告期内公司</w:t>
      </w:r>
      <w:r>
        <w:rPr>
          <w:rFonts w:ascii="宋体" w:hAnsi="宋体" w:cs="宋体" w:eastAsia="宋体" w:hint="default"/>
          <w:sz w:val="24"/>
          <w:szCs w:val="24"/>
        </w:rPr>
        <w:t> 营业收入同比上升的带动以及人工费用等成本增加所致；</w:t>
      </w:r>
    </w:p>
    <w:p>
      <w:pPr>
        <w:spacing w:line="312" w:lineRule="exact" w:before="0"/>
        <w:ind w:left="118" w:right="221" w:firstLine="480"/>
        <w:jc w:val="left"/>
        <w:rPr>
          <w:rFonts w:ascii="宋体" w:hAnsi="宋体" w:cs="宋体" w:eastAsia="宋体" w:hint="default"/>
          <w:sz w:val="24"/>
          <w:szCs w:val="24"/>
        </w:rPr>
      </w:pPr>
      <w:r>
        <w:rPr>
          <w:rFonts w:ascii="宋体" w:hAnsi="宋体" w:cs="宋体" w:eastAsia="宋体" w:hint="default"/>
          <w:spacing w:val="-3"/>
          <w:sz w:val="24"/>
          <w:szCs w:val="24"/>
        </w:rPr>
        <w:t>（3）销售费用较上年同期增加</w:t>
      </w:r>
      <w:r>
        <w:rPr>
          <w:rFonts w:ascii="宋体" w:hAnsi="宋体" w:cs="宋体" w:eastAsia="宋体" w:hint="default"/>
          <w:spacing w:val="-54"/>
          <w:sz w:val="24"/>
          <w:szCs w:val="24"/>
        </w:rPr>
        <w:t> </w:t>
      </w:r>
      <w:r>
        <w:rPr>
          <w:rFonts w:ascii="宋体" w:hAnsi="宋体" w:cs="宋体" w:eastAsia="宋体" w:hint="default"/>
          <w:sz w:val="24"/>
          <w:szCs w:val="24"/>
        </w:rPr>
        <w:t>10,602</w:t>
      </w:r>
      <w:r>
        <w:rPr>
          <w:rFonts w:ascii="宋体" w:hAnsi="宋体" w:cs="宋体" w:eastAsia="宋体" w:hint="default"/>
          <w:spacing w:val="-54"/>
          <w:sz w:val="24"/>
          <w:szCs w:val="24"/>
        </w:rPr>
        <w:t> </w:t>
      </w:r>
      <w:r>
        <w:rPr>
          <w:rFonts w:ascii="宋体" w:hAnsi="宋体" w:cs="宋体" w:eastAsia="宋体" w:hint="default"/>
          <w:spacing w:val="-8"/>
          <w:sz w:val="24"/>
          <w:szCs w:val="24"/>
        </w:rPr>
        <w:t>万元，上升</w:t>
      </w:r>
      <w:r>
        <w:rPr>
          <w:rFonts w:ascii="宋体" w:hAnsi="宋体" w:cs="宋体" w:eastAsia="宋体" w:hint="default"/>
          <w:spacing w:val="-54"/>
          <w:sz w:val="24"/>
          <w:szCs w:val="24"/>
        </w:rPr>
        <w:t> </w:t>
      </w:r>
      <w:r>
        <w:rPr>
          <w:rFonts w:ascii="宋体" w:hAnsi="宋体" w:cs="宋体" w:eastAsia="宋体" w:hint="default"/>
          <w:spacing w:val="-3"/>
          <w:sz w:val="24"/>
          <w:szCs w:val="24"/>
        </w:rPr>
        <w:t>27.05%，主要由于随着公司业务</w:t>
      </w:r>
      <w:r>
        <w:rPr>
          <w:rFonts w:ascii="宋体" w:hAnsi="宋体" w:cs="宋体" w:eastAsia="宋体" w:hint="default"/>
          <w:sz w:val="24"/>
          <w:szCs w:val="24"/>
        </w:rPr>
        <w:t> 规模的不断扩大，市场开拓投入的增长所致；</w:t>
      </w:r>
    </w:p>
    <w:p>
      <w:pPr>
        <w:spacing w:line="312" w:lineRule="exact" w:before="0"/>
        <w:ind w:left="118" w:right="219" w:firstLine="480"/>
        <w:jc w:val="left"/>
        <w:rPr>
          <w:rFonts w:ascii="宋体" w:hAnsi="宋体" w:cs="宋体" w:eastAsia="宋体" w:hint="default"/>
          <w:sz w:val="24"/>
          <w:szCs w:val="24"/>
        </w:rPr>
      </w:pPr>
      <w:r>
        <w:rPr>
          <w:rFonts w:ascii="宋体" w:hAnsi="宋体" w:cs="宋体" w:eastAsia="宋体" w:hint="default"/>
          <w:sz w:val="24"/>
          <w:szCs w:val="24"/>
        </w:rPr>
        <w:t>（4）管理费用较上年同期增加</w:t>
      </w:r>
      <w:r>
        <w:rPr>
          <w:rFonts w:ascii="宋体" w:hAnsi="宋体" w:cs="宋体" w:eastAsia="宋体" w:hint="default"/>
          <w:spacing w:val="-65"/>
          <w:sz w:val="24"/>
          <w:szCs w:val="24"/>
        </w:rPr>
        <w:t> </w:t>
      </w:r>
      <w:r>
        <w:rPr>
          <w:rFonts w:ascii="宋体" w:hAnsi="宋体" w:cs="宋体" w:eastAsia="宋体" w:hint="default"/>
          <w:sz w:val="24"/>
          <w:szCs w:val="24"/>
        </w:rPr>
        <w:t>10,604</w:t>
      </w:r>
      <w:r>
        <w:rPr>
          <w:rFonts w:ascii="宋体" w:hAnsi="宋体" w:cs="宋体" w:eastAsia="宋体" w:hint="default"/>
          <w:spacing w:val="-65"/>
          <w:sz w:val="24"/>
          <w:szCs w:val="24"/>
        </w:rPr>
        <w:t> </w:t>
      </w:r>
      <w:r>
        <w:rPr>
          <w:rFonts w:ascii="宋体" w:hAnsi="宋体" w:cs="宋体" w:eastAsia="宋体" w:hint="default"/>
          <w:spacing w:val="-6"/>
          <w:sz w:val="24"/>
          <w:szCs w:val="24"/>
        </w:rPr>
        <w:t>万元，上升</w:t>
      </w:r>
      <w:r>
        <w:rPr>
          <w:rFonts w:ascii="宋体" w:hAnsi="宋体" w:cs="宋体" w:eastAsia="宋体" w:hint="default"/>
          <w:spacing w:val="-65"/>
          <w:sz w:val="24"/>
          <w:szCs w:val="24"/>
        </w:rPr>
        <w:t> </w:t>
      </w:r>
      <w:r>
        <w:rPr>
          <w:rFonts w:ascii="宋体" w:hAnsi="宋体" w:cs="宋体" w:eastAsia="宋体" w:hint="default"/>
          <w:spacing w:val="-4"/>
          <w:sz w:val="24"/>
          <w:szCs w:val="24"/>
        </w:rPr>
        <w:t>14.85%，主要由于人工费用、研</w:t>
      </w:r>
      <w:r>
        <w:rPr>
          <w:rFonts w:ascii="宋体" w:hAnsi="宋体" w:cs="宋体" w:eastAsia="宋体" w:hint="default"/>
          <w:sz w:val="24"/>
          <w:szCs w:val="24"/>
        </w:rPr>
        <w:t> 发费用等费用增长所致；</w:t>
      </w:r>
    </w:p>
    <w:p>
      <w:pPr>
        <w:spacing w:line="312" w:lineRule="exact" w:before="0"/>
        <w:ind w:left="118" w:right="114" w:firstLine="480"/>
        <w:jc w:val="both"/>
        <w:rPr>
          <w:rFonts w:ascii="宋体" w:hAnsi="宋体" w:cs="宋体" w:eastAsia="宋体" w:hint="default"/>
          <w:sz w:val="24"/>
          <w:szCs w:val="24"/>
        </w:rPr>
      </w:pPr>
      <w:r>
        <w:rPr>
          <w:rFonts w:ascii="宋体" w:hAnsi="宋体" w:cs="宋体" w:eastAsia="宋体" w:hint="default"/>
          <w:spacing w:val="-3"/>
          <w:sz w:val="24"/>
          <w:szCs w:val="24"/>
        </w:rPr>
        <w:t>（5）财务费用较上年同期增加</w:t>
      </w:r>
      <w:r>
        <w:rPr>
          <w:rFonts w:ascii="宋体" w:hAnsi="宋体" w:cs="宋体" w:eastAsia="宋体" w:hint="default"/>
          <w:spacing w:val="-67"/>
          <w:sz w:val="24"/>
          <w:szCs w:val="24"/>
        </w:rPr>
        <w:t> </w:t>
      </w:r>
      <w:r>
        <w:rPr>
          <w:rFonts w:ascii="宋体" w:hAnsi="宋体" w:cs="宋体" w:eastAsia="宋体" w:hint="default"/>
          <w:sz w:val="24"/>
          <w:szCs w:val="24"/>
        </w:rPr>
        <w:t>2,401</w:t>
      </w:r>
      <w:r>
        <w:rPr>
          <w:rFonts w:ascii="宋体" w:hAnsi="宋体" w:cs="宋体" w:eastAsia="宋体" w:hint="default"/>
          <w:spacing w:val="-67"/>
          <w:sz w:val="24"/>
          <w:szCs w:val="24"/>
        </w:rPr>
        <w:t> </w:t>
      </w:r>
      <w:r>
        <w:rPr>
          <w:rFonts w:ascii="宋体" w:hAnsi="宋体" w:cs="宋体" w:eastAsia="宋体" w:hint="default"/>
          <w:spacing w:val="-8"/>
          <w:sz w:val="24"/>
          <w:szCs w:val="24"/>
        </w:rPr>
        <w:t>万元，上升</w:t>
      </w:r>
      <w:r>
        <w:rPr>
          <w:rFonts w:ascii="宋体" w:hAnsi="宋体" w:cs="宋体" w:eastAsia="宋体" w:hint="default"/>
          <w:spacing w:val="-67"/>
          <w:sz w:val="24"/>
          <w:szCs w:val="24"/>
        </w:rPr>
        <w:t> </w:t>
      </w:r>
      <w:r>
        <w:rPr>
          <w:rFonts w:ascii="宋体" w:hAnsi="宋体" w:cs="宋体" w:eastAsia="宋体" w:hint="default"/>
          <w:sz w:val="24"/>
          <w:szCs w:val="24"/>
        </w:rPr>
        <w:t>6,729.09%，主要由于报告期内公</w:t>
      </w:r>
      <w:r>
        <w:rPr>
          <w:rFonts w:ascii="宋体" w:hAnsi="宋体" w:cs="宋体" w:eastAsia="宋体" w:hint="default"/>
          <w:sz w:val="24"/>
          <w:szCs w:val="24"/>
        </w:rPr>
        <w:t> 司根据资金情况增加银行贷款，同时本公司报告期内发行中期票据于年底预提的利息及 </w:t>
      </w:r>
      <w:r>
        <w:rPr>
          <w:rFonts w:ascii="宋体" w:hAnsi="宋体" w:cs="宋体" w:eastAsia="宋体" w:hint="default"/>
          <w:spacing w:val="-4"/>
          <w:sz w:val="24"/>
          <w:szCs w:val="24"/>
        </w:rPr>
        <w:t>支付的承销费等，综合影响财务费用中利息支出和手续费支出同比增加</w:t>
      </w:r>
      <w:r>
        <w:rPr>
          <w:rFonts w:ascii="宋体" w:hAnsi="宋体" w:cs="宋体" w:eastAsia="宋体" w:hint="default"/>
          <w:spacing w:val="-84"/>
          <w:sz w:val="24"/>
          <w:szCs w:val="24"/>
        </w:rPr>
        <w:t> </w:t>
      </w:r>
      <w:r>
        <w:rPr>
          <w:rFonts w:ascii="宋体" w:hAnsi="宋体" w:cs="宋体" w:eastAsia="宋体" w:hint="default"/>
          <w:sz w:val="24"/>
          <w:szCs w:val="24"/>
        </w:rPr>
        <w:t>2,007</w:t>
      </w:r>
      <w:r>
        <w:rPr>
          <w:rFonts w:ascii="宋体" w:hAnsi="宋体" w:cs="宋体" w:eastAsia="宋体" w:hint="default"/>
          <w:spacing w:val="-84"/>
          <w:sz w:val="24"/>
          <w:szCs w:val="24"/>
        </w:rPr>
        <w:t> </w:t>
      </w:r>
      <w:r>
        <w:rPr>
          <w:rFonts w:ascii="宋体" w:hAnsi="宋体" w:cs="宋体" w:eastAsia="宋体" w:hint="default"/>
          <w:sz w:val="24"/>
          <w:szCs w:val="24"/>
        </w:rPr>
        <w:t>万元所致；</w:t>
      </w:r>
    </w:p>
    <w:p>
      <w:pPr>
        <w:spacing w:line="240" w:lineRule="auto" w:before="4"/>
        <w:rPr>
          <w:rFonts w:ascii="宋体" w:hAnsi="宋体" w:cs="宋体" w:eastAsia="宋体" w:hint="default"/>
          <w:sz w:val="20"/>
          <w:szCs w:val="20"/>
        </w:rPr>
      </w:pPr>
    </w:p>
    <w:p>
      <w:pPr>
        <w:pStyle w:val="BodyText"/>
        <w:spacing w:line="240" w:lineRule="auto"/>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6"/>
        <w:rPr>
          <w:rFonts w:ascii="黑体" w:hAnsi="黑体" w:cs="黑体" w:eastAsia="黑体" w:hint="default"/>
          <w:sz w:val="15"/>
          <w:szCs w:val="15"/>
        </w:rPr>
      </w:pPr>
    </w:p>
    <w:p>
      <w:pPr>
        <w:pStyle w:val="Heading5"/>
        <w:spacing w:line="312" w:lineRule="exact" w:before="56"/>
        <w:ind w:left="198" w:right="215" w:firstLine="480"/>
        <w:jc w:val="both"/>
      </w:pPr>
      <w:r>
        <w:rPr>
          <w:spacing w:val="-3"/>
        </w:rPr>
        <w:t>（6）投资收益较上年同期减少</w:t>
      </w:r>
      <w:r>
        <w:rPr>
          <w:spacing w:val="-54"/>
        </w:rPr>
        <w:t> </w:t>
      </w:r>
      <w:r>
        <w:rPr/>
        <w:t>399</w:t>
      </w:r>
      <w:r>
        <w:rPr>
          <w:spacing w:val="-54"/>
        </w:rPr>
        <w:t> </w:t>
      </w:r>
      <w:r>
        <w:rPr>
          <w:spacing w:val="-8"/>
        </w:rPr>
        <w:t>万元，下降</w:t>
      </w:r>
      <w:r>
        <w:rPr>
          <w:spacing w:val="-54"/>
        </w:rPr>
        <w:t> </w:t>
      </w:r>
      <w:r>
        <w:rPr>
          <w:spacing w:val="-3"/>
        </w:rPr>
        <w:t>8.64%，主要由于报告期内对联营公</w:t>
      </w:r>
      <w:r>
        <w:rPr/>
        <w:t> 司的投资收益同比减少所致；</w:t>
      </w:r>
    </w:p>
    <w:p>
      <w:pPr>
        <w:spacing w:line="312" w:lineRule="exact" w:before="0"/>
        <w:ind w:left="198" w:right="213" w:firstLine="480"/>
        <w:jc w:val="both"/>
        <w:rPr>
          <w:rFonts w:ascii="宋体" w:hAnsi="宋体" w:cs="宋体" w:eastAsia="宋体" w:hint="default"/>
          <w:sz w:val="24"/>
          <w:szCs w:val="24"/>
        </w:rPr>
      </w:pPr>
      <w:r>
        <w:rPr>
          <w:rFonts w:ascii="宋体" w:hAnsi="宋体" w:cs="宋体" w:eastAsia="宋体" w:hint="default"/>
          <w:sz w:val="24"/>
          <w:szCs w:val="24"/>
        </w:rPr>
        <w:t>（7）营业外收支净额较上年同期增加</w:t>
      </w:r>
      <w:r>
        <w:rPr>
          <w:rFonts w:ascii="宋体" w:hAnsi="宋体" w:cs="宋体" w:eastAsia="宋体" w:hint="default"/>
          <w:spacing w:val="-57"/>
          <w:sz w:val="24"/>
          <w:szCs w:val="24"/>
        </w:rPr>
        <w:t> </w:t>
      </w:r>
      <w:r>
        <w:rPr>
          <w:rFonts w:ascii="宋体" w:hAnsi="宋体" w:cs="宋体" w:eastAsia="宋体" w:hint="default"/>
          <w:sz w:val="24"/>
          <w:szCs w:val="24"/>
        </w:rPr>
        <w:t>2,997</w:t>
      </w:r>
      <w:r>
        <w:rPr>
          <w:rFonts w:ascii="宋体" w:hAnsi="宋体" w:cs="宋体" w:eastAsia="宋体" w:hint="default"/>
          <w:spacing w:val="-57"/>
          <w:sz w:val="24"/>
          <w:szCs w:val="24"/>
        </w:rPr>
        <w:t> </w:t>
      </w:r>
      <w:r>
        <w:rPr>
          <w:rFonts w:ascii="宋体" w:hAnsi="宋体" w:cs="宋体" w:eastAsia="宋体" w:hint="default"/>
          <w:sz w:val="24"/>
          <w:szCs w:val="24"/>
        </w:rPr>
        <w:t>万元，上升</w:t>
      </w:r>
      <w:r>
        <w:rPr>
          <w:rFonts w:ascii="宋体" w:hAnsi="宋体" w:cs="宋体" w:eastAsia="宋体" w:hint="default"/>
          <w:spacing w:val="-57"/>
          <w:sz w:val="24"/>
          <w:szCs w:val="24"/>
        </w:rPr>
        <w:t> </w:t>
      </w:r>
      <w:r>
        <w:rPr>
          <w:rFonts w:ascii="宋体" w:hAnsi="宋体" w:cs="宋体" w:eastAsia="宋体" w:hint="default"/>
          <w:sz w:val="24"/>
          <w:szCs w:val="24"/>
        </w:rPr>
        <w:t>19.64%，主要由于报告期</w:t>
      </w:r>
      <w:r>
        <w:rPr>
          <w:rFonts w:ascii="宋体" w:hAnsi="宋体" w:cs="宋体" w:eastAsia="宋体" w:hint="default"/>
          <w:sz w:val="24"/>
          <w:szCs w:val="24"/>
        </w:rPr>
        <w:t> 内公司用无形资产—技术使用权出资购买 Appconomy, Inc.股权确认营业外收入</w:t>
      </w:r>
      <w:r>
        <w:rPr>
          <w:rFonts w:ascii="宋体" w:hAnsi="宋体" w:cs="宋体" w:eastAsia="宋体" w:hint="default"/>
          <w:spacing w:val="-52"/>
          <w:sz w:val="24"/>
          <w:szCs w:val="24"/>
        </w:rPr>
        <w:t> </w:t>
      </w:r>
      <w:r>
        <w:rPr>
          <w:rFonts w:ascii="宋体" w:hAnsi="宋体" w:cs="宋体" w:eastAsia="宋体" w:hint="default"/>
          <w:sz w:val="24"/>
          <w:szCs w:val="24"/>
        </w:rPr>
        <w:t>2,493</w:t>
      </w:r>
      <w:r>
        <w:rPr>
          <w:rFonts w:ascii="宋体" w:hAnsi="宋体" w:cs="宋体" w:eastAsia="宋体" w:hint="default"/>
          <w:sz w:val="24"/>
          <w:szCs w:val="24"/>
        </w:rPr>
        <w:t> 万元所致；</w:t>
      </w:r>
    </w:p>
    <w:p>
      <w:pPr>
        <w:spacing w:line="312" w:lineRule="exact" w:before="0"/>
        <w:ind w:left="198" w:right="159" w:firstLine="420"/>
        <w:jc w:val="both"/>
        <w:rPr>
          <w:rFonts w:ascii="宋体" w:hAnsi="宋体" w:cs="宋体" w:eastAsia="宋体" w:hint="default"/>
          <w:sz w:val="24"/>
          <w:szCs w:val="24"/>
        </w:rPr>
      </w:pPr>
      <w:r>
        <w:rPr>
          <w:rFonts w:ascii="宋体" w:hAnsi="宋体" w:cs="宋体" w:eastAsia="宋体" w:hint="default"/>
          <w:spacing w:val="-3"/>
          <w:sz w:val="24"/>
          <w:szCs w:val="24"/>
        </w:rPr>
        <w:t>（8）所得税费用较上年同期增加</w:t>
      </w:r>
      <w:r>
        <w:rPr>
          <w:rFonts w:ascii="宋体" w:hAnsi="宋体" w:cs="宋体" w:eastAsia="宋体" w:hint="default"/>
          <w:spacing w:val="-54"/>
          <w:sz w:val="24"/>
          <w:szCs w:val="24"/>
        </w:rPr>
        <w:t> </w:t>
      </w:r>
      <w:r>
        <w:rPr>
          <w:rFonts w:ascii="宋体" w:hAnsi="宋体" w:cs="宋体" w:eastAsia="宋体" w:hint="default"/>
          <w:sz w:val="24"/>
          <w:szCs w:val="24"/>
        </w:rPr>
        <w:t>1,654</w:t>
      </w:r>
      <w:r>
        <w:rPr>
          <w:rFonts w:ascii="宋体" w:hAnsi="宋体" w:cs="宋体" w:eastAsia="宋体" w:hint="default"/>
          <w:spacing w:val="-54"/>
          <w:sz w:val="24"/>
          <w:szCs w:val="24"/>
        </w:rPr>
        <w:t> </w:t>
      </w:r>
      <w:r>
        <w:rPr>
          <w:rFonts w:ascii="宋体" w:hAnsi="宋体" w:cs="宋体" w:eastAsia="宋体" w:hint="default"/>
          <w:spacing w:val="-8"/>
          <w:sz w:val="24"/>
          <w:szCs w:val="24"/>
        </w:rPr>
        <w:t>万元，上升</w:t>
      </w:r>
      <w:r>
        <w:rPr>
          <w:rFonts w:ascii="宋体" w:hAnsi="宋体" w:cs="宋体" w:eastAsia="宋体" w:hint="default"/>
          <w:spacing w:val="-54"/>
          <w:sz w:val="24"/>
          <w:szCs w:val="24"/>
        </w:rPr>
        <w:t> </w:t>
      </w:r>
      <w:r>
        <w:rPr>
          <w:rFonts w:ascii="宋体" w:hAnsi="宋体" w:cs="宋体" w:eastAsia="宋体" w:hint="default"/>
          <w:spacing w:val="-3"/>
          <w:sz w:val="24"/>
          <w:szCs w:val="24"/>
        </w:rPr>
        <w:t>31.32%，主要由于本公司之子公</w:t>
      </w:r>
      <w:r>
        <w:rPr>
          <w:rFonts w:ascii="宋体" w:hAnsi="宋体" w:cs="宋体" w:eastAsia="宋体" w:hint="default"/>
          <w:sz w:val="24"/>
          <w:szCs w:val="24"/>
        </w:rPr>
        <w:t> </w:t>
      </w:r>
      <w:r>
        <w:rPr>
          <w:rFonts w:ascii="宋体" w:hAnsi="宋体" w:cs="宋体" w:eastAsia="宋体" w:hint="default"/>
          <w:spacing w:val="-7"/>
          <w:sz w:val="24"/>
          <w:szCs w:val="24"/>
        </w:rPr>
        <w:t>司东软集团（大连）有限公司（以下简称“大连子公司”）免税期已过，报告期内按应纳</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税所得额的</w:t>
      </w:r>
      <w:r>
        <w:rPr>
          <w:rFonts w:ascii="宋体" w:hAnsi="宋体" w:cs="宋体" w:eastAsia="宋体" w:hint="default"/>
          <w:spacing w:val="-39"/>
          <w:sz w:val="24"/>
          <w:szCs w:val="24"/>
        </w:rPr>
        <w:t> </w:t>
      </w:r>
      <w:r>
        <w:rPr>
          <w:rFonts w:ascii="宋体" w:hAnsi="宋体" w:cs="宋体" w:eastAsia="宋体" w:hint="default"/>
          <w:sz w:val="24"/>
          <w:szCs w:val="24"/>
        </w:rPr>
        <w:t>10%缴纳企业所得税，相应增加所得税费用</w:t>
      </w:r>
      <w:r>
        <w:rPr>
          <w:rFonts w:ascii="宋体" w:hAnsi="宋体" w:cs="宋体" w:eastAsia="宋体" w:hint="default"/>
          <w:spacing w:val="-39"/>
          <w:sz w:val="24"/>
          <w:szCs w:val="24"/>
        </w:rPr>
        <w:t> </w:t>
      </w:r>
      <w:r>
        <w:rPr>
          <w:rFonts w:ascii="宋体" w:hAnsi="宋体" w:cs="宋体" w:eastAsia="宋体" w:hint="default"/>
          <w:sz w:val="24"/>
          <w:szCs w:val="24"/>
        </w:rPr>
        <w:t>948</w:t>
      </w:r>
      <w:r>
        <w:rPr>
          <w:rFonts w:ascii="宋体" w:hAnsi="宋体" w:cs="宋体" w:eastAsia="宋体" w:hint="default"/>
          <w:spacing w:val="-39"/>
          <w:sz w:val="24"/>
          <w:szCs w:val="24"/>
        </w:rPr>
        <w:t> </w:t>
      </w:r>
      <w:r>
        <w:rPr>
          <w:rFonts w:ascii="宋体" w:hAnsi="宋体" w:cs="宋体" w:eastAsia="宋体" w:hint="default"/>
          <w:sz w:val="24"/>
          <w:szCs w:val="24"/>
        </w:rPr>
        <w:t>万元，以及本公司及盈利的</w:t>
      </w:r>
      <w:r>
        <w:rPr>
          <w:rFonts w:ascii="宋体" w:hAnsi="宋体" w:cs="宋体" w:eastAsia="宋体" w:hint="default"/>
          <w:sz w:val="24"/>
          <w:szCs w:val="24"/>
        </w:rPr>
        <w:t> 子公司应纳税所得额同比增加所致。</w:t>
      </w:r>
    </w:p>
    <w:p>
      <w:pPr>
        <w:spacing w:before="94"/>
        <w:ind w:left="198" w:right="0" w:firstLine="0"/>
        <w:jc w:val="left"/>
        <w:rPr>
          <w:rFonts w:ascii="宋体" w:hAnsi="宋体" w:cs="宋体" w:eastAsia="宋体" w:hint="default"/>
          <w:sz w:val="24"/>
          <w:szCs w:val="24"/>
        </w:rPr>
      </w:pPr>
      <w:r>
        <w:rPr>
          <w:rFonts w:ascii="宋体" w:hAnsi="宋体" w:cs="宋体" w:eastAsia="宋体" w:hint="default"/>
          <w:sz w:val="24"/>
          <w:szCs w:val="24"/>
        </w:rPr>
        <w:t>3、公司财务状况各主要指标对比分析如下：</w:t>
      </w:r>
    </w:p>
    <w:p>
      <w:pPr>
        <w:pStyle w:val="BodyText"/>
        <w:tabs>
          <w:tab w:pos="1154" w:val="left" w:leader="none"/>
        </w:tabs>
        <w:spacing w:line="240" w:lineRule="auto" w:before="21"/>
        <w:ind w:left="0" w:right="239"/>
        <w:jc w:val="right"/>
        <w:rPr>
          <w:rFonts w:ascii="宋体" w:hAnsi="宋体" w:cs="宋体" w:eastAsia="宋体" w:hint="default"/>
        </w:rPr>
      </w:pPr>
      <w:r>
        <w:rPr>
          <w:rFonts w:ascii="宋体" w:hAnsi="宋体" w:cs="宋体" w:eastAsia="宋体" w:hint="default"/>
        </w:rPr>
        <w:t>单位：元</w:t>
        <w:tab/>
      </w:r>
      <w:r>
        <w:rPr>
          <w:rFonts w:ascii="宋体" w:hAnsi="宋体" w:cs="宋体" w:eastAsia="宋体" w:hint="default"/>
          <w:spacing w:val="-1"/>
        </w:rPr>
        <w:t>币种：人民币</w:t>
      </w:r>
    </w:p>
    <w:p>
      <w:pPr>
        <w:spacing w:line="240" w:lineRule="auto" w:before="13"/>
        <w:rPr>
          <w:rFonts w:ascii="宋体" w:hAnsi="宋体" w:cs="宋体" w:eastAsia="宋体"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2454"/>
        <w:gridCol w:w="1703"/>
        <w:gridCol w:w="1702"/>
        <w:gridCol w:w="1459"/>
        <w:gridCol w:w="1333"/>
        <w:gridCol w:w="607"/>
      </w:tblGrid>
      <w:tr>
        <w:trPr>
          <w:trHeight w:val="947"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b/>
                <w:bCs/>
                <w:sz w:val="18"/>
                <w:szCs w:val="18"/>
              </w:rPr>
              <w:t>报表项目</w:t>
            </w:r>
            <w:r>
              <w:rPr>
                <w:rFonts w:ascii="宋体" w:hAnsi="宋体" w:cs="宋体" w:eastAsia="宋体" w:hint="default"/>
                <w:sz w:val="18"/>
                <w:szCs w:val="18"/>
              </w:rPr>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63" w:right="0"/>
              <w:jc w:val="center"/>
              <w:rPr>
                <w:rFonts w:ascii="宋体" w:hAnsi="宋体" w:cs="宋体" w:eastAsia="宋体" w:hint="default"/>
                <w:sz w:val="18"/>
                <w:szCs w:val="18"/>
              </w:rPr>
            </w:pPr>
            <w:r>
              <w:rPr>
                <w:rFonts w:ascii="宋体" w:hAnsi="宋体" w:cs="宋体" w:eastAsia="宋体" w:hint="default"/>
                <w:b/>
                <w:bCs/>
                <w:sz w:val="18"/>
                <w:szCs w:val="18"/>
              </w:rPr>
              <w:t>2011</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宋体" w:hAnsi="宋体" w:cs="宋体" w:eastAsia="宋体" w:hint="default"/>
                <w:b/>
                <w:bCs/>
                <w:spacing w:val="15"/>
                <w:sz w:val="18"/>
                <w:szCs w:val="18"/>
              </w:rPr>
              <w:t>31日</w:t>
            </w:r>
            <w:r>
              <w:rPr>
                <w:rFonts w:ascii="宋体" w:hAnsi="宋体" w:cs="宋体" w:eastAsia="宋体" w:hint="default"/>
                <w:b/>
                <w:bCs/>
                <w:spacing w:val="-44"/>
                <w:sz w:val="18"/>
                <w:szCs w:val="18"/>
              </w:rPr>
              <w:t> </w:t>
            </w:r>
            <w:r>
              <w:rPr>
                <w:rFonts w:ascii="宋体" w:hAnsi="宋体" w:cs="宋体" w:eastAsia="宋体" w:hint="default"/>
                <w:sz w:val="18"/>
                <w:szCs w:val="18"/>
              </w:rPr>
            </w:r>
          </w:p>
          <w:p>
            <w:pPr>
              <w:pStyle w:val="TableParagraph"/>
              <w:spacing w:line="240" w:lineRule="auto" w:before="76"/>
              <w:ind w:left="19" w:right="0"/>
              <w:jc w:val="center"/>
              <w:rPr>
                <w:rFonts w:ascii="宋体" w:hAnsi="宋体" w:cs="宋体" w:eastAsia="宋体" w:hint="default"/>
                <w:sz w:val="18"/>
                <w:szCs w:val="18"/>
              </w:rPr>
            </w:pPr>
            <w:r>
              <w:rPr>
                <w:rFonts w:ascii="宋体" w:hAnsi="宋体" w:cs="宋体" w:eastAsia="宋体" w:hint="default"/>
                <w:b/>
                <w:bCs/>
                <w:sz w:val="18"/>
                <w:szCs w:val="18"/>
              </w:rPr>
              <w:t>/2011</w:t>
            </w:r>
            <w:r>
              <w:rPr>
                <w:rFonts w:ascii="宋体" w:hAnsi="宋体" w:cs="宋体" w:eastAsia="宋体" w:hint="default"/>
                <w:b/>
                <w:bCs/>
                <w:spacing w:val="-62"/>
                <w:sz w:val="18"/>
                <w:szCs w:val="18"/>
              </w:rPr>
              <w:t> </w:t>
            </w:r>
            <w:r>
              <w:rPr>
                <w:rFonts w:ascii="宋体" w:hAnsi="宋体" w:cs="宋体" w:eastAsia="宋体" w:hint="default"/>
                <w:b/>
                <w:bCs/>
                <w:sz w:val="18"/>
                <w:szCs w:val="18"/>
              </w:rPr>
              <w:t>年</w:t>
            </w:r>
            <w:r>
              <w:rPr>
                <w:rFonts w:ascii="宋体" w:hAnsi="宋体" w:cs="宋体" w:eastAsia="宋体" w:hint="default"/>
                <w:b/>
                <w:bCs/>
                <w:spacing w:val="-61"/>
                <w:sz w:val="18"/>
                <w:szCs w:val="18"/>
              </w:rPr>
              <w:t> </w:t>
            </w:r>
            <w:r>
              <w:rPr>
                <w:rFonts w:ascii="宋体" w:hAnsi="宋体" w:cs="宋体" w:eastAsia="宋体" w:hint="default"/>
                <w:b/>
                <w:bCs/>
                <w:sz w:val="18"/>
                <w:szCs w:val="18"/>
              </w:rPr>
              <w:t>1</w:t>
            </w:r>
            <w:r>
              <w:rPr>
                <w:rFonts w:ascii="宋体" w:hAnsi="宋体" w:cs="宋体" w:eastAsia="宋体" w:hint="default"/>
                <w:b/>
                <w:bCs/>
                <w:spacing w:val="-62"/>
                <w:sz w:val="18"/>
                <w:szCs w:val="18"/>
              </w:rPr>
              <w:t> </w:t>
            </w:r>
            <w:r>
              <w:rPr>
                <w:rFonts w:ascii="宋体" w:hAnsi="宋体" w:cs="宋体" w:eastAsia="宋体" w:hint="default"/>
                <w:b/>
                <w:bCs/>
                <w:sz w:val="18"/>
                <w:szCs w:val="18"/>
              </w:rPr>
              <w:t>月</w:t>
            </w:r>
            <w:r>
              <w:rPr>
                <w:rFonts w:ascii="宋体" w:hAnsi="宋体" w:cs="宋体" w:eastAsia="宋体" w:hint="default"/>
                <w:b/>
                <w:bCs/>
                <w:spacing w:val="-61"/>
                <w:sz w:val="18"/>
                <w:szCs w:val="18"/>
              </w:rPr>
              <w:t> </w:t>
            </w:r>
            <w:r>
              <w:rPr>
                <w:rFonts w:ascii="宋体" w:hAnsi="宋体" w:cs="宋体" w:eastAsia="宋体" w:hint="default"/>
                <w:b/>
                <w:bCs/>
                <w:sz w:val="18"/>
                <w:szCs w:val="18"/>
              </w:rPr>
              <w:t>1</w:t>
            </w:r>
            <w:r>
              <w:rPr>
                <w:rFonts w:ascii="宋体" w:hAnsi="宋体" w:cs="宋体" w:eastAsia="宋体" w:hint="default"/>
                <w:b/>
                <w:bCs/>
                <w:spacing w:val="-62"/>
                <w:sz w:val="18"/>
                <w:szCs w:val="18"/>
              </w:rPr>
              <w:t> </w:t>
            </w:r>
            <w:r>
              <w:rPr>
                <w:rFonts w:ascii="宋体" w:hAnsi="宋体" w:cs="宋体" w:eastAsia="宋体" w:hint="default"/>
                <w:b/>
                <w:bCs/>
                <w:sz w:val="18"/>
                <w:szCs w:val="18"/>
              </w:rPr>
              <w:t>日至</w:t>
            </w:r>
            <w:r>
              <w:rPr>
                <w:rFonts w:ascii="宋体" w:hAnsi="宋体" w:cs="宋体" w:eastAsia="宋体" w:hint="default"/>
                <w:sz w:val="18"/>
                <w:szCs w:val="18"/>
              </w:rPr>
            </w:r>
          </w:p>
          <w:p>
            <w:pPr>
              <w:pStyle w:val="TableParagraph"/>
              <w:spacing w:line="240" w:lineRule="auto" w:before="76"/>
              <w:ind w:left="16" w:right="0"/>
              <w:jc w:val="center"/>
              <w:rPr>
                <w:rFonts w:ascii="宋体" w:hAnsi="宋体" w:cs="宋体" w:eastAsia="宋体" w:hint="default"/>
                <w:sz w:val="18"/>
                <w:szCs w:val="18"/>
              </w:rPr>
            </w:pPr>
            <w:r>
              <w:rPr>
                <w:rFonts w:ascii="宋体" w:hAnsi="宋体" w:cs="宋体" w:eastAsia="宋体" w:hint="default"/>
                <w:b/>
                <w:bCs/>
                <w:sz w:val="18"/>
                <w:szCs w:val="18"/>
              </w:rPr>
              <w:t>12</w:t>
            </w:r>
            <w:r>
              <w:rPr>
                <w:rFonts w:ascii="宋体" w:hAnsi="宋体" w:cs="宋体" w:eastAsia="宋体" w:hint="default"/>
                <w:b/>
                <w:bCs/>
                <w:spacing w:val="-47"/>
                <w:sz w:val="18"/>
                <w:szCs w:val="18"/>
              </w:rPr>
              <w:t> </w:t>
            </w:r>
            <w:r>
              <w:rPr>
                <w:rFonts w:ascii="宋体" w:hAnsi="宋体" w:cs="宋体" w:eastAsia="宋体" w:hint="default"/>
                <w:b/>
                <w:bCs/>
                <w:sz w:val="18"/>
                <w:szCs w:val="18"/>
              </w:rPr>
              <w:t>月</w:t>
            </w:r>
            <w:r>
              <w:rPr>
                <w:rFonts w:ascii="宋体" w:hAnsi="宋体" w:cs="宋体" w:eastAsia="宋体" w:hint="default"/>
                <w:b/>
                <w:bCs/>
                <w:spacing w:val="-45"/>
                <w:sz w:val="18"/>
                <w:szCs w:val="18"/>
              </w:rPr>
              <w:t> </w:t>
            </w:r>
            <w:r>
              <w:rPr>
                <w:rFonts w:ascii="宋体" w:hAnsi="宋体" w:cs="宋体" w:eastAsia="宋体" w:hint="default"/>
                <w:b/>
                <w:bCs/>
                <w:sz w:val="18"/>
                <w:szCs w:val="18"/>
              </w:rPr>
              <w:t>31</w:t>
            </w:r>
            <w:r>
              <w:rPr>
                <w:rFonts w:ascii="宋体" w:hAnsi="宋体" w:cs="宋体" w:eastAsia="宋体" w:hint="default"/>
                <w:b/>
                <w:bCs/>
                <w:spacing w:val="-47"/>
                <w:sz w:val="18"/>
                <w:szCs w:val="18"/>
              </w:rPr>
              <w:t> </w:t>
            </w:r>
            <w:r>
              <w:rPr>
                <w:rFonts w:ascii="宋体" w:hAnsi="宋体" w:cs="宋体" w:eastAsia="宋体" w:hint="default"/>
                <w:b/>
                <w:bCs/>
                <w:sz w:val="18"/>
                <w:szCs w:val="18"/>
              </w:rPr>
              <w:t>日止</w:t>
            </w:r>
            <w:r>
              <w:rPr>
                <w:rFonts w:ascii="宋体" w:hAnsi="宋体" w:cs="宋体" w:eastAsia="宋体" w:hint="default"/>
                <w:sz w:val="18"/>
                <w:szCs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7" w:right="0"/>
              <w:jc w:val="left"/>
              <w:rPr>
                <w:rFonts w:ascii="宋体" w:hAnsi="宋体" w:cs="宋体" w:eastAsia="宋体" w:hint="default"/>
                <w:sz w:val="18"/>
                <w:szCs w:val="18"/>
              </w:rPr>
            </w:pPr>
            <w:r>
              <w:rPr>
                <w:rFonts w:ascii="宋体" w:hAnsi="宋体" w:cs="宋体" w:eastAsia="宋体" w:hint="default"/>
                <w:b/>
                <w:bCs/>
                <w:sz w:val="18"/>
                <w:szCs w:val="18"/>
              </w:rPr>
              <w:t>2010</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宋体" w:hAnsi="宋体" w:cs="宋体" w:eastAsia="宋体" w:hint="default"/>
                <w:b/>
                <w:bCs/>
                <w:spacing w:val="15"/>
                <w:sz w:val="18"/>
                <w:szCs w:val="18"/>
              </w:rPr>
              <w:t>31日</w:t>
            </w:r>
            <w:r>
              <w:rPr>
                <w:rFonts w:ascii="宋体" w:hAnsi="宋体" w:cs="宋体" w:eastAsia="宋体" w:hint="default"/>
                <w:b/>
                <w:bCs/>
                <w:spacing w:val="-44"/>
                <w:sz w:val="18"/>
                <w:szCs w:val="18"/>
              </w:rPr>
              <w:t> </w:t>
            </w:r>
            <w:r>
              <w:rPr>
                <w:rFonts w:ascii="宋体" w:hAnsi="宋体" w:cs="宋体" w:eastAsia="宋体" w:hint="default"/>
                <w:sz w:val="18"/>
                <w:szCs w:val="18"/>
              </w:rPr>
            </w:r>
          </w:p>
          <w:p>
            <w:pPr>
              <w:pStyle w:val="TableParagraph"/>
              <w:spacing w:line="316" w:lineRule="auto" w:before="76"/>
              <w:ind w:left="334" w:right="81" w:hanging="233"/>
              <w:jc w:val="left"/>
              <w:rPr>
                <w:rFonts w:ascii="宋体" w:hAnsi="宋体" w:cs="宋体" w:eastAsia="宋体" w:hint="default"/>
                <w:sz w:val="18"/>
                <w:szCs w:val="18"/>
              </w:rPr>
            </w:pPr>
            <w:r>
              <w:rPr>
                <w:rFonts w:ascii="宋体" w:hAnsi="宋体" w:cs="宋体" w:eastAsia="宋体" w:hint="default"/>
                <w:b/>
                <w:bCs/>
                <w:spacing w:val="11"/>
                <w:sz w:val="18"/>
                <w:szCs w:val="18"/>
              </w:rPr>
              <w:t>/2010年1月</w:t>
            </w:r>
            <w:r>
              <w:rPr>
                <w:rFonts w:ascii="宋体" w:hAnsi="宋体" w:cs="宋体" w:eastAsia="宋体" w:hint="default"/>
                <w:b/>
                <w:bCs/>
                <w:spacing w:val="-61"/>
                <w:sz w:val="18"/>
                <w:szCs w:val="18"/>
              </w:rPr>
              <w:t> </w:t>
            </w:r>
            <w:r>
              <w:rPr>
                <w:rFonts w:ascii="宋体" w:hAnsi="宋体" w:cs="宋体" w:eastAsia="宋体" w:hint="default"/>
                <w:b/>
                <w:bCs/>
                <w:sz w:val="18"/>
                <w:szCs w:val="18"/>
              </w:rPr>
              <w:t>1</w:t>
            </w:r>
            <w:r>
              <w:rPr>
                <w:rFonts w:ascii="宋体" w:hAnsi="宋体" w:cs="宋体" w:eastAsia="宋体" w:hint="default"/>
                <w:b/>
                <w:bCs/>
                <w:spacing w:val="-62"/>
                <w:sz w:val="18"/>
                <w:szCs w:val="18"/>
              </w:rPr>
              <w:t> </w:t>
            </w:r>
            <w:r>
              <w:rPr>
                <w:rFonts w:ascii="宋体" w:hAnsi="宋体" w:cs="宋体" w:eastAsia="宋体" w:hint="default"/>
                <w:b/>
                <w:bCs/>
                <w:sz w:val="18"/>
                <w:szCs w:val="18"/>
              </w:rPr>
              <w:t>日至</w:t>
            </w:r>
            <w:r>
              <w:rPr>
                <w:rFonts w:ascii="宋体" w:hAnsi="宋体" w:cs="宋体" w:eastAsia="宋体" w:hint="default"/>
                <w:b/>
                <w:bCs/>
                <w:w w:val="99"/>
                <w:sz w:val="18"/>
                <w:szCs w:val="18"/>
              </w:rPr>
              <w:t> </w:t>
            </w:r>
            <w:r>
              <w:rPr>
                <w:rFonts w:ascii="宋体" w:hAnsi="宋体" w:cs="宋体" w:eastAsia="宋体" w:hint="default"/>
                <w:b/>
                <w:bCs/>
                <w:sz w:val="18"/>
                <w:szCs w:val="18"/>
              </w:rPr>
              <w:t>12</w:t>
            </w:r>
            <w:r>
              <w:rPr>
                <w:rFonts w:ascii="宋体" w:hAnsi="宋体" w:cs="宋体" w:eastAsia="宋体" w:hint="default"/>
                <w:b/>
                <w:bCs/>
                <w:spacing w:val="-47"/>
                <w:sz w:val="18"/>
                <w:szCs w:val="18"/>
              </w:rPr>
              <w:t> </w:t>
            </w:r>
            <w:r>
              <w:rPr>
                <w:rFonts w:ascii="宋体" w:hAnsi="宋体" w:cs="宋体" w:eastAsia="宋体" w:hint="default"/>
                <w:b/>
                <w:bCs/>
                <w:sz w:val="18"/>
                <w:szCs w:val="18"/>
              </w:rPr>
              <w:t>月</w:t>
            </w:r>
            <w:r>
              <w:rPr>
                <w:rFonts w:ascii="宋体" w:hAnsi="宋体" w:cs="宋体" w:eastAsia="宋体" w:hint="default"/>
                <w:b/>
                <w:bCs/>
                <w:spacing w:val="-45"/>
                <w:sz w:val="18"/>
                <w:szCs w:val="18"/>
              </w:rPr>
              <w:t> </w:t>
            </w:r>
            <w:r>
              <w:rPr>
                <w:rFonts w:ascii="宋体" w:hAnsi="宋体" w:cs="宋体" w:eastAsia="宋体" w:hint="default"/>
                <w:b/>
                <w:bCs/>
                <w:sz w:val="18"/>
                <w:szCs w:val="18"/>
              </w:rPr>
              <w:t>31</w:t>
            </w:r>
            <w:r>
              <w:rPr>
                <w:rFonts w:ascii="宋体" w:hAnsi="宋体" w:cs="宋体" w:eastAsia="宋体" w:hint="default"/>
                <w:b/>
                <w:bCs/>
                <w:spacing w:val="-47"/>
                <w:sz w:val="18"/>
                <w:szCs w:val="18"/>
              </w:rPr>
              <w:t> </w:t>
            </w:r>
            <w:r>
              <w:rPr>
                <w:rFonts w:ascii="宋体" w:hAnsi="宋体" w:cs="宋体" w:eastAsia="宋体" w:hint="default"/>
                <w:b/>
                <w:bCs/>
                <w:sz w:val="18"/>
                <w:szCs w:val="18"/>
              </w:rPr>
              <w:t>日止</w:t>
            </w:r>
            <w:r>
              <w:rPr>
                <w:rFonts w:ascii="宋体" w:hAnsi="宋体" w:cs="宋体" w:eastAsia="宋体" w:hint="default"/>
                <w:sz w:val="18"/>
                <w:szCs w:val="18"/>
              </w:rPr>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73" w:right="0"/>
              <w:jc w:val="left"/>
              <w:rPr>
                <w:rFonts w:ascii="宋体" w:hAnsi="宋体" w:cs="宋体" w:eastAsia="宋体" w:hint="default"/>
                <w:sz w:val="18"/>
                <w:szCs w:val="18"/>
              </w:rPr>
            </w:pPr>
            <w:r>
              <w:rPr>
                <w:rFonts w:ascii="宋体" w:hAnsi="宋体" w:cs="宋体" w:eastAsia="宋体" w:hint="default"/>
                <w:b/>
                <w:bCs/>
                <w:sz w:val="18"/>
                <w:szCs w:val="18"/>
              </w:rPr>
              <w:t>变动金额</w:t>
            </w:r>
            <w:r>
              <w:rPr>
                <w:rFonts w:ascii="宋体" w:hAnsi="宋体" w:cs="宋体" w:eastAsia="宋体" w:hint="default"/>
                <w:sz w:val="18"/>
                <w:szCs w:val="18"/>
              </w:rPr>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51"/>
              <w:jc w:val="right"/>
              <w:rPr>
                <w:rFonts w:ascii="宋体" w:hAnsi="宋体" w:cs="宋体" w:eastAsia="宋体" w:hint="default"/>
                <w:sz w:val="18"/>
                <w:szCs w:val="18"/>
              </w:rPr>
            </w:pPr>
            <w:r>
              <w:rPr>
                <w:rFonts w:ascii="宋体" w:hAnsi="宋体" w:cs="宋体" w:eastAsia="宋体" w:hint="default"/>
                <w:b/>
                <w:bCs/>
                <w:sz w:val="18"/>
                <w:szCs w:val="18"/>
              </w:rPr>
              <w:t>变动比率(%)</w:t>
            </w:r>
            <w:r>
              <w:rPr>
                <w:rFonts w:ascii="宋体" w:hAnsi="宋体" w:cs="宋体" w:eastAsia="宋体" w:hint="default"/>
                <w:sz w:val="18"/>
                <w:szCs w:val="18"/>
              </w:rPr>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127" w:right="105"/>
              <w:jc w:val="left"/>
              <w:rPr>
                <w:rFonts w:ascii="宋体" w:hAnsi="宋体" w:cs="宋体" w:eastAsia="宋体" w:hint="default"/>
                <w:sz w:val="18"/>
                <w:szCs w:val="18"/>
              </w:rPr>
            </w:pPr>
            <w:r>
              <w:rPr>
                <w:rFonts w:ascii="宋体" w:hAnsi="宋体" w:cs="宋体" w:eastAsia="宋体" w:hint="default"/>
                <w:b/>
                <w:bCs/>
                <w:sz w:val="18"/>
                <w:szCs w:val="18"/>
              </w:rPr>
              <w:t>变动</w:t>
            </w:r>
            <w:r>
              <w:rPr>
                <w:rFonts w:ascii="宋体" w:hAnsi="宋体" w:cs="宋体" w:eastAsia="宋体" w:hint="default"/>
                <w:b/>
                <w:bCs/>
                <w:spacing w:val="1"/>
                <w:w w:val="99"/>
                <w:sz w:val="18"/>
                <w:szCs w:val="18"/>
              </w:rPr>
              <w:t> </w:t>
            </w:r>
            <w:r>
              <w:rPr>
                <w:rFonts w:ascii="宋体" w:hAnsi="宋体" w:cs="宋体" w:eastAsia="宋体" w:hint="default"/>
                <w:b/>
                <w:bCs/>
                <w:sz w:val="18"/>
                <w:szCs w:val="18"/>
              </w:rPr>
              <w:t>原因</w:t>
            </w:r>
            <w:r>
              <w:rPr>
                <w:rFonts w:ascii="宋体" w:hAnsi="宋体" w:cs="宋体" w:eastAsia="宋体" w:hint="default"/>
                <w:sz w:val="18"/>
                <w:szCs w:val="18"/>
              </w:rPr>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36,215,245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12,798,400</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23,416,845</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182.97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72" w:right="0"/>
              <w:jc w:val="left"/>
              <w:rPr>
                <w:rFonts w:ascii="宋体" w:hAnsi="宋体" w:cs="宋体" w:eastAsia="宋体" w:hint="default"/>
                <w:sz w:val="18"/>
                <w:szCs w:val="18"/>
              </w:rPr>
            </w:pPr>
            <w:r>
              <w:rPr>
                <w:rFonts w:ascii="宋体"/>
                <w:sz w:val="18"/>
              </w:rPr>
              <w:t>(1)</w:t>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14,262,836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10,313,513</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3,949,323</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38.29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72" w:right="0"/>
              <w:jc w:val="left"/>
              <w:rPr>
                <w:rFonts w:ascii="宋体" w:hAnsi="宋体" w:cs="宋体" w:eastAsia="宋体" w:hint="default"/>
                <w:sz w:val="18"/>
                <w:szCs w:val="18"/>
              </w:rPr>
            </w:pPr>
            <w:r>
              <w:rPr>
                <w:rFonts w:ascii="宋体"/>
                <w:sz w:val="18"/>
              </w:rPr>
              <w:t>(2)</w:t>
            </w:r>
          </w:p>
        </w:tc>
      </w:tr>
      <w:tr>
        <w:trPr>
          <w:trHeight w:val="323"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401,931,507</w:t>
            </w:r>
          </w:p>
        </w:tc>
        <w:tc>
          <w:tcPr>
            <w:tcW w:w="1702"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401,931,507</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72" w:right="0"/>
              <w:jc w:val="left"/>
              <w:rPr>
                <w:rFonts w:ascii="宋体" w:hAnsi="宋体" w:cs="宋体" w:eastAsia="宋体" w:hint="default"/>
                <w:sz w:val="18"/>
                <w:szCs w:val="18"/>
              </w:rPr>
            </w:pPr>
            <w:r>
              <w:rPr>
                <w:rFonts w:ascii="宋体"/>
                <w:sz w:val="18"/>
              </w:rPr>
              <w:t>(3)</w:t>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150,710,187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283,406,306</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-132,696,119</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-46.82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72" w:right="0"/>
              <w:jc w:val="left"/>
              <w:rPr>
                <w:rFonts w:ascii="宋体" w:hAnsi="宋体" w:cs="宋体" w:eastAsia="宋体" w:hint="default"/>
                <w:sz w:val="18"/>
                <w:szCs w:val="18"/>
              </w:rPr>
            </w:pPr>
            <w:r>
              <w:rPr>
                <w:rFonts w:ascii="宋体"/>
                <w:sz w:val="18"/>
              </w:rPr>
              <w:t>(4)</w:t>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307,799,158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84,731,103</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223,068,055</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263.27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72" w:right="0"/>
              <w:jc w:val="left"/>
              <w:rPr>
                <w:rFonts w:ascii="宋体" w:hAnsi="宋体" w:cs="宋体" w:eastAsia="宋体" w:hint="default"/>
                <w:sz w:val="18"/>
                <w:szCs w:val="18"/>
              </w:rPr>
            </w:pPr>
            <w:r>
              <w:rPr>
                <w:rFonts w:ascii="宋体"/>
                <w:sz w:val="18"/>
              </w:rPr>
              <w:t>(5)</w:t>
            </w:r>
          </w:p>
        </w:tc>
      </w:tr>
      <w:tr>
        <w:trPr>
          <w:trHeight w:val="323"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227,376,502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144,880,456</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82,496,046</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56.94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72" w:right="0"/>
              <w:jc w:val="left"/>
              <w:rPr>
                <w:rFonts w:ascii="宋体" w:hAnsi="宋体" w:cs="宋体" w:eastAsia="宋体" w:hint="default"/>
                <w:sz w:val="18"/>
                <w:szCs w:val="18"/>
              </w:rPr>
            </w:pPr>
            <w:r>
              <w:rPr>
                <w:rFonts w:ascii="宋体"/>
                <w:sz w:val="18"/>
              </w:rPr>
              <w:t>(6)</w:t>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470,000,000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160,000,000</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310,000,000</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193.75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72" w:right="0"/>
              <w:jc w:val="left"/>
              <w:rPr>
                <w:rFonts w:ascii="宋体" w:hAnsi="宋体" w:cs="宋体" w:eastAsia="宋体" w:hint="default"/>
                <w:sz w:val="18"/>
                <w:szCs w:val="18"/>
              </w:rPr>
            </w:pPr>
            <w:r>
              <w:rPr>
                <w:rFonts w:ascii="宋体"/>
                <w:sz w:val="18"/>
              </w:rPr>
              <w:t>(7)</w:t>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170,567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1,227,304</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-1,056,737</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-86.10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72" w:right="0"/>
              <w:jc w:val="left"/>
              <w:rPr>
                <w:rFonts w:ascii="宋体" w:hAnsi="宋体" w:cs="宋体" w:eastAsia="宋体" w:hint="default"/>
                <w:sz w:val="18"/>
                <w:szCs w:val="18"/>
              </w:rPr>
            </w:pPr>
            <w:r>
              <w:rPr>
                <w:rFonts w:ascii="宋体"/>
                <w:sz w:val="18"/>
              </w:rPr>
              <w:t>(8)</w:t>
            </w:r>
          </w:p>
        </w:tc>
      </w:tr>
      <w:tr>
        <w:trPr>
          <w:trHeight w:val="323"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83,204,957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145,564,320</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-62,359,363</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-42.84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72" w:right="0"/>
              <w:jc w:val="left"/>
              <w:rPr>
                <w:rFonts w:ascii="宋体" w:hAnsi="宋体" w:cs="宋体" w:eastAsia="宋体" w:hint="default"/>
                <w:sz w:val="18"/>
                <w:szCs w:val="18"/>
              </w:rPr>
            </w:pPr>
            <w:r>
              <w:rPr>
                <w:rFonts w:ascii="宋体"/>
                <w:sz w:val="18"/>
              </w:rPr>
              <w:t>(9)</w:t>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67,567,092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685,326</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66,881,766</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9759.12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27" w:right="0"/>
              <w:jc w:val="left"/>
              <w:rPr>
                <w:rFonts w:ascii="宋体" w:hAnsi="宋体" w:cs="宋体" w:eastAsia="宋体" w:hint="default"/>
                <w:sz w:val="18"/>
                <w:szCs w:val="18"/>
              </w:rPr>
            </w:pPr>
            <w:r>
              <w:rPr>
                <w:rFonts w:ascii="宋体"/>
                <w:sz w:val="18"/>
              </w:rPr>
              <w:t>(10)</w:t>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71,666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21,336</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50,330</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235.89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27" w:right="0"/>
              <w:jc w:val="left"/>
              <w:rPr>
                <w:rFonts w:ascii="宋体" w:hAnsi="宋体" w:cs="宋体" w:eastAsia="宋体" w:hint="default"/>
                <w:sz w:val="18"/>
                <w:szCs w:val="18"/>
              </w:rPr>
            </w:pPr>
            <w:r>
              <w:rPr>
                <w:rFonts w:ascii="宋体"/>
                <w:sz w:val="18"/>
              </w:rPr>
              <w:t>(11)</w:t>
            </w:r>
          </w:p>
        </w:tc>
      </w:tr>
      <w:tr>
        <w:trPr>
          <w:trHeight w:val="323"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703"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136,060,526</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-136,060,526</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-100.00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27" w:right="0"/>
              <w:jc w:val="left"/>
              <w:rPr>
                <w:rFonts w:ascii="宋体" w:hAnsi="宋体" w:cs="宋体" w:eastAsia="宋体" w:hint="default"/>
                <w:sz w:val="18"/>
                <w:szCs w:val="18"/>
              </w:rPr>
            </w:pPr>
            <w:r>
              <w:rPr>
                <w:rFonts w:ascii="宋体"/>
                <w:sz w:val="18"/>
              </w:rPr>
              <w:t>(12)</w:t>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403,658,667</w:t>
            </w:r>
          </w:p>
        </w:tc>
        <w:tc>
          <w:tcPr>
            <w:tcW w:w="1702"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403,658,667</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27" w:right="0"/>
              <w:jc w:val="left"/>
              <w:rPr>
                <w:rFonts w:ascii="宋体" w:hAnsi="宋体" w:cs="宋体" w:eastAsia="宋体" w:hint="default"/>
                <w:sz w:val="18"/>
                <w:szCs w:val="18"/>
              </w:rPr>
            </w:pPr>
            <w:r>
              <w:rPr>
                <w:rFonts w:ascii="宋体"/>
                <w:sz w:val="18"/>
              </w:rPr>
              <w:t>(13)</w:t>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2,536,698,174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2,171,819,047</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364,879,127</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16.80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27" w:right="0"/>
              <w:jc w:val="left"/>
              <w:rPr>
                <w:rFonts w:ascii="宋体" w:hAnsi="宋体" w:cs="宋体" w:eastAsia="宋体" w:hint="default"/>
                <w:sz w:val="18"/>
                <w:szCs w:val="18"/>
              </w:rPr>
            </w:pPr>
            <w:r>
              <w:rPr>
                <w:rFonts w:ascii="宋体"/>
                <w:sz w:val="18"/>
              </w:rPr>
              <w:t>(14)</w:t>
            </w:r>
          </w:p>
        </w:tc>
      </w:tr>
      <w:tr>
        <w:trPr>
          <w:trHeight w:val="323"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-48,565,779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-26,721,620</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-21,844,159</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-81.75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27" w:right="0"/>
              <w:jc w:val="left"/>
              <w:rPr>
                <w:rFonts w:ascii="宋体" w:hAnsi="宋体" w:cs="宋体" w:eastAsia="宋体" w:hint="default"/>
                <w:sz w:val="18"/>
                <w:szCs w:val="18"/>
              </w:rPr>
            </w:pPr>
            <w:r>
              <w:rPr>
                <w:rFonts w:ascii="宋体"/>
                <w:sz w:val="18"/>
              </w:rPr>
              <w:t>(15)</w:t>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5,751,249,330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4,937,696,440</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813,552,890</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16.48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27" w:right="0"/>
              <w:jc w:val="left"/>
              <w:rPr>
                <w:rFonts w:ascii="宋体" w:hAnsi="宋体" w:cs="宋体" w:eastAsia="宋体" w:hint="default"/>
                <w:sz w:val="18"/>
                <w:szCs w:val="18"/>
              </w:rPr>
            </w:pPr>
            <w:r>
              <w:rPr>
                <w:rFonts w:ascii="宋体"/>
                <w:sz w:val="18"/>
              </w:rPr>
              <w:t>(16)</w:t>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4,004,998,405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3,383,628,845</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621,369,560</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18.36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27" w:right="0"/>
              <w:jc w:val="left"/>
              <w:rPr>
                <w:rFonts w:ascii="宋体" w:hAnsi="宋体" w:cs="宋体" w:eastAsia="宋体" w:hint="default"/>
                <w:sz w:val="18"/>
                <w:szCs w:val="18"/>
              </w:rPr>
            </w:pPr>
            <w:r>
              <w:rPr>
                <w:rFonts w:ascii="宋体"/>
                <w:sz w:val="18"/>
              </w:rPr>
              <w:t>(17)</w:t>
            </w:r>
          </w:p>
        </w:tc>
      </w:tr>
      <w:tr>
        <w:trPr>
          <w:trHeight w:val="323"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497,920,161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391,904,135</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106,016,026</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27.05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27" w:right="0"/>
              <w:jc w:val="left"/>
              <w:rPr>
                <w:rFonts w:ascii="宋体" w:hAnsi="宋体" w:cs="宋体" w:eastAsia="宋体" w:hint="default"/>
                <w:sz w:val="18"/>
                <w:szCs w:val="18"/>
              </w:rPr>
            </w:pPr>
            <w:r>
              <w:rPr>
                <w:rFonts w:ascii="宋体"/>
                <w:sz w:val="18"/>
              </w:rPr>
              <w:t>(18)</w:t>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819,957,825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713,916,675</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106,041,150</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14.85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27" w:right="0"/>
              <w:jc w:val="left"/>
              <w:rPr>
                <w:rFonts w:ascii="宋体" w:hAnsi="宋体" w:cs="宋体" w:eastAsia="宋体" w:hint="default"/>
                <w:sz w:val="18"/>
                <w:szCs w:val="18"/>
              </w:rPr>
            </w:pPr>
            <w:r>
              <w:rPr>
                <w:rFonts w:ascii="宋体"/>
                <w:sz w:val="18"/>
              </w:rPr>
              <w:t>(19)</w:t>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23,649,196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-356,749</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24,005,945</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6729.09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27" w:right="0"/>
              <w:jc w:val="left"/>
              <w:rPr>
                <w:rFonts w:ascii="宋体" w:hAnsi="宋体" w:cs="宋体" w:eastAsia="宋体" w:hint="default"/>
                <w:sz w:val="18"/>
                <w:szCs w:val="18"/>
              </w:rPr>
            </w:pPr>
            <w:r>
              <w:rPr>
                <w:rFonts w:ascii="宋体"/>
                <w:sz w:val="18"/>
              </w:rPr>
              <w:t>(20)</w:t>
            </w:r>
          </w:p>
        </w:tc>
      </w:tr>
      <w:tr>
        <w:trPr>
          <w:trHeight w:val="323"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41,405,012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5,344,100</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36,060,912</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674.78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27" w:right="0"/>
              <w:jc w:val="left"/>
              <w:rPr>
                <w:rFonts w:ascii="宋体" w:hAnsi="宋体" w:cs="宋体" w:eastAsia="宋体" w:hint="default"/>
                <w:sz w:val="18"/>
                <w:szCs w:val="18"/>
              </w:rPr>
            </w:pPr>
            <w:r>
              <w:rPr>
                <w:rFonts w:ascii="宋体"/>
                <w:sz w:val="18"/>
              </w:rPr>
              <w:t>(21)</w:t>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公允价值变动收益</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950,557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-694,314</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1,644,871</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236.91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7" w:right="0"/>
              <w:jc w:val="left"/>
              <w:rPr>
                <w:rFonts w:ascii="宋体" w:hAnsi="宋体" w:cs="宋体" w:eastAsia="宋体" w:hint="default"/>
                <w:sz w:val="18"/>
                <w:szCs w:val="18"/>
              </w:rPr>
            </w:pPr>
            <w:r>
              <w:rPr>
                <w:rFonts w:ascii="宋体"/>
                <w:sz w:val="18"/>
              </w:rPr>
              <w:t>(22)</w:t>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188,085,954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160,821,056</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27,264,898</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16.95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7" w:right="0"/>
              <w:jc w:val="left"/>
              <w:rPr>
                <w:rFonts w:ascii="宋体" w:hAnsi="宋体" w:cs="宋体" w:eastAsia="宋体" w:hint="default"/>
                <w:sz w:val="18"/>
                <w:szCs w:val="18"/>
              </w:rPr>
            </w:pPr>
            <w:r>
              <w:rPr>
                <w:rFonts w:ascii="宋体"/>
                <w:sz w:val="18"/>
              </w:rPr>
              <w:t>(23)</w:t>
            </w:r>
          </w:p>
        </w:tc>
      </w:tr>
      <w:tr>
        <w:trPr>
          <w:trHeight w:val="323"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5,499,473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8,207,608</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-2,708,135</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-33.00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27" w:right="0"/>
              <w:jc w:val="left"/>
              <w:rPr>
                <w:rFonts w:ascii="宋体" w:hAnsi="宋体" w:cs="宋体" w:eastAsia="宋体" w:hint="default"/>
                <w:sz w:val="18"/>
                <w:szCs w:val="18"/>
              </w:rPr>
            </w:pPr>
            <w:r>
              <w:rPr>
                <w:rFonts w:ascii="宋体"/>
                <w:sz w:val="18"/>
              </w:rPr>
              <w:t>(24)</w:t>
            </w:r>
          </w:p>
        </w:tc>
      </w:tr>
      <w:tr>
        <w:trPr>
          <w:trHeight w:val="322"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69,341,108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52,802,832</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16,538,276</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31.32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7" w:right="0"/>
              <w:jc w:val="left"/>
              <w:rPr>
                <w:rFonts w:ascii="宋体" w:hAnsi="宋体" w:cs="宋体" w:eastAsia="宋体" w:hint="default"/>
                <w:sz w:val="18"/>
                <w:szCs w:val="18"/>
              </w:rPr>
            </w:pPr>
            <w:r>
              <w:rPr>
                <w:rFonts w:ascii="宋体"/>
                <w:sz w:val="18"/>
              </w:rPr>
              <w:t>(25)</w:t>
            </w:r>
          </w:p>
        </w:tc>
      </w:tr>
      <w:tr>
        <w:trPr>
          <w:trHeight w:val="323" w:hRule="exact"/>
        </w:trPr>
        <w:tc>
          <w:tcPr>
            <w:tcW w:w="2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6,476,572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2"/>
              <w:jc w:val="right"/>
              <w:rPr>
                <w:rFonts w:ascii="宋体" w:hAnsi="宋体" w:cs="宋体" w:eastAsia="宋体" w:hint="default"/>
                <w:sz w:val="18"/>
                <w:szCs w:val="18"/>
              </w:rPr>
            </w:pPr>
            <w:r>
              <w:rPr>
                <w:rFonts w:ascii="宋体"/>
                <w:sz w:val="18"/>
              </w:rPr>
              <w:t>22,627,318</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-16,150,746</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宋体" w:hAnsi="宋体" w:cs="宋体" w:eastAsia="宋体" w:hint="default"/>
                <w:sz w:val="18"/>
                <w:szCs w:val="18"/>
              </w:rPr>
            </w:pPr>
            <w:r>
              <w:rPr>
                <w:rFonts w:ascii="宋体"/>
                <w:sz w:val="18"/>
              </w:rPr>
              <w:t>-71.38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7" w:right="0"/>
              <w:jc w:val="left"/>
              <w:rPr>
                <w:rFonts w:ascii="宋体" w:hAnsi="宋体" w:cs="宋体" w:eastAsia="宋体" w:hint="default"/>
                <w:sz w:val="18"/>
                <w:szCs w:val="18"/>
              </w:rPr>
            </w:pPr>
            <w:r>
              <w:rPr>
                <w:rFonts w:ascii="宋体"/>
                <w:sz w:val="18"/>
              </w:rPr>
              <w:t>(26)</w:t>
            </w:r>
          </w:p>
        </w:tc>
      </w:tr>
    </w:tbl>
    <w:p>
      <w:pPr>
        <w:pStyle w:val="Heading5"/>
        <w:spacing w:line="274" w:lineRule="exact"/>
        <w:ind w:left="198" w:right="0"/>
        <w:jc w:val="left"/>
      </w:pPr>
      <w:r>
        <w:rPr/>
        <w:t>变动说明：</w:t>
      </w:r>
    </w:p>
    <w:p>
      <w:pPr>
        <w:spacing w:line="313" w:lineRule="exact" w:before="0"/>
        <w:ind w:left="618" w:right="0" w:firstLine="0"/>
        <w:jc w:val="left"/>
        <w:rPr>
          <w:rFonts w:ascii="宋体" w:hAnsi="宋体" w:cs="宋体" w:eastAsia="宋体" w:hint="default"/>
          <w:sz w:val="24"/>
          <w:szCs w:val="24"/>
        </w:rPr>
      </w:pPr>
      <w:r>
        <w:rPr>
          <w:rFonts w:ascii="宋体" w:hAnsi="宋体" w:cs="宋体" w:eastAsia="宋体" w:hint="default"/>
          <w:sz w:val="24"/>
          <w:szCs w:val="24"/>
        </w:rPr>
        <w:t>（1）应收票据较期初增加</w:t>
      </w:r>
      <w:r>
        <w:rPr>
          <w:rFonts w:ascii="宋体" w:hAnsi="宋体" w:cs="宋体" w:eastAsia="宋体" w:hint="default"/>
          <w:spacing w:val="-59"/>
          <w:sz w:val="24"/>
          <w:szCs w:val="24"/>
        </w:rPr>
        <w:t> </w:t>
      </w:r>
      <w:r>
        <w:rPr>
          <w:rFonts w:ascii="宋体" w:hAnsi="宋体" w:cs="宋体" w:eastAsia="宋体" w:hint="default"/>
          <w:sz w:val="24"/>
          <w:szCs w:val="24"/>
        </w:rPr>
        <w:t>2,342</w:t>
      </w:r>
      <w:r>
        <w:rPr>
          <w:rFonts w:ascii="宋体" w:hAnsi="宋体" w:cs="宋体" w:eastAsia="宋体" w:hint="default"/>
          <w:spacing w:val="-59"/>
          <w:sz w:val="24"/>
          <w:szCs w:val="24"/>
        </w:rPr>
        <w:t> </w:t>
      </w:r>
      <w:r>
        <w:rPr>
          <w:rFonts w:ascii="宋体" w:hAnsi="宋体" w:cs="宋体" w:eastAsia="宋体" w:hint="default"/>
          <w:sz w:val="24"/>
          <w:szCs w:val="24"/>
        </w:rPr>
        <w:t>万元，上升</w:t>
      </w:r>
      <w:r>
        <w:rPr>
          <w:rFonts w:ascii="宋体" w:hAnsi="宋体" w:cs="宋体" w:eastAsia="宋体" w:hint="default"/>
          <w:spacing w:val="-59"/>
          <w:sz w:val="24"/>
          <w:szCs w:val="24"/>
        </w:rPr>
        <w:t> </w:t>
      </w:r>
      <w:r>
        <w:rPr>
          <w:rFonts w:ascii="宋体" w:hAnsi="宋体" w:cs="宋体" w:eastAsia="宋体" w:hint="default"/>
          <w:sz w:val="24"/>
          <w:szCs w:val="24"/>
        </w:rPr>
        <w:t>182.97%，主要由于报告期内收到客户</w:t>
      </w:r>
    </w:p>
    <w:p>
      <w:pPr>
        <w:spacing w:line="240" w:lineRule="auto" w:before="8"/>
        <w:rPr>
          <w:rFonts w:ascii="宋体" w:hAnsi="宋体" w:cs="宋体" w:eastAsia="宋体" w:hint="default"/>
          <w:sz w:val="26"/>
          <w:szCs w:val="26"/>
        </w:rPr>
      </w:pPr>
    </w:p>
    <w:p>
      <w:pPr>
        <w:pStyle w:val="BodyText"/>
        <w:spacing w:line="240" w:lineRule="auto"/>
        <w:ind w:left="198" w:right="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220" w:right="1200"/>
        </w:sectPr>
      </w:pPr>
    </w:p>
    <w:p>
      <w:pPr>
        <w:spacing w:line="240" w:lineRule="auto" w:before="6"/>
        <w:rPr>
          <w:rFonts w:ascii="黑体" w:hAnsi="黑体" w:cs="黑体" w:eastAsia="黑体" w:hint="default"/>
          <w:sz w:val="15"/>
          <w:szCs w:val="15"/>
        </w:rPr>
      </w:pPr>
    </w:p>
    <w:p>
      <w:pPr>
        <w:pStyle w:val="Heading5"/>
        <w:spacing w:line="313" w:lineRule="exact" w:before="26"/>
        <w:ind w:right="0"/>
        <w:jc w:val="left"/>
      </w:pPr>
      <w:r>
        <w:rPr/>
        <w:t>以银行承兑汇票形式的回款增加所致；</w:t>
      </w:r>
    </w:p>
    <w:p>
      <w:pPr>
        <w:spacing w:line="312" w:lineRule="exact" w:before="0"/>
        <w:ind w:left="538" w:right="0" w:firstLine="0"/>
        <w:jc w:val="left"/>
        <w:rPr>
          <w:rFonts w:ascii="宋体" w:hAnsi="宋体" w:cs="宋体" w:eastAsia="宋体" w:hint="default"/>
          <w:sz w:val="24"/>
          <w:szCs w:val="24"/>
        </w:rPr>
      </w:pPr>
      <w:r>
        <w:rPr>
          <w:rFonts w:ascii="宋体" w:hAnsi="宋体" w:cs="宋体" w:eastAsia="宋体" w:hint="default"/>
          <w:spacing w:val="-6"/>
          <w:sz w:val="24"/>
          <w:szCs w:val="24"/>
        </w:rPr>
        <w:t>（2）其他流动资产较期初增加</w:t>
      </w:r>
      <w:r>
        <w:rPr>
          <w:rFonts w:ascii="宋体" w:hAnsi="宋体" w:cs="宋体" w:eastAsia="宋体" w:hint="default"/>
          <w:spacing w:val="-59"/>
          <w:sz w:val="24"/>
          <w:szCs w:val="24"/>
        </w:rPr>
        <w:t> </w:t>
      </w:r>
      <w:r>
        <w:rPr>
          <w:rFonts w:ascii="宋体" w:hAnsi="宋体" w:cs="宋体" w:eastAsia="宋体" w:hint="default"/>
          <w:sz w:val="24"/>
          <w:szCs w:val="24"/>
        </w:rPr>
        <w:t>395</w:t>
      </w:r>
      <w:r>
        <w:rPr>
          <w:rFonts w:ascii="宋体" w:hAnsi="宋体" w:cs="宋体" w:eastAsia="宋体" w:hint="default"/>
          <w:spacing w:val="-59"/>
          <w:sz w:val="24"/>
          <w:szCs w:val="24"/>
        </w:rPr>
        <w:t> </w:t>
      </w:r>
      <w:r>
        <w:rPr>
          <w:rFonts w:ascii="宋体" w:hAnsi="宋体" w:cs="宋体" w:eastAsia="宋体" w:hint="default"/>
          <w:spacing w:val="-16"/>
          <w:sz w:val="24"/>
          <w:szCs w:val="24"/>
        </w:rPr>
        <w:t>万元，上升</w:t>
      </w:r>
      <w:r>
        <w:rPr>
          <w:rFonts w:ascii="宋体" w:hAnsi="宋体" w:cs="宋体" w:eastAsia="宋体" w:hint="default"/>
          <w:spacing w:val="-59"/>
          <w:sz w:val="24"/>
          <w:szCs w:val="24"/>
        </w:rPr>
        <w:t> </w:t>
      </w:r>
      <w:r>
        <w:rPr>
          <w:rFonts w:ascii="宋体" w:hAnsi="宋体" w:cs="宋体" w:eastAsia="宋体" w:hint="default"/>
          <w:spacing w:val="-4"/>
          <w:sz w:val="24"/>
          <w:szCs w:val="24"/>
        </w:rPr>
        <w:t>38.29%，主要由于待摊费用增加所致；</w:t>
      </w:r>
    </w:p>
    <w:p>
      <w:pPr>
        <w:spacing w:line="312" w:lineRule="exact" w:before="0"/>
        <w:ind w:left="538" w:right="0" w:firstLine="0"/>
        <w:jc w:val="left"/>
        <w:rPr>
          <w:rFonts w:ascii="宋体" w:hAnsi="宋体" w:cs="宋体" w:eastAsia="宋体" w:hint="default"/>
          <w:sz w:val="24"/>
          <w:szCs w:val="24"/>
        </w:rPr>
      </w:pPr>
      <w:r>
        <w:rPr>
          <w:rFonts w:ascii="宋体" w:hAnsi="宋体" w:cs="宋体" w:eastAsia="宋体" w:hint="default"/>
          <w:sz w:val="24"/>
          <w:szCs w:val="24"/>
        </w:rPr>
        <w:t>（3）持有至到期投资较期初增加 40,193</w:t>
      </w:r>
      <w:r>
        <w:rPr>
          <w:rFonts w:ascii="宋体" w:hAnsi="宋体" w:cs="宋体" w:eastAsia="宋体" w:hint="default"/>
          <w:spacing w:val="-57"/>
          <w:sz w:val="24"/>
          <w:szCs w:val="24"/>
        </w:rPr>
        <w:t> </w:t>
      </w:r>
      <w:r>
        <w:rPr>
          <w:rFonts w:ascii="宋体" w:hAnsi="宋体" w:cs="宋体" w:eastAsia="宋体" w:hint="default"/>
          <w:sz w:val="24"/>
          <w:szCs w:val="24"/>
        </w:rPr>
        <w:t>万元，主要本期购买银行理财产品，以及</w:t>
      </w:r>
    </w:p>
    <w:p>
      <w:pPr>
        <w:spacing w:line="312" w:lineRule="exact" w:before="0"/>
        <w:ind w:left="118" w:right="0" w:firstLine="0"/>
        <w:jc w:val="left"/>
        <w:rPr>
          <w:rFonts w:ascii="宋体" w:hAnsi="宋体" w:cs="宋体" w:eastAsia="宋体" w:hint="default"/>
          <w:sz w:val="24"/>
          <w:szCs w:val="24"/>
        </w:rPr>
      </w:pPr>
      <w:r>
        <w:rPr>
          <w:rFonts w:ascii="宋体" w:hAnsi="宋体" w:cs="宋体" w:eastAsia="宋体" w:hint="default"/>
          <w:sz w:val="24"/>
          <w:szCs w:val="24"/>
        </w:rPr>
        <w:t>预提到年底的理财收益</w:t>
      </w:r>
      <w:r>
        <w:rPr>
          <w:rFonts w:ascii="宋体" w:hAnsi="宋体" w:cs="宋体" w:eastAsia="宋体" w:hint="default"/>
          <w:spacing w:val="-60"/>
          <w:sz w:val="24"/>
          <w:szCs w:val="24"/>
        </w:rPr>
        <w:t> </w:t>
      </w:r>
      <w:r>
        <w:rPr>
          <w:rFonts w:ascii="宋体" w:hAnsi="宋体" w:cs="宋体" w:eastAsia="宋体" w:hint="default"/>
          <w:sz w:val="24"/>
          <w:szCs w:val="24"/>
        </w:rPr>
        <w:t>193</w:t>
      </w:r>
      <w:r>
        <w:rPr>
          <w:rFonts w:ascii="宋体" w:hAnsi="宋体" w:cs="宋体" w:eastAsia="宋体" w:hint="default"/>
          <w:spacing w:val="-60"/>
          <w:sz w:val="24"/>
          <w:szCs w:val="24"/>
        </w:rPr>
        <w:t> </w:t>
      </w:r>
      <w:r>
        <w:rPr>
          <w:rFonts w:ascii="宋体" w:hAnsi="宋体" w:cs="宋体" w:eastAsia="宋体" w:hint="default"/>
          <w:sz w:val="24"/>
          <w:szCs w:val="24"/>
        </w:rPr>
        <w:t>万元所致；</w:t>
      </w:r>
    </w:p>
    <w:p>
      <w:pPr>
        <w:spacing w:line="312" w:lineRule="exact" w:before="29"/>
        <w:ind w:left="118" w:right="86" w:firstLine="420"/>
        <w:jc w:val="left"/>
        <w:rPr>
          <w:rFonts w:ascii="宋体" w:hAnsi="宋体" w:cs="宋体" w:eastAsia="宋体" w:hint="default"/>
          <w:sz w:val="24"/>
          <w:szCs w:val="24"/>
        </w:rPr>
      </w:pPr>
      <w:r>
        <w:rPr>
          <w:rFonts w:ascii="宋体" w:hAnsi="宋体" w:cs="宋体" w:eastAsia="宋体" w:hint="default"/>
          <w:sz w:val="24"/>
          <w:szCs w:val="24"/>
        </w:rPr>
        <w:t>（4）长期应收款较期初减少</w:t>
      </w:r>
      <w:r>
        <w:rPr>
          <w:rFonts w:ascii="宋体" w:hAnsi="宋体" w:cs="宋体" w:eastAsia="宋体" w:hint="default"/>
          <w:spacing w:val="-59"/>
          <w:sz w:val="24"/>
          <w:szCs w:val="24"/>
        </w:rPr>
        <w:t> </w:t>
      </w:r>
      <w:r>
        <w:rPr>
          <w:rFonts w:ascii="宋体" w:hAnsi="宋体" w:cs="宋体" w:eastAsia="宋体" w:hint="default"/>
          <w:sz w:val="24"/>
          <w:szCs w:val="24"/>
        </w:rPr>
        <w:t>13,270</w:t>
      </w:r>
      <w:r>
        <w:rPr>
          <w:rFonts w:ascii="宋体" w:hAnsi="宋体" w:cs="宋体" w:eastAsia="宋体" w:hint="default"/>
          <w:spacing w:val="-59"/>
          <w:sz w:val="24"/>
          <w:szCs w:val="24"/>
        </w:rPr>
        <w:t> </w:t>
      </w:r>
      <w:r>
        <w:rPr>
          <w:rFonts w:ascii="宋体" w:hAnsi="宋体" w:cs="宋体" w:eastAsia="宋体" w:hint="default"/>
          <w:sz w:val="24"/>
          <w:szCs w:val="24"/>
        </w:rPr>
        <w:t>万元，下降</w:t>
      </w:r>
      <w:r>
        <w:rPr>
          <w:rFonts w:ascii="宋体" w:hAnsi="宋体" w:cs="宋体" w:eastAsia="宋体" w:hint="default"/>
          <w:spacing w:val="-59"/>
          <w:sz w:val="24"/>
          <w:szCs w:val="24"/>
        </w:rPr>
        <w:t> </w:t>
      </w:r>
      <w:r>
        <w:rPr>
          <w:rFonts w:ascii="宋体" w:hAnsi="宋体" w:cs="宋体" w:eastAsia="宋体" w:hint="default"/>
          <w:sz w:val="24"/>
          <w:szCs w:val="24"/>
        </w:rPr>
        <w:t>46.82%，主要由于报告期内收到成</w:t>
      </w:r>
      <w:r>
        <w:rPr>
          <w:rFonts w:ascii="宋体" w:hAnsi="宋体" w:cs="宋体" w:eastAsia="宋体" w:hint="default"/>
          <w:sz w:val="24"/>
          <w:szCs w:val="24"/>
        </w:rPr>
        <w:t> </w:t>
      </w:r>
      <w:r>
        <w:rPr>
          <w:rFonts w:ascii="宋体" w:hAnsi="宋体" w:cs="宋体" w:eastAsia="宋体" w:hint="default"/>
          <w:spacing w:val="-9"/>
          <w:sz w:val="24"/>
          <w:szCs w:val="24"/>
        </w:rPr>
        <w:t>都东软信息技术职业学院（以下简称“成都职业学院”）支付的以前年度资产转让款所致；</w:t>
      </w:r>
    </w:p>
    <w:p>
      <w:pPr>
        <w:spacing w:line="312" w:lineRule="exact" w:before="0"/>
        <w:ind w:left="118" w:right="219" w:firstLine="420"/>
        <w:jc w:val="both"/>
        <w:rPr>
          <w:rFonts w:ascii="宋体" w:hAnsi="宋体" w:cs="宋体" w:eastAsia="宋体" w:hint="default"/>
          <w:sz w:val="24"/>
          <w:szCs w:val="24"/>
        </w:rPr>
      </w:pPr>
      <w:r>
        <w:rPr>
          <w:rFonts w:ascii="宋体" w:hAnsi="宋体" w:cs="宋体" w:eastAsia="宋体" w:hint="default"/>
          <w:spacing w:val="-4"/>
          <w:sz w:val="24"/>
          <w:szCs w:val="24"/>
        </w:rPr>
        <w:t>（5）在建工程较期初增加</w:t>
      </w:r>
      <w:r>
        <w:rPr>
          <w:rFonts w:ascii="宋体" w:hAnsi="宋体" w:cs="宋体" w:eastAsia="宋体" w:hint="default"/>
          <w:spacing w:val="-70"/>
          <w:sz w:val="24"/>
          <w:szCs w:val="24"/>
        </w:rPr>
        <w:t> </w:t>
      </w:r>
      <w:r>
        <w:rPr>
          <w:rFonts w:ascii="宋体" w:hAnsi="宋体" w:cs="宋体" w:eastAsia="宋体" w:hint="default"/>
          <w:sz w:val="24"/>
          <w:szCs w:val="24"/>
        </w:rPr>
        <w:t>22,307</w:t>
      </w:r>
      <w:r>
        <w:rPr>
          <w:rFonts w:ascii="宋体" w:hAnsi="宋体" w:cs="宋体" w:eastAsia="宋体" w:hint="default"/>
          <w:spacing w:val="-70"/>
          <w:sz w:val="24"/>
          <w:szCs w:val="24"/>
        </w:rPr>
        <w:t> </w:t>
      </w:r>
      <w:r>
        <w:rPr>
          <w:rFonts w:ascii="宋体" w:hAnsi="宋体" w:cs="宋体" w:eastAsia="宋体" w:hint="default"/>
          <w:spacing w:val="-8"/>
          <w:sz w:val="24"/>
          <w:szCs w:val="24"/>
        </w:rPr>
        <w:t>万元，上升</w:t>
      </w:r>
      <w:r>
        <w:rPr>
          <w:rFonts w:ascii="宋体" w:hAnsi="宋体" w:cs="宋体" w:eastAsia="宋体" w:hint="default"/>
          <w:spacing w:val="-70"/>
          <w:sz w:val="24"/>
          <w:szCs w:val="24"/>
        </w:rPr>
        <w:t> </w:t>
      </w:r>
      <w:r>
        <w:rPr>
          <w:rFonts w:ascii="宋体" w:hAnsi="宋体" w:cs="宋体" w:eastAsia="宋体" w:hint="default"/>
          <w:sz w:val="24"/>
          <w:szCs w:val="24"/>
        </w:rPr>
        <w:t>263.27%，主要由于报告期内新增北京</w:t>
      </w:r>
      <w:r>
        <w:rPr>
          <w:rFonts w:ascii="宋体" w:hAnsi="宋体" w:cs="宋体" w:eastAsia="宋体" w:hint="default"/>
          <w:sz w:val="24"/>
          <w:szCs w:val="24"/>
        </w:rPr>
        <w:t> 软件园等工程建设，以及继续投入上海软件园、广州软件园等工程建设所致；</w:t>
      </w:r>
    </w:p>
    <w:p>
      <w:pPr>
        <w:spacing w:line="312" w:lineRule="exact" w:before="0"/>
        <w:ind w:left="118" w:right="219" w:firstLine="420"/>
        <w:jc w:val="both"/>
        <w:rPr>
          <w:rFonts w:ascii="宋体" w:hAnsi="宋体" w:cs="宋体" w:eastAsia="宋体" w:hint="default"/>
          <w:sz w:val="24"/>
          <w:szCs w:val="24"/>
        </w:rPr>
      </w:pPr>
      <w:r>
        <w:rPr>
          <w:rFonts w:ascii="宋体" w:hAnsi="宋体" w:cs="宋体" w:eastAsia="宋体" w:hint="default"/>
          <w:spacing w:val="-4"/>
          <w:sz w:val="24"/>
          <w:szCs w:val="24"/>
        </w:rPr>
        <w:t>（6）商誉较期初增加</w:t>
      </w:r>
      <w:r>
        <w:rPr>
          <w:rFonts w:ascii="宋体" w:hAnsi="宋体" w:cs="宋体" w:eastAsia="宋体" w:hint="default"/>
          <w:spacing w:val="-72"/>
          <w:sz w:val="24"/>
          <w:szCs w:val="24"/>
        </w:rPr>
        <w:t> </w:t>
      </w:r>
      <w:r>
        <w:rPr>
          <w:rFonts w:ascii="宋体" w:hAnsi="宋体" w:cs="宋体" w:eastAsia="宋体" w:hint="default"/>
          <w:sz w:val="24"/>
          <w:szCs w:val="24"/>
        </w:rPr>
        <w:t>8,250</w:t>
      </w:r>
      <w:r>
        <w:rPr>
          <w:rFonts w:ascii="宋体" w:hAnsi="宋体" w:cs="宋体" w:eastAsia="宋体" w:hint="default"/>
          <w:spacing w:val="-72"/>
          <w:sz w:val="24"/>
          <w:szCs w:val="24"/>
        </w:rPr>
        <w:t> </w:t>
      </w:r>
      <w:r>
        <w:rPr>
          <w:rFonts w:ascii="宋体" w:hAnsi="宋体" w:cs="宋体" w:eastAsia="宋体" w:hint="default"/>
          <w:spacing w:val="-8"/>
          <w:sz w:val="24"/>
          <w:szCs w:val="24"/>
        </w:rPr>
        <w:t>万元，上升</w:t>
      </w:r>
      <w:r>
        <w:rPr>
          <w:rFonts w:ascii="宋体" w:hAnsi="宋体" w:cs="宋体" w:eastAsia="宋体" w:hint="default"/>
          <w:spacing w:val="-72"/>
          <w:sz w:val="24"/>
          <w:szCs w:val="24"/>
        </w:rPr>
        <w:t> </w:t>
      </w:r>
      <w:r>
        <w:rPr>
          <w:rFonts w:ascii="宋体" w:hAnsi="宋体" w:cs="宋体" w:eastAsia="宋体" w:hint="default"/>
          <w:sz w:val="24"/>
          <w:szCs w:val="24"/>
        </w:rPr>
        <w:t>56.94%，主要由于报告期内本公司之子公司</w:t>
      </w:r>
      <w:r>
        <w:rPr>
          <w:rFonts w:ascii="宋体" w:hAnsi="宋体" w:cs="宋体" w:eastAsia="宋体" w:hint="default"/>
          <w:sz w:val="24"/>
          <w:szCs w:val="24"/>
        </w:rPr>
        <w:t> 东软集团（北京）有限公司购买北京望海康信科技有限公司（收购后更名为北京东软望 海科技有限公司）73.14%的股权，支付的对价高于应享有的可辨认净资产公允价值产生 的商誉</w:t>
      </w:r>
      <w:r>
        <w:rPr>
          <w:rFonts w:ascii="宋体" w:hAnsi="宋体" w:cs="宋体" w:eastAsia="宋体" w:hint="default"/>
          <w:spacing w:val="-59"/>
          <w:sz w:val="24"/>
          <w:szCs w:val="24"/>
        </w:rPr>
        <w:t> </w:t>
      </w:r>
      <w:r>
        <w:rPr>
          <w:rFonts w:ascii="宋体" w:hAnsi="宋体" w:cs="宋体" w:eastAsia="宋体" w:hint="default"/>
          <w:sz w:val="24"/>
          <w:szCs w:val="24"/>
        </w:rPr>
        <w:t>9,995</w:t>
      </w:r>
      <w:r>
        <w:rPr>
          <w:rFonts w:ascii="宋体" w:hAnsi="宋体" w:cs="宋体" w:eastAsia="宋体" w:hint="default"/>
          <w:spacing w:val="-59"/>
          <w:sz w:val="24"/>
          <w:szCs w:val="24"/>
        </w:rPr>
        <w:t> </w:t>
      </w:r>
      <w:r>
        <w:rPr>
          <w:rFonts w:ascii="宋体" w:hAnsi="宋体" w:cs="宋体" w:eastAsia="宋体" w:hint="default"/>
          <w:sz w:val="24"/>
          <w:szCs w:val="24"/>
        </w:rPr>
        <w:t>万元，同时报告期内计提欧美并购业务的商誉减值损失</w:t>
      </w:r>
      <w:r>
        <w:rPr>
          <w:rFonts w:ascii="宋体" w:hAnsi="宋体" w:cs="宋体" w:eastAsia="宋体" w:hint="default"/>
          <w:spacing w:val="-59"/>
          <w:sz w:val="24"/>
          <w:szCs w:val="24"/>
        </w:rPr>
        <w:t> </w:t>
      </w:r>
      <w:r>
        <w:rPr>
          <w:rFonts w:ascii="宋体" w:hAnsi="宋体" w:cs="宋体" w:eastAsia="宋体" w:hint="default"/>
          <w:sz w:val="24"/>
          <w:szCs w:val="24"/>
        </w:rPr>
        <w:t>898</w:t>
      </w:r>
      <w:r>
        <w:rPr>
          <w:rFonts w:ascii="宋体" w:hAnsi="宋体" w:cs="宋体" w:eastAsia="宋体" w:hint="default"/>
          <w:spacing w:val="-59"/>
          <w:sz w:val="24"/>
          <w:szCs w:val="24"/>
        </w:rPr>
        <w:t> </w:t>
      </w:r>
      <w:r>
        <w:rPr>
          <w:rFonts w:ascii="宋体" w:hAnsi="宋体" w:cs="宋体" w:eastAsia="宋体" w:hint="default"/>
          <w:sz w:val="24"/>
          <w:szCs w:val="24"/>
        </w:rPr>
        <w:t>万元，其余减</w:t>
      </w:r>
      <w:r>
        <w:rPr>
          <w:rFonts w:ascii="宋体" w:hAnsi="宋体" w:cs="宋体" w:eastAsia="宋体" w:hint="default"/>
          <w:sz w:val="24"/>
          <w:szCs w:val="24"/>
        </w:rPr>
        <w:t> 少主要为汇率变动所致；</w:t>
      </w:r>
    </w:p>
    <w:p>
      <w:pPr>
        <w:spacing w:line="312" w:lineRule="exact" w:before="0"/>
        <w:ind w:left="118" w:right="219" w:firstLine="420"/>
        <w:jc w:val="both"/>
        <w:rPr>
          <w:rFonts w:ascii="宋体" w:hAnsi="宋体" w:cs="宋体" w:eastAsia="宋体" w:hint="default"/>
          <w:sz w:val="24"/>
          <w:szCs w:val="24"/>
        </w:rPr>
      </w:pPr>
      <w:r>
        <w:rPr>
          <w:rFonts w:ascii="宋体" w:hAnsi="宋体" w:cs="宋体" w:eastAsia="宋体" w:hint="default"/>
          <w:spacing w:val="-4"/>
          <w:sz w:val="24"/>
          <w:szCs w:val="24"/>
        </w:rPr>
        <w:t>（7）短期借款较期初增加</w:t>
      </w:r>
      <w:r>
        <w:rPr>
          <w:rFonts w:ascii="宋体" w:hAnsi="宋体" w:cs="宋体" w:eastAsia="宋体" w:hint="default"/>
          <w:spacing w:val="-70"/>
          <w:sz w:val="24"/>
          <w:szCs w:val="24"/>
        </w:rPr>
        <w:t> </w:t>
      </w:r>
      <w:r>
        <w:rPr>
          <w:rFonts w:ascii="宋体" w:hAnsi="宋体" w:cs="宋体" w:eastAsia="宋体" w:hint="default"/>
          <w:sz w:val="24"/>
          <w:szCs w:val="24"/>
        </w:rPr>
        <w:t>31,000</w:t>
      </w:r>
      <w:r>
        <w:rPr>
          <w:rFonts w:ascii="宋体" w:hAnsi="宋体" w:cs="宋体" w:eastAsia="宋体" w:hint="default"/>
          <w:spacing w:val="-70"/>
          <w:sz w:val="24"/>
          <w:szCs w:val="24"/>
        </w:rPr>
        <w:t> </w:t>
      </w:r>
      <w:r>
        <w:rPr>
          <w:rFonts w:ascii="宋体" w:hAnsi="宋体" w:cs="宋体" w:eastAsia="宋体" w:hint="default"/>
          <w:spacing w:val="-8"/>
          <w:sz w:val="24"/>
          <w:szCs w:val="24"/>
        </w:rPr>
        <w:t>万元，上升</w:t>
      </w:r>
      <w:r>
        <w:rPr>
          <w:rFonts w:ascii="宋体" w:hAnsi="宋体" w:cs="宋体" w:eastAsia="宋体" w:hint="default"/>
          <w:spacing w:val="-70"/>
          <w:sz w:val="24"/>
          <w:szCs w:val="24"/>
        </w:rPr>
        <w:t> </w:t>
      </w:r>
      <w:r>
        <w:rPr>
          <w:rFonts w:ascii="宋体" w:hAnsi="宋体" w:cs="宋体" w:eastAsia="宋体" w:hint="default"/>
          <w:sz w:val="24"/>
          <w:szCs w:val="24"/>
        </w:rPr>
        <w:t>193.75%，主要由于本公司较期初增加</w:t>
      </w:r>
      <w:r>
        <w:rPr>
          <w:rFonts w:ascii="宋体" w:hAnsi="宋体" w:cs="宋体" w:eastAsia="宋体" w:hint="default"/>
          <w:sz w:val="24"/>
          <w:szCs w:val="24"/>
        </w:rPr>
        <w:t> 12,000</w:t>
      </w:r>
      <w:r>
        <w:rPr>
          <w:rFonts w:ascii="宋体" w:hAnsi="宋体" w:cs="宋体" w:eastAsia="宋体" w:hint="default"/>
          <w:spacing w:val="-33"/>
          <w:sz w:val="24"/>
          <w:szCs w:val="24"/>
        </w:rPr>
        <w:t> </w:t>
      </w:r>
      <w:r>
        <w:rPr>
          <w:rFonts w:ascii="宋体" w:hAnsi="宋体" w:cs="宋体" w:eastAsia="宋体" w:hint="default"/>
          <w:spacing w:val="-9"/>
          <w:sz w:val="24"/>
          <w:szCs w:val="24"/>
        </w:rPr>
        <w:t>万元短期借款，以及本公司之子公司—沈阳东软医疗系统有限公司（以下简称“东</w:t>
      </w:r>
    </w:p>
    <w:p>
      <w:pPr>
        <w:spacing w:line="282" w:lineRule="exact" w:before="0"/>
        <w:ind w:left="118" w:right="0" w:firstLine="0"/>
        <w:jc w:val="left"/>
        <w:rPr>
          <w:rFonts w:ascii="宋体" w:hAnsi="宋体" w:cs="宋体" w:eastAsia="宋体" w:hint="default"/>
          <w:sz w:val="24"/>
          <w:szCs w:val="24"/>
        </w:rPr>
      </w:pPr>
      <w:r>
        <w:rPr>
          <w:rFonts w:ascii="宋体" w:hAnsi="宋体" w:cs="宋体" w:eastAsia="宋体" w:hint="default"/>
          <w:sz w:val="24"/>
          <w:szCs w:val="24"/>
        </w:rPr>
        <w:t>软医疗</w:t>
      </w:r>
      <w:r>
        <w:rPr>
          <w:rFonts w:ascii="宋体" w:hAnsi="宋体" w:cs="宋体" w:eastAsia="宋体" w:hint="default"/>
          <w:spacing w:val="-120"/>
          <w:sz w:val="24"/>
          <w:szCs w:val="24"/>
        </w:rPr>
        <w:t>”</w:t>
      </w:r>
      <w:r>
        <w:rPr>
          <w:rFonts w:ascii="宋体" w:hAnsi="宋体" w:cs="宋体" w:eastAsia="宋体" w:hint="default"/>
          <w:sz w:val="24"/>
          <w:szCs w:val="24"/>
        </w:rPr>
        <w:t>）较期初增加</w:t>
      </w:r>
      <w:r>
        <w:rPr>
          <w:rFonts w:ascii="宋体" w:hAnsi="宋体" w:cs="宋体" w:eastAsia="宋体" w:hint="default"/>
          <w:spacing w:val="-60"/>
          <w:sz w:val="24"/>
          <w:szCs w:val="24"/>
        </w:rPr>
        <w:t> </w:t>
      </w:r>
      <w:r>
        <w:rPr>
          <w:rFonts w:ascii="宋体" w:hAnsi="宋体" w:cs="宋体" w:eastAsia="宋体" w:hint="default"/>
          <w:sz w:val="24"/>
          <w:szCs w:val="24"/>
        </w:rPr>
        <w:t>19,000</w:t>
      </w:r>
      <w:r>
        <w:rPr>
          <w:rFonts w:ascii="宋体" w:hAnsi="宋体" w:cs="宋体" w:eastAsia="宋体" w:hint="default"/>
          <w:spacing w:val="-60"/>
          <w:sz w:val="24"/>
          <w:szCs w:val="24"/>
        </w:rPr>
        <w:t> </w:t>
      </w:r>
      <w:r>
        <w:rPr>
          <w:rFonts w:ascii="宋体" w:hAnsi="宋体" w:cs="宋体" w:eastAsia="宋体" w:hint="default"/>
          <w:sz w:val="24"/>
          <w:szCs w:val="24"/>
        </w:rPr>
        <w:t>万元短期借款所致；</w:t>
      </w:r>
    </w:p>
    <w:p>
      <w:pPr>
        <w:spacing w:line="312" w:lineRule="exact" w:before="29"/>
        <w:ind w:left="118" w:right="220" w:firstLine="420"/>
        <w:jc w:val="both"/>
        <w:rPr>
          <w:rFonts w:ascii="宋体" w:hAnsi="宋体" w:cs="宋体" w:eastAsia="宋体" w:hint="default"/>
          <w:sz w:val="24"/>
          <w:szCs w:val="24"/>
        </w:rPr>
      </w:pPr>
      <w:r>
        <w:rPr>
          <w:rFonts w:ascii="宋体" w:hAnsi="宋体" w:cs="宋体" w:eastAsia="宋体" w:hint="default"/>
          <w:sz w:val="24"/>
          <w:szCs w:val="24"/>
        </w:rPr>
        <w:t>（8）交易性金融负债较期初减少</w:t>
      </w:r>
      <w:r>
        <w:rPr>
          <w:rFonts w:ascii="宋体" w:hAnsi="宋体" w:cs="宋体" w:eastAsia="宋体" w:hint="default"/>
          <w:spacing w:val="-59"/>
          <w:sz w:val="24"/>
          <w:szCs w:val="24"/>
        </w:rPr>
        <w:t> </w:t>
      </w:r>
      <w:r>
        <w:rPr>
          <w:rFonts w:ascii="宋体" w:hAnsi="宋体" w:cs="宋体" w:eastAsia="宋体" w:hint="default"/>
          <w:sz w:val="24"/>
          <w:szCs w:val="24"/>
        </w:rPr>
        <w:t>106</w:t>
      </w:r>
      <w:r>
        <w:rPr>
          <w:rFonts w:ascii="宋体" w:hAnsi="宋体" w:cs="宋体" w:eastAsia="宋体" w:hint="default"/>
          <w:spacing w:val="-59"/>
          <w:sz w:val="24"/>
          <w:szCs w:val="24"/>
        </w:rPr>
        <w:t> </w:t>
      </w:r>
      <w:r>
        <w:rPr>
          <w:rFonts w:ascii="宋体" w:hAnsi="宋体" w:cs="宋体" w:eastAsia="宋体" w:hint="default"/>
          <w:sz w:val="24"/>
          <w:szCs w:val="24"/>
        </w:rPr>
        <w:t>万元，下降</w:t>
      </w:r>
      <w:r>
        <w:rPr>
          <w:rFonts w:ascii="宋体" w:hAnsi="宋体" w:cs="宋体" w:eastAsia="宋体" w:hint="default"/>
          <w:spacing w:val="-59"/>
          <w:sz w:val="24"/>
          <w:szCs w:val="24"/>
        </w:rPr>
        <w:t> </w:t>
      </w:r>
      <w:r>
        <w:rPr>
          <w:rFonts w:ascii="宋体" w:hAnsi="宋体" w:cs="宋体" w:eastAsia="宋体" w:hint="default"/>
          <w:sz w:val="24"/>
          <w:szCs w:val="24"/>
        </w:rPr>
        <w:t>86.1%，主要由于本集团签订的外</w:t>
      </w:r>
      <w:r>
        <w:rPr>
          <w:rFonts w:ascii="宋体" w:hAnsi="宋体" w:cs="宋体" w:eastAsia="宋体" w:hint="default"/>
          <w:sz w:val="24"/>
          <w:szCs w:val="24"/>
        </w:rPr>
        <w:t> 币远期结汇合同产生，外币远期结汇合同在报告期末根据公开市场汇率报价，分不同外 币币种分别计算，将预计浮动损失减少的</w:t>
      </w:r>
      <w:r>
        <w:rPr>
          <w:rFonts w:ascii="宋体" w:hAnsi="宋体" w:cs="宋体" w:eastAsia="宋体" w:hint="default"/>
          <w:spacing w:val="-58"/>
          <w:sz w:val="24"/>
          <w:szCs w:val="24"/>
        </w:rPr>
        <w:t> </w:t>
      </w:r>
      <w:r>
        <w:rPr>
          <w:rFonts w:ascii="宋体" w:hAnsi="宋体" w:cs="宋体" w:eastAsia="宋体" w:hint="default"/>
          <w:sz w:val="24"/>
          <w:szCs w:val="24"/>
        </w:rPr>
        <w:t>106</w:t>
      </w:r>
      <w:r>
        <w:rPr>
          <w:rFonts w:ascii="宋体" w:hAnsi="宋体" w:cs="宋体" w:eastAsia="宋体" w:hint="default"/>
          <w:spacing w:val="-59"/>
          <w:sz w:val="24"/>
          <w:szCs w:val="24"/>
        </w:rPr>
        <w:t> </w:t>
      </w:r>
      <w:r>
        <w:rPr>
          <w:rFonts w:ascii="宋体" w:hAnsi="宋体" w:cs="宋体" w:eastAsia="宋体" w:hint="default"/>
          <w:sz w:val="24"/>
          <w:szCs w:val="24"/>
        </w:rPr>
        <w:t>万元记入公允价值变动损益并减少交易性</w:t>
      </w:r>
      <w:r>
        <w:rPr>
          <w:rFonts w:ascii="宋体" w:hAnsi="宋体" w:cs="宋体" w:eastAsia="宋体" w:hint="default"/>
          <w:sz w:val="24"/>
          <w:szCs w:val="24"/>
        </w:rPr>
        <w:t> 金融负债；</w:t>
      </w:r>
    </w:p>
    <w:p>
      <w:pPr>
        <w:spacing w:line="312" w:lineRule="exact" w:before="0"/>
        <w:ind w:left="118" w:right="219" w:firstLine="420"/>
        <w:jc w:val="both"/>
        <w:rPr>
          <w:rFonts w:ascii="宋体" w:hAnsi="宋体" w:cs="宋体" w:eastAsia="宋体" w:hint="default"/>
          <w:sz w:val="24"/>
          <w:szCs w:val="24"/>
        </w:rPr>
      </w:pPr>
      <w:r>
        <w:rPr>
          <w:rFonts w:ascii="宋体" w:hAnsi="宋体" w:cs="宋体" w:eastAsia="宋体" w:hint="default"/>
          <w:spacing w:val="-4"/>
          <w:sz w:val="24"/>
          <w:szCs w:val="24"/>
        </w:rPr>
        <w:t>（9）应付票据较期初减少</w:t>
      </w:r>
      <w:r>
        <w:rPr>
          <w:rFonts w:ascii="宋体" w:hAnsi="宋体" w:cs="宋体" w:eastAsia="宋体" w:hint="default"/>
          <w:spacing w:val="-70"/>
          <w:sz w:val="24"/>
          <w:szCs w:val="24"/>
        </w:rPr>
        <w:t> </w:t>
      </w:r>
      <w:r>
        <w:rPr>
          <w:rFonts w:ascii="宋体" w:hAnsi="宋体" w:cs="宋体" w:eastAsia="宋体" w:hint="default"/>
          <w:sz w:val="24"/>
          <w:szCs w:val="24"/>
        </w:rPr>
        <w:t>6,236</w:t>
      </w:r>
      <w:r>
        <w:rPr>
          <w:rFonts w:ascii="宋体" w:hAnsi="宋体" w:cs="宋体" w:eastAsia="宋体" w:hint="default"/>
          <w:spacing w:val="-70"/>
          <w:sz w:val="24"/>
          <w:szCs w:val="24"/>
        </w:rPr>
        <w:t> </w:t>
      </w:r>
      <w:r>
        <w:rPr>
          <w:rFonts w:ascii="宋体" w:hAnsi="宋体" w:cs="宋体" w:eastAsia="宋体" w:hint="default"/>
          <w:spacing w:val="-8"/>
          <w:sz w:val="24"/>
          <w:szCs w:val="24"/>
        </w:rPr>
        <w:t>万元，下降</w:t>
      </w:r>
      <w:r>
        <w:rPr>
          <w:rFonts w:ascii="宋体" w:hAnsi="宋体" w:cs="宋体" w:eastAsia="宋体" w:hint="default"/>
          <w:spacing w:val="-70"/>
          <w:sz w:val="24"/>
          <w:szCs w:val="24"/>
        </w:rPr>
        <w:t> </w:t>
      </w:r>
      <w:r>
        <w:rPr>
          <w:rFonts w:ascii="宋体" w:hAnsi="宋体" w:cs="宋体" w:eastAsia="宋体" w:hint="default"/>
          <w:sz w:val="24"/>
          <w:szCs w:val="24"/>
        </w:rPr>
        <w:t>42.84%，主要由于期初银行承兑票据于</w:t>
      </w:r>
      <w:r>
        <w:rPr>
          <w:rFonts w:ascii="宋体" w:hAnsi="宋体" w:cs="宋体" w:eastAsia="宋体" w:hint="default"/>
          <w:sz w:val="24"/>
          <w:szCs w:val="24"/>
        </w:rPr>
        <w:t> 报告期内到期兑付所致；</w:t>
      </w:r>
    </w:p>
    <w:p>
      <w:pPr>
        <w:spacing w:line="312" w:lineRule="exact" w:before="0"/>
        <w:ind w:left="118" w:right="219" w:firstLine="420"/>
        <w:jc w:val="both"/>
        <w:rPr>
          <w:rFonts w:ascii="宋体" w:hAnsi="宋体" w:cs="宋体" w:eastAsia="宋体" w:hint="default"/>
          <w:sz w:val="24"/>
          <w:szCs w:val="24"/>
        </w:rPr>
      </w:pPr>
      <w:r>
        <w:rPr>
          <w:rFonts w:ascii="宋体" w:hAnsi="宋体" w:cs="宋体" w:eastAsia="宋体" w:hint="default"/>
          <w:sz w:val="24"/>
          <w:szCs w:val="24"/>
        </w:rPr>
        <w:t>（10）应交税费较期初增加 6,688</w:t>
      </w:r>
      <w:r>
        <w:rPr>
          <w:rFonts w:ascii="宋体" w:hAnsi="宋体" w:cs="宋体" w:eastAsia="宋体" w:hint="default"/>
          <w:spacing w:val="-56"/>
          <w:sz w:val="24"/>
          <w:szCs w:val="24"/>
        </w:rPr>
        <w:t> </w:t>
      </w:r>
      <w:r>
        <w:rPr>
          <w:rFonts w:ascii="宋体" w:hAnsi="宋体" w:cs="宋体" w:eastAsia="宋体" w:hint="default"/>
          <w:sz w:val="24"/>
          <w:szCs w:val="24"/>
        </w:rPr>
        <w:t>万元，主要由于应交增值税及应交所得税同比增</w:t>
      </w:r>
      <w:r>
        <w:rPr>
          <w:rFonts w:ascii="宋体" w:hAnsi="宋体" w:cs="宋体" w:eastAsia="宋体" w:hint="default"/>
          <w:sz w:val="24"/>
          <w:szCs w:val="24"/>
        </w:rPr>
        <w:t> 加所致；</w:t>
      </w:r>
    </w:p>
    <w:p>
      <w:pPr>
        <w:spacing w:line="312" w:lineRule="exact" w:before="0"/>
        <w:ind w:left="118" w:right="219" w:firstLine="420"/>
        <w:jc w:val="both"/>
        <w:rPr>
          <w:rFonts w:ascii="宋体" w:hAnsi="宋体" w:cs="宋体" w:eastAsia="宋体" w:hint="default"/>
          <w:sz w:val="24"/>
          <w:szCs w:val="24"/>
        </w:rPr>
      </w:pPr>
      <w:r>
        <w:rPr>
          <w:rFonts w:ascii="宋体" w:hAnsi="宋体" w:cs="宋体" w:eastAsia="宋体" w:hint="default"/>
          <w:spacing w:val="-3"/>
          <w:sz w:val="24"/>
          <w:szCs w:val="24"/>
        </w:rPr>
        <w:t>（11）其他流动负债较期初增加</w:t>
      </w:r>
      <w:r>
        <w:rPr>
          <w:rFonts w:ascii="宋体" w:hAnsi="宋体" w:cs="宋体" w:eastAsia="宋体" w:hint="default"/>
          <w:spacing w:val="-71"/>
          <w:sz w:val="24"/>
          <w:szCs w:val="24"/>
        </w:rPr>
        <w:t> </w:t>
      </w:r>
      <w:r>
        <w:rPr>
          <w:rFonts w:ascii="宋体" w:hAnsi="宋体" w:cs="宋体" w:eastAsia="宋体" w:hint="default"/>
          <w:sz w:val="24"/>
          <w:szCs w:val="24"/>
        </w:rPr>
        <w:t>5</w:t>
      </w:r>
      <w:r>
        <w:rPr>
          <w:rFonts w:ascii="宋体" w:hAnsi="宋体" w:cs="宋体" w:eastAsia="宋体" w:hint="default"/>
          <w:spacing w:val="-71"/>
          <w:sz w:val="24"/>
          <w:szCs w:val="24"/>
        </w:rPr>
        <w:t> </w:t>
      </w:r>
      <w:r>
        <w:rPr>
          <w:rFonts w:ascii="宋体" w:hAnsi="宋体" w:cs="宋体" w:eastAsia="宋体" w:hint="default"/>
          <w:spacing w:val="-8"/>
          <w:sz w:val="24"/>
          <w:szCs w:val="24"/>
        </w:rPr>
        <w:t>万元，上升</w:t>
      </w:r>
      <w:r>
        <w:rPr>
          <w:rFonts w:ascii="宋体" w:hAnsi="宋体" w:cs="宋体" w:eastAsia="宋体" w:hint="default"/>
          <w:spacing w:val="-71"/>
          <w:sz w:val="24"/>
          <w:szCs w:val="24"/>
        </w:rPr>
        <w:t> </w:t>
      </w:r>
      <w:r>
        <w:rPr>
          <w:rFonts w:ascii="宋体" w:hAnsi="宋体" w:cs="宋体" w:eastAsia="宋体" w:hint="default"/>
          <w:sz w:val="24"/>
          <w:szCs w:val="24"/>
        </w:rPr>
        <w:t>235.89%，主要由于预提费用同比增加</w:t>
      </w:r>
      <w:r>
        <w:rPr>
          <w:rFonts w:ascii="宋体" w:hAnsi="宋体" w:cs="宋体" w:eastAsia="宋体" w:hint="default"/>
          <w:sz w:val="24"/>
          <w:szCs w:val="24"/>
        </w:rPr>
        <w:t> 所致；</w:t>
      </w:r>
    </w:p>
    <w:p>
      <w:pPr>
        <w:spacing w:line="312" w:lineRule="exact" w:before="0"/>
        <w:ind w:left="118" w:right="219" w:firstLine="420"/>
        <w:jc w:val="both"/>
        <w:rPr>
          <w:rFonts w:ascii="宋体" w:hAnsi="宋体" w:cs="宋体" w:eastAsia="宋体" w:hint="default"/>
          <w:sz w:val="24"/>
          <w:szCs w:val="24"/>
        </w:rPr>
      </w:pPr>
      <w:r>
        <w:rPr>
          <w:rFonts w:ascii="宋体" w:hAnsi="宋体" w:cs="宋体" w:eastAsia="宋体" w:hint="default"/>
          <w:sz w:val="24"/>
          <w:szCs w:val="24"/>
        </w:rPr>
        <w:t>（12）一年内到期的非流动负债较期初减少</w:t>
      </w:r>
      <w:r>
        <w:rPr>
          <w:rFonts w:ascii="宋体" w:hAnsi="宋体" w:cs="宋体" w:eastAsia="宋体" w:hint="default"/>
          <w:spacing w:val="-59"/>
          <w:sz w:val="24"/>
          <w:szCs w:val="24"/>
        </w:rPr>
        <w:t> </w:t>
      </w:r>
      <w:r>
        <w:rPr>
          <w:rFonts w:ascii="宋体" w:hAnsi="宋体" w:cs="宋体" w:eastAsia="宋体" w:hint="default"/>
          <w:sz w:val="24"/>
          <w:szCs w:val="24"/>
        </w:rPr>
        <w:t>13,606</w:t>
      </w:r>
      <w:r>
        <w:rPr>
          <w:rFonts w:ascii="宋体" w:hAnsi="宋体" w:cs="宋体" w:eastAsia="宋体" w:hint="default"/>
          <w:spacing w:val="-59"/>
          <w:sz w:val="24"/>
          <w:szCs w:val="24"/>
        </w:rPr>
        <w:t> </w:t>
      </w:r>
      <w:r>
        <w:rPr>
          <w:rFonts w:ascii="宋体" w:hAnsi="宋体" w:cs="宋体" w:eastAsia="宋体" w:hint="default"/>
          <w:sz w:val="24"/>
          <w:szCs w:val="24"/>
        </w:rPr>
        <w:t>万元，下降</w:t>
      </w:r>
      <w:r>
        <w:rPr>
          <w:rFonts w:ascii="宋体" w:hAnsi="宋体" w:cs="宋体" w:eastAsia="宋体" w:hint="default"/>
          <w:spacing w:val="-59"/>
          <w:sz w:val="24"/>
          <w:szCs w:val="24"/>
        </w:rPr>
        <w:t> </w:t>
      </w:r>
      <w:r>
        <w:rPr>
          <w:rFonts w:ascii="宋体" w:hAnsi="宋体" w:cs="宋体" w:eastAsia="宋体" w:hint="default"/>
          <w:sz w:val="24"/>
          <w:szCs w:val="24"/>
        </w:rPr>
        <w:t>100.00%，主要由于</w:t>
      </w:r>
      <w:r>
        <w:rPr>
          <w:rFonts w:ascii="宋体" w:hAnsi="宋体" w:cs="宋体" w:eastAsia="宋体" w:hint="default"/>
          <w:sz w:val="24"/>
          <w:szCs w:val="24"/>
        </w:rPr>
        <w:t> </w:t>
      </w:r>
      <w:r>
        <w:rPr>
          <w:rFonts w:ascii="宋体" w:hAnsi="宋体" w:cs="宋体" w:eastAsia="宋体" w:hint="default"/>
          <w:spacing w:val="-7"/>
          <w:sz w:val="24"/>
          <w:szCs w:val="24"/>
        </w:rPr>
        <w:t>报告期内成都东软信息技术发展有限公司（以下简称“成都东软发展”）偿还政府无息贷</w:t>
      </w:r>
      <w:r>
        <w:rPr>
          <w:rFonts w:ascii="宋体" w:hAnsi="宋体" w:cs="宋体" w:eastAsia="宋体" w:hint="default"/>
          <w:spacing w:val="-84"/>
          <w:sz w:val="24"/>
          <w:szCs w:val="24"/>
        </w:rPr>
        <w:t> </w:t>
      </w:r>
      <w:r>
        <w:rPr>
          <w:rFonts w:ascii="宋体" w:hAnsi="宋体" w:cs="宋体" w:eastAsia="宋体" w:hint="default"/>
          <w:spacing w:val="-84"/>
          <w:sz w:val="24"/>
          <w:szCs w:val="24"/>
        </w:rPr>
      </w:r>
      <w:r>
        <w:rPr>
          <w:rFonts w:ascii="宋体" w:hAnsi="宋体" w:cs="宋体" w:eastAsia="宋体" w:hint="default"/>
          <w:sz w:val="24"/>
          <w:szCs w:val="24"/>
        </w:rPr>
        <w:t>款（即成都软件园三期基建项目政府无息贷款形式的专项资金）所致；</w:t>
      </w:r>
    </w:p>
    <w:p>
      <w:pPr>
        <w:spacing w:line="282" w:lineRule="exact" w:before="0"/>
        <w:ind w:left="538" w:right="0" w:firstLine="0"/>
        <w:jc w:val="left"/>
        <w:rPr>
          <w:rFonts w:ascii="宋体" w:hAnsi="宋体" w:cs="宋体" w:eastAsia="宋体" w:hint="default"/>
          <w:sz w:val="24"/>
          <w:szCs w:val="24"/>
        </w:rPr>
      </w:pPr>
      <w:r>
        <w:rPr>
          <w:rFonts w:ascii="宋体" w:hAnsi="宋体" w:cs="宋体" w:eastAsia="宋体" w:hint="default"/>
          <w:spacing w:val="-3"/>
          <w:sz w:val="24"/>
          <w:szCs w:val="24"/>
        </w:rPr>
        <w:t>（13）应付债券较期初增加</w:t>
      </w:r>
      <w:r>
        <w:rPr>
          <w:rFonts w:ascii="宋体" w:hAnsi="宋体" w:cs="宋体" w:eastAsia="宋体" w:hint="default"/>
          <w:spacing w:val="-65"/>
          <w:sz w:val="24"/>
          <w:szCs w:val="24"/>
        </w:rPr>
        <w:t> </w:t>
      </w:r>
      <w:r>
        <w:rPr>
          <w:rFonts w:ascii="宋体" w:hAnsi="宋体" w:cs="宋体" w:eastAsia="宋体" w:hint="default"/>
          <w:sz w:val="24"/>
          <w:szCs w:val="24"/>
        </w:rPr>
        <w:t>40,366</w:t>
      </w:r>
      <w:r>
        <w:rPr>
          <w:rFonts w:ascii="宋体" w:hAnsi="宋体" w:cs="宋体" w:eastAsia="宋体" w:hint="default"/>
          <w:spacing w:val="-65"/>
          <w:sz w:val="24"/>
          <w:szCs w:val="24"/>
        </w:rPr>
        <w:t> </w:t>
      </w:r>
      <w:r>
        <w:rPr>
          <w:rFonts w:ascii="宋体" w:hAnsi="宋体" w:cs="宋体" w:eastAsia="宋体" w:hint="default"/>
          <w:sz w:val="24"/>
          <w:szCs w:val="24"/>
        </w:rPr>
        <w:t>万元，主要由于报告期内本公司发行</w:t>
      </w:r>
      <w:r>
        <w:rPr>
          <w:rFonts w:ascii="宋体" w:hAnsi="宋体" w:cs="宋体" w:eastAsia="宋体" w:hint="default"/>
          <w:spacing w:val="-65"/>
          <w:sz w:val="24"/>
          <w:szCs w:val="24"/>
        </w:rPr>
        <w:t> </w:t>
      </w:r>
      <w:r>
        <w:rPr>
          <w:rFonts w:ascii="宋体" w:hAnsi="宋体" w:cs="宋体" w:eastAsia="宋体" w:hint="default"/>
          <w:sz w:val="24"/>
          <w:szCs w:val="24"/>
        </w:rPr>
        <w:t>4</w:t>
      </w:r>
      <w:r>
        <w:rPr>
          <w:rFonts w:ascii="宋体" w:hAnsi="宋体" w:cs="宋体" w:eastAsia="宋体" w:hint="default"/>
          <w:spacing w:val="-65"/>
          <w:sz w:val="24"/>
          <w:szCs w:val="24"/>
        </w:rPr>
        <w:t> </w:t>
      </w:r>
      <w:r>
        <w:rPr>
          <w:rFonts w:ascii="宋体" w:hAnsi="宋体" w:cs="宋体" w:eastAsia="宋体" w:hint="default"/>
          <w:sz w:val="24"/>
          <w:szCs w:val="24"/>
        </w:rPr>
        <w:t>亿元中期</w:t>
      </w:r>
    </w:p>
    <w:p>
      <w:pPr>
        <w:spacing w:line="312" w:lineRule="exact" w:before="0"/>
        <w:ind w:left="118" w:right="0" w:firstLine="0"/>
        <w:jc w:val="left"/>
        <w:rPr>
          <w:rFonts w:ascii="宋体" w:hAnsi="宋体" w:cs="宋体" w:eastAsia="宋体" w:hint="default"/>
          <w:sz w:val="24"/>
          <w:szCs w:val="24"/>
        </w:rPr>
      </w:pPr>
      <w:r>
        <w:rPr>
          <w:rFonts w:ascii="宋体" w:hAnsi="宋体" w:cs="宋体" w:eastAsia="宋体" w:hint="default"/>
          <w:sz w:val="24"/>
          <w:szCs w:val="24"/>
        </w:rPr>
        <w:t>票据以及于年末预提的利息</w:t>
      </w:r>
      <w:r>
        <w:rPr>
          <w:rFonts w:ascii="宋体" w:hAnsi="宋体" w:cs="宋体" w:eastAsia="宋体" w:hint="default"/>
          <w:spacing w:val="-60"/>
          <w:sz w:val="24"/>
          <w:szCs w:val="24"/>
        </w:rPr>
        <w:t> </w:t>
      </w:r>
      <w:r>
        <w:rPr>
          <w:rFonts w:ascii="宋体" w:hAnsi="宋体" w:cs="宋体" w:eastAsia="宋体" w:hint="default"/>
          <w:sz w:val="24"/>
          <w:szCs w:val="24"/>
        </w:rPr>
        <w:t>366</w:t>
      </w:r>
      <w:r>
        <w:rPr>
          <w:rFonts w:ascii="宋体" w:hAnsi="宋体" w:cs="宋体" w:eastAsia="宋体" w:hint="default"/>
          <w:spacing w:val="-60"/>
          <w:sz w:val="24"/>
          <w:szCs w:val="24"/>
        </w:rPr>
        <w:t> </w:t>
      </w:r>
      <w:r>
        <w:rPr>
          <w:rFonts w:ascii="宋体" w:hAnsi="宋体" w:cs="宋体" w:eastAsia="宋体" w:hint="default"/>
          <w:sz w:val="24"/>
          <w:szCs w:val="24"/>
        </w:rPr>
        <w:t>万元所致；</w:t>
      </w:r>
    </w:p>
    <w:p>
      <w:pPr>
        <w:spacing w:line="312" w:lineRule="exact" w:before="29"/>
        <w:ind w:left="118" w:right="219" w:firstLine="420"/>
        <w:jc w:val="both"/>
        <w:rPr>
          <w:rFonts w:ascii="宋体" w:hAnsi="宋体" w:cs="宋体" w:eastAsia="宋体" w:hint="default"/>
          <w:sz w:val="24"/>
          <w:szCs w:val="24"/>
        </w:rPr>
      </w:pPr>
      <w:r>
        <w:rPr>
          <w:rFonts w:ascii="宋体" w:hAnsi="宋体" w:cs="宋体" w:eastAsia="宋体" w:hint="default"/>
          <w:spacing w:val="-3"/>
          <w:sz w:val="24"/>
          <w:szCs w:val="24"/>
        </w:rPr>
        <w:t>（14）未分配利润较期初增加</w:t>
      </w:r>
      <w:r>
        <w:rPr>
          <w:rFonts w:ascii="宋体" w:hAnsi="宋体" w:cs="宋体" w:eastAsia="宋体" w:hint="default"/>
          <w:spacing w:val="-54"/>
          <w:sz w:val="24"/>
          <w:szCs w:val="24"/>
        </w:rPr>
        <w:t> </w:t>
      </w:r>
      <w:r>
        <w:rPr>
          <w:rFonts w:ascii="宋体" w:hAnsi="宋体" w:cs="宋体" w:eastAsia="宋体" w:hint="default"/>
          <w:sz w:val="24"/>
          <w:szCs w:val="24"/>
        </w:rPr>
        <w:t>36,488</w:t>
      </w:r>
      <w:r>
        <w:rPr>
          <w:rFonts w:ascii="宋体" w:hAnsi="宋体" w:cs="宋体" w:eastAsia="宋体" w:hint="default"/>
          <w:spacing w:val="-54"/>
          <w:sz w:val="24"/>
          <w:szCs w:val="24"/>
        </w:rPr>
        <w:t> </w:t>
      </w:r>
      <w:r>
        <w:rPr>
          <w:rFonts w:ascii="宋体" w:hAnsi="宋体" w:cs="宋体" w:eastAsia="宋体" w:hint="default"/>
          <w:spacing w:val="-8"/>
          <w:sz w:val="24"/>
          <w:szCs w:val="24"/>
        </w:rPr>
        <w:t>万元，上升</w:t>
      </w:r>
      <w:r>
        <w:rPr>
          <w:rFonts w:ascii="宋体" w:hAnsi="宋体" w:cs="宋体" w:eastAsia="宋体" w:hint="default"/>
          <w:spacing w:val="-54"/>
          <w:sz w:val="24"/>
          <w:szCs w:val="24"/>
        </w:rPr>
        <w:t> </w:t>
      </w:r>
      <w:r>
        <w:rPr>
          <w:rFonts w:ascii="宋体" w:hAnsi="宋体" w:cs="宋体" w:eastAsia="宋体" w:hint="default"/>
          <w:spacing w:val="-3"/>
          <w:sz w:val="24"/>
          <w:szCs w:val="24"/>
        </w:rPr>
        <w:t>16.80%，主要由于报告期内实现净</w:t>
      </w:r>
      <w:r>
        <w:rPr>
          <w:rFonts w:ascii="宋体" w:hAnsi="宋体" w:cs="宋体" w:eastAsia="宋体" w:hint="default"/>
          <w:sz w:val="24"/>
          <w:szCs w:val="24"/>
        </w:rPr>
        <w:t> 利润</w:t>
      </w:r>
      <w:r>
        <w:rPr>
          <w:rFonts w:ascii="宋体" w:hAnsi="宋体" w:cs="宋体" w:eastAsia="宋体" w:hint="default"/>
          <w:spacing w:val="-60"/>
          <w:sz w:val="24"/>
          <w:szCs w:val="24"/>
        </w:rPr>
        <w:t> </w:t>
      </w:r>
      <w:r>
        <w:rPr>
          <w:rFonts w:ascii="宋体" w:hAnsi="宋体" w:cs="宋体" w:eastAsia="宋体" w:hint="default"/>
          <w:sz w:val="24"/>
          <w:szCs w:val="24"/>
        </w:rPr>
        <w:t>41,707</w:t>
      </w:r>
      <w:r>
        <w:rPr>
          <w:rFonts w:ascii="宋体" w:hAnsi="宋体" w:cs="宋体" w:eastAsia="宋体" w:hint="default"/>
          <w:spacing w:val="-60"/>
          <w:sz w:val="24"/>
          <w:szCs w:val="24"/>
        </w:rPr>
        <w:t> </w:t>
      </w:r>
      <w:r>
        <w:rPr>
          <w:rFonts w:ascii="宋体" w:hAnsi="宋体" w:cs="宋体" w:eastAsia="宋体" w:hint="default"/>
          <w:sz w:val="24"/>
          <w:szCs w:val="24"/>
        </w:rPr>
        <w:t>万元所致；</w:t>
      </w:r>
    </w:p>
    <w:p>
      <w:pPr>
        <w:spacing w:line="312" w:lineRule="exact" w:before="0"/>
        <w:ind w:left="118" w:right="94" w:firstLine="420"/>
        <w:jc w:val="left"/>
        <w:rPr>
          <w:rFonts w:ascii="宋体" w:hAnsi="宋体" w:cs="宋体" w:eastAsia="宋体" w:hint="default"/>
          <w:sz w:val="24"/>
          <w:szCs w:val="24"/>
        </w:rPr>
      </w:pPr>
      <w:r>
        <w:rPr>
          <w:rFonts w:ascii="宋体" w:hAnsi="宋体" w:cs="宋体" w:eastAsia="宋体" w:hint="default"/>
          <w:spacing w:val="-3"/>
          <w:sz w:val="24"/>
          <w:szCs w:val="24"/>
        </w:rPr>
        <w:t>（15）外币报表折算差额较期初减少</w:t>
      </w:r>
      <w:r>
        <w:rPr>
          <w:rFonts w:ascii="宋体" w:hAnsi="宋体" w:cs="宋体" w:eastAsia="宋体" w:hint="default"/>
          <w:spacing w:val="-58"/>
          <w:sz w:val="24"/>
          <w:szCs w:val="24"/>
        </w:rPr>
        <w:t> </w:t>
      </w:r>
      <w:r>
        <w:rPr>
          <w:rFonts w:ascii="宋体" w:hAnsi="宋体" w:cs="宋体" w:eastAsia="宋体" w:hint="default"/>
          <w:sz w:val="24"/>
          <w:szCs w:val="24"/>
        </w:rPr>
        <w:t>2,184</w:t>
      </w:r>
      <w:r>
        <w:rPr>
          <w:rFonts w:ascii="宋体" w:hAnsi="宋体" w:cs="宋体" w:eastAsia="宋体" w:hint="default"/>
          <w:spacing w:val="-58"/>
          <w:sz w:val="24"/>
          <w:szCs w:val="24"/>
        </w:rPr>
        <w:t> </w:t>
      </w:r>
      <w:r>
        <w:rPr>
          <w:rFonts w:ascii="宋体" w:hAnsi="宋体" w:cs="宋体" w:eastAsia="宋体" w:hint="default"/>
          <w:spacing w:val="-8"/>
          <w:sz w:val="24"/>
          <w:szCs w:val="24"/>
        </w:rPr>
        <w:t>万元，下降</w:t>
      </w:r>
      <w:r>
        <w:rPr>
          <w:rFonts w:ascii="宋体" w:hAnsi="宋体" w:cs="宋体" w:eastAsia="宋体" w:hint="default"/>
          <w:spacing w:val="-58"/>
          <w:sz w:val="24"/>
          <w:szCs w:val="24"/>
        </w:rPr>
        <w:t> </w:t>
      </w:r>
      <w:r>
        <w:rPr>
          <w:rFonts w:ascii="宋体" w:hAnsi="宋体" w:cs="宋体" w:eastAsia="宋体" w:hint="default"/>
          <w:sz w:val="24"/>
          <w:szCs w:val="24"/>
        </w:rPr>
        <w:t>81.75%，</w:t>
      </w:r>
      <w:r>
        <w:rPr>
          <w:rFonts w:ascii="宋体" w:hAnsi="宋体" w:cs="宋体" w:eastAsia="宋体" w:hint="default"/>
          <w:spacing w:val="-37"/>
          <w:sz w:val="24"/>
          <w:szCs w:val="24"/>
        </w:rPr>
        <w:t> </w:t>
      </w:r>
      <w:r>
        <w:rPr>
          <w:rFonts w:ascii="宋体" w:hAnsi="宋体" w:cs="宋体" w:eastAsia="宋体" w:hint="default"/>
          <w:sz w:val="24"/>
          <w:szCs w:val="24"/>
        </w:rPr>
        <w:t>主要由于人民币兑</w:t>
      </w:r>
      <w:r>
        <w:rPr>
          <w:rFonts w:ascii="宋体" w:hAnsi="宋体" w:cs="宋体" w:eastAsia="宋体" w:hint="default"/>
          <w:sz w:val="24"/>
          <w:szCs w:val="24"/>
        </w:rPr>
        <w:t> </w:t>
      </w:r>
      <w:r>
        <w:rPr>
          <w:rFonts w:ascii="宋体" w:hAnsi="宋体" w:cs="宋体" w:eastAsia="宋体" w:hint="default"/>
          <w:spacing w:val="-7"/>
          <w:sz w:val="24"/>
          <w:szCs w:val="24"/>
        </w:rPr>
        <w:t>欧元汇率于年末升值较快，本公司之全资子公司—东软（欧洲）有限公司（以下简称“东</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pacing w:val="-8"/>
          <w:sz w:val="24"/>
          <w:szCs w:val="24"/>
        </w:rPr>
        <w:t>软欧洲”）用于外币报表折算的年度平均汇率（9.0230）与期末汇率（8.1625）差异较大，</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使外币报表折算差额同比减少</w:t>
      </w:r>
      <w:r>
        <w:rPr>
          <w:rFonts w:ascii="宋体" w:hAnsi="宋体" w:cs="宋体" w:eastAsia="宋体" w:hint="default"/>
          <w:spacing w:val="-60"/>
          <w:sz w:val="24"/>
          <w:szCs w:val="24"/>
        </w:rPr>
        <w:t> </w:t>
      </w:r>
      <w:r>
        <w:rPr>
          <w:rFonts w:ascii="宋体" w:hAnsi="宋体" w:cs="宋体" w:eastAsia="宋体" w:hint="default"/>
          <w:sz w:val="24"/>
          <w:szCs w:val="24"/>
        </w:rPr>
        <w:t>1,663</w:t>
      </w:r>
      <w:r>
        <w:rPr>
          <w:rFonts w:ascii="宋体" w:hAnsi="宋体" w:cs="宋体" w:eastAsia="宋体" w:hint="default"/>
          <w:spacing w:val="-60"/>
          <w:sz w:val="24"/>
          <w:szCs w:val="24"/>
        </w:rPr>
        <w:t> </w:t>
      </w:r>
      <w:r>
        <w:rPr>
          <w:rFonts w:ascii="宋体" w:hAnsi="宋体" w:cs="宋体" w:eastAsia="宋体" w:hint="default"/>
          <w:sz w:val="24"/>
          <w:szCs w:val="24"/>
        </w:rPr>
        <w:t>万元所致；</w:t>
      </w:r>
    </w:p>
    <w:p>
      <w:pPr>
        <w:spacing w:line="312" w:lineRule="exact" w:before="0"/>
        <w:ind w:left="118" w:right="219" w:firstLine="420"/>
        <w:jc w:val="both"/>
        <w:rPr>
          <w:rFonts w:ascii="宋体" w:hAnsi="宋体" w:cs="宋体" w:eastAsia="宋体" w:hint="default"/>
          <w:sz w:val="24"/>
          <w:szCs w:val="24"/>
        </w:rPr>
      </w:pPr>
      <w:r>
        <w:rPr>
          <w:rFonts w:ascii="宋体" w:hAnsi="宋体" w:cs="宋体" w:eastAsia="宋体" w:hint="default"/>
          <w:spacing w:val="-3"/>
          <w:sz w:val="24"/>
          <w:szCs w:val="24"/>
        </w:rPr>
        <w:t>（16）营业收入较上年同期增加</w:t>
      </w:r>
      <w:r>
        <w:rPr>
          <w:rFonts w:ascii="宋体" w:hAnsi="宋体" w:cs="宋体" w:eastAsia="宋体" w:hint="default"/>
          <w:spacing w:val="-54"/>
          <w:sz w:val="24"/>
          <w:szCs w:val="24"/>
        </w:rPr>
        <w:t> </w:t>
      </w:r>
      <w:r>
        <w:rPr>
          <w:rFonts w:ascii="宋体" w:hAnsi="宋体" w:cs="宋体" w:eastAsia="宋体" w:hint="default"/>
          <w:sz w:val="24"/>
          <w:szCs w:val="24"/>
        </w:rPr>
        <w:t>81,355</w:t>
      </w:r>
      <w:r>
        <w:rPr>
          <w:rFonts w:ascii="宋体" w:hAnsi="宋体" w:cs="宋体" w:eastAsia="宋体" w:hint="default"/>
          <w:spacing w:val="-54"/>
          <w:sz w:val="24"/>
          <w:szCs w:val="24"/>
        </w:rPr>
        <w:t> </w:t>
      </w:r>
      <w:r>
        <w:rPr>
          <w:rFonts w:ascii="宋体" w:hAnsi="宋体" w:cs="宋体" w:eastAsia="宋体" w:hint="default"/>
          <w:spacing w:val="-8"/>
          <w:sz w:val="24"/>
          <w:szCs w:val="24"/>
        </w:rPr>
        <w:t>万元，上升</w:t>
      </w:r>
      <w:r>
        <w:rPr>
          <w:rFonts w:ascii="宋体" w:hAnsi="宋体" w:cs="宋体" w:eastAsia="宋体" w:hint="default"/>
          <w:spacing w:val="-54"/>
          <w:sz w:val="24"/>
          <w:szCs w:val="24"/>
        </w:rPr>
        <w:t> </w:t>
      </w:r>
      <w:r>
        <w:rPr>
          <w:rFonts w:ascii="宋体" w:hAnsi="宋体" w:cs="宋体" w:eastAsia="宋体" w:hint="default"/>
          <w:spacing w:val="-3"/>
          <w:sz w:val="24"/>
          <w:szCs w:val="24"/>
        </w:rPr>
        <w:t>16.48%，主要由于报告期内公司</w:t>
      </w:r>
      <w:r>
        <w:rPr>
          <w:rFonts w:ascii="宋体" w:hAnsi="宋体" w:cs="宋体" w:eastAsia="宋体" w:hint="default"/>
          <w:sz w:val="24"/>
          <w:szCs w:val="24"/>
        </w:rPr>
        <w:t> 国内解决方案业务收入及国际软件业务收入较上年同期增长所致；</w:t>
      </w:r>
    </w:p>
    <w:p>
      <w:pPr>
        <w:spacing w:line="312" w:lineRule="exact" w:before="0"/>
        <w:ind w:left="118" w:right="220" w:firstLine="420"/>
        <w:jc w:val="both"/>
        <w:rPr>
          <w:rFonts w:ascii="宋体" w:hAnsi="宋体" w:cs="宋体" w:eastAsia="宋体" w:hint="default"/>
          <w:sz w:val="24"/>
          <w:szCs w:val="24"/>
        </w:rPr>
      </w:pPr>
      <w:r>
        <w:rPr>
          <w:rFonts w:ascii="宋体" w:hAnsi="宋体" w:cs="宋体" w:eastAsia="宋体" w:hint="default"/>
          <w:sz w:val="24"/>
          <w:szCs w:val="24"/>
        </w:rPr>
        <w:t>（17）营业成本较上年同期增加</w:t>
      </w:r>
      <w:r>
        <w:rPr>
          <w:rFonts w:ascii="宋体" w:hAnsi="宋体" w:cs="宋体" w:eastAsia="宋体" w:hint="default"/>
          <w:spacing w:val="-59"/>
          <w:sz w:val="24"/>
          <w:szCs w:val="24"/>
        </w:rPr>
        <w:t> </w:t>
      </w:r>
      <w:r>
        <w:rPr>
          <w:rFonts w:ascii="宋体" w:hAnsi="宋体" w:cs="宋体" w:eastAsia="宋体" w:hint="default"/>
          <w:sz w:val="24"/>
          <w:szCs w:val="24"/>
        </w:rPr>
        <w:t>62,137</w:t>
      </w:r>
      <w:r>
        <w:rPr>
          <w:rFonts w:ascii="宋体" w:hAnsi="宋体" w:cs="宋体" w:eastAsia="宋体" w:hint="default"/>
          <w:spacing w:val="-59"/>
          <w:sz w:val="24"/>
          <w:szCs w:val="24"/>
        </w:rPr>
        <w:t> </w:t>
      </w:r>
      <w:r>
        <w:rPr>
          <w:rFonts w:ascii="宋体" w:hAnsi="宋体" w:cs="宋体" w:eastAsia="宋体" w:hint="default"/>
          <w:sz w:val="24"/>
          <w:szCs w:val="24"/>
        </w:rPr>
        <w:t>万元，上升</w:t>
      </w:r>
      <w:r>
        <w:rPr>
          <w:rFonts w:ascii="宋体" w:hAnsi="宋体" w:cs="宋体" w:eastAsia="宋体" w:hint="default"/>
          <w:spacing w:val="-59"/>
          <w:sz w:val="24"/>
          <w:szCs w:val="24"/>
        </w:rPr>
        <w:t> </w:t>
      </w:r>
      <w:r>
        <w:rPr>
          <w:rFonts w:ascii="宋体" w:hAnsi="宋体" w:cs="宋体" w:eastAsia="宋体" w:hint="default"/>
          <w:sz w:val="24"/>
          <w:szCs w:val="24"/>
        </w:rPr>
        <w:t>18.36%， 主要由于报告期内公</w:t>
      </w:r>
      <w:r>
        <w:rPr>
          <w:rFonts w:ascii="宋体" w:hAnsi="宋体" w:cs="宋体" w:eastAsia="宋体" w:hint="default"/>
          <w:sz w:val="24"/>
          <w:szCs w:val="24"/>
        </w:rPr>
        <w:t> 司营业收入同比上升的带动以及人工费用等成本增加所致；</w:t>
      </w:r>
    </w:p>
    <w:p>
      <w:pPr>
        <w:spacing w:line="312" w:lineRule="exact" w:before="0"/>
        <w:ind w:left="118" w:right="219" w:firstLine="420"/>
        <w:jc w:val="both"/>
        <w:rPr>
          <w:rFonts w:ascii="宋体" w:hAnsi="宋体" w:cs="宋体" w:eastAsia="宋体" w:hint="default"/>
          <w:sz w:val="24"/>
          <w:szCs w:val="24"/>
        </w:rPr>
      </w:pPr>
      <w:r>
        <w:rPr>
          <w:rFonts w:ascii="宋体" w:hAnsi="宋体" w:cs="宋体" w:eastAsia="宋体" w:hint="default"/>
          <w:spacing w:val="-3"/>
          <w:sz w:val="24"/>
          <w:szCs w:val="24"/>
        </w:rPr>
        <w:t>（18）销售费用较上年同期增加</w:t>
      </w:r>
      <w:r>
        <w:rPr>
          <w:rFonts w:ascii="宋体" w:hAnsi="宋体" w:cs="宋体" w:eastAsia="宋体" w:hint="default"/>
          <w:spacing w:val="-54"/>
          <w:sz w:val="24"/>
          <w:szCs w:val="24"/>
        </w:rPr>
        <w:t> </w:t>
      </w:r>
      <w:r>
        <w:rPr>
          <w:rFonts w:ascii="宋体" w:hAnsi="宋体" w:cs="宋体" w:eastAsia="宋体" w:hint="default"/>
          <w:sz w:val="24"/>
          <w:szCs w:val="24"/>
        </w:rPr>
        <w:t>10,602</w:t>
      </w:r>
      <w:r>
        <w:rPr>
          <w:rFonts w:ascii="宋体" w:hAnsi="宋体" w:cs="宋体" w:eastAsia="宋体" w:hint="default"/>
          <w:spacing w:val="-54"/>
          <w:sz w:val="24"/>
          <w:szCs w:val="24"/>
        </w:rPr>
        <w:t> </w:t>
      </w:r>
      <w:r>
        <w:rPr>
          <w:rFonts w:ascii="宋体" w:hAnsi="宋体" w:cs="宋体" w:eastAsia="宋体" w:hint="default"/>
          <w:spacing w:val="-8"/>
          <w:sz w:val="24"/>
          <w:szCs w:val="24"/>
        </w:rPr>
        <w:t>万元，上升</w:t>
      </w:r>
      <w:r>
        <w:rPr>
          <w:rFonts w:ascii="宋体" w:hAnsi="宋体" w:cs="宋体" w:eastAsia="宋体" w:hint="default"/>
          <w:spacing w:val="-54"/>
          <w:sz w:val="24"/>
          <w:szCs w:val="24"/>
        </w:rPr>
        <w:t> </w:t>
      </w:r>
      <w:r>
        <w:rPr>
          <w:rFonts w:ascii="宋体" w:hAnsi="宋体" w:cs="宋体" w:eastAsia="宋体" w:hint="default"/>
          <w:spacing w:val="-3"/>
          <w:sz w:val="24"/>
          <w:szCs w:val="24"/>
        </w:rPr>
        <w:t>27.05%，主要由于随着公司业务</w:t>
      </w:r>
      <w:r>
        <w:rPr>
          <w:rFonts w:ascii="宋体" w:hAnsi="宋体" w:cs="宋体" w:eastAsia="宋体" w:hint="default"/>
          <w:sz w:val="24"/>
          <w:szCs w:val="24"/>
        </w:rPr>
        <w:t> 规模的不断扩大，市场开拓投入的增长所致；</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pStyle w:val="BodyText"/>
        <w:spacing w:line="240" w:lineRule="auto" w:before="0"/>
        <w:ind w:left="118" w:right="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40"/>
        </w:sectPr>
      </w:pPr>
    </w:p>
    <w:p>
      <w:pPr>
        <w:spacing w:line="240" w:lineRule="auto" w:before="6"/>
        <w:rPr>
          <w:rFonts w:ascii="黑体" w:hAnsi="黑体" w:cs="黑体" w:eastAsia="黑体" w:hint="default"/>
          <w:sz w:val="15"/>
          <w:szCs w:val="15"/>
        </w:rPr>
      </w:pPr>
    </w:p>
    <w:p>
      <w:pPr>
        <w:pStyle w:val="Heading5"/>
        <w:spacing w:line="312" w:lineRule="exact" w:before="56"/>
        <w:ind w:left="418" w:right="379" w:firstLine="420"/>
        <w:jc w:val="both"/>
      </w:pPr>
      <w:r>
        <w:rPr/>
        <w:t>（19）管理费用较上年同期增加</w:t>
      </w:r>
      <w:r>
        <w:rPr>
          <w:spacing w:val="-66"/>
        </w:rPr>
        <w:t> </w:t>
      </w:r>
      <w:r>
        <w:rPr/>
        <w:t>10,604</w:t>
      </w:r>
      <w:r>
        <w:rPr>
          <w:spacing w:val="-66"/>
        </w:rPr>
        <w:t> </w:t>
      </w:r>
      <w:r>
        <w:rPr>
          <w:spacing w:val="-6"/>
        </w:rPr>
        <w:t>万元，上升</w:t>
      </w:r>
      <w:r>
        <w:rPr>
          <w:spacing w:val="-66"/>
        </w:rPr>
        <w:t> </w:t>
      </w:r>
      <w:r>
        <w:rPr>
          <w:spacing w:val="-4"/>
        </w:rPr>
        <w:t>14.85%，主要由于人工费用、研</w:t>
      </w:r>
      <w:r>
        <w:rPr/>
        <w:t> 发费用等费用增加所致；</w:t>
      </w:r>
    </w:p>
    <w:p>
      <w:pPr>
        <w:spacing w:line="312" w:lineRule="exact" w:before="0"/>
        <w:ind w:left="418" w:right="433" w:firstLine="480"/>
        <w:jc w:val="both"/>
        <w:rPr>
          <w:rFonts w:ascii="宋体" w:hAnsi="宋体" w:cs="宋体" w:eastAsia="宋体" w:hint="default"/>
          <w:sz w:val="24"/>
          <w:szCs w:val="24"/>
        </w:rPr>
      </w:pPr>
      <w:r>
        <w:rPr>
          <w:rFonts w:ascii="宋体" w:hAnsi="宋体" w:cs="宋体" w:eastAsia="宋体" w:hint="default"/>
          <w:sz w:val="24"/>
          <w:szCs w:val="24"/>
        </w:rPr>
        <w:t>（20）财务费用较上年同期增加</w:t>
      </w:r>
      <w:r>
        <w:rPr>
          <w:rFonts w:ascii="宋体" w:hAnsi="宋体" w:cs="宋体" w:eastAsia="宋体" w:hint="default"/>
          <w:spacing w:val="-57"/>
          <w:sz w:val="24"/>
          <w:szCs w:val="24"/>
        </w:rPr>
        <w:t> </w:t>
      </w:r>
      <w:r>
        <w:rPr>
          <w:rFonts w:ascii="宋体" w:hAnsi="宋体" w:cs="宋体" w:eastAsia="宋体" w:hint="default"/>
          <w:sz w:val="24"/>
          <w:szCs w:val="24"/>
        </w:rPr>
        <w:t>2,401</w:t>
      </w:r>
      <w:r>
        <w:rPr>
          <w:rFonts w:ascii="宋体" w:hAnsi="宋体" w:cs="宋体" w:eastAsia="宋体" w:hint="default"/>
          <w:spacing w:val="-57"/>
          <w:sz w:val="24"/>
          <w:szCs w:val="24"/>
        </w:rPr>
        <w:t> </w:t>
      </w:r>
      <w:r>
        <w:rPr>
          <w:rFonts w:ascii="宋体" w:hAnsi="宋体" w:cs="宋体" w:eastAsia="宋体" w:hint="default"/>
          <w:sz w:val="24"/>
          <w:szCs w:val="24"/>
        </w:rPr>
        <w:t>万元，上升</w:t>
      </w:r>
      <w:r>
        <w:rPr>
          <w:rFonts w:ascii="宋体" w:hAnsi="宋体" w:cs="宋体" w:eastAsia="宋体" w:hint="default"/>
          <w:spacing w:val="-57"/>
          <w:sz w:val="24"/>
          <w:szCs w:val="24"/>
        </w:rPr>
        <w:t> </w:t>
      </w:r>
      <w:r>
        <w:rPr>
          <w:rFonts w:ascii="宋体" w:hAnsi="宋体" w:cs="宋体" w:eastAsia="宋体" w:hint="default"/>
          <w:sz w:val="24"/>
          <w:szCs w:val="24"/>
        </w:rPr>
        <w:t>6,729.09%，主要由于报告期内</w:t>
      </w:r>
      <w:r>
        <w:rPr>
          <w:rFonts w:ascii="宋体" w:hAnsi="宋体" w:cs="宋体" w:eastAsia="宋体" w:hint="default"/>
          <w:sz w:val="24"/>
          <w:szCs w:val="24"/>
        </w:rPr>
        <w:t> </w:t>
      </w:r>
      <w:r>
        <w:rPr>
          <w:rFonts w:ascii="宋体" w:hAnsi="宋体" w:cs="宋体" w:eastAsia="宋体" w:hint="default"/>
          <w:spacing w:val="-2"/>
          <w:sz w:val="24"/>
          <w:szCs w:val="24"/>
        </w:rPr>
        <w:t>公司根据资金情况增加银行贷款，同时本公司报告期内发行中期票据于年底预提的利息</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及支付的承销费等，综合影响财务费用中利息支出和手续费支出同比增加</w:t>
      </w:r>
      <w:r>
        <w:rPr>
          <w:rFonts w:ascii="宋体" w:hAnsi="宋体" w:cs="宋体" w:eastAsia="宋体" w:hint="default"/>
          <w:spacing w:val="-84"/>
          <w:sz w:val="24"/>
          <w:szCs w:val="24"/>
        </w:rPr>
        <w:t> </w:t>
      </w:r>
      <w:r>
        <w:rPr>
          <w:rFonts w:ascii="宋体" w:hAnsi="宋体" w:cs="宋体" w:eastAsia="宋体" w:hint="default"/>
          <w:sz w:val="24"/>
          <w:szCs w:val="24"/>
        </w:rPr>
        <w:t>2,007</w:t>
      </w:r>
      <w:r>
        <w:rPr>
          <w:rFonts w:ascii="宋体" w:hAnsi="宋体" w:cs="宋体" w:eastAsia="宋体" w:hint="default"/>
          <w:spacing w:val="-84"/>
          <w:sz w:val="24"/>
          <w:szCs w:val="24"/>
        </w:rPr>
        <w:t> </w:t>
      </w:r>
      <w:r>
        <w:rPr>
          <w:rFonts w:ascii="宋体" w:hAnsi="宋体" w:cs="宋体" w:eastAsia="宋体" w:hint="default"/>
          <w:sz w:val="24"/>
          <w:szCs w:val="24"/>
        </w:rPr>
        <w:t>万元所</w:t>
      </w:r>
      <w:r>
        <w:rPr>
          <w:rFonts w:ascii="宋体" w:hAnsi="宋体" w:cs="宋体" w:eastAsia="宋体" w:hint="default"/>
          <w:sz w:val="24"/>
          <w:szCs w:val="24"/>
        </w:rPr>
        <w:t> 致；</w:t>
      </w:r>
    </w:p>
    <w:p>
      <w:pPr>
        <w:spacing w:line="312" w:lineRule="exact" w:before="0"/>
        <w:ind w:left="418" w:right="379" w:firstLine="420"/>
        <w:jc w:val="both"/>
        <w:rPr>
          <w:rFonts w:ascii="宋体" w:hAnsi="宋体" w:cs="宋体" w:eastAsia="宋体" w:hint="default"/>
          <w:sz w:val="24"/>
          <w:szCs w:val="24"/>
        </w:rPr>
      </w:pPr>
      <w:r>
        <w:rPr>
          <w:rFonts w:ascii="宋体" w:hAnsi="宋体" w:cs="宋体" w:eastAsia="宋体" w:hint="default"/>
          <w:spacing w:val="-3"/>
          <w:sz w:val="24"/>
          <w:szCs w:val="24"/>
        </w:rPr>
        <w:t>（21）资产减值损失较上年同期增加</w:t>
      </w:r>
      <w:r>
        <w:rPr>
          <w:rFonts w:ascii="宋体" w:hAnsi="宋体" w:cs="宋体" w:eastAsia="宋体" w:hint="default"/>
          <w:spacing w:val="-54"/>
          <w:sz w:val="24"/>
          <w:szCs w:val="24"/>
        </w:rPr>
        <w:t> </w:t>
      </w:r>
      <w:r>
        <w:rPr>
          <w:rFonts w:ascii="宋体" w:hAnsi="宋体" w:cs="宋体" w:eastAsia="宋体" w:hint="default"/>
          <w:sz w:val="24"/>
          <w:szCs w:val="24"/>
        </w:rPr>
        <w:t>3,606</w:t>
      </w:r>
      <w:r>
        <w:rPr>
          <w:rFonts w:ascii="宋体" w:hAnsi="宋体" w:cs="宋体" w:eastAsia="宋体" w:hint="default"/>
          <w:spacing w:val="-54"/>
          <w:sz w:val="24"/>
          <w:szCs w:val="24"/>
        </w:rPr>
        <w:t> </w:t>
      </w:r>
      <w:r>
        <w:rPr>
          <w:rFonts w:ascii="宋体" w:hAnsi="宋体" w:cs="宋体" w:eastAsia="宋体" w:hint="default"/>
          <w:spacing w:val="-8"/>
          <w:sz w:val="24"/>
          <w:szCs w:val="24"/>
        </w:rPr>
        <w:t>万元，上升</w:t>
      </w:r>
      <w:r>
        <w:rPr>
          <w:rFonts w:ascii="宋体" w:hAnsi="宋体" w:cs="宋体" w:eastAsia="宋体" w:hint="default"/>
          <w:spacing w:val="-54"/>
          <w:sz w:val="24"/>
          <w:szCs w:val="24"/>
        </w:rPr>
        <w:t> </w:t>
      </w:r>
      <w:r>
        <w:rPr>
          <w:rFonts w:ascii="宋体" w:hAnsi="宋体" w:cs="宋体" w:eastAsia="宋体" w:hint="default"/>
          <w:spacing w:val="-3"/>
          <w:sz w:val="24"/>
          <w:szCs w:val="24"/>
        </w:rPr>
        <w:t>674.78%，其中报告期末公司</w:t>
      </w:r>
      <w:r>
        <w:rPr>
          <w:rFonts w:ascii="宋体" w:hAnsi="宋体" w:cs="宋体" w:eastAsia="宋体" w:hint="default"/>
          <w:sz w:val="24"/>
          <w:szCs w:val="24"/>
        </w:rPr>
        <w:t> 以应收账款余额及账龄为依据估计的应收账款减值损失同比增加,</w:t>
      </w:r>
      <w:r>
        <w:rPr>
          <w:rFonts w:ascii="宋体" w:hAnsi="宋体" w:cs="宋体" w:eastAsia="宋体" w:hint="default"/>
          <w:spacing w:val="-13"/>
          <w:sz w:val="24"/>
          <w:szCs w:val="24"/>
        </w:rPr>
        <w:t> </w:t>
      </w:r>
      <w:r>
        <w:rPr>
          <w:rFonts w:ascii="宋体" w:hAnsi="宋体" w:cs="宋体" w:eastAsia="宋体" w:hint="default"/>
          <w:sz w:val="24"/>
          <w:szCs w:val="24"/>
        </w:rPr>
        <w:t>以及东软欧洲将预计</w:t>
      </w:r>
      <w:r>
        <w:rPr>
          <w:rFonts w:ascii="宋体" w:hAnsi="宋体" w:cs="宋体" w:eastAsia="宋体" w:hint="default"/>
          <w:sz w:val="24"/>
          <w:szCs w:val="24"/>
        </w:rPr>
        <w:t> 不能收回的对</w:t>
      </w:r>
      <w:r>
        <w:rPr>
          <w:rFonts w:ascii="宋体" w:hAnsi="宋体" w:cs="宋体" w:eastAsia="宋体" w:hint="default"/>
          <w:spacing w:val="-60"/>
          <w:sz w:val="24"/>
          <w:szCs w:val="24"/>
        </w:rPr>
        <w:t> </w:t>
      </w:r>
      <w:r>
        <w:rPr>
          <w:rFonts w:ascii="宋体" w:hAnsi="宋体" w:cs="宋体" w:eastAsia="宋体" w:hint="default"/>
          <w:sz w:val="24"/>
          <w:szCs w:val="24"/>
        </w:rPr>
        <w:t>Sesca</w:t>
      </w:r>
      <w:r>
        <w:rPr>
          <w:rFonts w:ascii="宋体" w:hAnsi="宋体" w:cs="宋体" w:eastAsia="宋体" w:hint="default"/>
          <w:spacing w:val="-60"/>
          <w:sz w:val="24"/>
          <w:szCs w:val="24"/>
        </w:rPr>
        <w:t> </w:t>
      </w:r>
      <w:r>
        <w:rPr>
          <w:rFonts w:ascii="宋体" w:hAnsi="宋体" w:cs="宋体" w:eastAsia="宋体" w:hint="default"/>
          <w:sz w:val="24"/>
          <w:szCs w:val="24"/>
        </w:rPr>
        <w:t>的应收款项全额计提坏账损失</w:t>
      </w:r>
      <w:r>
        <w:rPr>
          <w:rFonts w:ascii="宋体" w:hAnsi="宋体" w:cs="宋体" w:eastAsia="宋体" w:hint="default"/>
          <w:spacing w:val="-60"/>
          <w:sz w:val="24"/>
          <w:szCs w:val="24"/>
        </w:rPr>
        <w:t> </w:t>
      </w:r>
      <w:r>
        <w:rPr>
          <w:rFonts w:ascii="宋体" w:hAnsi="宋体" w:cs="宋体" w:eastAsia="宋体" w:hint="default"/>
          <w:sz w:val="24"/>
          <w:szCs w:val="24"/>
        </w:rPr>
        <w:t>885</w:t>
      </w:r>
      <w:r>
        <w:rPr>
          <w:rFonts w:ascii="宋体" w:hAnsi="宋体" w:cs="宋体" w:eastAsia="宋体" w:hint="default"/>
          <w:spacing w:val="-60"/>
          <w:sz w:val="24"/>
          <w:szCs w:val="24"/>
        </w:rPr>
        <w:t> </w:t>
      </w:r>
      <w:r>
        <w:rPr>
          <w:rFonts w:ascii="宋体" w:hAnsi="宋体" w:cs="宋体" w:eastAsia="宋体" w:hint="default"/>
          <w:spacing w:val="-5"/>
          <w:sz w:val="24"/>
          <w:szCs w:val="24"/>
        </w:rPr>
        <w:t>万元（其他事项参见本公司</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z w:val="24"/>
          <w:szCs w:val="24"/>
        </w:rPr>
        <w:t> 年度报告、2011</w:t>
      </w:r>
      <w:r>
        <w:rPr>
          <w:rFonts w:ascii="宋体" w:hAnsi="宋体" w:cs="宋体" w:eastAsia="宋体" w:hint="default"/>
          <w:spacing w:val="3"/>
          <w:sz w:val="24"/>
          <w:szCs w:val="24"/>
        </w:rPr>
        <w:t> </w:t>
      </w:r>
      <w:r>
        <w:rPr>
          <w:rFonts w:ascii="宋体" w:hAnsi="宋体" w:cs="宋体" w:eastAsia="宋体" w:hint="default"/>
          <w:spacing w:val="-4"/>
          <w:sz w:val="24"/>
          <w:szCs w:val="24"/>
        </w:rPr>
        <w:t>年半年度报告“重要事项”中的相关说明）；同时，上年同期成都东软</w:t>
      </w:r>
      <w:r>
        <w:rPr>
          <w:rFonts w:ascii="宋体" w:hAnsi="宋体" w:cs="宋体" w:eastAsia="宋体" w:hint="default"/>
          <w:sz w:val="24"/>
          <w:szCs w:val="24"/>
        </w:rPr>
        <w:t> 发展根据实际情况判断转回了因四川地震专项计提的长期应收款坏账准备</w:t>
      </w:r>
      <w:r>
        <w:rPr>
          <w:rFonts w:ascii="宋体" w:hAnsi="宋体" w:cs="宋体" w:eastAsia="宋体" w:hint="default"/>
          <w:spacing w:val="-60"/>
          <w:sz w:val="24"/>
          <w:szCs w:val="24"/>
        </w:rPr>
        <w:t> </w:t>
      </w:r>
      <w:r>
        <w:rPr>
          <w:rFonts w:ascii="宋体" w:hAnsi="宋体" w:cs="宋体" w:eastAsia="宋体" w:hint="default"/>
          <w:sz w:val="24"/>
          <w:szCs w:val="24"/>
        </w:rPr>
        <w:t>660</w:t>
      </w:r>
      <w:r>
        <w:rPr>
          <w:rFonts w:ascii="宋体" w:hAnsi="宋体" w:cs="宋体" w:eastAsia="宋体" w:hint="default"/>
          <w:spacing w:val="-60"/>
          <w:sz w:val="24"/>
          <w:szCs w:val="24"/>
        </w:rPr>
        <w:t> </w:t>
      </w:r>
      <w:r>
        <w:rPr>
          <w:rFonts w:ascii="宋体" w:hAnsi="宋体" w:cs="宋体" w:eastAsia="宋体" w:hint="default"/>
          <w:sz w:val="24"/>
          <w:szCs w:val="24"/>
        </w:rPr>
        <w:t>万元；</w:t>
      </w:r>
    </w:p>
    <w:p>
      <w:pPr>
        <w:spacing w:line="312" w:lineRule="exact" w:before="0"/>
        <w:ind w:left="418" w:right="379" w:firstLine="420"/>
        <w:jc w:val="both"/>
        <w:rPr>
          <w:rFonts w:ascii="宋体" w:hAnsi="宋体" w:cs="宋体" w:eastAsia="宋体" w:hint="default"/>
          <w:sz w:val="24"/>
          <w:szCs w:val="24"/>
        </w:rPr>
      </w:pPr>
      <w:r>
        <w:rPr>
          <w:rFonts w:ascii="宋体" w:hAnsi="宋体" w:cs="宋体" w:eastAsia="宋体" w:hint="default"/>
          <w:spacing w:val="-3"/>
          <w:sz w:val="24"/>
          <w:szCs w:val="24"/>
        </w:rPr>
        <w:t>（22）公允价值变动收益较上年同期增加</w:t>
      </w:r>
      <w:r>
        <w:rPr>
          <w:rFonts w:ascii="宋体" w:hAnsi="宋体" w:cs="宋体" w:eastAsia="宋体" w:hint="default"/>
          <w:spacing w:val="-53"/>
          <w:sz w:val="24"/>
          <w:szCs w:val="24"/>
        </w:rPr>
        <w:t> </w:t>
      </w:r>
      <w:r>
        <w:rPr>
          <w:rFonts w:ascii="宋体" w:hAnsi="宋体" w:cs="宋体" w:eastAsia="宋体" w:hint="default"/>
          <w:sz w:val="24"/>
          <w:szCs w:val="24"/>
        </w:rPr>
        <w:t>164</w:t>
      </w:r>
      <w:r>
        <w:rPr>
          <w:rFonts w:ascii="宋体" w:hAnsi="宋体" w:cs="宋体" w:eastAsia="宋体" w:hint="default"/>
          <w:spacing w:val="-53"/>
          <w:sz w:val="24"/>
          <w:szCs w:val="24"/>
        </w:rPr>
        <w:t> </w:t>
      </w:r>
      <w:r>
        <w:rPr>
          <w:rFonts w:ascii="宋体" w:hAnsi="宋体" w:cs="宋体" w:eastAsia="宋体" w:hint="default"/>
          <w:spacing w:val="-8"/>
          <w:sz w:val="24"/>
          <w:szCs w:val="24"/>
        </w:rPr>
        <w:t>万元，上升</w:t>
      </w:r>
      <w:r>
        <w:rPr>
          <w:rFonts w:ascii="宋体" w:hAnsi="宋体" w:cs="宋体" w:eastAsia="宋体" w:hint="default"/>
          <w:spacing w:val="-53"/>
          <w:sz w:val="24"/>
          <w:szCs w:val="24"/>
        </w:rPr>
        <w:t> </w:t>
      </w:r>
      <w:r>
        <w:rPr>
          <w:rFonts w:ascii="宋体" w:hAnsi="宋体" w:cs="宋体" w:eastAsia="宋体" w:hint="default"/>
          <w:spacing w:val="-3"/>
          <w:sz w:val="24"/>
          <w:szCs w:val="24"/>
        </w:rPr>
        <w:t>236.91%，主要由于外币远</w:t>
      </w:r>
      <w:r>
        <w:rPr>
          <w:rFonts w:ascii="宋体" w:hAnsi="宋体" w:cs="宋体" w:eastAsia="宋体" w:hint="default"/>
          <w:sz w:val="24"/>
          <w:szCs w:val="24"/>
        </w:rPr>
        <w:t> 期结汇合同公允价值变动所致；</w:t>
      </w:r>
    </w:p>
    <w:p>
      <w:pPr>
        <w:spacing w:line="312" w:lineRule="exact" w:before="0"/>
        <w:ind w:left="418" w:right="243" w:firstLine="420"/>
        <w:jc w:val="left"/>
        <w:rPr>
          <w:rFonts w:ascii="宋体" w:hAnsi="宋体" w:cs="宋体" w:eastAsia="宋体" w:hint="default"/>
          <w:sz w:val="24"/>
          <w:szCs w:val="24"/>
        </w:rPr>
      </w:pPr>
      <w:r>
        <w:rPr>
          <w:rFonts w:ascii="宋体" w:hAnsi="宋体" w:cs="宋体" w:eastAsia="宋体" w:hint="default"/>
          <w:sz w:val="24"/>
          <w:szCs w:val="24"/>
        </w:rPr>
        <w:t>（23）营业外收入较上年同期增加</w:t>
      </w:r>
      <w:r>
        <w:rPr>
          <w:rFonts w:ascii="宋体" w:hAnsi="宋体" w:cs="宋体" w:eastAsia="宋体" w:hint="default"/>
          <w:spacing w:val="-59"/>
          <w:sz w:val="24"/>
          <w:szCs w:val="24"/>
        </w:rPr>
        <w:t> </w:t>
      </w:r>
      <w:r>
        <w:rPr>
          <w:rFonts w:ascii="宋体" w:hAnsi="宋体" w:cs="宋体" w:eastAsia="宋体" w:hint="default"/>
          <w:sz w:val="24"/>
          <w:szCs w:val="24"/>
        </w:rPr>
        <w:t>2,726</w:t>
      </w:r>
      <w:r>
        <w:rPr>
          <w:rFonts w:ascii="宋体" w:hAnsi="宋体" w:cs="宋体" w:eastAsia="宋体" w:hint="default"/>
          <w:spacing w:val="-59"/>
          <w:sz w:val="24"/>
          <w:szCs w:val="24"/>
        </w:rPr>
        <w:t> </w:t>
      </w:r>
      <w:r>
        <w:rPr>
          <w:rFonts w:ascii="宋体" w:hAnsi="宋体" w:cs="宋体" w:eastAsia="宋体" w:hint="default"/>
          <w:sz w:val="24"/>
          <w:szCs w:val="24"/>
        </w:rPr>
        <w:t>万元，上升</w:t>
      </w:r>
      <w:r>
        <w:rPr>
          <w:rFonts w:ascii="宋体" w:hAnsi="宋体" w:cs="宋体" w:eastAsia="宋体" w:hint="default"/>
          <w:spacing w:val="-59"/>
          <w:sz w:val="24"/>
          <w:szCs w:val="24"/>
        </w:rPr>
        <w:t> </w:t>
      </w:r>
      <w:r>
        <w:rPr>
          <w:rFonts w:ascii="宋体" w:hAnsi="宋体" w:cs="宋体" w:eastAsia="宋体" w:hint="default"/>
          <w:sz w:val="24"/>
          <w:szCs w:val="24"/>
        </w:rPr>
        <w:t>16.95%，主要由于报告期内本</w:t>
      </w:r>
      <w:r>
        <w:rPr>
          <w:rFonts w:ascii="宋体" w:hAnsi="宋体" w:cs="宋体" w:eastAsia="宋体" w:hint="default"/>
          <w:sz w:val="24"/>
          <w:szCs w:val="24"/>
        </w:rPr>
        <w:t> 公司用无形资产技术使用权出资购买</w:t>
      </w:r>
      <w:r>
        <w:rPr>
          <w:rFonts w:ascii="宋体" w:hAnsi="宋体" w:cs="宋体" w:eastAsia="宋体" w:hint="default"/>
          <w:spacing w:val="-60"/>
          <w:sz w:val="24"/>
          <w:szCs w:val="24"/>
        </w:rPr>
        <w:t> </w:t>
      </w:r>
      <w:r>
        <w:rPr>
          <w:rFonts w:ascii="宋体" w:hAnsi="宋体" w:cs="宋体" w:eastAsia="宋体" w:hint="default"/>
          <w:sz w:val="24"/>
          <w:szCs w:val="24"/>
        </w:rPr>
        <w:t>Appconomy,</w:t>
      </w:r>
      <w:r>
        <w:rPr>
          <w:rFonts w:ascii="宋体" w:hAnsi="宋体" w:cs="宋体" w:eastAsia="宋体" w:hint="default"/>
          <w:spacing w:val="-57"/>
          <w:sz w:val="24"/>
          <w:szCs w:val="24"/>
        </w:rPr>
        <w:t> </w:t>
      </w:r>
      <w:r>
        <w:rPr>
          <w:rFonts w:ascii="宋体" w:hAnsi="宋体" w:cs="宋体" w:eastAsia="宋体" w:hint="default"/>
          <w:sz w:val="24"/>
          <w:szCs w:val="24"/>
        </w:rPr>
        <w:t>Inc.股权确认营业外收入</w:t>
      </w:r>
      <w:r>
        <w:rPr>
          <w:rFonts w:ascii="宋体" w:hAnsi="宋体" w:cs="宋体" w:eastAsia="宋体" w:hint="default"/>
          <w:spacing w:val="-60"/>
          <w:sz w:val="24"/>
          <w:szCs w:val="24"/>
        </w:rPr>
        <w:t> </w:t>
      </w:r>
      <w:r>
        <w:rPr>
          <w:rFonts w:ascii="宋体" w:hAnsi="宋体" w:cs="宋体" w:eastAsia="宋体" w:hint="default"/>
          <w:sz w:val="24"/>
          <w:szCs w:val="24"/>
        </w:rPr>
        <w:t>2,493</w:t>
      </w:r>
      <w:r>
        <w:rPr>
          <w:rFonts w:ascii="宋体" w:hAnsi="宋体" w:cs="宋体" w:eastAsia="宋体" w:hint="default"/>
          <w:spacing w:val="-60"/>
          <w:sz w:val="24"/>
          <w:szCs w:val="24"/>
        </w:rPr>
        <w:t> </w:t>
      </w:r>
      <w:r>
        <w:rPr>
          <w:rFonts w:ascii="宋体" w:hAnsi="宋体" w:cs="宋体" w:eastAsia="宋体" w:hint="default"/>
          <w:sz w:val="24"/>
          <w:szCs w:val="24"/>
        </w:rPr>
        <w:t>万元；</w:t>
      </w:r>
    </w:p>
    <w:p>
      <w:pPr>
        <w:spacing w:line="312" w:lineRule="exact" w:before="0"/>
        <w:ind w:left="418" w:right="380" w:firstLine="420"/>
        <w:jc w:val="both"/>
        <w:rPr>
          <w:rFonts w:ascii="宋体" w:hAnsi="宋体" w:cs="宋体" w:eastAsia="宋体" w:hint="default"/>
          <w:sz w:val="24"/>
          <w:szCs w:val="24"/>
        </w:rPr>
      </w:pPr>
      <w:r>
        <w:rPr>
          <w:rFonts w:ascii="宋体" w:hAnsi="宋体" w:cs="宋体" w:eastAsia="宋体" w:hint="default"/>
          <w:sz w:val="24"/>
          <w:szCs w:val="24"/>
        </w:rPr>
        <w:t>（24）营业外支出较上年同期减少</w:t>
      </w:r>
      <w:r>
        <w:rPr>
          <w:rFonts w:ascii="宋体" w:hAnsi="宋体" w:cs="宋体" w:eastAsia="宋体" w:hint="default"/>
          <w:spacing w:val="-59"/>
          <w:sz w:val="24"/>
          <w:szCs w:val="24"/>
        </w:rPr>
        <w:t> </w:t>
      </w:r>
      <w:r>
        <w:rPr>
          <w:rFonts w:ascii="宋体" w:hAnsi="宋体" w:cs="宋体" w:eastAsia="宋体" w:hint="default"/>
          <w:sz w:val="24"/>
          <w:szCs w:val="24"/>
        </w:rPr>
        <w:t>271</w:t>
      </w:r>
      <w:r>
        <w:rPr>
          <w:rFonts w:ascii="宋体" w:hAnsi="宋体" w:cs="宋体" w:eastAsia="宋体" w:hint="default"/>
          <w:spacing w:val="-59"/>
          <w:sz w:val="24"/>
          <w:szCs w:val="24"/>
        </w:rPr>
        <w:t> </w:t>
      </w:r>
      <w:r>
        <w:rPr>
          <w:rFonts w:ascii="宋体" w:hAnsi="宋体" w:cs="宋体" w:eastAsia="宋体" w:hint="default"/>
          <w:sz w:val="24"/>
          <w:szCs w:val="24"/>
        </w:rPr>
        <w:t>万元，下降</w:t>
      </w:r>
      <w:r>
        <w:rPr>
          <w:rFonts w:ascii="宋体" w:hAnsi="宋体" w:cs="宋体" w:eastAsia="宋体" w:hint="default"/>
          <w:spacing w:val="-59"/>
          <w:sz w:val="24"/>
          <w:szCs w:val="24"/>
        </w:rPr>
        <w:t> </w:t>
      </w:r>
      <w:r>
        <w:rPr>
          <w:rFonts w:ascii="宋体" w:hAnsi="宋体" w:cs="宋体" w:eastAsia="宋体" w:hint="default"/>
          <w:sz w:val="24"/>
          <w:szCs w:val="24"/>
        </w:rPr>
        <w:t>33.00%，主要由于上年同期东软</w:t>
      </w:r>
      <w:r>
        <w:rPr>
          <w:rFonts w:ascii="宋体" w:hAnsi="宋体" w:cs="宋体" w:eastAsia="宋体" w:hint="default"/>
          <w:sz w:val="24"/>
          <w:szCs w:val="24"/>
        </w:rPr>
        <w:t> 医疗支付诉讼赔款</w:t>
      </w:r>
      <w:r>
        <w:rPr>
          <w:rFonts w:ascii="宋体" w:hAnsi="宋体" w:cs="宋体" w:eastAsia="宋体" w:hint="default"/>
          <w:spacing w:val="-60"/>
          <w:sz w:val="24"/>
          <w:szCs w:val="24"/>
        </w:rPr>
        <w:t> </w:t>
      </w:r>
      <w:r>
        <w:rPr>
          <w:rFonts w:ascii="宋体" w:hAnsi="宋体" w:cs="宋体" w:eastAsia="宋体" w:hint="default"/>
          <w:sz w:val="24"/>
          <w:szCs w:val="24"/>
        </w:rPr>
        <w:t>236</w:t>
      </w:r>
      <w:r>
        <w:rPr>
          <w:rFonts w:ascii="宋体" w:hAnsi="宋体" w:cs="宋体" w:eastAsia="宋体" w:hint="default"/>
          <w:spacing w:val="-60"/>
          <w:sz w:val="24"/>
          <w:szCs w:val="24"/>
        </w:rPr>
        <w:t> </w:t>
      </w:r>
      <w:r>
        <w:rPr>
          <w:rFonts w:ascii="宋体" w:hAnsi="宋体" w:cs="宋体" w:eastAsia="宋体" w:hint="default"/>
          <w:sz w:val="24"/>
          <w:szCs w:val="24"/>
        </w:rPr>
        <w:t>万元；</w:t>
      </w:r>
    </w:p>
    <w:p>
      <w:pPr>
        <w:spacing w:line="312" w:lineRule="exact" w:before="0"/>
        <w:ind w:left="418" w:right="380" w:firstLine="420"/>
        <w:jc w:val="both"/>
        <w:rPr>
          <w:rFonts w:ascii="宋体" w:hAnsi="宋体" w:cs="宋体" w:eastAsia="宋体" w:hint="default"/>
          <w:sz w:val="24"/>
          <w:szCs w:val="24"/>
        </w:rPr>
      </w:pPr>
      <w:r>
        <w:rPr>
          <w:rFonts w:ascii="宋体" w:hAnsi="宋体" w:cs="宋体" w:eastAsia="宋体" w:hint="default"/>
          <w:sz w:val="24"/>
          <w:szCs w:val="24"/>
        </w:rPr>
        <w:t>（25）所得税费用较上年同期增加</w:t>
      </w:r>
      <w:r>
        <w:rPr>
          <w:rFonts w:ascii="宋体" w:hAnsi="宋体" w:cs="宋体" w:eastAsia="宋体" w:hint="default"/>
          <w:spacing w:val="-59"/>
          <w:sz w:val="24"/>
          <w:szCs w:val="24"/>
        </w:rPr>
        <w:t> </w:t>
      </w:r>
      <w:r>
        <w:rPr>
          <w:rFonts w:ascii="宋体" w:hAnsi="宋体" w:cs="宋体" w:eastAsia="宋体" w:hint="default"/>
          <w:sz w:val="24"/>
          <w:szCs w:val="24"/>
        </w:rPr>
        <w:t>1,654</w:t>
      </w:r>
      <w:r>
        <w:rPr>
          <w:rFonts w:ascii="宋体" w:hAnsi="宋体" w:cs="宋体" w:eastAsia="宋体" w:hint="default"/>
          <w:spacing w:val="-59"/>
          <w:sz w:val="24"/>
          <w:szCs w:val="24"/>
        </w:rPr>
        <w:t> </w:t>
      </w:r>
      <w:r>
        <w:rPr>
          <w:rFonts w:ascii="宋体" w:hAnsi="宋体" w:cs="宋体" w:eastAsia="宋体" w:hint="default"/>
          <w:sz w:val="24"/>
          <w:szCs w:val="24"/>
        </w:rPr>
        <w:t>万元，上升</w:t>
      </w:r>
      <w:r>
        <w:rPr>
          <w:rFonts w:ascii="宋体" w:hAnsi="宋体" w:cs="宋体" w:eastAsia="宋体" w:hint="default"/>
          <w:spacing w:val="-59"/>
          <w:sz w:val="24"/>
          <w:szCs w:val="24"/>
        </w:rPr>
        <w:t> </w:t>
      </w:r>
      <w:r>
        <w:rPr>
          <w:rFonts w:ascii="宋体" w:hAnsi="宋体" w:cs="宋体" w:eastAsia="宋体" w:hint="default"/>
          <w:sz w:val="24"/>
          <w:szCs w:val="24"/>
        </w:rPr>
        <w:t>31.32%，主要由于本公司之子</w:t>
      </w:r>
      <w:r>
        <w:rPr>
          <w:rFonts w:ascii="宋体" w:hAnsi="宋体" w:cs="宋体" w:eastAsia="宋体" w:hint="default"/>
          <w:sz w:val="24"/>
          <w:szCs w:val="24"/>
        </w:rPr>
        <w:t> 公司东软集团（大连）有限公司免税期已过，报告期内按应纳税所得额的 10%缴纳企业 所得税，相应增加所得税费用</w:t>
      </w:r>
      <w:r>
        <w:rPr>
          <w:rFonts w:ascii="宋体" w:hAnsi="宋体" w:cs="宋体" w:eastAsia="宋体" w:hint="default"/>
          <w:spacing w:val="-58"/>
          <w:sz w:val="24"/>
          <w:szCs w:val="24"/>
        </w:rPr>
        <w:t> </w:t>
      </w:r>
      <w:r>
        <w:rPr>
          <w:rFonts w:ascii="宋体" w:hAnsi="宋体" w:cs="宋体" w:eastAsia="宋体" w:hint="default"/>
          <w:sz w:val="24"/>
          <w:szCs w:val="24"/>
        </w:rPr>
        <w:t>948</w:t>
      </w:r>
      <w:r>
        <w:rPr>
          <w:rFonts w:ascii="宋体" w:hAnsi="宋体" w:cs="宋体" w:eastAsia="宋体" w:hint="default"/>
          <w:spacing w:val="-59"/>
          <w:sz w:val="24"/>
          <w:szCs w:val="24"/>
        </w:rPr>
        <w:t> </w:t>
      </w:r>
      <w:r>
        <w:rPr>
          <w:rFonts w:ascii="宋体" w:hAnsi="宋体" w:cs="宋体" w:eastAsia="宋体" w:hint="default"/>
          <w:sz w:val="24"/>
          <w:szCs w:val="24"/>
        </w:rPr>
        <w:t>万元，以及本公司及盈利子公司应纳税所得额同比增</w:t>
      </w:r>
      <w:r>
        <w:rPr>
          <w:rFonts w:ascii="宋体" w:hAnsi="宋体" w:cs="宋体" w:eastAsia="宋体" w:hint="default"/>
          <w:sz w:val="24"/>
          <w:szCs w:val="24"/>
        </w:rPr>
        <w:t> 加所致；</w:t>
      </w:r>
    </w:p>
    <w:p>
      <w:pPr>
        <w:spacing w:line="312" w:lineRule="exact" w:before="0"/>
        <w:ind w:left="418" w:right="380" w:firstLine="420"/>
        <w:jc w:val="both"/>
        <w:rPr>
          <w:rFonts w:ascii="宋体" w:hAnsi="宋体" w:cs="宋体" w:eastAsia="宋体" w:hint="default"/>
          <w:sz w:val="24"/>
          <w:szCs w:val="24"/>
        </w:rPr>
      </w:pPr>
      <w:r>
        <w:rPr>
          <w:rFonts w:ascii="宋体" w:hAnsi="宋体" w:cs="宋体" w:eastAsia="宋体" w:hint="default"/>
          <w:sz w:val="24"/>
          <w:szCs w:val="24"/>
        </w:rPr>
        <w:t>（26）少数股东损益较上年同期减少</w:t>
      </w:r>
      <w:r>
        <w:rPr>
          <w:rFonts w:ascii="宋体" w:hAnsi="宋体" w:cs="宋体" w:eastAsia="宋体" w:hint="default"/>
          <w:spacing w:val="-59"/>
          <w:sz w:val="24"/>
          <w:szCs w:val="24"/>
        </w:rPr>
        <w:t> </w:t>
      </w:r>
      <w:r>
        <w:rPr>
          <w:rFonts w:ascii="宋体" w:hAnsi="宋体" w:cs="宋体" w:eastAsia="宋体" w:hint="default"/>
          <w:sz w:val="24"/>
          <w:szCs w:val="24"/>
        </w:rPr>
        <w:t>1,615</w:t>
      </w:r>
      <w:r>
        <w:rPr>
          <w:rFonts w:ascii="宋体" w:hAnsi="宋体" w:cs="宋体" w:eastAsia="宋体" w:hint="default"/>
          <w:spacing w:val="-59"/>
          <w:sz w:val="24"/>
          <w:szCs w:val="24"/>
        </w:rPr>
        <w:t> </w:t>
      </w:r>
      <w:r>
        <w:rPr>
          <w:rFonts w:ascii="宋体" w:hAnsi="宋体" w:cs="宋体" w:eastAsia="宋体" w:hint="default"/>
          <w:sz w:val="24"/>
          <w:szCs w:val="24"/>
        </w:rPr>
        <w:t>万元，下降</w:t>
      </w:r>
      <w:r>
        <w:rPr>
          <w:rFonts w:ascii="宋体" w:hAnsi="宋体" w:cs="宋体" w:eastAsia="宋体" w:hint="default"/>
          <w:spacing w:val="-59"/>
          <w:sz w:val="24"/>
          <w:szCs w:val="24"/>
        </w:rPr>
        <w:t> </w:t>
      </w:r>
      <w:r>
        <w:rPr>
          <w:rFonts w:ascii="宋体" w:hAnsi="宋体" w:cs="宋体" w:eastAsia="宋体" w:hint="default"/>
          <w:sz w:val="24"/>
          <w:szCs w:val="24"/>
        </w:rPr>
        <w:t>71.38%，主要由于上年同期</w:t>
      </w:r>
      <w:r>
        <w:rPr>
          <w:rFonts w:ascii="宋体" w:hAnsi="宋体" w:cs="宋体" w:eastAsia="宋体" w:hint="default"/>
          <w:sz w:val="24"/>
          <w:szCs w:val="24"/>
        </w:rPr>
        <w:t> 成都东软发展资产向成都学院转让投资性房地产影响上年同期利润，使报告期内少数股 东损益较上年同期减少所致。</w:t>
      </w:r>
    </w:p>
    <w:p>
      <w:pPr>
        <w:spacing w:before="94"/>
        <w:ind w:left="418" w:right="243" w:firstLine="0"/>
        <w:jc w:val="left"/>
        <w:rPr>
          <w:rFonts w:ascii="宋体" w:hAnsi="宋体" w:cs="宋体" w:eastAsia="宋体" w:hint="default"/>
          <w:sz w:val="24"/>
          <w:szCs w:val="24"/>
        </w:rPr>
      </w:pPr>
      <w:r>
        <w:rPr>
          <w:rFonts w:ascii="宋体" w:hAnsi="宋体" w:cs="宋体" w:eastAsia="宋体" w:hint="default"/>
          <w:sz w:val="24"/>
          <w:szCs w:val="24"/>
        </w:rPr>
        <w:t>4、公司现金流各指标对比分析如下：</w:t>
      </w:r>
    </w:p>
    <w:p>
      <w:pPr>
        <w:pStyle w:val="BodyText"/>
        <w:tabs>
          <w:tab w:pos="945" w:val="left" w:leader="none"/>
        </w:tabs>
        <w:spacing w:line="240" w:lineRule="auto" w:before="21"/>
        <w:ind w:left="0" w:right="409"/>
        <w:jc w:val="right"/>
        <w:rPr>
          <w:rFonts w:ascii="宋体" w:hAnsi="宋体" w:cs="宋体" w:eastAsia="宋体" w:hint="default"/>
        </w:rPr>
      </w:pPr>
      <w:r>
        <w:rPr>
          <w:rFonts w:ascii="宋体" w:hAnsi="宋体" w:cs="宋体" w:eastAsia="宋体" w:hint="default"/>
        </w:rPr>
        <w:t>单位:元</w:t>
        <w:tab/>
      </w:r>
      <w:r>
        <w:rPr>
          <w:rFonts w:ascii="宋体" w:hAnsi="宋体" w:cs="宋体" w:eastAsia="宋体" w:hint="default"/>
          <w:spacing w:val="-1"/>
        </w:rPr>
        <w:t>币种:人民币</w:t>
      </w:r>
    </w:p>
    <w:p>
      <w:pPr>
        <w:spacing w:line="240" w:lineRule="auto" w:before="13"/>
        <w:rPr>
          <w:rFonts w:ascii="宋体" w:hAnsi="宋体" w:cs="宋体" w:eastAsia="宋体"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2850"/>
        <w:gridCol w:w="1702"/>
        <w:gridCol w:w="1700"/>
        <w:gridCol w:w="1418"/>
        <w:gridCol w:w="1134"/>
        <w:gridCol w:w="892"/>
      </w:tblGrid>
      <w:tr>
        <w:trPr>
          <w:trHeight w:val="494" w:hRule="exact"/>
        </w:trPr>
        <w:tc>
          <w:tcPr>
            <w:tcW w:w="2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418" w:right="0"/>
              <w:jc w:val="left"/>
              <w:rPr>
                <w:rFonts w:ascii="宋体" w:hAnsi="宋体" w:cs="宋体" w:eastAsia="宋体" w:hint="default"/>
                <w:sz w:val="20"/>
                <w:szCs w:val="20"/>
              </w:rPr>
            </w:pPr>
            <w:r>
              <w:rPr>
                <w:rFonts w:ascii="宋体" w:hAnsi="宋体" w:cs="宋体" w:eastAsia="宋体" w:hint="default"/>
                <w:b/>
                <w:bCs/>
                <w:sz w:val="20"/>
                <w:szCs w:val="20"/>
              </w:rPr>
              <w:t>2011</w:t>
            </w:r>
            <w:r>
              <w:rPr>
                <w:rFonts w:ascii="宋体" w:hAnsi="宋体" w:cs="宋体" w:eastAsia="宋体" w:hint="default"/>
                <w:b/>
                <w:bCs/>
                <w:spacing w:val="-54"/>
                <w:sz w:val="20"/>
                <w:szCs w:val="20"/>
              </w:rPr>
              <w:t> </w:t>
            </w:r>
            <w:r>
              <w:rPr>
                <w:rFonts w:ascii="宋体" w:hAnsi="宋体" w:cs="宋体" w:eastAsia="宋体" w:hint="default"/>
                <w:b/>
                <w:bCs/>
                <w:sz w:val="20"/>
                <w:szCs w:val="20"/>
              </w:rPr>
              <w:t>年度</w:t>
            </w:r>
            <w:r>
              <w:rPr>
                <w:rFonts w:ascii="宋体" w:hAnsi="宋体" w:cs="宋体" w:eastAsia="宋体" w:hint="default"/>
                <w:sz w:val="20"/>
                <w:szCs w:val="20"/>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417" w:right="0"/>
              <w:jc w:val="left"/>
              <w:rPr>
                <w:rFonts w:ascii="宋体" w:hAnsi="宋体" w:cs="宋体" w:eastAsia="宋体" w:hint="default"/>
                <w:sz w:val="20"/>
                <w:szCs w:val="20"/>
              </w:rPr>
            </w:pPr>
            <w:r>
              <w:rPr>
                <w:rFonts w:ascii="宋体" w:hAnsi="宋体" w:cs="宋体" w:eastAsia="宋体" w:hint="default"/>
                <w:b/>
                <w:bCs/>
                <w:sz w:val="20"/>
                <w:szCs w:val="20"/>
              </w:rPr>
              <w:t>2010</w:t>
            </w:r>
            <w:r>
              <w:rPr>
                <w:rFonts w:ascii="宋体" w:hAnsi="宋体" w:cs="宋体" w:eastAsia="宋体" w:hint="default"/>
                <w:b/>
                <w:bCs/>
                <w:spacing w:val="-54"/>
                <w:sz w:val="20"/>
                <w:szCs w:val="20"/>
              </w:rPr>
              <w:t> </w:t>
            </w:r>
            <w:r>
              <w:rPr>
                <w:rFonts w:ascii="宋体" w:hAnsi="宋体" w:cs="宋体" w:eastAsia="宋体" w:hint="default"/>
                <w:b/>
                <w:bCs/>
                <w:sz w:val="20"/>
                <w:szCs w:val="20"/>
              </w:rPr>
              <w:t>年度</w:t>
            </w:r>
            <w:r>
              <w:rPr>
                <w:rFonts w:ascii="宋体" w:hAnsi="宋体" w:cs="宋体" w:eastAsia="宋体" w:hint="default"/>
                <w:sz w:val="20"/>
                <w:szCs w:val="20"/>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301" w:right="0"/>
              <w:jc w:val="left"/>
              <w:rPr>
                <w:rFonts w:ascii="宋体" w:hAnsi="宋体" w:cs="宋体" w:eastAsia="宋体" w:hint="default"/>
                <w:sz w:val="20"/>
                <w:szCs w:val="20"/>
              </w:rPr>
            </w:pPr>
            <w:r>
              <w:rPr>
                <w:rFonts w:ascii="宋体" w:hAnsi="宋体" w:cs="宋体" w:eastAsia="宋体" w:hint="default"/>
                <w:b/>
                <w:bCs/>
                <w:sz w:val="20"/>
                <w:szCs w:val="20"/>
              </w:rPr>
              <w:t>变动金额</w:t>
            </w:r>
            <w:r>
              <w:rPr>
                <w:rFonts w:ascii="宋体" w:hAnsi="宋体" w:cs="宋体" w:eastAsia="宋体" w:hint="default"/>
                <w:sz w:val="20"/>
                <w:szCs w:val="20"/>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59" w:right="0"/>
              <w:jc w:val="left"/>
              <w:rPr>
                <w:rFonts w:ascii="宋体" w:hAnsi="宋体" w:cs="宋体" w:eastAsia="宋体" w:hint="default"/>
                <w:sz w:val="20"/>
                <w:szCs w:val="20"/>
              </w:rPr>
            </w:pPr>
            <w:r>
              <w:rPr>
                <w:rFonts w:ascii="宋体" w:hAnsi="宋体" w:cs="宋体" w:eastAsia="宋体" w:hint="default"/>
                <w:b/>
                <w:bCs/>
                <w:sz w:val="20"/>
                <w:szCs w:val="20"/>
              </w:rPr>
              <w:t>变动幅度</w:t>
            </w:r>
            <w:r>
              <w:rPr>
                <w:rFonts w:ascii="宋体" w:hAnsi="宋体" w:cs="宋体" w:eastAsia="宋体" w:hint="default"/>
                <w:sz w:val="20"/>
                <w:szCs w:val="20"/>
              </w:rPr>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40"/>
              <w:jc w:val="right"/>
              <w:rPr>
                <w:rFonts w:ascii="宋体" w:hAnsi="宋体" w:cs="宋体" w:eastAsia="宋体" w:hint="default"/>
                <w:sz w:val="20"/>
                <w:szCs w:val="20"/>
              </w:rPr>
            </w:pPr>
            <w:r>
              <w:rPr>
                <w:rFonts w:ascii="宋体" w:hAnsi="宋体" w:cs="宋体" w:eastAsia="宋体" w:hint="default"/>
                <w:b/>
                <w:bCs/>
                <w:w w:val="95"/>
                <w:sz w:val="20"/>
                <w:szCs w:val="20"/>
              </w:rPr>
              <w:t>说明</w:t>
            </w:r>
            <w:r>
              <w:rPr>
                <w:rFonts w:ascii="宋体" w:hAnsi="宋体" w:cs="宋体" w:eastAsia="宋体" w:hint="default"/>
                <w:sz w:val="20"/>
                <w:szCs w:val="20"/>
              </w:rPr>
            </w:r>
          </w:p>
        </w:tc>
      </w:tr>
      <w:tr>
        <w:trPr>
          <w:trHeight w:val="322" w:hRule="exact"/>
        </w:trPr>
        <w:tc>
          <w:tcPr>
            <w:tcW w:w="2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300,196,604</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1"/>
              <w:jc w:val="right"/>
              <w:rPr>
                <w:rFonts w:ascii="宋体" w:hAnsi="宋体" w:cs="宋体" w:eastAsia="宋体" w:hint="default"/>
                <w:sz w:val="18"/>
                <w:szCs w:val="18"/>
              </w:rPr>
            </w:pPr>
            <w:r>
              <w:rPr>
                <w:rFonts w:ascii="宋体"/>
                <w:sz w:val="18"/>
              </w:rPr>
              <w:t>381,889,530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-81,692,926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-21.39%</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05"/>
              <w:jc w:val="right"/>
              <w:rPr>
                <w:rFonts w:ascii="宋体" w:hAnsi="宋体" w:cs="宋体" w:eastAsia="宋体" w:hint="default"/>
                <w:sz w:val="18"/>
                <w:szCs w:val="18"/>
              </w:rPr>
            </w:pPr>
            <w:r>
              <w:rPr>
                <w:rFonts w:ascii="宋体"/>
                <w:sz w:val="18"/>
              </w:rPr>
              <w:t>(1)</w:t>
            </w:r>
          </w:p>
        </w:tc>
      </w:tr>
      <w:tr>
        <w:trPr>
          <w:trHeight w:val="356" w:hRule="exact"/>
        </w:trPr>
        <w:tc>
          <w:tcPr>
            <w:tcW w:w="2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103"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-769,257,253</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1"/>
              <w:jc w:val="right"/>
              <w:rPr>
                <w:rFonts w:ascii="宋体" w:hAnsi="宋体" w:cs="宋体" w:eastAsia="宋体" w:hint="default"/>
                <w:sz w:val="18"/>
                <w:szCs w:val="18"/>
              </w:rPr>
            </w:pPr>
            <w:r>
              <w:rPr>
                <w:rFonts w:ascii="宋体"/>
                <w:sz w:val="18"/>
              </w:rPr>
              <w:t>-224,563,973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-544,693,280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2"/>
              <w:jc w:val="right"/>
              <w:rPr>
                <w:rFonts w:ascii="宋体" w:hAnsi="宋体" w:cs="宋体" w:eastAsia="宋体" w:hint="default"/>
                <w:sz w:val="18"/>
                <w:szCs w:val="18"/>
              </w:rPr>
            </w:pPr>
            <w:r>
              <w:rPr>
                <w:rFonts w:ascii="宋体"/>
                <w:sz w:val="18"/>
              </w:rPr>
              <w:t>-242.56%</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305"/>
              <w:jc w:val="right"/>
              <w:rPr>
                <w:rFonts w:ascii="宋体" w:hAnsi="宋体" w:cs="宋体" w:eastAsia="宋体" w:hint="default"/>
                <w:sz w:val="18"/>
                <w:szCs w:val="18"/>
              </w:rPr>
            </w:pPr>
            <w:r>
              <w:rPr>
                <w:rFonts w:ascii="宋体"/>
                <w:sz w:val="18"/>
              </w:rPr>
              <w:t>(2)</w:t>
            </w:r>
          </w:p>
        </w:tc>
      </w:tr>
      <w:tr>
        <w:trPr>
          <w:trHeight w:val="323" w:hRule="exact"/>
        </w:trPr>
        <w:tc>
          <w:tcPr>
            <w:tcW w:w="2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529,377,797</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1"/>
              <w:jc w:val="right"/>
              <w:rPr>
                <w:rFonts w:ascii="宋体" w:hAnsi="宋体" w:cs="宋体" w:eastAsia="宋体" w:hint="default"/>
                <w:sz w:val="18"/>
                <w:szCs w:val="18"/>
              </w:rPr>
            </w:pPr>
            <w:r>
              <w:rPr>
                <w:rFonts w:ascii="宋体"/>
                <w:sz w:val="18"/>
              </w:rPr>
              <w:t>-87,587,228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616,965,025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704.40%</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305"/>
              <w:jc w:val="right"/>
              <w:rPr>
                <w:rFonts w:ascii="宋体" w:hAnsi="宋体" w:cs="宋体" w:eastAsia="宋体" w:hint="default"/>
                <w:sz w:val="18"/>
                <w:szCs w:val="18"/>
              </w:rPr>
            </w:pPr>
            <w:r>
              <w:rPr>
                <w:rFonts w:ascii="宋体"/>
                <w:sz w:val="18"/>
              </w:rPr>
              <w:t>(3)</w:t>
            </w:r>
          </w:p>
        </w:tc>
      </w:tr>
    </w:tbl>
    <w:p>
      <w:pPr>
        <w:pStyle w:val="Heading5"/>
        <w:spacing w:line="312" w:lineRule="exact" w:before="85"/>
        <w:ind w:left="418" w:right="243"/>
        <w:jc w:val="left"/>
      </w:pPr>
      <w:r>
        <w:rPr/>
        <w:t>变动说明：</w:t>
      </w:r>
    </w:p>
    <w:p>
      <w:pPr>
        <w:spacing w:line="312" w:lineRule="exact" w:before="29"/>
        <w:ind w:left="418" w:right="375" w:firstLine="480"/>
        <w:jc w:val="both"/>
        <w:rPr>
          <w:rFonts w:ascii="宋体" w:hAnsi="宋体" w:cs="宋体" w:eastAsia="宋体" w:hint="default"/>
          <w:sz w:val="24"/>
          <w:szCs w:val="24"/>
        </w:rPr>
      </w:pPr>
      <w:r>
        <w:rPr>
          <w:rFonts w:ascii="宋体" w:hAnsi="宋体" w:cs="宋体" w:eastAsia="宋体" w:hint="default"/>
          <w:sz w:val="24"/>
          <w:szCs w:val="24"/>
        </w:rPr>
        <w:t>（1）经营活动产生的现金流量净额较上年同期减少</w:t>
      </w:r>
      <w:r>
        <w:rPr>
          <w:rFonts w:ascii="宋体" w:hAnsi="宋体" w:cs="宋体" w:eastAsia="宋体" w:hint="default"/>
          <w:spacing w:val="-38"/>
          <w:sz w:val="24"/>
          <w:szCs w:val="24"/>
        </w:rPr>
        <w:t> </w:t>
      </w:r>
      <w:r>
        <w:rPr>
          <w:rFonts w:ascii="宋体" w:hAnsi="宋体" w:cs="宋体" w:eastAsia="宋体" w:hint="default"/>
          <w:sz w:val="24"/>
          <w:szCs w:val="24"/>
        </w:rPr>
        <w:t>8,169</w:t>
      </w:r>
      <w:r>
        <w:rPr>
          <w:rFonts w:ascii="宋体" w:hAnsi="宋体" w:cs="宋体" w:eastAsia="宋体" w:hint="default"/>
          <w:spacing w:val="-38"/>
          <w:sz w:val="24"/>
          <w:szCs w:val="24"/>
        </w:rPr>
        <w:t> </w:t>
      </w:r>
      <w:r>
        <w:rPr>
          <w:rFonts w:ascii="宋体" w:hAnsi="宋体" w:cs="宋体" w:eastAsia="宋体" w:hint="default"/>
          <w:sz w:val="24"/>
          <w:szCs w:val="24"/>
        </w:rPr>
        <w:t>万元，下降</w:t>
      </w:r>
      <w:r>
        <w:rPr>
          <w:rFonts w:ascii="宋体" w:hAnsi="宋体" w:cs="宋体" w:eastAsia="宋体" w:hint="default"/>
          <w:spacing w:val="-38"/>
          <w:sz w:val="24"/>
          <w:szCs w:val="24"/>
        </w:rPr>
        <w:t> </w:t>
      </w:r>
      <w:r>
        <w:rPr>
          <w:rFonts w:ascii="宋体" w:hAnsi="宋体" w:cs="宋体" w:eastAsia="宋体" w:hint="default"/>
          <w:sz w:val="24"/>
          <w:szCs w:val="24"/>
        </w:rPr>
        <w:t>21.39%，主</w:t>
      </w:r>
      <w:r>
        <w:rPr>
          <w:rFonts w:ascii="宋体" w:hAnsi="宋体" w:cs="宋体" w:eastAsia="宋体" w:hint="default"/>
          <w:sz w:val="24"/>
          <w:szCs w:val="24"/>
        </w:rPr>
        <w:t> 要由于报告期内采购性支出及人工费用性支出较上年同期增加所致；</w:t>
      </w:r>
    </w:p>
    <w:p>
      <w:pPr>
        <w:spacing w:line="312" w:lineRule="exact" w:before="0"/>
        <w:ind w:left="418" w:right="375" w:firstLine="480"/>
        <w:jc w:val="both"/>
        <w:rPr>
          <w:rFonts w:ascii="宋体" w:hAnsi="宋体" w:cs="宋体" w:eastAsia="宋体" w:hint="default"/>
          <w:sz w:val="24"/>
          <w:szCs w:val="24"/>
        </w:rPr>
      </w:pPr>
      <w:r>
        <w:rPr>
          <w:rFonts w:ascii="宋体" w:hAnsi="宋体" w:cs="宋体" w:eastAsia="宋体" w:hint="default"/>
          <w:sz w:val="24"/>
          <w:szCs w:val="24"/>
        </w:rPr>
        <w:t>（2）投资活动现金净流量比上年同期减少</w:t>
      </w:r>
      <w:r>
        <w:rPr>
          <w:rFonts w:ascii="宋体" w:hAnsi="宋体" w:cs="宋体" w:eastAsia="宋体" w:hint="default"/>
          <w:spacing w:val="-57"/>
          <w:sz w:val="24"/>
          <w:szCs w:val="24"/>
        </w:rPr>
        <w:t> </w:t>
      </w:r>
      <w:r>
        <w:rPr>
          <w:rFonts w:ascii="宋体" w:hAnsi="宋体" w:cs="宋体" w:eastAsia="宋体" w:hint="default"/>
          <w:sz w:val="24"/>
          <w:szCs w:val="24"/>
        </w:rPr>
        <w:t>54,469 万元，下降</w:t>
      </w:r>
      <w:r>
        <w:rPr>
          <w:rFonts w:ascii="宋体" w:hAnsi="宋体" w:cs="宋体" w:eastAsia="宋体" w:hint="default"/>
          <w:spacing w:val="-57"/>
          <w:sz w:val="24"/>
          <w:szCs w:val="24"/>
        </w:rPr>
        <w:t> </w:t>
      </w:r>
      <w:r>
        <w:rPr>
          <w:rFonts w:ascii="宋体" w:hAnsi="宋体" w:cs="宋体" w:eastAsia="宋体" w:hint="default"/>
          <w:sz w:val="24"/>
          <w:szCs w:val="24"/>
        </w:rPr>
        <w:t>242.56%，主要由于</w:t>
      </w:r>
      <w:r>
        <w:rPr>
          <w:rFonts w:ascii="宋体" w:hAnsi="宋体" w:cs="宋体" w:eastAsia="宋体" w:hint="default"/>
          <w:sz w:val="24"/>
          <w:szCs w:val="24"/>
        </w:rPr>
        <w:t> 本公司为尽可能降低债券融资成本，在发行中期票据后根据资金情况购买银行理财产品 4</w:t>
      </w:r>
      <w:r>
        <w:rPr>
          <w:rFonts w:ascii="宋体" w:hAnsi="宋体" w:cs="宋体" w:eastAsia="宋体" w:hint="default"/>
          <w:spacing w:val="1"/>
          <w:sz w:val="24"/>
          <w:szCs w:val="24"/>
        </w:rPr>
        <w:t> </w:t>
      </w:r>
      <w:r>
        <w:rPr>
          <w:rFonts w:ascii="宋体" w:hAnsi="宋体" w:cs="宋体" w:eastAsia="宋体" w:hint="default"/>
          <w:sz w:val="24"/>
          <w:szCs w:val="24"/>
        </w:rPr>
        <w:t>亿元，以及报告期内购建固定资产及其他长期资产、取得子公司及其他营业单位支付</w:t>
      </w:r>
    </w:p>
    <w:p>
      <w:pPr>
        <w:spacing w:line="282" w:lineRule="exact" w:before="0"/>
        <w:ind w:left="418" w:right="243" w:firstLine="0"/>
        <w:jc w:val="left"/>
        <w:rPr>
          <w:rFonts w:ascii="宋体" w:hAnsi="宋体" w:cs="宋体" w:eastAsia="宋体" w:hint="default"/>
          <w:sz w:val="24"/>
          <w:szCs w:val="24"/>
        </w:rPr>
      </w:pPr>
      <w:r>
        <w:rPr>
          <w:rFonts w:ascii="宋体" w:hAnsi="宋体" w:cs="宋体" w:eastAsia="宋体" w:hint="default"/>
          <w:sz w:val="24"/>
          <w:szCs w:val="24"/>
        </w:rPr>
        <w:t>的现金流合计同比增加</w:t>
      </w:r>
      <w:r>
        <w:rPr>
          <w:rFonts w:ascii="宋体" w:hAnsi="宋体" w:cs="宋体" w:eastAsia="宋体" w:hint="default"/>
          <w:spacing w:val="-55"/>
          <w:sz w:val="24"/>
          <w:szCs w:val="24"/>
        </w:rPr>
        <w:t> </w:t>
      </w:r>
      <w:r>
        <w:rPr>
          <w:rFonts w:ascii="宋体" w:hAnsi="宋体" w:cs="宋体" w:eastAsia="宋体" w:hint="default"/>
          <w:sz w:val="24"/>
          <w:szCs w:val="24"/>
        </w:rPr>
        <w:t>21,659</w:t>
      </w:r>
      <w:r>
        <w:rPr>
          <w:rFonts w:ascii="宋体" w:hAnsi="宋体" w:cs="宋体" w:eastAsia="宋体" w:hint="default"/>
          <w:spacing w:val="-55"/>
          <w:sz w:val="24"/>
          <w:szCs w:val="24"/>
        </w:rPr>
        <w:t> </w:t>
      </w:r>
      <w:r>
        <w:rPr>
          <w:rFonts w:ascii="宋体" w:hAnsi="宋体" w:cs="宋体" w:eastAsia="宋体" w:hint="default"/>
          <w:spacing w:val="-5"/>
          <w:sz w:val="24"/>
          <w:szCs w:val="24"/>
        </w:rPr>
        <w:t>万元；同时，成都东软发展收到成都职业学院偿还以前年</w:t>
      </w:r>
    </w:p>
    <w:p>
      <w:pPr>
        <w:spacing w:line="312" w:lineRule="exact" w:before="0"/>
        <w:ind w:left="418" w:right="243" w:firstLine="0"/>
        <w:jc w:val="left"/>
        <w:rPr>
          <w:rFonts w:ascii="宋体" w:hAnsi="宋体" w:cs="宋体" w:eastAsia="宋体" w:hint="default"/>
          <w:sz w:val="24"/>
          <w:szCs w:val="24"/>
        </w:rPr>
      </w:pPr>
      <w:r>
        <w:rPr>
          <w:rFonts w:ascii="宋体" w:hAnsi="宋体" w:cs="宋体" w:eastAsia="宋体" w:hint="default"/>
          <w:sz w:val="24"/>
          <w:szCs w:val="24"/>
        </w:rPr>
        <w:t>度资产转让款</w:t>
      </w:r>
      <w:r>
        <w:rPr>
          <w:rFonts w:ascii="宋体" w:hAnsi="宋体" w:cs="宋体" w:eastAsia="宋体" w:hint="default"/>
          <w:spacing w:val="-60"/>
          <w:sz w:val="24"/>
          <w:szCs w:val="24"/>
        </w:rPr>
        <w:t> </w:t>
      </w:r>
      <w:r>
        <w:rPr>
          <w:rFonts w:ascii="宋体" w:hAnsi="宋体" w:cs="宋体" w:eastAsia="宋体" w:hint="default"/>
          <w:sz w:val="24"/>
          <w:szCs w:val="24"/>
        </w:rPr>
        <w:t>10,775</w:t>
      </w:r>
      <w:r>
        <w:rPr>
          <w:rFonts w:ascii="宋体" w:hAnsi="宋体" w:cs="宋体" w:eastAsia="宋体" w:hint="default"/>
          <w:spacing w:val="-60"/>
          <w:sz w:val="24"/>
          <w:szCs w:val="24"/>
        </w:rPr>
        <w:t> </w:t>
      </w:r>
      <w:r>
        <w:rPr>
          <w:rFonts w:ascii="宋体" w:hAnsi="宋体" w:cs="宋体" w:eastAsia="宋体" w:hint="default"/>
          <w:sz w:val="24"/>
          <w:szCs w:val="24"/>
        </w:rPr>
        <w:t>万元；</w:t>
      </w:r>
    </w:p>
    <w:p>
      <w:pPr>
        <w:spacing w:line="312" w:lineRule="exact" w:before="29"/>
        <w:ind w:left="418" w:right="375" w:firstLine="480"/>
        <w:jc w:val="both"/>
        <w:rPr>
          <w:rFonts w:ascii="宋体" w:hAnsi="宋体" w:cs="宋体" w:eastAsia="宋体" w:hint="default"/>
          <w:sz w:val="24"/>
          <w:szCs w:val="24"/>
        </w:rPr>
      </w:pPr>
      <w:r>
        <w:rPr>
          <w:rFonts w:ascii="宋体" w:hAnsi="宋体" w:cs="宋体" w:eastAsia="宋体" w:hint="default"/>
          <w:sz w:val="24"/>
          <w:szCs w:val="24"/>
        </w:rPr>
        <w:t>（3）筹资活动现金净流量比上年同期增加</w:t>
      </w:r>
      <w:r>
        <w:rPr>
          <w:rFonts w:ascii="宋体" w:hAnsi="宋体" w:cs="宋体" w:eastAsia="宋体" w:hint="default"/>
          <w:spacing w:val="-38"/>
          <w:sz w:val="24"/>
          <w:szCs w:val="24"/>
        </w:rPr>
        <w:t> </w:t>
      </w:r>
      <w:r>
        <w:rPr>
          <w:rFonts w:ascii="宋体" w:hAnsi="宋体" w:cs="宋体" w:eastAsia="宋体" w:hint="default"/>
          <w:sz w:val="24"/>
          <w:szCs w:val="24"/>
        </w:rPr>
        <w:t>61,697</w:t>
      </w:r>
      <w:r>
        <w:rPr>
          <w:rFonts w:ascii="宋体" w:hAnsi="宋体" w:cs="宋体" w:eastAsia="宋体" w:hint="default"/>
          <w:spacing w:val="-38"/>
          <w:sz w:val="24"/>
          <w:szCs w:val="24"/>
        </w:rPr>
        <w:t> </w:t>
      </w:r>
      <w:r>
        <w:rPr>
          <w:rFonts w:ascii="宋体" w:hAnsi="宋体" w:cs="宋体" w:eastAsia="宋体" w:hint="default"/>
          <w:sz w:val="24"/>
          <w:szCs w:val="24"/>
        </w:rPr>
        <w:t>万元，上升</w:t>
      </w:r>
      <w:r>
        <w:rPr>
          <w:rFonts w:ascii="宋体" w:hAnsi="宋体" w:cs="宋体" w:eastAsia="宋体" w:hint="default"/>
          <w:spacing w:val="-38"/>
          <w:sz w:val="24"/>
          <w:szCs w:val="24"/>
        </w:rPr>
        <w:t> </w:t>
      </w:r>
      <w:r>
        <w:rPr>
          <w:rFonts w:ascii="宋体" w:hAnsi="宋体" w:cs="宋体" w:eastAsia="宋体" w:hint="default"/>
          <w:sz w:val="24"/>
          <w:szCs w:val="24"/>
        </w:rPr>
        <w:t>704.40%，主要由于</w:t>
      </w:r>
      <w:r>
        <w:rPr>
          <w:rFonts w:ascii="宋体" w:hAnsi="宋体" w:cs="宋体" w:eastAsia="宋体" w:hint="default"/>
          <w:sz w:val="24"/>
          <w:szCs w:val="24"/>
        </w:rPr>
        <w:t> 报告期内本公司收到发行中期票据本金</w:t>
      </w:r>
      <w:r>
        <w:rPr>
          <w:rFonts w:ascii="宋体" w:hAnsi="宋体" w:cs="宋体" w:eastAsia="宋体" w:hint="default"/>
          <w:spacing w:val="-57"/>
          <w:sz w:val="24"/>
          <w:szCs w:val="24"/>
        </w:rPr>
        <w:t> </w:t>
      </w:r>
      <w:r>
        <w:rPr>
          <w:rFonts w:ascii="宋体" w:hAnsi="宋体" w:cs="宋体" w:eastAsia="宋体" w:hint="default"/>
          <w:sz w:val="24"/>
          <w:szCs w:val="24"/>
        </w:rPr>
        <w:t>4</w:t>
      </w:r>
      <w:r>
        <w:rPr>
          <w:rFonts w:ascii="宋体" w:hAnsi="宋体" w:cs="宋体" w:eastAsia="宋体" w:hint="default"/>
          <w:spacing w:val="-57"/>
          <w:sz w:val="24"/>
          <w:szCs w:val="24"/>
        </w:rPr>
        <w:t> </w:t>
      </w:r>
      <w:r>
        <w:rPr>
          <w:rFonts w:ascii="宋体" w:hAnsi="宋体" w:cs="宋体" w:eastAsia="宋体" w:hint="default"/>
          <w:sz w:val="24"/>
          <w:szCs w:val="24"/>
        </w:rPr>
        <w:t>亿元，同时上年同期公司支付现金股利使报告</w:t>
      </w:r>
    </w:p>
    <w:p>
      <w:pPr>
        <w:spacing w:line="283" w:lineRule="exact" w:before="0"/>
        <w:ind w:left="418" w:right="243" w:firstLine="0"/>
        <w:jc w:val="left"/>
        <w:rPr>
          <w:rFonts w:ascii="宋体" w:hAnsi="宋体" w:cs="宋体" w:eastAsia="宋体" w:hint="default"/>
          <w:sz w:val="24"/>
          <w:szCs w:val="24"/>
        </w:rPr>
      </w:pPr>
      <w:r>
        <w:rPr>
          <w:rFonts w:ascii="宋体" w:hAnsi="宋体" w:cs="宋体" w:eastAsia="宋体" w:hint="default"/>
          <w:sz w:val="24"/>
          <w:szCs w:val="24"/>
        </w:rPr>
        <w:t>期内分配股利及利息支出较上年同期减少</w:t>
      </w:r>
      <w:r>
        <w:rPr>
          <w:rFonts w:ascii="宋体" w:hAnsi="宋体" w:cs="宋体" w:eastAsia="宋体" w:hint="default"/>
          <w:spacing w:val="-60"/>
          <w:sz w:val="24"/>
          <w:szCs w:val="24"/>
        </w:rPr>
        <w:t> </w:t>
      </w:r>
      <w:r>
        <w:rPr>
          <w:rFonts w:ascii="宋体" w:hAnsi="宋体" w:cs="宋体" w:eastAsia="宋体" w:hint="default"/>
          <w:sz w:val="24"/>
          <w:szCs w:val="24"/>
        </w:rPr>
        <w:t>15,195</w:t>
      </w:r>
      <w:r>
        <w:rPr>
          <w:rFonts w:ascii="宋体" w:hAnsi="宋体" w:cs="宋体" w:eastAsia="宋体" w:hint="default"/>
          <w:spacing w:val="-60"/>
          <w:sz w:val="24"/>
          <w:szCs w:val="24"/>
        </w:rPr>
        <w:t> </w:t>
      </w:r>
      <w:r>
        <w:rPr>
          <w:rFonts w:ascii="宋体" w:hAnsi="宋体" w:cs="宋体" w:eastAsia="宋体" w:hint="default"/>
          <w:sz w:val="24"/>
          <w:szCs w:val="24"/>
        </w:rPr>
        <w:t>万元。</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2"/>
          <w:szCs w:val="22"/>
        </w:rPr>
      </w:pPr>
    </w:p>
    <w:p>
      <w:pPr>
        <w:pStyle w:val="BodyText"/>
        <w:spacing w:line="240" w:lineRule="auto"/>
        <w:ind w:left="418" w:right="243"/>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000" w:right="980"/>
        </w:sectPr>
      </w:pPr>
    </w:p>
    <w:p>
      <w:pPr>
        <w:spacing w:line="240" w:lineRule="auto" w:before="6"/>
        <w:rPr>
          <w:rFonts w:ascii="黑体" w:hAnsi="黑体" w:cs="黑体" w:eastAsia="黑体" w:hint="default"/>
          <w:sz w:val="15"/>
          <w:szCs w:val="15"/>
        </w:rPr>
      </w:pPr>
    </w:p>
    <w:p>
      <w:pPr>
        <w:pStyle w:val="Heading4"/>
        <w:spacing w:line="240" w:lineRule="auto"/>
        <w:ind w:left="138" w:right="0"/>
        <w:jc w:val="left"/>
        <w:rPr>
          <w:b w:val="0"/>
          <w:bCs w:val="0"/>
        </w:rPr>
      </w:pPr>
      <w:r>
        <w:rPr>
          <w:spacing w:val="-2"/>
          <w:w w:val="95"/>
        </w:rPr>
        <w:t>（三）经营成果和利润构成与上年度相比发生重大变化的原因分析；整体财务状况与上</w:t>
      </w:r>
      <w:r>
        <w:rPr>
          <w:spacing w:val="99"/>
          <w:w w:val="95"/>
        </w:rPr>
        <w:t> </w:t>
      </w:r>
      <w:r>
        <w:rPr>
          <w:spacing w:val="99"/>
          <w:w w:val="95"/>
        </w:rPr>
      </w:r>
      <w:r>
        <w:rPr/>
        <w:t>年度相比发生重大变化的原因分析</w:t>
      </w:r>
      <w:r>
        <w:rPr>
          <w:b w:val="0"/>
          <w:bCs w:val="0"/>
        </w:rPr>
      </w:r>
    </w:p>
    <w:p>
      <w:pPr>
        <w:spacing w:line="240" w:lineRule="auto" w:before="5"/>
        <w:rPr>
          <w:rFonts w:ascii="宋体" w:hAnsi="宋体" w:cs="宋体" w:eastAsia="宋体" w:hint="default"/>
          <w:b/>
          <w:bCs/>
          <w:sz w:val="8"/>
          <w:szCs w:val="8"/>
        </w:rPr>
      </w:pPr>
    </w:p>
    <w:p>
      <w:pPr>
        <w:pStyle w:val="BodyText"/>
        <w:tabs>
          <w:tab w:pos="945" w:val="left" w:leader="none"/>
        </w:tabs>
        <w:spacing w:line="240" w:lineRule="auto"/>
        <w:ind w:left="0" w:right="252"/>
        <w:jc w:val="right"/>
        <w:rPr>
          <w:rFonts w:ascii="宋体" w:hAnsi="宋体" w:cs="宋体" w:eastAsia="宋体" w:hint="default"/>
        </w:rPr>
      </w:pPr>
      <w:r>
        <w:rPr>
          <w:rFonts w:ascii="宋体" w:hAnsi="宋体" w:cs="宋体" w:eastAsia="宋体" w:hint="default"/>
        </w:rPr>
        <w:t>单位:元</w:t>
        <w:tab/>
      </w:r>
      <w:r>
        <w:rPr>
          <w:rFonts w:ascii="宋体" w:hAnsi="宋体" w:cs="宋体" w:eastAsia="宋体" w:hint="default"/>
          <w:spacing w:val="-1"/>
        </w:rPr>
        <w:t>币种:人民币</w:t>
      </w:r>
    </w:p>
    <w:p>
      <w:pPr>
        <w:spacing w:line="240" w:lineRule="auto" w:before="13"/>
        <w:rPr>
          <w:rFonts w:ascii="宋体" w:hAnsi="宋体" w:cs="宋体" w:eastAsia="宋体" w:hint="default"/>
          <w:sz w:val="3"/>
          <w:szCs w:val="3"/>
        </w:rPr>
      </w:pPr>
    </w:p>
    <w:tbl>
      <w:tblPr>
        <w:tblW w:w="0" w:type="auto"/>
        <w:jc w:val="left"/>
        <w:tblInd w:w="247" w:type="dxa"/>
        <w:tblLayout w:type="fixed"/>
        <w:tblCellMar>
          <w:top w:w="0" w:type="dxa"/>
          <w:left w:w="0" w:type="dxa"/>
          <w:bottom w:w="0" w:type="dxa"/>
          <w:right w:w="0" w:type="dxa"/>
        </w:tblCellMar>
        <w:tblLook w:val="01E0"/>
      </w:tblPr>
      <w:tblGrid>
        <w:gridCol w:w="1738"/>
        <w:gridCol w:w="1614"/>
        <w:gridCol w:w="1938"/>
        <w:gridCol w:w="1614"/>
        <w:gridCol w:w="1938"/>
      </w:tblGrid>
      <w:tr>
        <w:trPr>
          <w:trHeight w:val="347" w:hRule="exact"/>
        </w:trPr>
        <w:tc>
          <w:tcPr>
            <w:tcW w:w="1738"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35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6"/>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634" w:hRule="exact"/>
        </w:trPr>
        <w:tc>
          <w:tcPr>
            <w:tcW w:w="1738" w:type="dxa"/>
            <w:vMerge/>
            <w:tcBorders>
              <w:left w:val="single" w:sz="4" w:space="0" w:color="000000"/>
              <w:bottom w:val="single" w:sz="4" w:space="0" w:color="000000"/>
              <w:right w:val="single" w:sz="4" w:space="0" w:color="000000"/>
            </w:tcBorders>
          </w:tcPr>
          <w:p>
            <w:pP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占利润总额的比例</w:t>
            </w:r>
            <w:r>
              <w:rPr>
                <w:rFonts w:ascii="宋体" w:hAnsi="宋体" w:cs="宋体" w:eastAsia="宋体" w:hint="default"/>
                <w:sz w:val="21"/>
                <w:szCs w:val="21"/>
              </w:rPr>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占利润总额的比例</w:t>
            </w:r>
            <w:r>
              <w:rPr>
                <w:rFonts w:ascii="宋体" w:hAnsi="宋体" w:cs="宋体" w:eastAsia="宋体" w:hint="default"/>
                <w:sz w:val="21"/>
                <w:szCs w:val="21"/>
              </w:rPr>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c>
      </w:tr>
      <w:tr>
        <w:trPr>
          <w:trHeight w:val="322"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5,751,249,330</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1166.85</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4,937,696,440</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881.57</w:t>
            </w:r>
          </w:p>
        </w:tc>
      </w:tr>
      <w:tr>
        <w:trPr>
          <w:trHeight w:val="323"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4,004,998,405</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812.56</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3,383,628,845</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604.11</w:t>
            </w:r>
          </w:p>
        </w:tc>
      </w:tr>
      <w:tr>
        <w:trPr>
          <w:trHeight w:val="322"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期间费用</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1,341,527,182</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272.18</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1,105,464,061</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197.37</w:t>
            </w:r>
          </w:p>
        </w:tc>
      </w:tr>
      <w:tr>
        <w:trPr>
          <w:trHeight w:val="322"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310,300,179</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62.96</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407,491,880</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72.75</w:t>
            </w:r>
          </w:p>
        </w:tc>
      </w:tr>
      <w:tr>
        <w:trPr>
          <w:trHeight w:val="323"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42,136,578</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8.55</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46,121,940</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8.23</w:t>
            </w:r>
          </w:p>
        </w:tc>
      </w:tr>
      <w:tr>
        <w:trPr>
          <w:trHeight w:val="322"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营业外收支净额</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182,586,481</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37.04</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152,613,448</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27.25</w:t>
            </w:r>
          </w:p>
        </w:tc>
      </w:tr>
      <w:tr>
        <w:trPr>
          <w:trHeight w:val="323" w:hRule="exact"/>
        </w:trPr>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492,886,660</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100.00</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560,105,328</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100.00</w:t>
            </w:r>
          </w:p>
        </w:tc>
      </w:tr>
    </w:tbl>
    <w:p>
      <w:pPr>
        <w:pStyle w:val="Heading5"/>
        <w:spacing w:line="237" w:lineRule="auto" w:before="88"/>
        <w:ind w:left="138" w:right="134" w:firstLine="480"/>
        <w:jc w:val="both"/>
      </w:pPr>
      <w:r>
        <w:rPr/>
        <w:t>与</w:t>
      </w:r>
      <w:r>
        <w:rPr>
          <w:spacing w:val="-57"/>
        </w:rPr>
        <w:t> </w:t>
      </w:r>
      <w:r>
        <w:rPr/>
        <w:t>2010</w:t>
      </w:r>
      <w:r>
        <w:rPr>
          <w:spacing w:val="-57"/>
        </w:rPr>
        <w:t> </w:t>
      </w:r>
      <w:r>
        <w:rPr/>
        <w:t>年度相比，2011</w:t>
      </w:r>
      <w:r>
        <w:rPr>
          <w:spacing w:val="-57"/>
        </w:rPr>
        <w:t> </w:t>
      </w:r>
      <w:r>
        <w:rPr/>
        <w:t>年度营业成本及期间费用的结构比例变化主要由于报告期</w:t>
      </w:r>
      <w:r>
        <w:rPr/>
        <w:t> 内薪酬改善计划的继续实施以及业务规模的扩大而使人工成本增加，同时加大了在核心 业务领域的市场及研发投入所致；营业外收支净额的结构比例增加主要由于报告期内本 公司用无形资产技术使用权出资购买</w:t>
      </w:r>
      <w:r>
        <w:rPr>
          <w:spacing w:val="-77"/>
        </w:rPr>
        <w:t> </w:t>
      </w:r>
      <w:r>
        <w:rPr/>
        <w:t>Appconomy,</w:t>
      </w:r>
      <w:r>
        <w:rPr>
          <w:spacing w:val="-60"/>
        </w:rPr>
        <w:t> </w:t>
      </w:r>
      <w:r>
        <w:rPr/>
        <w:t>Inc.股权确认营业外收入</w:t>
      </w:r>
      <w:r>
        <w:rPr>
          <w:spacing w:val="-77"/>
        </w:rPr>
        <w:t> </w:t>
      </w:r>
      <w:r>
        <w:rPr/>
        <w:t>2,493</w:t>
      </w:r>
      <w:r>
        <w:rPr>
          <w:spacing w:val="-77"/>
        </w:rPr>
        <w:t> </w:t>
      </w:r>
      <w:r>
        <w:rPr/>
        <w:t>万元。</w:t>
      </w:r>
    </w:p>
    <w:p>
      <w:pPr>
        <w:pStyle w:val="BodyText"/>
        <w:tabs>
          <w:tab w:pos="945" w:val="left" w:leader="none"/>
        </w:tabs>
        <w:spacing w:line="240" w:lineRule="auto" w:before="145"/>
        <w:ind w:left="0" w:right="252"/>
        <w:jc w:val="right"/>
        <w:rPr>
          <w:rFonts w:ascii="宋体" w:hAnsi="宋体" w:cs="宋体" w:eastAsia="宋体" w:hint="default"/>
        </w:rPr>
      </w:pPr>
      <w:r>
        <w:rPr>
          <w:rFonts w:ascii="宋体" w:hAnsi="宋体" w:cs="宋体" w:eastAsia="宋体" w:hint="default"/>
        </w:rPr>
        <w:t>单位:元</w:t>
        <w:tab/>
      </w:r>
      <w:r>
        <w:rPr>
          <w:rFonts w:ascii="宋体" w:hAnsi="宋体" w:cs="宋体" w:eastAsia="宋体" w:hint="default"/>
          <w:spacing w:val="-1"/>
        </w:rPr>
        <w:t>币种:人民币</w:t>
      </w:r>
    </w:p>
    <w:p>
      <w:pPr>
        <w:spacing w:line="240" w:lineRule="auto" w:before="13"/>
        <w:rPr>
          <w:rFonts w:ascii="宋体" w:hAnsi="宋体" w:cs="宋体" w:eastAsia="宋体" w:hint="default"/>
          <w:sz w:val="3"/>
          <w:szCs w:val="3"/>
        </w:rPr>
      </w:pPr>
    </w:p>
    <w:tbl>
      <w:tblPr>
        <w:tblW w:w="0" w:type="auto"/>
        <w:jc w:val="left"/>
        <w:tblInd w:w="118" w:type="dxa"/>
        <w:tblLayout w:type="fixed"/>
        <w:tblCellMar>
          <w:top w:w="0" w:type="dxa"/>
          <w:left w:w="0" w:type="dxa"/>
          <w:bottom w:w="0" w:type="dxa"/>
          <w:right w:w="0" w:type="dxa"/>
        </w:tblCellMar>
        <w:tblLook w:val="01E0"/>
      </w:tblPr>
      <w:tblGrid>
        <w:gridCol w:w="1717"/>
        <w:gridCol w:w="1752"/>
        <w:gridCol w:w="2152"/>
        <w:gridCol w:w="1625"/>
        <w:gridCol w:w="1984"/>
      </w:tblGrid>
      <w:tr>
        <w:trPr>
          <w:trHeight w:val="323" w:hRule="exact"/>
        </w:trPr>
        <w:tc>
          <w:tcPr>
            <w:tcW w:w="1717"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9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74" w:right="0"/>
              <w:jc w:val="left"/>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c>
          <w:tcPr>
            <w:tcW w:w="36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926"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6"/>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4"/>
                <w:sz w:val="21"/>
                <w:szCs w:val="21"/>
              </w:rPr>
              <w:t> </w:t>
            </w:r>
            <w:r>
              <w:rPr>
                <w:rFonts w:ascii="宋体" w:hAnsi="宋体" w:cs="宋体" w:eastAsia="宋体" w:hint="default"/>
                <w:b/>
                <w:bCs/>
                <w:sz w:val="21"/>
                <w:szCs w:val="21"/>
              </w:rPr>
              <w:t>31</w:t>
            </w:r>
            <w:r>
              <w:rPr>
                <w:rFonts w:ascii="宋体" w:hAnsi="宋体" w:cs="宋体" w:eastAsia="宋体" w:hint="default"/>
                <w:b/>
                <w:bCs/>
                <w:spacing w:val="-54"/>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634" w:hRule="exact"/>
        </w:trPr>
        <w:tc>
          <w:tcPr>
            <w:tcW w:w="1717" w:type="dxa"/>
            <w:vMerge/>
            <w:tcBorders>
              <w:left w:val="single" w:sz="4" w:space="0" w:color="000000"/>
              <w:bottom w:val="single" w:sz="4" w:space="0" w:color="000000"/>
              <w:right w:val="single" w:sz="4" w:space="0" w:color="000000"/>
            </w:tcBorders>
          </w:tcPr>
          <w:p>
            <w:pP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b/>
                <w:bCs/>
                <w:sz w:val="21"/>
                <w:szCs w:val="21"/>
              </w:rPr>
              <w:t>占资产总额的比例</w:t>
            </w:r>
            <w:r>
              <w:rPr>
                <w:rFonts w:ascii="宋体" w:hAnsi="宋体" w:cs="宋体" w:eastAsia="宋体" w:hint="default"/>
                <w:sz w:val="21"/>
                <w:szCs w:val="21"/>
              </w:rPr>
            </w:r>
          </w:p>
          <w:p>
            <w:pPr>
              <w:pStyle w:val="TableParagraph"/>
              <w:spacing w:line="240" w:lineRule="auto" w:before="37"/>
              <w:ind w:right="1"/>
              <w:jc w:val="center"/>
              <w:rPr>
                <w:rFonts w:ascii="宋体" w:hAnsi="宋体" w:cs="宋体" w:eastAsia="宋体" w:hint="default"/>
                <w:sz w:val="21"/>
                <w:szCs w:val="21"/>
              </w:rPr>
            </w:pPr>
            <w:r>
              <w:rPr>
                <w:rFonts w:ascii="宋体"/>
                <w:b/>
                <w:sz w:val="21"/>
              </w:rPr>
              <w:t>(%)</w:t>
            </w:r>
            <w:r>
              <w:rPr>
                <w:rFonts w:ascii="宋体"/>
                <w:sz w:val="21"/>
              </w:rPr>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占资产总额的比例</w:t>
            </w:r>
            <w:r>
              <w:rPr>
                <w:rFonts w:ascii="宋体" w:hAnsi="宋体" w:cs="宋体" w:eastAsia="宋体" w:hint="default"/>
                <w:sz w:val="21"/>
                <w:szCs w:val="21"/>
              </w:rPr>
            </w:r>
          </w:p>
          <w:p>
            <w:pPr>
              <w:pStyle w:val="TableParagraph"/>
              <w:spacing w:line="240" w:lineRule="auto" w:before="37"/>
              <w:ind w:right="0"/>
              <w:jc w:val="center"/>
              <w:rPr>
                <w:rFonts w:ascii="宋体" w:hAnsi="宋体" w:cs="宋体" w:eastAsia="宋体" w:hint="default"/>
                <w:sz w:val="21"/>
                <w:szCs w:val="21"/>
              </w:rPr>
            </w:pPr>
            <w:r>
              <w:rPr>
                <w:rFonts w:ascii="宋体"/>
                <w:b/>
                <w:sz w:val="21"/>
              </w:rPr>
              <w:t>(%)</w:t>
            </w:r>
            <w:r>
              <w:rPr>
                <w:rFonts w:ascii="宋体"/>
                <w:sz w:val="21"/>
              </w:rPr>
            </w:r>
          </w:p>
        </w:tc>
      </w:tr>
      <w:tr>
        <w:trPr>
          <w:trHeight w:val="322" w:hRule="exact"/>
        </w:trPr>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1,161,288,549</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14.65</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959,725,130</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13.99</w:t>
            </w:r>
          </w:p>
        </w:tc>
      </w:tr>
      <w:tr>
        <w:trPr>
          <w:trHeight w:val="323" w:hRule="exact"/>
        </w:trPr>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2"/>
              <w:jc w:val="right"/>
              <w:rPr>
                <w:rFonts w:ascii="宋体" w:hAnsi="宋体" w:cs="宋体" w:eastAsia="宋体" w:hint="default"/>
                <w:sz w:val="18"/>
                <w:szCs w:val="18"/>
              </w:rPr>
            </w:pPr>
            <w:r>
              <w:rPr>
                <w:rFonts w:ascii="宋体"/>
                <w:sz w:val="18"/>
              </w:rPr>
              <w:t>585,158,868</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2"/>
              <w:jc w:val="right"/>
              <w:rPr>
                <w:rFonts w:ascii="宋体" w:hAnsi="宋体" w:cs="宋体" w:eastAsia="宋体" w:hint="default"/>
                <w:sz w:val="18"/>
                <w:szCs w:val="18"/>
              </w:rPr>
            </w:pPr>
            <w:r>
              <w:rPr>
                <w:rFonts w:ascii="宋体"/>
                <w:sz w:val="18"/>
              </w:rPr>
              <w:t>7.38</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2"/>
              <w:jc w:val="right"/>
              <w:rPr>
                <w:rFonts w:ascii="宋体" w:hAnsi="宋体" w:cs="宋体" w:eastAsia="宋体" w:hint="default"/>
                <w:sz w:val="18"/>
                <w:szCs w:val="18"/>
              </w:rPr>
            </w:pPr>
            <w:r>
              <w:rPr>
                <w:rFonts w:ascii="宋体"/>
                <w:sz w:val="18"/>
              </w:rPr>
              <w:t>486,823,705</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7.10</w:t>
            </w:r>
          </w:p>
        </w:tc>
      </w:tr>
      <w:tr>
        <w:trPr>
          <w:trHeight w:val="370" w:hRule="exact"/>
        </w:trPr>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宋体" w:hAnsi="宋体" w:cs="宋体" w:eastAsia="宋体" w:hint="default"/>
                <w:sz w:val="18"/>
                <w:szCs w:val="18"/>
              </w:rPr>
            </w:pPr>
            <w:r>
              <w:rPr>
                <w:rFonts w:ascii="宋体"/>
                <w:sz w:val="18"/>
              </w:rPr>
              <w:t>401,931,507</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宋体" w:hAnsi="宋体" w:cs="宋体" w:eastAsia="宋体" w:hint="default"/>
                <w:sz w:val="18"/>
                <w:szCs w:val="18"/>
              </w:rPr>
            </w:pPr>
            <w:r>
              <w:rPr>
                <w:rFonts w:ascii="宋体"/>
                <w:sz w:val="18"/>
              </w:rPr>
              <w:t>5.07</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2"/>
              <w:jc w:val="right"/>
              <w:rPr>
                <w:rFonts w:ascii="宋体" w:hAnsi="宋体" w:cs="宋体" w:eastAsia="宋体" w:hint="default"/>
                <w:sz w:val="18"/>
                <w:szCs w:val="18"/>
              </w:rPr>
            </w:pPr>
            <w:r>
              <w:rPr>
                <w:rFonts w:ascii="宋体" w:hAnsi="宋体" w:cs="宋体" w:eastAsia="宋体" w:hint="default"/>
                <w:sz w:val="18"/>
                <w:szCs w:val="18"/>
              </w:rPr>
              <w:t>—</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宋体" w:hAnsi="宋体" w:cs="宋体" w:eastAsia="宋体" w:hint="default"/>
                <w:sz w:val="18"/>
                <w:szCs w:val="18"/>
              </w:rPr>
            </w:pPr>
            <w:r>
              <w:rPr>
                <w:rFonts w:ascii="宋体" w:hAnsi="宋体" w:cs="宋体" w:eastAsia="宋体" w:hint="default"/>
                <w:sz w:val="18"/>
                <w:szCs w:val="18"/>
              </w:rPr>
              <w:t>—</w:t>
            </w:r>
          </w:p>
        </w:tc>
      </w:tr>
      <w:tr>
        <w:trPr>
          <w:trHeight w:val="322" w:hRule="exact"/>
        </w:trPr>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438,134,937</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5.53</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437,011,923</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6.37</w:t>
            </w:r>
          </w:p>
        </w:tc>
      </w:tr>
      <w:tr>
        <w:trPr>
          <w:trHeight w:val="323" w:hRule="exact"/>
        </w:trPr>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2"/>
              <w:jc w:val="right"/>
              <w:rPr>
                <w:rFonts w:ascii="宋体" w:hAnsi="宋体" w:cs="宋体" w:eastAsia="宋体" w:hint="default"/>
                <w:sz w:val="18"/>
                <w:szCs w:val="18"/>
              </w:rPr>
            </w:pPr>
            <w:r>
              <w:rPr>
                <w:rFonts w:ascii="宋体"/>
                <w:sz w:val="18"/>
              </w:rPr>
              <w:t>703,226,389</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2"/>
              <w:jc w:val="right"/>
              <w:rPr>
                <w:rFonts w:ascii="宋体" w:hAnsi="宋体" w:cs="宋体" w:eastAsia="宋体" w:hint="default"/>
                <w:sz w:val="18"/>
                <w:szCs w:val="18"/>
              </w:rPr>
            </w:pPr>
            <w:r>
              <w:rPr>
                <w:rFonts w:ascii="宋体"/>
                <w:sz w:val="18"/>
              </w:rPr>
              <w:t>8.87</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2"/>
              <w:jc w:val="right"/>
              <w:rPr>
                <w:rFonts w:ascii="宋体" w:hAnsi="宋体" w:cs="宋体" w:eastAsia="宋体" w:hint="default"/>
                <w:sz w:val="18"/>
                <w:szCs w:val="18"/>
              </w:rPr>
            </w:pPr>
            <w:r>
              <w:rPr>
                <w:rFonts w:ascii="宋体"/>
                <w:sz w:val="18"/>
              </w:rPr>
              <w:t>614,836,497</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8.96</w:t>
            </w:r>
          </w:p>
        </w:tc>
      </w:tr>
      <w:tr>
        <w:trPr>
          <w:trHeight w:val="322" w:hRule="exact"/>
        </w:trPr>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1,395,400,942</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17.61</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1,429,649,069</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20.84</w:t>
            </w:r>
          </w:p>
        </w:tc>
      </w:tr>
      <w:tr>
        <w:trPr>
          <w:trHeight w:val="322" w:hRule="exact"/>
        </w:trPr>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307,799,158</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3.88</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84,731,103</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1.24</w:t>
            </w:r>
          </w:p>
        </w:tc>
      </w:tr>
      <w:tr>
        <w:trPr>
          <w:trHeight w:val="323" w:hRule="exact"/>
        </w:trPr>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2"/>
              <w:jc w:val="right"/>
              <w:rPr>
                <w:rFonts w:ascii="宋体" w:hAnsi="宋体" w:cs="宋体" w:eastAsia="宋体" w:hint="default"/>
                <w:sz w:val="18"/>
                <w:szCs w:val="18"/>
              </w:rPr>
            </w:pPr>
            <w:r>
              <w:rPr>
                <w:rFonts w:ascii="宋体"/>
                <w:sz w:val="18"/>
              </w:rPr>
              <w:t>104,000,000</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2"/>
              <w:jc w:val="right"/>
              <w:rPr>
                <w:rFonts w:ascii="宋体" w:hAnsi="宋体" w:cs="宋体" w:eastAsia="宋体" w:hint="default"/>
                <w:sz w:val="18"/>
                <w:szCs w:val="18"/>
              </w:rPr>
            </w:pPr>
            <w:r>
              <w:rPr>
                <w:rFonts w:ascii="宋体"/>
                <w:sz w:val="18"/>
              </w:rPr>
              <w:t>1.31</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2"/>
              <w:jc w:val="right"/>
              <w:rPr>
                <w:rFonts w:ascii="宋体" w:hAnsi="宋体" w:cs="宋体" w:eastAsia="宋体" w:hint="default"/>
                <w:sz w:val="18"/>
                <w:szCs w:val="18"/>
              </w:rPr>
            </w:pPr>
            <w:r>
              <w:rPr>
                <w:rFonts w:ascii="宋体"/>
                <w:sz w:val="18"/>
              </w:rPr>
              <w:t>129,000,000</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1.88</w:t>
            </w:r>
          </w:p>
        </w:tc>
      </w:tr>
      <w:tr>
        <w:trPr>
          <w:trHeight w:val="322" w:hRule="exact"/>
        </w:trPr>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403,658,667</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5.09</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hAnsi="宋体" w:cs="宋体" w:eastAsia="宋体" w:hint="default"/>
                <w:sz w:val="18"/>
                <w:szCs w:val="18"/>
              </w:rPr>
              <w:t>—</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hAnsi="宋体" w:cs="宋体" w:eastAsia="宋体" w:hint="default"/>
                <w:sz w:val="18"/>
                <w:szCs w:val="18"/>
              </w:rPr>
              <w:t>—</w:t>
            </w:r>
          </w:p>
        </w:tc>
      </w:tr>
      <w:tr>
        <w:trPr>
          <w:trHeight w:val="323" w:hRule="exact"/>
        </w:trPr>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资产总额</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7,925,285,114</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100.00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6,858,879,805</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100.00</w:t>
            </w:r>
          </w:p>
        </w:tc>
      </w:tr>
    </w:tbl>
    <w:p>
      <w:pPr>
        <w:pStyle w:val="Heading5"/>
        <w:spacing w:line="274" w:lineRule="exact"/>
        <w:ind w:left="138" w:right="0" w:firstLine="480"/>
        <w:jc w:val="left"/>
      </w:pPr>
      <w:r>
        <w:rPr/>
        <w:t>报告期内新增应付债券</w:t>
      </w:r>
      <w:r>
        <w:rPr>
          <w:spacing w:val="-49"/>
        </w:rPr>
        <w:t> </w:t>
      </w:r>
      <w:r>
        <w:rPr/>
        <w:t>4</w:t>
      </w:r>
      <w:r>
        <w:rPr>
          <w:spacing w:val="-49"/>
        </w:rPr>
        <w:t> </w:t>
      </w:r>
      <w:r>
        <w:rPr>
          <w:spacing w:val="-3"/>
        </w:rPr>
        <w:t>亿元，为公司于报告内发行的中期票据，增加的持有至到</w:t>
      </w:r>
    </w:p>
    <w:p>
      <w:pPr>
        <w:spacing w:line="312" w:lineRule="exact" w:before="29"/>
        <w:ind w:left="138" w:right="254" w:firstLine="0"/>
        <w:jc w:val="both"/>
        <w:rPr>
          <w:rFonts w:ascii="宋体" w:hAnsi="宋体" w:cs="宋体" w:eastAsia="宋体" w:hint="default"/>
          <w:sz w:val="24"/>
          <w:szCs w:val="24"/>
        </w:rPr>
      </w:pPr>
      <w:r>
        <w:rPr>
          <w:rFonts w:ascii="宋体" w:hAnsi="宋体" w:cs="宋体" w:eastAsia="宋体" w:hint="default"/>
          <w:spacing w:val="-2"/>
          <w:sz w:val="24"/>
          <w:szCs w:val="24"/>
        </w:rPr>
        <w:t>期投资是本公司根据资金情况购买的银行理财产品；报告期内在建工程增加主要由于报</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2"/>
          <w:sz w:val="24"/>
          <w:szCs w:val="24"/>
        </w:rPr>
        <w:t>告期内新增北京软件园等工程建设，以及继续投入上海软件园、广州软件园等工程建设</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所致。</w:t>
      </w:r>
    </w:p>
    <w:p>
      <w:pPr>
        <w:spacing w:line="331" w:lineRule="auto" w:before="157"/>
        <w:ind w:left="618" w:right="1596" w:hanging="480"/>
        <w:jc w:val="left"/>
        <w:rPr>
          <w:rFonts w:ascii="宋体" w:hAnsi="宋体" w:cs="宋体" w:eastAsia="宋体" w:hint="default"/>
          <w:sz w:val="24"/>
          <w:szCs w:val="24"/>
        </w:rPr>
      </w:pPr>
      <w:r>
        <w:rPr>
          <w:rFonts w:ascii="宋体" w:hAnsi="宋体" w:cs="宋体" w:eastAsia="宋体" w:hint="default"/>
          <w:b/>
          <w:bCs/>
          <w:sz w:val="24"/>
          <w:szCs w:val="24"/>
        </w:rPr>
        <w:t>（四）主营业务盈利能力（毛利率）与上年相比发生重大变化的原因说明</w:t>
      </w:r>
      <w:r>
        <w:rPr>
          <w:rFonts w:ascii="宋体" w:hAnsi="宋体" w:cs="宋体" w:eastAsia="宋体" w:hint="default"/>
          <w:b/>
          <w:bCs/>
          <w:spacing w:val="1"/>
          <w:w w:val="99"/>
          <w:sz w:val="24"/>
          <w:szCs w:val="24"/>
        </w:rPr>
        <w:t> </w:t>
      </w:r>
      <w:r>
        <w:rPr>
          <w:rFonts w:ascii="宋体" w:hAnsi="宋体" w:cs="宋体" w:eastAsia="宋体" w:hint="default"/>
          <w:sz w:val="24"/>
          <w:szCs w:val="24"/>
        </w:rPr>
        <w:t>与</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年度相比，2011</w:t>
      </w:r>
      <w:r>
        <w:rPr>
          <w:rFonts w:ascii="宋体" w:hAnsi="宋体" w:cs="宋体" w:eastAsia="宋体" w:hint="default"/>
          <w:spacing w:val="-60"/>
          <w:sz w:val="24"/>
          <w:szCs w:val="24"/>
        </w:rPr>
        <w:t> </w:t>
      </w:r>
      <w:r>
        <w:rPr>
          <w:rFonts w:ascii="宋体" w:hAnsi="宋体" w:cs="宋体" w:eastAsia="宋体" w:hint="default"/>
          <w:sz w:val="24"/>
          <w:szCs w:val="24"/>
        </w:rPr>
        <w:t>年度主营业务盈利能力没有发生重大变化。</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spacing w:line="240" w:lineRule="auto"/>
        <w:ind w:left="138" w:right="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280" w:right="116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pStyle w:val="Heading4"/>
        <w:spacing w:line="240" w:lineRule="auto" w:before="204"/>
        <w:ind w:left="338" w:right="337"/>
        <w:jc w:val="left"/>
        <w:rPr>
          <w:b w:val="0"/>
          <w:bCs w:val="0"/>
        </w:rPr>
      </w:pPr>
      <w:r>
        <w:rPr/>
        <w:t>（五）公司投资情况</w:t>
      </w:r>
      <w:r>
        <w:rPr>
          <w:b w:val="0"/>
          <w:bCs w:val="0"/>
        </w:rPr>
      </w:r>
    </w:p>
    <w:p>
      <w:pPr>
        <w:spacing w:line="240" w:lineRule="auto" w:before="6"/>
        <w:rPr>
          <w:rFonts w:ascii="宋体" w:hAnsi="宋体" w:cs="宋体" w:eastAsia="宋体" w:hint="default"/>
          <w:b/>
          <w:bCs/>
          <w:sz w:val="8"/>
          <w:szCs w:val="8"/>
        </w:rPr>
      </w:pPr>
    </w:p>
    <w:p>
      <w:pPr>
        <w:pStyle w:val="BodyText"/>
        <w:spacing w:line="240" w:lineRule="auto"/>
        <w:ind w:left="0" w:right="354"/>
        <w:jc w:val="right"/>
        <w:rPr>
          <w:rFonts w:ascii="宋体" w:hAnsi="宋体" w:cs="宋体" w:eastAsia="宋体" w:hint="default"/>
        </w:rPr>
      </w:pPr>
      <w:r>
        <w:rPr>
          <w:rFonts w:ascii="宋体" w:hAnsi="宋体" w:cs="宋体" w:eastAsia="宋体" w:hint="default"/>
        </w:rPr>
        <w:t>单位：万元</w:t>
      </w:r>
      <w:r>
        <w:rPr>
          <w:rFonts w:ascii="宋体" w:hAnsi="宋体" w:cs="宋体" w:eastAsia="宋体" w:hint="default"/>
          <w:spacing w:val="-11"/>
        </w:rPr>
        <w:t> </w:t>
      </w:r>
      <w:r>
        <w:rPr>
          <w:rFonts w:ascii="宋体" w:hAnsi="宋体" w:cs="宋体" w:eastAsia="宋体" w:hint="default"/>
        </w:rPr>
        <w:t>币种：人民币</w:t>
      </w:r>
    </w:p>
    <w:p>
      <w:pPr>
        <w:spacing w:line="240" w:lineRule="auto" w:before="13"/>
        <w:rPr>
          <w:rFonts w:ascii="宋体" w:hAnsi="宋体" w:cs="宋体" w:eastAsia="宋体" w:hint="default"/>
          <w:sz w:val="3"/>
          <w:szCs w:val="3"/>
        </w:rPr>
      </w:pPr>
    </w:p>
    <w:tbl>
      <w:tblPr>
        <w:tblW w:w="0" w:type="auto"/>
        <w:jc w:val="left"/>
        <w:tblInd w:w="218" w:type="dxa"/>
        <w:tblLayout w:type="fixed"/>
        <w:tblCellMar>
          <w:top w:w="0" w:type="dxa"/>
          <w:left w:w="0" w:type="dxa"/>
          <w:bottom w:w="0" w:type="dxa"/>
          <w:right w:w="0" w:type="dxa"/>
        </w:tblCellMar>
        <w:tblLook w:val="01E0"/>
      </w:tblPr>
      <w:tblGrid>
        <w:gridCol w:w="4133"/>
        <w:gridCol w:w="5167"/>
      </w:tblGrid>
      <w:tr>
        <w:trPr>
          <w:trHeight w:val="323" w:hRule="exact"/>
        </w:trPr>
        <w:tc>
          <w:tcPr>
            <w:tcW w:w="4133"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报告期内投资额</w:t>
            </w:r>
          </w:p>
        </w:tc>
        <w:tc>
          <w:tcPr>
            <w:tcW w:w="5167"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246"/>
              <w:jc w:val="right"/>
              <w:rPr>
                <w:rFonts w:ascii="宋体" w:hAnsi="宋体" w:cs="宋体" w:eastAsia="宋体" w:hint="default"/>
                <w:sz w:val="21"/>
                <w:szCs w:val="21"/>
              </w:rPr>
            </w:pPr>
            <w:r>
              <w:rPr>
                <w:rFonts w:ascii="宋体"/>
                <w:spacing w:val="-1"/>
                <w:sz w:val="21"/>
              </w:rPr>
              <w:t>147,129</w:t>
            </w:r>
            <w:r>
              <w:rPr>
                <w:rFonts w:ascii="宋体"/>
                <w:sz w:val="21"/>
              </w:rPr>
            </w:r>
          </w:p>
        </w:tc>
      </w:tr>
      <w:tr>
        <w:trPr>
          <w:trHeight w:val="322" w:hRule="exact"/>
        </w:trPr>
        <w:tc>
          <w:tcPr>
            <w:tcW w:w="413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投资额增减变动数</w:t>
            </w:r>
          </w:p>
        </w:tc>
        <w:tc>
          <w:tcPr>
            <w:tcW w:w="516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47"/>
              <w:jc w:val="right"/>
              <w:rPr>
                <w:rFonts w:ascii="宋体" w:hAnsi="宋体" w:cs="宋体" w:eastAsia="宋体" w:hint="default"/>
                <w:sz w:val="21"/>
                <w:szCs w:val="21"/>
              </w:rPr>
            </w:pPr>
            <w:r>
              <w:rPr>
                <w:rFonts w:ascii="宋体"/>
                <w:spacing w:val="-1"/>
                <w:sz w:val="21"/>
              </w:rPr>
              <w:t>106,955</w:t>
            </w:r>
            <w:r>
              <w:rPr>
                <w:rFonts w:ascii="宋体"/>
                <w:sz w:val="21"/>
              </w:rPr>
            </w:r>
          </w:p>
        </w:tc>
      </w:tr>
      <w:tr>
        <w:trPr>
          <w:trHeight w:val="322" w:hRule="exact"/>
        </w:trPr>
        <w:tc>
          <w:tcPr>
            <w:tcW w:w="413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上年同期投资额</w:t>
            </w:r>
          </w:p>
        </w:tc>
        <w:tc>
          <w:tcPr>
            <w:tcW w:w="516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45"/>
              <w:jc w:val="right"/>
              <w:rPr>
                <w:rFonts w:ascii="宋体" w:hAnsi="宋体" w:cs="宋体" w:eastAsia="宋体" w:hint="default"/>
                <w:sz w:val="21"/>
                <w:szCs w:val="21"/>
              </w:rPr>
            </w:pPr>
            <w:r>
              <w:rPr>
                <w:rFonts w:ascii="宋体"/>
                <w:spacing w:val="-1"/>
                <w:sz w:val="21"/>
              </w:rPr>
              <w:t>40,174</w:t>
            </w:r>
          </w:p>
        </w:tc>
      </w:tr>
      <w:tr>
        <w:trPr>
          <w:trHeight w:val="323" w:hRule="exact"/>
        </w:trPr>
        <w:tc>
          <w:tcPr>
            <w:tcW w:w="4133"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投资额增减幅度(%)</w:t>
            </w:r>
          </w:p>
        </w:tc>
        <w:tc>
          <w:tcPr>
            <w:tcW w:w="5167"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246"/>
              <w:jc w:val="right"/>
              <w:rPr>
                <w:rFonts w:ascii="宋体" w:hAnsi="宋体" w:cs="宋体" w:eastAsia="宋体" w:hint="default"/>
                <w:sz w:val="21"/>
                <w:szCs w:val="21"/>
              </w:rPr>
            </w:pPr>
            <w:r>
              <w:rPr>
                <w:rFonts w:ascii="宋体"/>
                <w:spacing w:val="-1"/>
                <w:sz w:val="21"/>
              </w:rPr>
              <w:t>266.23</w:t>
            </w:r>
            <w:r>
              <w:rPr>
                <w:rFonts w:ascii="宋体"/>
                <w:sz w:val="21"/>
              </w:rPr>
            </w:r>
          </w:p>
        </w:tc>
      </w:tr>
    </w:tbl>
    <w:p>
      <w:pPr>
        <w:spacing w:after="0" w:line="261" w:lineRule="exact"/>
        <w:jc w:val="right"/>
        <w:rPr>
          <w:rFonts w:ascii="宋体" w:hAnsi="宋体" w:cs="宋体" w:eastAsia="宋体" w:hint="default"/>
          <w:sz w:val="21"/>
          <w:szCs w:val="21"/>
        </w:rPr>
        <w:sectPr>
          <w:pgSz w:w="11910" w:h="16840"/>
          <w:pgMar w:header="1012" w:footer="480" w:top="1360" w:bottom="660" w:left="1080" w:right="1060"/>
        </w:sectPr>
      </w:pPr>
    </w:p>
    <w:p>
      <w:pPr>
        <w:pStyle w:val="Heading5"/>
        <w:spacing w:line="240" w:lineRule="auto" w:before="85"/>
        <w:ind w:left="338" w:right="-20"/>
        <w:jc w:val="left"/>
      </w:pPr>
      <w:r>
        <w:rPr/>
        <w:t>1、被投资的公司情况</w:t>
      </w:r>
    </w:p>
    <w:p>
      <w:pPr>
        <w:spacing w:line="240" w:lineRule="auto" w:before="0"/>
        <w:rPr>
          <w:rFonts w:ascii="宋体" w:hAnsi="宋体" w:cs="宋体" w:eastAsia="宋体" w:hint="default"/>
          <w:sz w:val="20"/>
          <w:szCs w:val="20"/>
        </w:rPr>
      </w:pPr>
      <w:r>
        <w:rPr/>
        <w:br w:type="column"/>
      </w:r>
      <w:r>
        <w:rPr>
          <w:rFonts w:ascii="宋体"/>
          <w:sz w:val="20"/>
        </w:rPr>
      </w:r>
    </w:p>
    <w:p>
      <w:pPr>
        <w:pStyle w:val="BodyText"/>
        <w:spacing w:line="240" w:lineRule="auto" w:before="159"/>
        <w:ind w:left="338" w:right="0"/>
        <w:jc w:val="left"/>
        <w:rPr>
          <w:rFonts w:ascii="宋体" w:hAnsi="宋体" w:cs="宋体" w:eastAsia="宋体" w:hint="default"/>
        </w:rPr>
      </w:pPr>
      <w:r>
        <w:rPr>
          <w:rFonts w:ascii="宋体" w:hAnsi="宋体" w:cs="宋体" w:eastAsia="宋体" w:hint="default"/>
        </w:rPr>
        <w:t>单位：万元</w:t>
      </w:r>
      <w:r>
        <w:rPr>
          <w:rFonts w:ascii="宋体" w:hAnsi="宋体" w:cs="宋体" w:eastAsia="宋体" w:hint="default"/>
          <w:spacing w:val="-11"/>
        </w:rPr>
        <w:t> </w:t>
      </w:r>
      <w:r>
        <w:rPr>
          <w:rFonts w:ascii="宋体" w:hAnsi="宋体" w:cs="宋体" w:eastAsia="宋体" w:hint="default"/>
        </w:rPr>
        <w:t>币种：人民币</w:t>
      </w:r>
    </w:p>
    <w:p>
      <w:pPr>
        <w:spacing w:after="0" w:line="240" w:lineRule="auto"/>
        <w:jc w:val="left"/>
        <w:rPr>
          <w:rFonts w:ascii="宋体" w:hAnsi="宋体" w:cs="宋体" w:eastAsia="宋体" w:hint="default"/>
        </w:rPr>
        <w:sectPr>
          <w:type w:val="continuous"/>
          <w:pgSz w:w="11910" w:h="16840"/>
          <w:pgMar w:top="1600" w:bottom="280" w:left="1080" w:right="1060"/>
          <w:cols w:num="2" w:equalWidth="0">
            <w:col w:w="2619" w:space="4036"/>
            <w:col w:w="3115"/>
          </w:cols>
        </w:sectPr>
      </w:pPr>
    </w:p>
    <w:p>
      <w:pPr>
        <w:spacing w:line="240" w:lineRule="auto" w:before="13"/>
        <w:rPr>
          <w:rFonts w:ascii="宋体" w:hAnsi="宋体" w:cs="宋体" w:eastAsia="宋体" w:hint="default"/>
          <w:sz w:val="3"/>
          <w:szCs w:val="3"/>
        </w:rPr>
      </w:pPr>
    </w:p>
    <w:tbl>
      <w:tblPr>
        <w:tblW w:w="0" w:type="auto"/>
        <w:jc w:val="left"/>
        <w:tblInd w:w="108" w:type="dxa"/>
        <w:tblLayout w:type="fixed"/>
        <w:tblCellMar>
          <w:top w:w="0" w:type="dxa"/>
          <w:left w:w="0" w:type="dxa"/>
          <w:bottom w:w="0" w:type="dxa"/>
          <w:right w:w="0" w:type="dxa"/>
        </w:tblCellMar>
        <w:tblLook w:val="01E0"/>
      </w:tblPr>
      <w:tblGrid>
        <w:gridCol w:w="625"/>
        <w:gridCol w:w="2861"/>
        <w:gridCol w:w="2836"/>
        <w:gridCol w:w="996"/>
        <w:gridCol w:w="1060"/>
        <w:gridCol w:w="1145"/>
      </w:tblGrid>
      <w:tr>
        <w:trPr>
          <w:trHeight w:val="947"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02" w:right="0"/>
              <w:jc w:val="left"/>
              <w:rPr>
                <w:rFonts w:ascii="宋体" w:hAnsi="宋体" w:cs="宋体" w:eastAsia="宋体" w:hint="default"/>
                <w:sz w:val="18"/>
                <w:szCs w:val="18"/>
              </w:rPr>
            </w:pPr>
            <w:r>
              <w:rPr>
                <w:rFonts w:ascii="宋体" w:hAnsi="宋体" w:cs="宋体" w:eastAsia="宋体" w:hint="default"/>
                <w:b/>
                <w:bCs/>
                <w:sz w:val="18"/>
                <w:szCs w:val="18"/>
              </w:rPr>
              <w:t>被投资的公司名称</w:t>
            </w:r>
            <w:r>
              <w:rPr>
                <w:rFonts w:ascii="宋体" w:hAnsi="宋体" w:cs="宋体" w:eastAsia="宋体" w:hint="default"/>
                <w:sz w:val="18"/>
                <w:szCs w:val="18"/>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870" w:right="0"/>
              <w:jc w:val="left"/>
              <w:rPr>
                <w:rFonts w:ascii="宋体" w:hAnsi="宋体" w:cs="宋体" w:eastAsia="宋体" w:hint="default"/>
                <w:sz w:val="18"/>
                <w:szCs w:val="18"/>
              </w:rPr>
            </w:pPr>
            <w:r>
              <w:rPr>
                <w:rFonts w:ascii="宋体" w:hAnsi="宋体" w:cs="宋体" w:eastAsia="宋体" w:hint="default"/>
                <w:b/>
                <w:bCs/>
                <w:sz w:val="18"/>
                <w:szCs w:val="18"/>
              </w:rPr>
              <w:t>主要经营活动</w:t>
            </w:r>
            <w:r>
              <w:rPr>
                <w:rFonts w:ascii="宋体" w:hAnsi="宋体" w:cs="宋体" w:eastAsia="宋体" w:hint="default"/>
                <w:sz w:val="18"/>
                <w:szCs w:val="18"/>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b/>
                <w:bCs/>
                <w:sz w:val="18"/>
                <w:szCs w:val="18"/>
              </w:rPr>
              <w:t>投资额</w:t>
            </w:r>
            <w:r>
              <w:rPr>
                <w:rFonts w:ascii="宋体" w:hAnsi="宋体" w:cs="宋体" w:eastAsia="宋体" w:hint="default"/>
                <w:sz w:val="18"/>
                <w:szCs w:val="18"/>
              </w:rPr>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63" w:right="162"/>
              <w:jc w:val="both"/>
              <w:rPr>
                <w:rFonts w:ascii="宋体" w:hAnsi="宋体" w:cs="宋体" w:eastAsia="宋体" w:hint="default"/>
                <w:sz w:val="18"/>
                <w:szCs w:val="18"/>
              </w:rPr>
            </w:pPr>
            <w:r>
              <w:rPr>
                <w:rFonts w:ascii="宋体" w:hAnsi="宋体" w:cs="宋体" w:eastAsia="宋体" w:hint="default"/>
                <w:b/>
                <w:bCs/>
                <w:sz w:val="18"/>
                <w:szCs w:val="18"/>
              </w:rPr>
              <w:t>占被投资</w:t>
            </w:r>
            <w:r>
              <w:rPr>
                <w:rFonts w:ascii="宋体" w:hAnsi="宋体" w:cs="宋体" w:eastAsia="宋体" w:hint="default"/>
                <w:b/>
                <w:bCs/>
                <w:w w:val="99"/>
                <w:sz w:val="18"/>
                <w:szCs w:val="18"/>
              </w:rPr>
              <w:t> </w:t>
            </w:r>
            <w:r>
              <w:rPr>
                <w:rFonts w:ascii="宋体" w:hAnsi="宋体" w:cs="宋体" w:eastAsia="宋体" w:hint="default"/>
                <w:b/>
                <w:bCs/>
                <w:sz w:val="18"/>
                <w:szCs w:val="18"/>
              </w:rPr>
              <w:t>公司权益</w:t>
            </w:r>
            <w:r>
              <w:rPr>
                <w:rFonts w:ascii="宋体" w:hAnsi="宋体" w:cs="宋体" w:eastAsia="宋体" w:hint="default"/>
                <w:b/>
                <w:bCs/>
                <w:w w:val="99"/>
                <w:sz w:val="18"/>
                <w:szCs w:val="18"/>
              </w:rPr>
              <w:t> </w:t>
            </w:r>
            <w:r>
              <w:rPr>
                <w:rFonts w:ascii="宋体" w:hAnsi="宋体" w:cs="宋体" w:eastAsia="宋体" w:hint="default"/>
                <w:b/>
                <w:bCs/>
                <w:sz w:val="18"/>
                <w:szCs w:val="18"/>
              </w:rPr>
              <w:t>的比例</w:t>
            </w:r>
            <w:r>
              <w:rPr>
                <w:rFonts w:ascii="宋体" w:hAnsi="宋体" w:cs="宋体" w:eastAsia="宋体" w:hint="default"/>
                <w:sz w:val="18"/>
                <w:szCs w:val="18"/>
              </w:rPr>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备注</w:t>
            </w:r>
            <w:r>
              <w:rPr>
                <w:rFonts w:ascii="宋体" w:hAnsi="宋体" w:cs="宋体" w:eastAsia="宋体" w:hint="default"/>
                <w:sz w:val="18"/>
                <w:szCs w:val="18"/>
              </w:rPr>
            </w:r>
          </w:p>
        </w:tc>
      </w:tr>
      <w:tr>
        <w:trPr>
          <w:trHeight w:val="634"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(1)</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东软集团（芜湖）有限公司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101"/>
              <w:jc w:val="left"/>
              <w:rPr>
                <w:rFonts w:ascii="宋体" w:hAnsi="宋体" w:cs="宋体" w:eastAsia="宋体" w:hint="default"/>
                <w:sz w:val="18"/>
                <w:szCs w:val="18"/>
              </w:rPr>
            </w:pPr>
            <w:r>
              <w:rPr>
                <w:rFonts w:ascii="宋体" w:hAnsi="宋体" w:cs="宋体" w:eastAsia="宋体" w:hint="default"/>
                <w:spacing w:val="-6"/>
                <w:sz w:val="18"/>
                <w:szCs w:val="18"/>
              </w:rPr>
              <w:t>经营计算机软硬件，技术咨询、服</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务等</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1,000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131"/>
              <w:jc w:val="left"/>
              <w:rPr>
                <w:rFonts w:ascii="宋体" w:hAnsi="宋体" w:cs="宋体" w:eastAsia="宋体" w:hint="default"/>
                <w:sz w:val="18"/>
                <w:szCs w:val="18"/>
              </w:rPr>
            </w:pPr>
            <w:r>
              <w:rPr>
                <w:rFonts w:ascii="宋体" w:hAnsi="宋体" w:cs="宋体" w:eastAsia="宋体" w:hint="default"/>
                <w:sz w:val="18"/>
                <w:szCs w:val="18"/>
              </w:rPr>
              <w:t>新设立全资 子公司</w:t>
            </w:r>
          </w:p>
        </w:tc>
      </w:tr>
      <w:tr>
        <w:trPr>
          <w:trHeight w:val="634"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(2)</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东软医疗（美国）有限公司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1"/>
              <w:jc w:val="left"/>
              <w:rPr>
                <w:rFonts w:ascii="宋体" w:hAnsi="宋体" w:cs="宋体" w:eastAsia="宋体" w:hint="default"/>
                <w:sz w:val="18"/>
                <w:szCs w:val="18"/>
              </w:rPr>
            </w:pPr>
            <w:r>
              <w:rPr>
                <w:rFonts w:ascii="宋体" w:hAnsi="宋体" w:cs="宋体" w:eastAsia="宋体" w:hint="default"/>
                <w:spacing w:val="-6"/>
                <w:sz w:val="18"/>
                <w:szCs w:val="18"/>
              </w:rPr>
              <w:t>产品的研发、制造、技术咨询和服</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务等</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08" w:right="0"/>
              <w:jc w:val="left"/>
              <w:rPr>
                <w:rFonts w:ascii="宋体" w:hAnsi="宋体" w:cs="宋体" w:eastAsia="宋体" w:hint="default"/>
                <w:sz w:val="18"/>
                <w:szCs w:val="18"/>
              </w:rPr>
            </w:pPr>
            <w:r>
              <w:rPr>
                <w:rFonts w:ascii="宋体" w:hAnsi="宋体" w:cs="宋体" w:eastAsia="宋体" w:hint="default"/>
                <w:sz w:val="18"/>
                <w:szCs w:val="18"/>
              </w:rPr>
              <w:t>172.5</w:t>
            </w:r>
            <w:r>
              <w:rPr>
                <w:rFonts w:ascii="宋体" w:hAnsi="宋体" w:cs="宋体" w:eastAsia="宋体" w:hint="default"/>
                <w:spacing w:val="-46"/>
                <w:sz w:val="18"/>
                <w:szCs w:val="18"/>
              </w:rPr>
              <w:t> </w:t>
            </w:r>
            <w:r>
              <w:rPr>
                <w:rFonts w:ascii="宋体" w:hAnsi="宋体" w:cs="宋体" w:eastAsia="宋体" w:hint="default"/>
                <w:sz w:val="18"/>
                <w:szCs w:val="18"/>
              </w:rPr>
              <w:t>万</w:t>
            </w:r>
          </w:p>
          <w:p>
            <w:pPr>
              <w:pStyle w:val="TableParagraph"/>
              <w:spacing w:line="240" w:lineRule="auto" w:before="76"/>
              <w:ind w:left="523"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增资</w:t>
            </w:r>
          </w:p>
        </w:tc>
      </w:tr>
      <w:tr>
        <w:trPr>
          <w:trHeight w:val="420"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18"/>
                <w:szCs w:val="18"/>
              </w:rPr>
            </w:pPr>
            <w:r>
              <w:rPr>
                <w:rFonts w:ascii="宋体"/>
                <w:sz w:val="18"/>
              </w:rPr>
              <w:t>(3)</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18"/>
                <w:szCs w:val="18"/>
              </w:rPr>
            </w:pPr>
            <w:r>
              <w:rPr>
                <w:rFonts w:ascii="宋体" w:hAnsi="宋体" w:cs="宋体" w:eastAsia="宋体" w:hint="default"/>
                <w:sz w:val="18"/>
                <w:szCs w:val="18"/>
              </w:rPr>
              <w:t>东软集团（北京）有限公司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2" w:right="0"/>
              <w:jc w:val="left"/>
              <w:rPr>
                <w:rFonts w:ascii="宋体" w:hAnsi="宋体" w:cs="宋体" w:eastAsia="宋体" w:hint="default"/>
                <w:sz w:val="18"/>
                <w:szCs w:val="18"/>
              </w:rPr>
            </w:pPr>
            <w:r>
              <w:rPr>
                <w:rFonts w:ascii="宋体" w:hAnsi="宋体" w:cs="宋体" w:eastAsia="宋体" w:hint="default"/>
                <w:sz w:val="18"/>
                <w:szCs w:val="18"/>
              </w:rPr>
              <w:t>技术开发、咨询、服务等</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01"/>
              <w:jc w:val="right"/>
              <w:rPr>
                <w:rFonts w:ascii="宋体" w:hAnsi="宋体" w:cs="宋体" w:eastAsia="宋体" w:hint="default"/>
                <w:sz w:val="18"/>
                <w:szCs w:val="18"/>
              </w:rPr>
            </w:pPr>
            <w:r>
              <w:rPr>
                <w:rFonts w:ascii="宋体"/>
                <w:sz w:val="18"/>
              </w:rPr>
              <w:t>18,500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02"/>
              <w:jc w:val="right"/>
              <w:rPr>
                <w:rFonts w:ascii="宋体" w:hAnsi="宋体" w:cs="宋体" w:eastAsia="宋体" w:hint="default"/>
                <w:sz w:val="18"/>
                <w:szCs w:val="18"/>
              </w:rPr>
            </w:pPr>
            <w:r>
              <w:rPr>
                <w:rFonts w:ascii="宋体"/>
                <w:sz w:val="18"/>
              </w:rPr>
              <w:t>100.00%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2" w:right="0"/>
              <w:jc w:val="left"/>
              <w:rPr>
                <w:rFonts w:ascii="宋体" w:hAnsi="宋体" w:cs="宋体" w:eastAsia="宋体" w:hint="default"/>
                <w:sz w:val="18"/>
                <w:szCs w:val="18"/>
              </w:rPr>
            </w:pPr>
            <w:r>
              <w:rPr>
                <w:rFonts w:ascii="宋体" w:hAnsi="宋体" w:cs="宋体" w:eastAsia="宋体" w:hint="default"/>
                <w:sz w:val="18"/>
                <w:szCs w:val="18"/>
              </w:rPr>
              <w:t>增资</w:t>
            </w:r>
          </w:p>
        </w:tc>
      </w:tr>
      <w:tr>
        <w:trPr>
          <w:trHeight w:val="635"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(4)</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91"/>
              <w:jc w:val="left"/>
              <w:rPr>
                <w:rFonts w:ascii="宋体" w:hAnsi="宋体" w:cs="宋体" w:eastAsia="宋体" w:hint="default"/>
                <w:sz w:val="18"/>
                <w:szCs w:val="18"/>
              </w:rPr>
            </w:pPr>
            <w:r>
              <w:rPr>
                <w:rFonts w:ascii="宋体" w:hAnsi="宋体" w:cs="宋体" w:eastAsia="宋体" w:hint="default"/>
                <w:spacing w:val="9"/>
                <w:sz w:val="18"/>
                <w:szCs w:val="18"/>
              </w:rPr>
              <w:t>重庆国奥百年熙康健康管理有限 </w:t>
            </w:r>
            <w:r>
              <w:rPr>
                <w:rFonts w:ascii="宋体" w:hAnsi="宋体" w:cs="宋体" w:eastAsia="宋体" w:hint="default"/>
                <w:sz w:val="18"/>
                <w:szCs w:val="18"/>
              </w:rPr>
              <w:t>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2" w:right="101"/>
              <w:jc w:val="left"/>
              <w:rPr>
                <w:rFonts w:ascii="宋体" w:hAnsi="宋体" w:cs="宋体" w:eastAsia="宋体" w:hint="default"/>
                <w:sz w:val="18"/>
                <w:szCs w:val="18"/>
              </w:rPr>
            </w:pPr>
            <w:r>
              <w:rPr>
                <w:rFonts w:ascii="宋体" w:hAnsi="宋体" w:cs="宋体" w:eastAsia="宋体" w:hint="default"/>
                <w:spacing w:val="-6"/>
                <w:sz w:val="18"/>
                <w:szCs w:val="18"/>
              </w:rPr>
              <w:t>健康管理服务（不含治疗）；健康</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科技项目开发等</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40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20.00%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参股</w:t>
            </w:r>
          </w:p>
        </w:tc>
      </w:tr>
      <w:tr>
        <w:trPr>
          <w:trHeight w:val="634"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(5)</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4"/>
                <w:sz w:val="18"/>
                <w:szCs w:val="18"/>
              </w:rPr>
              <w:t>东软医疗（中东）自由区有限责任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1"/>
              <w:jc w:val="left"/>
              <w:rPr>
                <w:rFonts w:ascii="宋体" w:hAnsi="宋体" w:cs="宋体" w:eastAsia="宋体" w:hint="default"/>
                <w:sz w:val="18"/>
                <w:szCs w:val="18"/>
              </w:rPr>
            </w:pPr>
            <w:r>
              <w:rPr>
                <w:rFonts w:ascii="宋体" w:hAnsi="宋体" w:cs="宋体" w:eastAsia="宋体" w:hint="default"/>
                <w:spacing w:val="-6"/>
                <w:sz w:val="18"/>
                <w:szCs w:val="18"/>
              </w:rPr>
              <w:t>经营医疗系统，相关技术咨询、服</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务</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523" w:right="101" w:hanging="45"/>
              <w:jc w:val="left"/>
              <w:rPr>
                <w:rFonts w:ascii="宋体" w:hAnsi="宋体" w:cs="宋体" w:eastAsia="宋体" w:hint="default"/>
                <w:sz w:val="18"/>
                <w:szCs w:val="18"/>
              </w:rPr>
            </w:pPr>
            <w:r>
              <w:rPr>
                <w:rFonts w:ascii="宋体" w:hAnsi="宋体" w:cs="宋体" w:eastAsia="宋体" w:hint="default"/>
                <w:sz w:val="18"/>
                <w:szCs w:val="18"/>
              </w:rPr>
              <w:t>73</w:t>
            </w:r>
            <w:r>
              <w:rPr>
                <w:rFonts w:ascii="宋体" w:hAnsi="宋体" w:cs="宋体" w:eastAsia="宋体" w:hint="default"/>
                <w:spacing w:val="-46"/>
                <w:sz w:val="18"/>
                <w:szCs w:val="18"/>
              </w:rPr>
              <w:t> </w:t>
            </w:r>
            <w:r>
              <w:rPr>
                <w:rFonts w:ascii="宋体" w:hAnsi="宋体" w:cs="宋体" w:eastAsia="宋体" w:hint="default"/>
                <w:sz w:val="18"/>
                <w:szCs w:val="18"/>
              </w:rPr>
              <w:t>万</w:t>
            </w:r>
            <w:r>
              <w:rPr>
                <w:rFonts w:ascii="宋体" w:hAnsi="宋体" w:cs="宋体" w:eastAsia="宋体" w:hint="default"/>
                <w:sz w:val="18"/>
                <w:szCs w:val="18"/>
              </w:rPr>
              <w:t> 美元</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增资</w:t>
            </w:r>
          </w:p>
        </w:tc>
      </w:tr>
      <w:tr>
        <w:trPr>
          <w:trHeight w:val="634"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(6)</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广东东软时尚数字技术有限公司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1"/>
              <w:jc w:val="left"/>
              <w:rPr>
                <w:rFonts w:ascii="宋体" w:hAnsi="宋体" w:cs="宋体" w:eastAsia="宋体" w:hint="default"/>
                <w:sz w:val="18"/>
                <w:szCs w:val="18"/>
              </w:rPr>
            </w:pPr>
            <w:r>
              <w:rPr>
                <w:rFonts w:ascii="宋体" w:hAnsi="宋体" w:cs="宋体" w:eastAsia="宋体" w:hint="default"/>
                <w:spacing w:val="-6"/>
                <w:sz w:val="18"/>
                <w:szCs w:val="18"/>
              </w:rPr>
              <w:t>经营计算机软、硬件；医用防护设</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备等</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2,250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60.00%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131"/>
              <w:jc w:val="left"/>
              <w:rPr>
                <w:rFonts w:ascii="宋体" w:hAnsi="宋体" w:cs="宋体" w:eastAsia="宋体" w:hint="default"/>
                <w:sz w:val="18"/>
                <w:szCs w:val="18"/>
              </w:rPr>
            </w:pPr>
            <w:r>
              <w:rPr>
                <w:rFonts w:ascii="宋体" w:hAnsi="宋体" w:cs="宋体" w:eastAsia="宋体" w:hint="default"/>
                <w:sz w:val="18"/>
                <w:szCs w:val="18"/>
              </w:rPr>
              <w:t>新设立控股 子公司</w:t>
            </w:r>
          </w:p>
        </w:tc>
      </w:tr>
      <w:tr>
        <w:trPr>
          <w:trHeight w:val="635"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(7)</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91"/>
              <w:jc w:val="left"/>
              <w:rPr>
                <w:rFonts w:ascii="宋体" w:hAnsi="宋体" w:cs="宋体" w:eastAsia="宋体" w:hint="default"/>
                <w:sz w:val="18"/>
                <w:szCs w:val="18"/>
              </w:rPr>
            </w:pPr>
            <w:r>
              <w:rPr>
                <w:rFonts w:ascii="宋体" w:hAnsi="宋体" w:cs="宋体" w:eastAsia="宋体" w:hint="default"/>
                <w:spacing w:val="9"/>
                <w:sz w:val="18"/>
                <w:szCs w:val="18"/>
              </w:rPr>
              <w:t>南昌百特生物高新技术股份有限 </w:t>
            </w:r>
            <w:r>
              <w:rPr>
                <w:rFonts w:ascii="宋体" w:hAnsi="宋体" w:cs="宋体" w:eastAsia="宋体" w:hint="default"/>
                <w:sz w:val="18"/>
                <w:szCs w:val="18"/>
              </w:rPr>
              <w:t>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2" w:right="101"/>
              <w:jc w:val="left"/>
              <w:rPr>
                <w:rFonts w:ascii="宋体" w:hAnsi="宋体" w:cs="宋体" w:eastAsia="宋体" w:hint="default"/>
                <w:sz w:val="18"/>
                <w:szCs w:val="18"/>
              </w:rPr>
            </w:pPr>
            <w:r>
              <w:rPr>
                <w:rFonts w:ascii="宋体" w:hAnsi="宋体" w:cs="宋体" w:eastAsia="宋体" w:hint="default"/>
                <w:spacing w:val="-6"/>
                <w:sz w:val="18"/>
                <w:szCs w:val="18"/>
              </w:rPr>
              <w:t>医用体外诊断试剂、医疗器械；软</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件开发等</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2,760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9.01%</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1" w:right="131"/>
              <w:jc w:val="left"/>
              <w:rPr>
                <w:rFonts w:ascii="宋体" w:hAnsi="宋体" w:cs="宋体" w:eastAsia="宋体" w:hint="default"/>
                <w:sz w:val="18"/>
                <w:szCs w:val="18"/>
              </w:rPr>
            </w:pPr>
            <w:r>
              <w:rPr>
                <w:rFonts w:ascii="宋体" w:hAnsi="宋体" w:cs="宋体" w:eastAsia="宋体" w:hint="default"/>
                <w:sz w:val="18"/>
                <w:szCs w:val="18"/>
              </w:rPr>
              <w:t>认购新增注 册资本</w:t>
            </w:r>
          </w:p>
        </w:tc>
      </w:tr>
      <w:tr>
        <w:trPr>
          <w:trHeight w:val="431"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18"/>
                <w:szCs w:val="18"/>
              </w:rPr>
            </w:pPr>
            <w:r>
              <w:rPr>
                <w:rFonts w:ascii="宋体"/>
                <w:sz w:val="18"/>
              </w:rPr>
              <w:t>(8)</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北京东软越通软件技术有限公司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2" w:right="0"/>
              <w:jc w:val="left"/>
              <w:rPr>
                <w:rFonts w:ascii="宋体" w:hAnsi="宋体" w:cs="宋体" w:eastAsia="宋体" w:hint="default"/>
                <w:sz w:val="18"/>
                <w:szCs w:val="18"/>
              </w:rPr>
            </w:pPr>
            <w:r>
              <w:rPr>
                <w:rFonts w:ascii="宋体" w:hAnsi="宋体" w:cs="宋体" w:eastAsia="宋体" w:hint="default"/>
                <w:sz w:val="18"/>
                <w:szCs w:val="18"/>
              </w:rPr>
              <w:t>经营计算机软硬件以及服务</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1"/>
              <w:jc w:val="right"/>
              <w:rPr>
                <w:rFonts w:ascii="宋体" w:hAnsi="宋体" w:cs="宋体" w:eastAsia="宋体" w:hint="default"/>
                <w:sz w:val="18"/>
                <w:szCs w:val="18"/>
              </w:rPr>
            </w:pPr>
            <w:r>
              <w:rPr>
                <w:rFonts w:ascii="宋体"/>
                <w:sz w:val="18"/>
              </w:rPr>
              <w:t>350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02"/>
              <w:jc w:val="right"/>
              <w:rPr>
                <w:rFonts w:ascii="宋体" w:hAnsi="宋体" w:cs="宋体" w:eastAsia="宋体" w:hint="default"/>
                <w:sz w:val="18"/>
                <w:szCs w:val="18"/>
              </w:rPr>
            </w:pPr>
            <w:r>
              <w:rPr>
                <w:rFonts w:ascii="宋体"/>
                <w:sz w:val="18"/>
              </w:rPr>
              <w:t>70.00%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2" w:right="0"/>
              <w:jc w:val="left"/>
              <w:rPr>
                <w:rFonts w:ascii="宋体" w:hAnsi="宋体" w:cs="宋体" w:eastAsia="宋体" w:hint="default"/>
                <w:sz w:val="18"/>
                <w:szCs w:val="18"/>
              </w:rPr>
            </w:pPr>
            <w:r>
              <w:rPr>
                <w:rFonts w:ascii="宋体" w:hAnsi="宋体" w:cs="宋体" w:eastAsia="宋体" w:hint="default"/>
                <w:sz w:val="18"/>
                <w:szCs w:val="18"/>
              </w:rPr>
              <w:t>增资</w:t>
            </w:r>
          </w:p>
        </w:tc>
      </w:tr>
      <w:tr>
        <w:trPr>
          <w:trHeight w:val="634"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(9)</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东软（欧洲）有限公司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1"/>
              <w:jc w:val="left"/>
              <w:rPr>
                <w:rFonts w:ascii="宋体" w:hAnsi="宋体" w:cs="宋体" w:eastAsia="宋体" w:hint="default"/>
                <w:sz w:val="18"/>
                <w:szCs w:val="18"/>
              </w:rPr>
            </w:pPr>
            <w:r>
              <w:rPr>
                <w:rFonts w:ascii="宋体" w:hAnsi="宋体" w:cs="宋体" w:eastAsia="宋体" w:hint="default"/>
                <w:spacing w:val="-6"/>
                <w:sz w:val="18"/>
                <w:szCs w:val="18"/>
              </w:rPr>
              <w:t>经营计算机软硬件，技术咨询、服</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务</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18" w:right="0"/>
              <w:jc w:val="left"/>
              <w:rPr>
                <w:rFonts w:ascii="宋体" w:hAnsi="宋体" w:cs="宋体" w:eastAsia="宋体" w:hint="default"/>
                <w:sz w:val="18"/>
                <w:szCs w:val="18"/>
              </w:rPr>
            </w:pPr>
            <w:r>
              <w:rPr>
                <w:rFonts w:ascii="宋体" w:hAnsi="宋体" w:cs="宋体" w:eastAsia="宋体" w:hint="default"/>
                <w:sz w:val="18"/>
                <w:szCs w:val="18"/>
              </w:rPr>
              <w:t>748.49</w:t>
            </w:r>
            <w:r>
              <w:rPr>
                <w:rFonts w:ascii="宋体" w:hAnsi="宋体" w:cs="宋体" w:eastAsia="宋体" w:hint="default"/>
                <w:spacing w:val="-46"/>
                <w:sz w:val="18"/>
                <w:szCs w:val="18"/>
              </w:rPr>
              <w:t> </w:t>
            </w:r>
            <w:r>
              <w:rPr>
                <w:rFonts w:ascii="宋体" w:hAnsi="宋体" w:cs="宋体" w:eastAsia="宋体" w:hint="default"/>
                <w:sz w:val="18"/>
                <w:szCs w:val="18"/>
              </w:rPr>
              <w:t>万</w:t>
            </w:r>
          </w:p>
          <w:p>
            <w:pPr>
              <w:pStyle w:val="TableParagraph"/>
              <w:spacing w:line="240" w:lineRule="auto" w:before="76"/>
              <w:ind w:left="52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增资</w:t>
            </w:r>
          </w:p>
        </w:tc>
      </w:tr>
      <w:tr>
        <w:trPr>
          <w:trHeight w:val="634"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(10)</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沈阳东软交通信息技术有限公司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计算机服务业</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353.5</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50.5%</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131"/>
              <w:jc w:val="left"/>
              <w:rPr>
                <w:rFonts w:ascii="宋体" w:hAnsi="宋体" w:cs="宋体" w:eastAsia="宋体" w:hint="default"/>
                <w:sz w:val="18"/>
                <w:szCs w:val="18"/>
              </w:rPr>
            </w:pPr>
            <w:r>
              <w:rPr>
                <w:rFonts w:ascii="宋体" w:hAnsi="宋体" w:cs="宋体" w:eastAsia="宋体" w:hint="default"/>
                <w:sz w:val="18"/>
                <w:szCs w:val="18"/>
              </w:rPr>
              <w:t>新设立控股 子公司</w:t>
            </w:r>
          </w:p>
        </w:tc>
      </w:tr>
      <w:tr>
        <w:trPr>
          <w:trHeight w:val="635"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(11)</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东软集团南京有限公司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2" w:right="101"/>
              <w:jc w:val="left"/>
              <w:rPr>
                <w:rFonts w:ascii="宋体" w:hAnsi="宋体" w:cs="宋体" w:eastAsia="宋体" w:hint="default"/>
                <w:sz w:val="18"/>
                <w:szCs w:val="18"/>
              </w:rPr>
            </w:pPr>
            <w:r>
              <w:rPr>
                <w:rFonts w:ascii="宋体" w:hAnsi="宋体" w:cs="宋体" w:eastAsia="宋体" w:hint="default"/>
                <w:spacing w:val="-6"/>
                <w:sz w:val="18"/>
                <w:szCs w:val="18"/>
              </w:rPr>
              <w:t>计算机软、硬件、开发销售、技术</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咨询等</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1,200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1" w:right="131"/>
              <w:jc w:val="left"/>
              <w:rPr>
                <w:rFonts w:ascii="宋体" w:hAnsi="宋体" w:cs="宋体" w:eastAsia="宋体" w:hint="default"/>
                <w:sz w:val="18"/>
                <w:szCs w:val="18"/>
              </w:rPr>
            </w:pPr>
            <w:r>
              <w:rPr>
                <w:rFonts w:ascii="宋体" w:hAnsi="宋体" w:cs="宋体" w:eastAsia="宋体" w:hint="default"/>
                <w:sz w:val="18"/>
                <w:szCs w:val="18"/>
              </w:rPr>
              <w:t>新设立全资 子公司</w:t>
            </w:r>
          </w:p>
        </w:tc>
      </w:tr>
      <w:tr>
        <w:trPr>
          <w:trHeight w:val="634"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(12)</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东软熙康控股有限公司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IT</w:t>
            </w:r>
            <w:r>
              <w:rPr>
                <w:rFonts w:ascii="宋体" w:hAnsi="宋体" w:cs="宋体" w:eastAsia="宋体" w:hint="default"/>
                <w:spacing w:val="-46"/>
                <w:sz w:val="18"/>
                <w:szCs w:val="18"/>
              </w:rPr>
              <w:t> </w:t>
            </w:r>
            <w:r>
              <w:rPr>
                <w:rFonts w:ascii="宋体" w:hAnsi="宋体" w:cs="宋体" w:eastAsia="宋体" w:hint="default"/>
                <w:sz w:val="18"/>
                <w:szCs w:val="18"/>
              </w:rPr>
              <w:t>及相关咨询服务</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523" w:right="101" w:hanging="135"/>
              <w:jc w:val="left"/>
              <w:rPr>
                <w:rFonts w:ascii="宋体" w:hAnsi="宋体" w:cs="宋体" w:eastAsia="宋体" w:hint="default"/>
                <w:sz w:val="18"/>
                <w:szCs w:val="18"/>
              </w:rPr>
            </w:pPr>
            <w:r>
              <w:rPr>
                <w:rFonts w:ascii="宋体" w:hAnsi="宋体" w:cs="宋体" w:eastAsia="宋体" w:hint="default"/>
                <w:sz w:val="18"/>
                <w:szCs w:val="18"/>
              </w:rPr>
              <w:t>3.5</w:t>
            </w:r>
            <w:r>
              <w:rPr>
                <w:rFonts w:ascii="宋体" w:hAnsi="宋体" w:cs="宋体" w:eastAsia="宋体" w:hint="default"/>
                <w:spacing w:val="-46"/>
                <w:sz w:val="18"/>
                <w:szCs w:val="18"/>
              </w:rPr>
              <w:t> </w:t>
            </w:r>
            <w:r>
              <w:rPr>
                <w:rFonts w:ascii="宋体" w:hAnsi="宋体" w:cs="宋体" w:eastAsia="宋体" w:hint="default"/>
                <w:sz w:val="18"/>
                <w:szCs w:val="18"/>
              </w:rPr>
              <w:t>万</w:t>
            </w:r>
            <w:r>
              <w:rPr>
                <w:rFonts w:ascii="宋体" w:hAnsi="宋体" w:cs="宋体" w:eastAsia="宋体" w:hint="default"/>
                <w:sz w:val="18"/>
                <w:szCs w:val="18"/>
              </w:rPr>
              <w:t> 美元</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70.00%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131"/>
              <w:jc w:val="left"/>
              <w:rPr>
                <w:rFonts w:ascii="宋体" w:hAnsi="宋体" w:cs="宋体" w:eastAsia="宋体" w:hint="default"/>
                <w:sz w:val="18"/>
                <w:szCs w:val="18"/>
              </w:rPr>
            </w:pPr>
            <w:r>
              <w:rPr>
                <w:rFonts w:ascii="宋体" w:hAnsi="宋体" w:cs="宋体" w:eastAsia="宋体" w:hint="default"/>
                <w:sz w:val="18"/>
                <w:szCs w:val="18"/>
              </w:rPr>
              <w:t>新设立控股 子公司</w:t>
            </w:r>
          </w:p>
        </w:tc>
      </w:tr>
      <w:tr>
        <w:trPr>
          <w:trHeight w:val="634"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(13)</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东软熙康国际有限公司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IT</w:t>
            </w:r>
            <w:r>
              <w:rPr>
                <w:rFonts w:ascii="宋体" w:hAnsi="宋体" w:cs="宋体" w:eastAsia="宋体" w:hint="default"/>
                <w:spacing w:val="-46"/>
                <w:sz w:val="18"/>
                <w:szCs w:val="18"/>
              </w:rPr>
              <w:t> </w:t>
            </w:r>
            <w:r>
              <w:rPr>
                <w:rFonts w:ascii="宋体" w:hAnsi="宋体" w:cs="宋体" w:eastAsia="宋体" w:hint="default"/>
                <w:sz w:val="18"/>
                <w:szCs w:val="18"/>
              </w:rPr>
              <w:t>及相关咨询服务</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center"/>
              <w:rPr>
                <w:rFonts w:ascii="宋体" w:hAnsi="宋体" w:cs="宋体" w:eastAsia="宋体" w:hint="default"/>
                <w:sz w:val="18"/>
                <w:szCs w:val="18"/>
              </w:rPr>
            </w:pPr>
            <w:r>
              <w:rPr>
                <w:rFonts w:ascii="宋体" w:hAnsi="宋体" w:cs="宋体" w:eastAsia="宋体" w:hint="default"/>
                <w:sz w:val="18"/>
                <w:szCs w:val="18"/>
              </w:rPr>
              <w:t>100</w:t>
            </w:r>
            <w:r>
              <w:rPr>
                <w:rFonts w:ascii="宋体" w:hAnsi="宋体" w:cs="宋体" w:eastAsia="宋体" w:hint="default"/>
                <w:spacing w:val="-46"/>
                <w:sz w:val="18"/>
                <w:szCs w:val="18"/>
              </w:rPr>
              <w:t> </w:t>
            </w:r>
            <w:r>
              <w:rPr>
                <w:rFonts w:ascii="宋体" w:hAnsi="宋体" w:cs="宋体" w:eastAsia="宋体" w:hint="default"/>
                <w:sz w:val="18"/>
                <w:szCs w:val="18"/>
              </w:rPr>
              <w:t>万</w:t>
            </w:r>
          </w:p>
          <w:p>
            <w:pPr>
              <w:pStyle w:val="TableParagraph"/>
              <w:spacing w:line="240" w:lineRule="auto" w:before="76"/>
              <w:ind w:left="420" w:right="0"/>
              <w:jc w:val="center"/>
              <w:rPr>
                <w:rFonts w:ascii="宋体" w:hAnsi="宋体" w:cs="宋体" w:eastAsia="宋体" w:hint="default"/>
                <w:sz w:val="18"/>
                <w:szCs w:val="18"/>
              </w:rPr>
            </w:pPr>
            <w:r>
              <w:rPr>
                <w:rFonts w:ascii="宋体" w:hAnsi="宋体" w:cs="宋体" w:eastAsia="宋体" w:hint="default"/>
                <w:sz w:val="18"/>
                <w:szCs w:val="18"/>
              </w:rPr>
              <w:t>港元</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31"/>
              <w:jc w:val="left"/>
              <w:rPr>
                <w:rFonts w:ascii="宋体" w:hAnsi="宋体" w:cs="宋体" w:eastAsia="宋体" w:hint="default"/>
                <w:sz w:val="18"/>
                <w:szCs w:val="18"/>
              </w:rPr>
            </w:pPr>
            <w:r>
              <w:rPr>
                <w:rFonts w:ascii="宋体" w:hAnsi="宋体" w:cs="宋体" w:eastAsia="宋体" w:hint="default"/>
                <w:sz w:val="18"/>
                <w:szCs w:val="18"/>
              </w:rPr>
              <w:t>收购兼并、 增资</w:t>
            </w:r>
          </w:p>
        </w:tc>
      </w:tr>
      <w:tr>
        <w:trPr>
          <w:trHeight w:val="635"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(14)</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东软熙康健康科技有限公司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2" w:right="101"/>
              <w:jc w:val="left"/>
              <w:rPr>
                <w:rFonts w:ascii="宋体" w:hAnsi="宋体" w:cs="宋体" w:eastAsia="宋体" w:hint="default"/>
                <w:sz w:val="18"/>
                <w:szCs w:val="18"/>
              </w:rPr>
            </w:pPr>
            <w:r>
              <w:rPr>
                <w:rFonts w:ascii="宋体" w:hAnsi="宋体" w:cs="宋体" w:eastAsia="宋体" w:hint="default"/>
                <w:spacing w:val="-6"/>
                <w:sz w:val="18"/>
                <w:szCs w:val="18"/>
              </w:rPr>
              <w:t>计算机软硬件、电子产品开发、企</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业投资管理咨询</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85" w:right="0"/>
              <w:jc w:val="center"/>
              <w:rPr>
                <w:rFonts w:ascii="宋体" w:hAnsi="宋体" w:cs="宋体" w:eastAsia="宋体" w:hint="default"/>
                <w:sz w:val="18"/>
                <w:szCs w:val="18"/>
              </w:rPr>
            </w:pPr>
            <w:r>
              <w:rPr>
                <w:rFonts w:ascii="宋体" w:hAnsi="宋体" w:cs="宋体" w:eastAsia="宋体" w:hint="default"/>
                <w:sz w:val="18"/>
                <w:szCs w:val="18"/>
              </w:rPr>
              <w:t>800</w:t>
            </w:r>
            <w:r>
              <w:rPr>
                <w:rFonts w:ascii="宋体" w:hAnsi="宋体" w:cs="宋体" w:eastAsia="宋体" w:hint="default"/>
                <w:spacing w:val="-46"/>
                <w:sz w:val="18"/>
                <w:szCs w:val="18"/>
              </w:rPr>
              <w:t> </w:t>
            </w:r>
            <w:r>
              <w:rPr>
                <w:rFonts w:ascii="宋体" w:hAnsi="宋体" w:cs="宋体" w:eastAsia="宋体" w:hint="default"/>
                <w:sz w:val="18"/>
                <w:szCs w:val="18"/>
              </w:rPr>
              <w:t>万</w:t>
            </w:r>
          </w:p>
          <w:p>
            <w:pPr>
              <w:pStyle w:val="TableParagraph"/>
              <w:spacing w:line="240" w:lineRule="auto" w:before="76"/>
              <w:ind w:left="420" w:right="0"/>
              <w:jc w:val="center"/>
              <w:rPr>
                <w:rFonts w:ascii="宋体" w:hAnsi="宋体" w:cs="宋体" w:eastAsia="宋体" w:hint="default"/>
                <w:sz w:val="18"/>
                <w:szCs w:val="18"/>
              </w:rPr>
            </w:pPr>
            <w:r>
              <w:rPr>
                <w:rFonts w:ascii="宋体" w:hAnsi="宋体" w:cs="宋体" w:eastAsia="宋体" w:hint="default"/>
                <w:sz w:val="18"/>
                <w:szCs w:val="18"/>
              </w:rPr>
              <w:t>美元</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2" w:right="131"/>
              <w:jc w:val="left"/>
              <w:rPr>
                <w:rFonts w:ascii="宋体" w:hAnsi="宋体" w:cs="宋体" w:eastAsia="宋体" w:hint="default"/>
                <w:sz w:val="18"/>
                <w:szCs w:val="18"/>
              </w:rPr>
            </w:pPr>
            <w:r>
              <w:rPr>
                <w:rFonts w:ascii="宋体" w:hAnsi="宋体" w:cs="宋体" w:eastAsia="宋体" w:hint="default"/>
                <w:sz w:val="18"/>
                <w:szCs w:val="18"/>
              </w:rPr>
              <w:t>新设立间接 控股子公司</w:t>
            </w:r>
          </w:p>
        </w:tc>
      </w:tr>
      <w:tr>
        <w:trPr>
          <w:trHeight w:val="634"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sz w:val="18"/>
              </w:rPr>
              <w:t>(15)</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53"/>
              <w:ind w:left="103" w:right="11"/>
              <w:jc w:val="left"/>
              <w:rPr>
                <w:rFonts w:ascii="宋体" w:hAnsi="宋体" w:cs="宋体" w:eastAsia="宋体" w:hint="default"/>
                <w:sz w:val="18"/>
                <w:szCs w:val="18"/>
              </w:rPr>
            </w:pPr>
            <w:r>
              <w:rPr>
                <w:rFonts w:ascii="宋体" w:hAnsi="宋体" w:cs="宋体" w:eastAsia="宋体" w:hint="default"/>
                <w:sz w:val="18"/>
                <w:szCs w:val="18"/>
              </w:rPr>
              <w:t>Aerotel Medical</w:t>
            </w:r>
            <w:r>
              <w:rPr>
                <w:rFonts w:ascii="宋体" w:hAnsi="宋体" w:cs="宋体" w:eastAsia="宋体" w:hint="default"/>
                <w:spacing w:val="-56"/>
                <w:sz w:val="18"/>
                <w:szCs w:val="18"/>
              </w:rPr>
              <w:t> </w:t>
            </w:r>
            <w:r>
              <w:rPr>
                <w:rFonts w:ascii="宋体" w:hAnsi="宋体" w:cs="宋体" w:eastAsia="宋体" w:hint="default"/>
                <w:sz w:val="18"/>
                <w:szCs w:val="18"/>
              </w:rPr>
              <w:t>Systems（1998）</w:t>
            </w:r>
            <w:r>
              <w:rPr>
                <w:rFonts w:ascii="宋体" w:hAnsi="宋体" w:cs="宋体" w:eastAsia="宋体" w:hint="default"/>
                <w:sz w:val="18"/>
                <w:szCs w:val="18"/>
              </w:rPr>
              <w:t> Ltd.</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1"/>
              <w:jc w:val="left"/>
              <w:rPr>
                <w:rFonts w:ascii="宋体" w:hAnsi="宋体" w:cs="宋体" w:eastAsia="宋体" w:hint="default"/>
                <w:sz w:val="18"/>
                <w:szCs w:val="18"/>
              </w:rPr>
            </w:pPr>
            <w:r>
              <w:rPr>
                <w:rFonts w:ascii="宋体" w:hAnsi="宋体" w:cs="宋体" w:eastAsia="宋体" w:hint="default"/>
                <w:spacing w:val="-6"/>
                <w:sz w:val="18"/>
                <w:szCs w:val="18"/>
              </w:rPr>
              <w:t>远程医疗诊断、保健、护理等解决</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方案</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08" w:right="0"/>
              <w:jc w:val="left"/>
              <w:rPr>
                <w:rFonts w:ascii="宋体" w:hAnsi="宋体" w:cs="宋体" w:eastAsia="宋体" w:hint="default"/>
                <w:sz w:val="18"/>
                <w:szCs w:val="18"/>
              </w:rPr>
            </w:pPr>
            <w:r>
              <w:rPr>
                <w:rFonts w:ascii="宋体" w:hAnsi="宋体" w:cs="宋体" w:eastAsia="宋体" w:hint="default"/>
                <w:sz w:val="18"/>
                <w:szCs w:val="18"/>
              </w:rPr>
              <w:t>177.7</w:t>
            </w:r>
            <w:r>
              <w:rPr>
                <w:rFonts w:ascii="宋体" w:hAnsi="宋体" w:cs="宋体" w:eastAsia="宋体" w:hint="default"/>
                <w:spacing w:val="-46"/>
                <w:sz w:val="18"/>
                <w:szCs w:val="18"/>
              </w:rPr>
              <w:t> </w:t>
            </w:r>
            <w:r>
              <w:rPr>
                <w:rFonts w:ascii="宋体" w:hAnsi="宋体" w:cs="宋体" w:eastAsia="宋体" w:hint="default"/>
                <w:sz w:val="18"/>
                <w:szCs w:val="18"/>
              </w:rPr>
              <w:t>万</w:t>
            </w:r>
          </w:p>
          <w:p>
            <w:pPr>
              <w:pStyle w:val="TableParagraph"/>
              <w:spacing w:line="240" w:lineRule="auto" w:before="76"/>
              <w:ind w:left="523"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30.77%</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31"/>
              <w:jc w:val="left"/>
              <w:rPr>
                <w:rFonts w:ascii="宋体" w:hAnsi="宋体" w:cs="宋体" w:eastAsia="宋体" w:hint="default"/>
                <w:sz w:val="18"/>
                <w:szCs w:val="18"/>
              </w:rPr>
            </w:pPr>
            <w:r>
              <w:rPr>
                <w:rFonts w:ascii="宋体" w:hAnsi="宋体" w:cs="宋体" w:eastAsia="宋体" w:hint="default"/>
                <w:sz w:val="18"/>
                <w:szCs w:val="18"/>
              </w:rPr>
              <w:t>认购新增发 行普通股</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pStyle w:val="BodyText"/>
        <w:spacing w:line="240" w:lineRule="auto"/>
        <w:ind w:left="338" w:right="337"/>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type w:val="continuous"/>
          <w:pgSz w:w="11910" w:h="16840"/>
          <w:pgMar w:top="1600" w:bottom="280" w:left="1080" w:right="1060"/>
        </w:sectPr>
      </w:pPr>
    </w:p>
    <w:p>
      <w:pPr>
        <w:spacing w:line="240" w:lineRule="auto" w:before="6"/>
        <w:rPr>
          <w:rFonts w:ascii="黑体" w:hAnsi="黑体" w:cs="黑体" w:eastAsia="黑体" w:hint="default"/>
          <w:sz w:val="20"/>
          <w:szCs w:val="20"/>
        </w:rPr>
      </w:pPr>
    </w:p>
    <w:tbl>
      <w:tblPr>
        <w:tblW w:w="0" w:type="auto"/>
        <w:jc w:val="left"/>
        <w:tblInd w:w="108" w:type="dxa"/>
        <w:tblLayout w:type="fixed"/>
        <w:tblCellMar>
          <w:top w:w="0" w:type="dxa"/>
          <w:left w:w="0" w:type="dxa"/>
          <w:bottom w:w="0" w:type="dxa"/>
          <w:right w:w="0" w:type="dxa"/>
        </w:tblCellMar>
        <w:tblLook w:val="01E0"/>
      </w:tblPr>
      <w:tblGrid>
        <w:gridCol w:w="625"/>
        <w:gridCol w:w="2861"/>
        <w:gridCol w:w="2836"/>
        <w:gridCol w:w="996"/>
        <w:gridCol w:w="1060"/>
        <w:gridCol w:w="1145"/>
      </w:tblGrid>
      <w:tr>
        <w:trPr>
          <w:trHeight w:val="946"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24"/>
                <w:szCs w:val="24"/>
              </w:rPr>
            </w:pPr>
          </w:p>
          <w:p>
            <w:pPr>
              <w:pStyle w:val="TableParagraph"/>
              <w:spacing w:line="240" w:lineRule="auto"/>
              <w:ind w:left="126" w:right="0"/>
              <w:jc w:val="left"/>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24"/>
                <w:szCs w:val="24"/>
              </w:rPr>
            </w:pPr>
          </w:p>
          <w:p>
            <w:pPr>
              <w:pStyle w:val="TableParagraph"/>
              <w:spacing w:line="240" w:lineRule="auto"/>
              <w:ind w:left="702" w:right="0"/>
              <w:jc w:val="left"/>
              <w:rPr>
                <w:rFonts w:ascii="宋体" w:hAnsi="宋体" w:cs="宋体" w:eastAsia="宋体" w:hint="default"/>
                <w:sz w:val="18"/>
                <w:szCs w:val="18"/>
              </w:rPr>
            </w:pPr>
            <w:r>
              <w:rPr>
                <w:rFonts w:ascii="宋体" w:hAnsi="宋体" w:cs="宋体" w:eastAsia="宋体" w:hint="default"/>
                <w:b/>
                <w:bCs/>
                <w:sz w:val="18"/>
                <w:szCs w:val="18"/>
              </w:rPr>
              <w:t>被投资的公司名称</w:t>
            </w:r>
            <w:r>
              <w:rPr>
                <w:rFonts w:ascii="宋体" w:hAnsi="宋体" w:cs="宋体" w:eastAsia="宋体" w:hint="default"/>
                <w:sz w:val="18"/>
                <w:szCs w:val="18"/>
              </w:rPr>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24"/>
                <w:szCs w:val="24"/>
              </w:rPr>
            </w:pPr>
          </w:p>
          <w:p>
            <w:pPr>
              <w:pStyle w:val="TableParagraph"/>
              <w:spacing w:line="240" w:lineRule="auto"/>
              <w:ind w:left="870" w:right="0"/>
              <w:jc w:val="left"/>
              <w:rPr>
                <w:rFonts w:ascii="宋体" w:hAnsi="宋体" w:cs="宋体" w:eastAsia="宋体" w:hint="default"/>
                <w:sz w:val="18"/>
                <w:szCs w:val="18"/>
              </w:rPr>
            </w:pPr>
            <w:r>
              <w:rPr>
                <w:rFonts w:ascii="宋体" w:hAnsi="宋体" w:cs="宋体" w:eastAsia="宋体" w:hint="default"/>
                <w:b/>
                <w:bCs/>
                <w:sz w:val="18"/>
                <w:szCs w:val="18"/>
              </w:rPr>
              <w:t>主要经营活动</w:t>
            </w:r>
            <w:r>
              <w:rPr>
                <w:rFonts w:ascii="宋体" w:hAnsi="宋体" w:cs="宋体" w:eastAsia="宋体" w:hint="default"/>
                <w:sz w:val="18"/>
                <w:szCs w:val="18"/>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24"/>
                <w:szCs w:val="24"/>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b/>
                <w:bCs/>
                <w:sz w:val="18"/>
                <w:szCs w:val="18"/>
              </w:rPr>
              <w:t>投资额</w:t>
            </w:r>
            <w:r>
              <w:rPr>
                <w:rFonts w:ascii="宋体" w:hAnsi="宋体" w:cs="宋体" w:eastAsia="宋体" w:hint="default"/>
                <w:sz w:val="18"/>
                <w:szCs w:val="18"/>
              </w:rPr>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63" w:right="162"/>
              <w:jc w:val="both"/>
              <w:rPr>
                <w:rFonts w:ascii="宋体" w:hAnsi="宋体" w:cs="宋体" w:eastAsia="宋体" w:hint="default"/>
                <w:sz w:val="18"/>
                <w:szCs w:val="18"/>
              </w:rPr>
            </w:pPr>
            <w:r>
              <w:rPr>
                <w:rFonts w:ascii="宋体" w:hAnsi="宋体" w:cs="宋体" w:eastAsia="宋体" w:hint="default"/>
                <w:b/>
                <w:bCs/>
                <w:sz w:val="18"/>
                <w:szCs w:val="18"/>
              </w:rPr>
              <w:t>占被投资</w:t>
            </w:r>
            <w:r>
              <w:rPr>
                <w:rFonts w:ascii="宋体" w:hAnsi="宋体" w:cs="宋体" w:eastAsia="宋体" w:hint="default"/>
                <w:b/>
                <w:bCs/>
                <w:w w:val="99"/>
                <w:sz w:val="18"/>
                <w:szCs w:val="18"/>
              </w:rPr>
              <w:t> </w:t>
            </w:r>
            <w:r>
              <w:rPr>
                <w:rFonts w:ascii="宋体" w:hAnsi="宋体" w:cs="宋体" w:eastAsia="宋体" w:hint="default"/>
                <w:b/>
                <w:bCs/>
                <w:sz w:val="18"/>
                <w:szCs w:val="18"/>
              </w:rPr>
              <w:t>公司权益</w:t>
            </w:r>
            <w:r>
              <w:rPr>
                <w:rFonts w:ascii="宋体" w:hAnsi="宋体" w:cs="宋体" w:eastAsia="宋体" w:hint="default"/>
                <w:b/>
                <w:bCs/>
                <w:w w:val="99"/>
                <w:sz w:val="18"/>
                <w:szCs w:val="18"/>
              </w:rPr>
              <w:t> </w:t>
            </w:r>
            <w:r>
              <w:rPr>
                <w:rFonts w:ascii="宋体" w:hAnsi="宋体" w:cs="宋体" w:eastAsia="宋体" w:hint="default"/>
                <w:b/>
                <w:bCs/>
                <w:sz w:val="18"/>
                <w:szCs w:val="18"/>
              </w:rPr>
              <w:t>的比例</w:t>
            </w:r>
            <w:r>
              <w:rPr>
                <w:rFonts w:ascii="宋体" w:hAnsi="宋体" w:cs="宋体" w:eastAsia="宋体" w:hint="default"/>
                <w:sz w:val="18"/>
                <w:szCs w:val="18"/>
              </w:rPr>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备注</w:t>
            </w:r>
            <w:r>
              <w:rPr>
                <w:rFonts w:ascii="宋体" w:hAnsi="宋体" w:cs="宋体" w:eastAsia="宋体" w:hint="default"/>
                <w:sz w:val="18"/>
                <w:szCs w:val="18"/>
              </w:rPr>
            </w:r>
          </w:p>
        </w:tc>
      </w:tr>
      <w:tr>
        <w:trPr>
          <w:trHeight w:val="635"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left="127" w:right="0"/>
              <w:jc w:val="left"/>
              <w:rPr>
                <w:rFonts w:ascii="宋体" w:hAnsi="宋体" w:cs="宋体" w:eastAsia="宋体" w:hint="default"/>
                <w:sz w:val="18"/>
                <w:szCs w:val="18"/>
              </w:rPr>
            </w:pPr>
            <w:r>
              <w:rPr>
                <w:rFonts w:ascii="宋体"/>
                <w:sz w:val="18"/>
              </w:rPr>
              <w:t>(16)</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沈阳东芝东软信息系统有限公司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2" w:right="96"/>
              <w:jc w:val="left"/>
              <w:rPr>
                <w:rFonts w:ascii="宋体" w:hAnsi="宋体" w:cs="宋体" w:eastAsia="宋体" w:hint="default"/>
                <w:sz w:val="18"/>
                <w:szCs w:val="18"/>
              </w:rPr>
            </w:pPr>
            <w:r>
              <w:rPr>
                <w:rFonts w:ascii="宋体" w:hAnsi="宋体" w:cs="宋体" w:eastAsia="宋体" w:hint="default"/>
                <w:spacing w:val="7"/>
                <w:sz w:val="18"/>
                <w:szCs w:val="18"/>
              </w:rPr>
              <w:t>软件产品开发及软、硬件产品批</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发、零售</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905.1</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40.00%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参股</w:t>
            </w:r>
          </w:p>
        </w:tc>
      </w:tr>
      <w:tr>
        <w:trPr>
          <w:trHeight w:val="490"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2" w:right="0"/>
              <w:jc w:val="left"/>
              <w:rPr>
                <w:rFonts w:ascii="宋体" w:hAnsi="宋体" w:cs="宋体" w:eastAsia="宋体" w:hint="default"/>
                <w:sz w:val="18"/>
                <w:szCs w:val="18"/>
              </w:rPr>
            </w:pPr>
            <w:r>
              <w:rPr>
                <w:rFonts w:ascii="宋体"/>
                <w:sz w:val="18"/>
              </w:rPr>
              <w:t>(17)</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日电东软信息技术有限公司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2" w:right="203"/>
              <w:jc w:val="left"/>
              <w:rPr>
                <w:rFonts w:ascii="宋体" w:hAnsi="宋体" w:cs="宋体" w:eastAsia="宋体" w:hint="default"/>
                <w:sz w:val="18"/>
                <w:szCs w:val="18"/>
              </w:rPr>
            </w:pPr>
            <w:r>
              <w:rPr>
                <w:rFonts w:ascii="宋体" w:hAnsi="宋体" w:cs="宋体" w:eastAsia="宋体" w:hint="default"/>
                <w:sz w:val="18"/>
                <w:szCs w:val="18"/>
              </w:rPr>
              <w:t>经营计算机软系统集成，计算机 软、硬件开发等</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宋体" w:hAnsi="宋体" w:cs="宋体" w:eastAsia="宋体" w:hint="default"/>
                <w:sz w:val="18"/>
                <w:szCs w:val="18"/>
              </w:rPr>
            </w:pPr>
            <w:r>
              <w:rPr>
                <w:rFonts w:ascii="宋体"/>
                <w:sz w:val="18"/>
              </w:rPr>
              <w:t>450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8"/>
                <w:szCs w:val="18"/>
              </w:rPr>
            </w:pPr>
            <w:r>
              <w:rPr>
                <w:rFonts w:ascii="宋体"/>
                <w:sz w:val="18"/>
              </w:rPr>
              <w:t>30.00%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1" w:right="0"/>
              <w:jc w:val="left"/>
              <w:rPr>
                <w:rFonts w:ascii="宋体" w:hAnsi="宋体" w:cs="宋体" w:eastAsia="宋体" w:hint="default"/>
                <w:sz w:val="18"/>
                <w:szCs w:val="18"/>
              </w:rPr>
            </w:pPr>
            <w:r>
              <w:rPr>
                <w:rFonts w:ascii="宋体" w:hAnsi="宋体" w:cs="宋体" w:eastAsia="宋体" w:hint="default"/>
                <w:sz w:val="18"/>
                <w:szCs w:val="18"/>
              </w:rPr>
              <w:t>参股</w:t>
            </w:r>
          </w:p>
        </w:tc>
      </w:tr>
      <w:tr>
        <w:trPr>
          <w:trHeight w:val="490"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27" w:right="0"/>
              <w:jc w:val="left"/>
              <w:rPr>
                <w:rFonts w:ascii="宋体" w:hAnsi="宋体" w:cs="宋体" w:eastAsia="宋体" w:hint="default"/>
                <w:sz w:val="18"/>
                <w:szCs w:val="18"/>
              </w:rPr>
            </w:pPr>
            <w:r>
              <w:rPr>
                <w:rFonts w:ascii="宋体"/>
                <w:sz w:val="18"/>
              </w:rPr>
              <w:t>(18)</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227"/>
              <w:jc w:val="left"/>
              <w:rPr>
                <w:rFonts w:ascii="宋体" w:hAnsi="宋体" w:cs="宋体" w:eastAsia="宋体" w:hint="default"/>
                <w:sz w:val="18"/>
                <w:szCs w:val="18"/>
              </w:rPr>
            </w:pPr>
            <w:r>
              <w:rPr>
                <w:rFonts w:ascii="宋体" w:hAnsi="宋体" w:cs="宋体" w:eastAsia="宋体" w:hint="default"/>
                <w:sz w:val="18"/>
                <w:szCs w:val="18"/>
              </w:rPr>
              <w:t>北京利博赛社保信息技术有限公 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2" w:right="0"/>
              <w:jc w:val="left"/>
              <w:rPr>
                <w:rFonts w:ascii="宋体" w:hAnsi="宋体" w:cs="宋体" w:eastAsia="宋体" w:hint="default"/>
                <w:sz w:val="18"/>
                <w:szCs w:val="18"/>
              </w:rPr>
            </w:pPr>
            <w:r>
              <w:rPr>
                <w:rFonts w:ascii="宋体" w:hAnsi="宋体" w:cs="宋体" w:eastAsia="宋体" w:hint="default"/>
                <w:sz w:val="18"/>
                <w:szCs w:val="18"/>
              </w:rPr>
              <w:t>技术开发咨询服务及产品销售</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宋体" w:hAnsi="宋体" w:cs="宋体" w:eastAsia="宋体" w:hint="default"/>
                <w:sz w:val="18"/>
                <w:szCs w:val="18"/>
              </w:rPr>
            </w:pPr>
            <w:r>
              <w:rPr>
                <w:rFonts w:ascii="宋体"/>
                <w:sz w:val="18"/>
              </w:rPr>
              <w:t>539.03</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2"/>
              <w:jc w:val="right"/>
              <w:rPr>
                <w:rFonts w:ascii="宋体" w:hAnsi="宋体" w:cs="宋体" w:eastAsia="宋体" w:hint="default"/>
                <w:sz w:val="18"/>
                <w:szCs w:val="18"/>
              </w:rPr>
            </w:pPr>
            <w:r>
              <w:rPr>
                <w:rFonts w:ascii="宋体"/>
                <w:sz w:val="18"/>
              </w:rPr>
              <w:t>61.67%</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1" w:right="0"/>
              <w:jc w:val="left"/>
              <w:rPr>
                <w:rFonts w:ascii="宋体" w:hAnsi="宋体" w:cs="宋体" w:eastAsia="宋体" w:hint="default"/>
                <w:sz w:val="18"/>
                <w:szCs w:val="18"/>
              </w:rPr>
            </w:pPr>
            <w:r>
              <w:rPr>
                <w:rFonts w:ascii="宋体" w:hAnsi="宋体" w:cs="宋体" w:eastAsia="宋体" w:hint="default"/>
                <w:sz w:val="18"/>
                <w:szCs w:val="18"/>
              </w:rPr>
              <w:t>收购、控股</w:t>
            </w:r>
          </w:p>
        </w:tc>
      </w:tr>
      <w:tr>
        <w:trPr>
          <w:trHeight w:val="635"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sz w:val="13"/>
                <w:szCs w:val="13"/>
              </w:rPr>
            </w:pPr>
          </w:p>
          <w:p>
            <w:pPr>
              <w:pStyle w:val="TableParagraph"/>
              <w:spacing w:line="240" w:lineRule="auto"/>
              <w:ind w:left="102" w:right="0"/>
              <w:jc w:val="left"/>
              <w:rPr>
                <w:rFonts w:ascii="宋体" w:hAnsi="宋体" w:cs="宋体" w:eastAsia="宋体" w:hint="default"/>
                <w:sz w:val="18"/>
                <w:szCs w:val="18"/>
              </w:rPr>
            </w:pPr>
            <w:r>
              <w:rPr>
                <w:rFonts w:ascii="宋体"/>
                <w:sz w:val="18"/>
              </w:rPr>
              <w:t>(19)</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黑体" w:hAnsi="黑体" w:cs="黑体" w:eastAsia="黑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北京东软望海科技有限公司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2" w:right="101"/>
              <w:jc w:val="left"/>
              <w:rPr>
                <w:rFonts w:ascii="宋体" w:hAnsi="宋体" w:cs="宋体" w:eastAsia="宋体" w:hint="default"/>
                <w:sz w:val="18"/>
                <w:szCs w:val="18"/>
              </w:rPr>
            </w:pPr>
            <w:r>
              <w:rPr>
                <w:rFonts w:ascii="宋体" w:hAnsi="宋体" w:cs="宋体" w:eastAsia="宋体" w:hint="default"/>
                <w:spacing w:val="-6"/>
                <w:sz w:val="18"/>
                <w:szCs w:val="18"/>
              </w:rPr>
              <w:t>开发、生产计算机软件；销售自产</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产品；技术支持服务等</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11,410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73.14%</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1" w:right="131"/>
              <w:jc w:val="left"/>
              <w:rPr>
                <w:rFonts w:ascii="宋体" w:hAnsi="宋体" w:cs="宋体" w:eastAsia="宋体" w:hint="default"/>
                <w:sz w:val="18"/>
                <w:szCs w:val="18"/>
              </w:rPr>
            </w:pPr>
            <w:r>
              <w:rPr>
                <w:rFonts w:ascii="宋体" w:hAnsi="宋体" w:cs="宋体" w:eastAsia="宋体" w:hint="default"/>
                <w:sz w:val="18"/>
                <w:szCs w:val="18"/>
              </w:rPr>
              <w:t>收购、间接 控股</w:t>
            </w:r>
          </w:p>
        </w:tc>
      </w:tr>
      <w:tr>
        <w:trPr>
          <w:trHeight w:val="634"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27" w:right="0"/>
              <w:jc w:val="left"/>
              <w:rPr>
                <w:rFonts w:ascii="宋体" w:hAnsi="宋体" w:cs="宋体" w:eastAsia="宋体" w:hint="default"/>
                <w:sz w:val="18"/>
                <w:szCs w:val="18"/>
              </w:rPr>
            </w:pPr>
            <w:r>
              <w:rPr>
                <w:rFonts w:ascii="宋体"/>
                <w:sz w:val="18"/>
              </w:rPr>
              <w:t>(20)</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辽宁东软熙康健康管理有限公司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1"/>
              <w:jc w:val="left"/>
              <w:rPr>
                <w:rFonts w:ascii="宋体" w:hAnsi="宋体" w:cs="宋体" w:eastAsia="宋体" w:hint="default"/>
                <w:sz w:val="18"/>
                <w:szCs w:val="18"/>
              </w:rPr>
            </w:pPr>
            <w:r>
              <w:rPr>
                <w:rFonts w:ascii="宋体" w:hAnsi="宋体" w:cs="宋体" w:eastAsia="宋体" w:hint="default"/>
                <w:spacing w:val="-6"/>
                <w:sz w:val="18"/>
                <w:szCs w:val="18"/>
              </w:rPr>
              <w:t>健康信息管理、信息咨询、管理服</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务及管理系统开发</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3,000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131"/>
              <w:jc w:val="left"/>
              <w:rPr>
                <w:rFonts w:ascii="宋体" w:hAnsi="宋体" w:cs="宋体" w:eastAsia="宋体" w:hint="default"/>
                <w:sz w:val="18"/>
                <w:szCs w:val="18"/>
              </w:rPr>
            </w:pPr>
            <w:r>
              <w:rPr>
                <w:rFonts w:ascii="宋体" w:hAnsi="宋体" w:cs="宋体" w:eastAsia="宋体" w:hint="default"/>
                <w:sz w:val="18"/>
                <w:szCs w:val="18"/>
              </w:rPr>
              <w:t>新设立间接 控股子公司</w:t>
            </w:r>
          </w:p>
        </w:tc>
      </w:tr>
      <w:tr>
        <w:trPr>
          <w:trHeight w:val="634"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27" w:right="0"/>
              <w:jc w:val="left"/>
              <w:rPr>
                <w:rFonts w:ascii="宋体" w:hAnsi="宋体" w:cs="宋体" w:eastAsia="宋体" w:hint="default"/>
                <w:sz w:val="18"/>
                <w:szCs w:val="18"/>
              </w:rPr>
            </w:pPr>
            <w:r>
              <w:rPr>
                <w:rFonts w:ascii="宋体"/>
                <w:sz w:val="18"/>
              </w:rPr>
              <w:t>(21)</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Appconomy, Inc.</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移动互联网应用软件</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2,493.44</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13.32%</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131"/>
              <w:jc w:val="left"/>
              <w:rPr>
                <w:rFonts w:ascii="宋体" w:hAnsi="宋体" w:cs="宋体" w:eastAsia="宋体" w:hint="default"/>
                <w:sz w:val="18"/>
                <w:szCs w:val="18"/>
              </w:rPr>
            </w:pPr>
            <w:r>
              <w:rPr>
                <w:rFonts w:ascii="宋体" w:hAnsi="宋体" w:cs="宋体" w:eastAsia="宋体" w:hint="default"/>
                <w:sz w:val="18"/>
                <w:szCs w:val="18"/>
              </w:rPr>
              <w:t>认购新增发 行优先股</w:t>
            </w:r>
          </w:p>
        </w:tc>
      </w:tr>
      <w:tr>
        <w:trPr>
          <w:trHeight w:val="635"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left="127" w:right="0"/>
              <w:jc w:val="left"/>
              <w:rPr>
                <w:rFonts w:ascii="宋体" w:hAnsi="宋体" w:cs="宋体" w:eastAsia="宋体" w:hint="default"/>
                <w:sz w:val="18"/>
                <w:szCs w:val="18"/>
              </w:rPr>
            </w:pPr>
            <w:r>
              <w:rPr>
                <w:rFonts w:ascii="宋体"/>
                <w:sz w:val="18"/>
              </w:rPr>
              <w:t>(22)</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东软集团（郑州）有限公司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计算机软、硬件开发、销售等</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1,000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1" w:right="131"/>
              <w:jc w:val="left"/>
              <w:rPr>
                <w:rFonts w:ascii="宋体" w:hAnsi="宋体" w:cs="宋体" w:eastAsia="宋体" w:hint="default"/>
                <w:sz w:val="18"/>
                <w:szCs w:val="18"/>
              </w:rPr>
            </w:pPr>
            <w:r>
              <w:rPr>
                <w:rFonts w:ascii="宋体" w:hAnsi="宋体" w:cs="宋体" w:eastAsia="宋体" w:hint="default"/>
                <w:sz w:val="18"/>
                <w:szCs w:val="18"/>
              </w:rPr>
              <w:t>新设立全资 子公司</w:t>
            </w:r>
          </w:p>
        </w:tc>
      </w:tr>
      <w:tr>
        <w:trPr>
          <w:trHeight w:val="634"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27" w:right="0"/>
              <w:jc w:val="left"/>
              <w:rPr>
                <w:rFonts w:ascii="宋体" w:hAnsi="宋体" w:cs="宋体" w:eastAsia="宋体" w:hint="default"/>
                <w:sz w:val="18"/>
                <w:szCs w:val="18"/>
              </w:rPr>
            </w:pPr>
            <w:r>
              <w:rPr>
                <w:rFonts w:ascii="宋体"/>
                <w:sz w:val="18"/>
              </w:rPr>
              <w:t>(23)</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沈阳东软熙康医疗系统有限公司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2"/>
              <w:jc w:val="left"/>
              <w:rPr>
                <w:rFonts w:ascii="宋体" w:hAnsi="宋体" w:cs="宋体" w:eastAsia="宋体" w:hint="default"/>
                <w:sz w:val="18"/>
                <w:szCs w:val="18"/>
              </w:rPr>
            </w:pPr>
            <w:r>
              <w:rPr>
                <w:rFonts w:ascii="宋体" w:hAnsi="宋体" w:cs="宋体" w:eastAsia="宋体" w:hint="default"/>
                <w:spacing w:val="-6"/>
                <w:sz w:val="18"/>
                <w:szCs w:val="18"/>
              </w:rPr>
              <w:t>医疗系统计算机软硬件开发、健康</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管理咨询服务</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1,000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131"/>
              <w:jc w:val="left"/>
              <w:rPr>
                <w:rFonts w:ascii="宋体" w:hAnsi="宋体" w:cs="宋体" w:eastAsia="宋体" w:hint="default"/>
                <w:sz w:val="18"/>
                <w:szCs w:val="18"/>
              </w:rPr>
            </w:pPr>
            <w:r>
              <w:rPr>
                <w:rFonts w:ascii="宋体" w:hAnsi="宋体" w:cs="宋体" w:eastAsia="宋体" w:hint="default"/>
                <w:sz w:val="18"/>
                <w:szCs w:val="18"/>
              </w:rPr>
              <w:t>新设立间接 控股子公司</w:t>
            </w:r>
          </w:p>
        </w:tc>
      </w:tr>
      <w:tr>
        <w:trPr>
          <w:trHeight w:val="634"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27" w:right="0"/>
              <w:jc w:val="left"/>
              <w:rPr>
                <w:rFonts w:ascii="宋体" w:hAnsi="宋体" w:cs="宋体" w:eastAsia="宋体" w:hint="default"/>
                <w:sz w:val="18"/>
                <w:szCs w:val="18"/>
              </w:rPr>
            </w:pPr>
            <w:r>
              <w:rPr>
                <w:rFonts w:ascii="宋体"/>
                <w:sz w:val="18"/>
              </w:rPr>
              <w:t>(24)</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东软集团（南昌）有限公司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2"/>
              <w:jc w:val="left"/>
              <w:rPr>
                <w:rFonts w:ascii="宋体" w:hAnsi="宋体" w:cs="宋体" w:eastAsia="宋体" w:hint="default"/>
                <w:sz w:val="18"/>
                <w:szCs w:val="18"/>
              </w:rPr>
            </w:pPr>
            <w:r>
              <w:rPr>
                <w:rFonts w:ascii="宋体" w:hAnsi="宋体" w:cs="宋体" w:eastAsia="宋体" w:hint="default"/>
                <w:spacing w:val="-11"/>
                <w:sz w:val="18"/>
                <w:szCs w:val="18"/>
              </w:rPr>
              <w:t>计算机硬件开发、研制、技术咨询、</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服务</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2,000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131"/>
              <w:jc w:val="left"/>
              <w:rPr>
                <w:rFonts w:ascii="宋体" w:hAnsi="宋体" w:cs="宋体" w:eastAsia="宋体" w:hint="default"/>
                <w:sz w:val="18"/>
                <w:szCs w:val="18"/>
              </w:rPr>
            </w:pPr>
            <w:r>
              <w:rPr>
                <w:rFonts w:ascii="宋体" w:hAnsi="宋体" w:cs="宋体" w:eastAsia="宋体" w:hint="default"/>
                <w:sz w:val="18"/>
                <w:szCs w:val="18"/>
              </w:rPr>
              <w:t>新设立全资 子公司</w:t>
            </w:r>
          </w:p>
        </w:tc>
      </w:tr>
      <w:tr>
        <w:trPr>
          <w:trHeight w:val="947"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24"/>
                <w:szCs w:val="24"/>
              </w:rPr>
            </w:pPr>
          </w:p>
          <w:p>
            <w:pPr>
              <w:pStyle w:val="TableParagraph"/>
              <w:spacing w:line="240" w:lineRule="auto"/>
              <w:ind w:left="127" w:right="0"/>
              <w:jc w:val="left"/>
              <w:rPr>
                <w:rFonts w:ascii="宋体" w:hAnsi="宋体" w:cs="宋体" w:eastAsia="宋体" w:hint="default"/>
                <w:sz w:val="18"/>
                <w:szCs w:val="18"/>
              </w:rPr>
            </w:pPr>
            <w:r>
              <w:rPr>
                <w:rFonts w:ascii="宋体"/>
                <w:sz w:val="18"/>
              </w:rPr>
              <w:t>(25)</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316" w:lineRule="auto"/>
              <w:ind w:left="103" w:right="91"/>
              <w:jc w:val="left"/>
              <w:rPr>
                <w:rFonts w:ascii="宋体" w:hAnsi="宋体" w:cs="宋体" w:eastAsia="宋体" w:hint="default"/>
                <w:sz w:val="18"/>
                <w:szCs w:val="18"/>
              </w:rPr>
            </w:pPr>
            <w:r>
              <w:rPr>
                <w:rFonts w:ascii="宋体" w:hAnsi="宋体" w:cs="宋体" w:eastAsia="宋体" w:hint="default"/>
                <w:spacing w:val="9"/>
                <w:sz w:val="18"/>
                <w:szCs w:val="18"/>
              </w:rPr>
              <w:t>深圳市东软时尚数字技术有限公 </w:t>
            </w:r>
            <w:r>
              <w:rPr>
                <w:rFonts w:ascii="宋体" w:hAnsi="宋体" w:cs="宋体" w:eastAsia="宋体" w:hint="default"/>
                <w:sz w:val="18"/>
                <w:szCs w:val="18"/>
              </w:rPr>
              <w:t>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2" w:right="101"/>
              <w:jc w:val="both"/>
              <w:rPr>
                <w:rFonts w:ascii="宋体" w:hAnsi="宋体" w:cs="宋体" w:eastAsia="宋体" w:hint="default"/>
                <w:sz w:val="18"/>
                <w:szCs w:val="18"/>
              </w:rPr>
            </w:pPr>
            <w:r>
              <w:rPr>
                <w:rFonts w:ascii="宋体" w:hAnsi="宋体" w:cs="宋体" w:eastAsia="宋体" w:hint="default"/>
                <w:spacing w:val="-6"/>
                <w:sz w:val="18"/>
                <w:szCs w:val="18"/>
              </w:rPr>
              <w:t>手表式移动电话的设计、研发、生</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6"/>
                <w:sz w:val="18"/>
                <w:szCs w:val="18"/>
              </w:rPr>
              <w:t>产与销售；计算机软硬件的技术开</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发与销售等</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z w:val="18"/>
              </w:rPr>
              <w:t>100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24"/>
                <w:szCs w:val="24"/>
              </w:rPr>
            </w:pPr>
          </w:p>
          <w:p>
            <w:pPr>
              <w:pStyle w:val="TableParagraph"/>
              <w:spacing w:line="240" w:lineRule="auto"/>
              <w:ind w:right="102"/>
              <w:jc w:val="right"/>
              <w:rPr>
                <w:rFonts w:ascii="宋体" w:hAnsi="宋体" w:cs="宋体" w:eastAsia="宋体" w:hint="default"/>
                <w:sz w:val="18"/>
                <w:szCs w:val="18"/>
              </w:rPr>
            </w:pPr>
            <w:r>
              <w:rPr>
                <w:rFonts w:ascii="宋体"/>
                <w:sz w:val="18"/>
              </w:rPr>
              <w:t>100.00%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316" w:lineRule="auto"/>
              <w:ind w:left="101" w:right="131"/>
              <w:jc w:val="left"/>
              <w:rPr>
                <w:rFonts w:ascii="宋体" w:hAnsi="宋体" w:cs="宋体" w:eastAsia="宋体" w:hint="default"/>
                <w:sz w:val="18"/>
                <w:szCs w:val="18"/>
              </w:rPr>
            </w:pPr>
            <w:r>
              <w:rPr>
                <w:rFonts w:ascii="宋体" w:hAnsi="宋体" w:cs="宋体" w:eastAsia="宋体" w:hint="default"/>
                <w:sz w:val="18"/>
                <w:szCs w:val="18"/>
              </w:rPr>
              <w:t>新设立间接 控股子公司</w:t>
            </w:r>
          </w:p>
        </w:tc>
      </w:tr>
      <w:tr>
        <w:trPr>
          <w:trHeight w:val="431"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27" w:right="0"/>
              <w:jc w:val="left"/>
              <w:rPr>
                <w:rFonts w:ascii="宋体" w:hAnsi="宋体" w:cs="宋体" w:eastAsia="宋体" w:hint="default"/>
                <w:sz w:val="18"/>
                <w:szCs w:val="18"/>
              </w:rPr>
            </w:pPr>
            <w:r>
              <w:rPr>
                <w:rFonts w:ascii="宋体"/>
                <w:sz w:val="18"/>
              </w:rPr>
              <w:t>(26)</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东软集团（大连）有限公司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2" w:right="0"/>
              <w:jc w:val="left"/>
              <w:rPr>
                <w:rFonts w:ascii="宋体" w:hAnsi="宋体" w:cs="宋体" w:eastAsia="宋体" w:hint="default"/>
                <w:sz w:val="18"/>
                <w:szCs w:val="18"/>
              </w:rPr>
            </w:pPr>
            <w:r>
              <w:rPr>
                <w:rFonts w:ascii="宋体" w:hAnsi="宋体" w:cs="宋体" w:eastAsia="宋体" w:hint="default"/>
                <w:sz w:val="18"/>
                <w:szCs w:val="18"/>
              </w:rPr>
              <w:t>经营计算机软硬件</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1"/>
              <w:jc w:val="right"/>
              <w:rPr>
                <w:rFonts w:ascii="宋体" w:hAnsi="宋体" w:cs="宋体" w:eastAsia="宋体" w:hint="default"/>
                <w:sz w:val="18"/>
                <w:szCs w:val="18"/>
              </w:rPr>
            </w:pPr>
            <w:r>
              <w:rPr>
                <w:rFonts w:ascii="宋体"/>
                <w:sz w:val="18"/>
              </w:rPr>
              <w:t>20,000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02"/>
              <w:jc w:val="right"/>
              <w:rPr>
                <w:rFonts w:ascii="宋体" w:hAnsi="宋体" w:cs="宋体" w:eastAsia="宋体" w:hint="default"/>
                <w:sz w:val="18"/>
                <w:szCs w:val="18"/>
              </w:rPr>
            </w:pPr>
            <w:r>
              <w:rPr>
                <w:rFonts w:ascii="宋体"/>
                <w:sz w:val="18"/>
              </w:rPr>
              <w:t>100.00%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2" w:right="0"/>
              <w:jc w:val="left"/>
              <w:rPr>
                <w:rFonts w:ascii="宋体" w:hAnsi="宋体" w:cs="宋体" w:eastAsia="宋体" w:hint="default"/>
                <w:sz w:val="18"/>
                <w:szCs w:val="18"/>
              </w:rPr>
            </w:pPr>
            <w:r>
              <w:rPr>
                <w:rFonts w:ascii="宋体" w:hAnsi="宋体" w:cs="宋体" w:eastAsia="宋体" w:hint="default"/>
                <w:sz w:val="18"/>
                <w:szCs w:val="18"/>
              </w:rPr>
              <w:t>增资</w:t>
            </w:r>
          </w:p>
        </w:tc>
      </w:tr>
      <w:tr>
        <w:trPr>
          <w:trHeight w:val="635" w:hRule="exact"/>
        </w:trPr>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27" w:right="0"/>
              <w:jc w:val="left"/>
              <w:rPr>
                <w:rFonts w:ascii="宋体" w:hAnsi="宋体" w:cs="宋体" w:eastAsia="宋体" w:hint="default"/>
                <w:sz w:val="18"/>
                <w:szCs w:val="18"/>
              </w:rPr>
            </w:pPr>
            <w:r>
              <w:rPr>
                <w:rFonts w:ascii="宋体"/>
                <w:sz w:val="18"/>
              </w:rPr>
              <w:t>(27)</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天津熙康健康科技有限公司</w:t>
            </w:r>
          </w:p>
        </w:tc>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1"/>
              <w:jc w:val="left"/>
              <w:rPr>
                <w:rFonts w:ascii="宋体" w:hAnsi="宋体" w:cs="宋体" w:eastAsia="宋体" w:hint="default"/>
                <w:sz w:val="18"/>
                <w:szCs w:val="18"/>
              </w:rPr>
            </w:pPr>
            <w:r>
              <w:rPr>
                <w:rFonts w:ascii="宋体" w:hAnsi="宋体" w:cs="宋体" w:eastAsia="宋体" w:hint="default"/>
                <w:spacing w:val="-6"/>
                <w:sz w:val="18"/>
                <w:szCs w:val="18"/>
              </w:rPr>
              <w:t>计算机软硬件、电子产品开发、企</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业投资管理咨询</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450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100.00%</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131"/>
              <w:jc w:val="left"/>
              <w:rPr>
                <w:rFonts w:ascii="宋体" w:hAnsi="宋体" w:cs="宋体" w:eastAsia="宋体" w:hint="default"/>
                <w:sz w:val="18"/>
                <w:szCs w:val="18"/>
              </w:rPr>
            </w:pPr>
            <w:r>
              <w:rPr>
                <w:rFonts w:ascii="宋体" w:hAnsi="宋体" w:cs="宋体" w:eastAsia="宋体" w:hint="default"/>
                <w:sz w:val="18"/>
                <w:szCs w:val="18"/>
              </w:rPr>
              <w:t>新设立间接 控股子公司</w:t>
            </w:r>
          </w:p>
        </w:tc>
      </w:tr>
    </w:tbl>
    <w:p>
      <w:pPr>
        <w:pStyle w:val="Heading5"/>
        <w:spacing w:line="312" w:lineRule="exact" w:before="85"/>
        <w:ind w:left="338" w:right="337"/>
        <w:jc w:val="left"/>
      </w:pPr>
      <w:r>
        <w:rPr/>
        <w:t>（1）2011</w:t>
      </w:r>
      <w:r>
        <w:rPr>
          <w:spacing w:val="-65"/>
        </w:rPr>
        <w:t> </w:t>
      </w:r>
      <w:r>
        <w:rPr/>
        <w:t>年</w:t>
      </w:r>
      <w:r>
        <w:rPr>
          <w:spacing w:val="-65"/>
        </w:rPr>
        <w:t> </w:t>
      </w:r>
      <w:r>
        <w:rPr/>
        <w:t>3</w:t>
      </w:r>
      <w:r>
        <w:rPr>
          <w:spacing w:val="-65"/>
        </w:rPr>
        <w:t> </w:t>
      </w:r>
      <w:r>
        <w:rPr/>
        <w:t>月，本公司出资</w:t>
      </w:r>
      <w:r>
        <w:rPr>
          <w:spacing w:val="-65"/>
        </w:rPr>
        <w:t> </w:t>
      </w:r>
      <w:r>
        <w:rPr/>
        <w:t>1,000</w:t>
      </w:r>
      <w:r>
        <w:rPr>
          <w:spacing w:val="-65"/>
        </w:rPr>
        <w:t> </w:t>
      </w:r>
      <w:r>
        <w:rPr/>
        <w:t>万元设立东软集团（芜湖）有限公司，持股比例</w:t>
      </w:r>
    </w:p>
    <w:p>
      <w:pPr>
        <w:spacing w:line="311" w:lineRule="exact" w:before="0"/>
        <w:ind w:left="338" w:right="337" w:firstLine="0"/>
        <w:jc w:val="left"/>
        <w:rPr>
          <w:rFonts w:ascii="宋体" w:hAnsi="宋体" w:cs="宋体" w:eastAsia="宋体" w:hint="default"/>
          <w:sz w:val="24"/>
          <w:szCs w:val="24"/>
        </w:rPr>
      </w:pPr>
      <w:r>
        <w:rPr>
          <w:rFonts w:ascii="宋体" w:hAnsi="宋体" w:cs="宋体" w:eastAsia="宋体" w:hint="default"/>
          <w:sz w:val="24"/>
          <w:szCs w:val="24"/>
        </w:rPr>
        <w:t>100%，自</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月起将其纳入合并财务报表范围。</w:t>
      </w:r>
    </w:p>
    <w:p>
      <w:pPr>
        <w:spacing w:line="312" w:lineRule="exact" w:before="29"/>
        <w:ind w:left="338" w:right="337" w:firstLine="0"/>
        <w:jc w:val="left"/>
        <w:rPr>
          <w:rFonts w:ascii="宋体" w:hAnsi="宋体" w:cs="宋体" w:eastAsia="宋体" w:hint="default"/>
          <w:sz w:val="24"/>
          <w:szCs w:val="24"/>
        </w:rPr>
      </w:pPr>
      <w:r>
        <w:rPr>
          <w:rFonts w:ascii="宋体" w:hAnsi="宋体" w:cs="宋体" w:eastAsia="宋体" w:hint="default"/>
          <w:sz w:val="24"/>
          <w:szCs w:val="24"/>
        </w:rPr>
        <w:t>（2）2011</w:t>
      </w:r>
      <w:r>
        <w:rPr>
          <w:rFonts w:ascii="宋体" w:hAnsi="宋体" w:cs="宋体" w:eastAsia="宋体" w:hint="default"/>
          <w:spacing w:val="-57"/>
          <w:sz w:val="24"/>
          <w:szCs w:val="24"/>
        </w:rPr>
        <w:t> </w:t>
      </w:r>
      <w:r>
        <w:rPr>
          <w:rFonts w:ascii="宋体" w:hAnsi="宋体" w:cs="宋体" w:eastAsia="宋体" w:hint="default"/>
          <w:sz w:val="24"/>
          <w:szCs w:val="24"/>
        </w:rPr>
        <w:t>年</w:t>
      </w:r>
      <w:r>
        <w:rPr>
          <w:rFonts w:ascii="宋体" w:hAnsi="宋体" w:cs="宋体" w:eastAsia="宋体" w:hint="default"/>
          <w:spacing w:val="-57"/>
          <w:sz w:val="24"/>
          <w:szCs w:val="24"/>
        </w:rPr>
        <w:t> </w:t>
      </w:r>
      <w:r>
        <w:rPr>
          <w:rFonts w:ascii="宋体" w:hAnsi="宋体" w:cs="宋体" w:eastAsia="宋体" w:hint="default"/>
          <w:sz w:val="24"/>
          <w:szCs w:val="24"/>
        </w:rPr>
        <w:t>3</w:t>
      </w:r>
      <w:r>
        <w:rPr>
          <w:rFonts w:ascii="宋体" w:hAnsi="宋体" w:cs="宋体" w:eastAsia="宋体" w:hint="default"/>
          <w:spacing w:val="-57"/>
          <w:sz w:val="24"/>
          <w:szCs w:val="24"/>
        </w:rPr>
        <w:t> </w:t>
      </w:r>
      <w:r>
        <w:rPr>
          <w:rFonts w:ascii="宋体" w:hAnsi="宋体" w:cs="宋体" w:eastAsia="宋体" w:hint="default"/>
          <w:sz w:val="24"/>
          <w:szCs w:val="24"/>
        </w:rPr>
        <w:t>月，本公司之全资子公司沈阳东软医疗系统有限公司对其子公司东软医</w:t>
      </w:r>
      <w:r>
        <w:rPr>
          <w:rFonts w:ascii="宋体" w:hAnsi="宋体" w:cs="宋体" w:eastAsia="宋体" w:hint="default"/>
          <w:sz w:val="24"/>
          <w:szCs w:val="24"/>
        </w:rPr>
        <w:t> 疗（美国）有限公司增加注册资本</w:t>
      </w:r>
      <w:r>
        <w:rPr>
          <w:rFonts w:ascii="宋体" w:hAnsi="宋体" w:cs="宋体" w:eastAsia="宋体" w:hint="default"/>
          <w:spacing w:val="-73"/>
          <w:sz w:val="24"/>
          <w:szCs w:val="24"/>
        </w:rPr>
        <w:t> </w:t>
      </w:r>
      <w:r>
        <w:rPr>
          <w:rFonts w:ascii="宋体" w:hAnsi="宋体" w:cs="宋体" w:eastAsia="宋体" w:hint="default"/>
          <w:sz w:val="24"/>
          <w:szCs w:val="24"/>
        </w:rPr>
        <w:t>300</w:t>
      </w:r>
      <w:r>
        <w:rPr>
          <w:rFonts w:ascii="宋体" w:hAnsi="宋体" w:cs="宋体" w:eastAsia="宋体" w:hint="default"/>
          <w:spacing w:val="-73"/>
          <w:sz w:val="24"/>
          <w:szCs w:val="24"/>
        </w:rPr>
        <w:t> </w:t>
      </w:r>
      <w:r>
        <w:rPr>
          <w:rFonts w:ascii="宋体" w:hAnsi="宋体" w:cs="宋体" w:eastAsia="宋体" w:hint="default"/>
          <w:sz w:val="24"/>
          <w:szCs w:val="24"/>
        </w:rPr>
        <w:t>万美元，增资后注册资本达到</w:t>
      </w:r>
      <w:r>
        <w:rPr>
          <w:rFonts w:ascii="宋体" w:hAnsi="宋体" w:cs="宋体" w:eastAsia="宋体" w:hint="default"/>
          <w:spacing w:val="-73"/>
          <w:sz w:val="24"/>
          <w:szCs w:val="24"/>
        </w:rPr>
        <w:t> </w:t>
      </w:r>
      <w:r>
        <w:rPr>
          <w:rFonts w:ascii="宋体" w:hAnsi="宋体" w:cs="宋体" w:eastAsia="宋体" w:hint="default"/>
          <w:sz w:val="24"/>
          <w:szCs w:val="24"/>
        </w:rPr>
        <w:t>400</w:t>
      </w:r>
      <w:r>
        <w:rPr>
          <w:rFonts w:ascii="宋体" w:hAnsi="宋体" w:cs="宋体" w:eastAsia="宋体" w:hint="default"/>
          <w:spacing w:val="-73"/>
          <w:sz w:val="24"/>
          <w:szCs w:val="24"/>
        </w:rPr>
        <w:t> </w:t>
      </w:r>
      <w:r>
        <w:rPr>
          <w:rFonts w:ascii="宋体" w:hAnsi="宋体" w:cs="宋体" w:eastAsia="宋体" w:hint="default"/>
          <w:sz w:val="24"/>
          <w:szCs w:val="24"/>
        </w:rPr>
        <w:t>万美元，报告</w:t>
      </w:r>
    </w:p>
    <w:p>
      <w:pPr>
        <w:spacing w:line="282" w:lineRule="exact" w:before="0"/>
        <w:ind w:left="338" w:right="337" w:firstLine="0"/>
        <w:jc w:val="left"/>
        <w:rPr>
          <w:rFonts w:ascii="宋体" w:hAnsi="宋体" w:cs="宋体" w:eastAsia="宋体" w:hint="default"/>
          <w:sz w:val="24"/>
          <w:szCs w:val="24"/>
        </w:rPr>
      </w:pPr>
      <w:r>
        <w:rPr>
          <w:rFonts w:ascii="宋体" w:hAnsi="宋体" w:cs="宋体" w:eastAsia="宋体" w:hint="default"/>
          <w:sz w:val="24"/>
          <w:szCs w:val="24"/>
        </w:rPr>
        <w:t>期内出资</w:t>
      </w:r>
      <w:r>
        <w:rPr>
          <w:rFonts w:ascii="宋体" w:hAnsi="宋体" w:cs="宋体" w:eastAsia="宋体" w:hint="default"/>
          <w:spacing w:val="-60"/>
          <w:sz w:val="24"/>
          <w:szCs w:val="24"/>
        </w:rPr>
        <w:t> </w:t>
      </w:r>
      <w:r>
        <w:rPr>
          <w:rFonts w:ascii="宋体" w:hAnsi="宋体" w:cs="宋体" w:eastAsia="宋体" w:hint="default"/>
          <w:sz w:val="24"/>
          <w:szCs w:val="24"/>
        </w:rPr>
        <w:t>172.5</w:t>
      </w:r>
      <w:r>
        <w:rPr>
          <w:rFonts w:ascii="宋体" w:hAnsi="宋体" w:cs="宋体" w:eastAsia="宋体" w:hint="default"/>
          <w:spacing w:val="-60"/>
          <w:sz w:val="24"/>
          <w:szCs w:val="24"/>
        </w:rPr>
        <w:t> </w:t>
      </w:r>
      <w:r>
        <w:rPr>
          <w:rFonts w:ascii="宋体" w:hAnsi="宋体" w:cs="宋体" w:eastAsia="宋体" w:hint="default"/>
          <w:sz w:val="24"/>
          <w:szCs w:val="24"/>
        </w:rPr>
        <w:t>万美元，累计出资</w:t>
      </w:r>
      <w:r>
        <w:rPr>
          <w:rFonts w:ascii="宋体" w:hAnsi="宋体" w:cs="宋体" w:eastAsia="宋体" w:hint="default"/>
          <w:spacing w:val="-60"/>
          <w:sz w:val="24"/>
          <w:szCs w:val="24"/>
        </w:rPr>
        <w:t> </w:t>
      </w:r>
      <w:r>
        <w:rPr>
          <w:rFonts w:ascii="宋体" w:hAnsi="宋体" w:cs="宋体" w:eastAsia="宋体" w:hint="default"/>
          <w:sz w:val="24"/>
          <w:szCs w:val="24"/>
        </w:rPr>
        <w:t>250</w:t>
      </w:r>
      <w:r>
        <w:rPr>
          <w:rFonts w:ascii="宋体" w:hAnsi="宋体" w:cs="宋体" w:eastAsia="宋体" w:hint="default"/>
          <w:spacing w:val="-60"/>
          <w:sz w:val="24"/>
          <w:szCs w:val="24"/>
        </w:rPr>
        <w:t> </w:t>
      </w:r>
      <w:r>
        <w:rPr>
          <w:rFonts w:ascii="宋体" w:hAnsi="宋体" w:cs="宋体" w:eastAsia="宋体" w:hint="default"/>
          <w:sz w:val="24"/>
          <w:szCs w:val="24"/>
        </w:rPr>
        <w:t>万美元。</w:t>
      </w:r>
    </w:p>
    <w:p>
      <w:pPr>
        <w:spacing w:line="312" w:lineRule="exact" w:before="0"/>
        <w:ind w:left="338" w:right="0" w:firstLine="0"/>
        <w:jc w:val="left"/>
        <w:rPr>
          <w:rFonts w:ascii="宋体" w:hAnsi="宋体" w:cs="宋体" w:eastAsia="宋体" w:hint="default"/>
          <w:sz w:val="24"/>
          <w:szCs w:val="24"/>
        </w:rPr>
      </w:pPr>
      <w:r>
        <w:rPr>
          <w:rFonts w:ascii="宋体" w:hAnsi="宋体" w:cs="宋体" w:eastAsia="宋体" w:hint="default"/>
          <w:sz w:val="24"/>
          <w:szCs w:val="24"/>
        </w:rPr>
        <w:t>（3）2011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月，本公司对全资子公司东软集团（北京）有限公司增资</w:t>
      </w:r>
      <w:r>
        <w:rPr>
          <w:rFonts w:ascii="宋体" w:hAnsi="宋体" w:cs="宋体" w:eastAsia="宋体" w:hint="default"/>
          <w:spacing w:val="-60"/>
          <w:sz w:val="24"/>
          <w:szCs w:val="24"/>
        </w:rPr>
        <w:t> </w:t>
      </w:r>
      <w:r>
        <w:rPr>
          <w:rFonts w:ascii="宋体" w:hAnsi="宋体" w:cs="宋体" w:eastAsia="宋体" w:hint="default"/>
          <w:sz w:val="24"/>
          <w:szCs w:val="24"/>
        </w:rPr>
        <w:t>18,500</w:t>
      </w:r>
      <w:r>
        <w:rPr>
          <w:rFonts w:ascii="宋体" w:hAnsi="宋体" w:cs="宋体" w:eastAsia="宋体" w:hint="default"/>
          <w:spacing w:val="-60"/>
          <w:sz w:val="24"/>
          <w:szCs w:val="24"/>
        </w:rPr>
        <w:t> </w:t>
      </w:r>
      <w:r>
        <w:rPr>
          <w:rFonts w:ascii="宋体" w:hAnsi="宋体" w:cs="宋体" w:eastAsia="宋体" w:hint="default"/>
          <w:sz w:val="24"/>
          <w:szCs w:val="24"/>
        </w:rPr>
        <w:t>万元，</w:t>
      </w:r>
    </w:p>
    <w:p>
      <w:pPr>
        <w:spacing w:line="312" w:lineRule="exact" w:before="0"/>
        <w:ind w:left="338" w:right="337" w:firstLine="0"/>
        <w:jc w:val="left"/>
        <w:rPr>
          <w:rFonts w:ascii="宋体" w:hAnsi="宋体" w:cs="宋体" w:eastAsia="宋体" w:hint="default"/>
          <w:sz w:val="24"/>
          <w:szCs w:val="24"/>
        </w:rPr>
      </w:pPr>
      <w:r>
        <w:rPr>
          <w:rFonts w:ascii="宋体" w:hAnsi="宋体" w:cs="宋体" w:eastAsia="宋体" w:hint="default"/>
          <w:sz w:val="24"/>
          <w:szCs w:val="24"/>
        </w:rPr>
        <w:t>增资后投资总额达</w:t>
      </w:r>
      <w:r>
        <w:rPr>
          <w:rFonts w:ascii="宋体" w:hAnsi="宋体" w:cs="宋体" w:eastAsia="宋体" w:hint="default"/>
          <w:spacing w:val="-60"/>
          <w:sz w:val="24"/>
          <w:szCs w:val="24"/>
        </w:rPr>
        <w:t> </w:t>
      </w:r>
      <w:r>
        <w:rPr>
          <w:rFonts w:ascii="宋体" w:hAnsi="宋体" w:cs="宋体" w:eastAsia="宋体" w:hint="default"/>
          <w:sz w:val="24"/>
          <w:szCs w:val="24"/>
        </w:rPr>
        <w:t>24,940</w:t>
      </w:r>
      <w:r>
        <w:rPr>
          <w:rFonts w:ascii="宋体" w:hAnsi="宋体" w:cs="宋体" w:eastAsia="宋体" w:hint="default"/>
          <w:spacing w:val="-60"/>
          <w:sz w:val="24"/>
          <w:szCs w:val="24"/>
        </w:rPr>
        <w:t> </w:t>
      </w:r>
      <w:r>
        <w:rPr>
          <w:rFonts w:ascii="宋体" w:hAnsi="宋体" w:cs="宋体" w:eastAsia="宋体" w:hint="default"/>
          <w:sz w:val="24"/>
          <w:szCs w:val="24"/>
        </w:rPr>
        <w:t>万元。</w:t>
      </w:r>
    </w:p>
    <w:p>
      <w:pPr>
        <w:spacing w:line="312" w:lineRule="exact" w:before="29"/>
        <w:ind w:left="338" w:right="343" w:firstLine="0"/>
        <w:jc w:val="left"/>
        <w:rPr>
          <w:rFonts w:ascii="宋体" w:hAnsi="宋体" w:cs="宋体" w:eastAsia="宋体" w:hint="default"/>
          <w:sz w:val="24"/>
          <w:szCs w:val="24"/>
        </w:rPr>
      </w:pPr>
      <w:r>
        <w:rPr>
          <w:rFonts w:ascii="宋体" w:hAnsi="宋体" w:cs="宋体" w:eastAsia="宋体" w:hint="default"/>
          <w:spacing w:val="9"/>
          <w:sz w:val="24"/>
          <w:szCs w:val="24"/>
        </w:rPr>
        <w:t>（4）2011年4</w:t>
      </w:r>
      <w:r>
        <w:rPr>
          <w:rFonts w:ascii="宋体" w:hAnsi="宋体" w:cs="宋体" w:eastAsia="宋体" w:hint="default"/>
          <w:spacing w:val="-56"/>
          <w:sz w:val="24"/>
          <w:szCs w:val="24"/>
        </w:rPr>
        <w:t> </w:t>
      </w:r>
      <w:r>
        <w:rPr>
          <w:rFonts w:ascii="宋体" w:hAnsi="宋体" w:cs="宋体" w:eastAsia="宋体" w:hint="default"/>
          <w:spacing w:val="-2"/>
          <w:sz w:val="24"/>
          <w:szCs w:val="24"/>
        </w:rPr>
        <w:t>月，本公司之全资子公司沈阳东软医疗系统有限公司出资</w:t>
      </w:r>
      <w:r>
        <w:rPr>
          <w:rFonts w:ascii="宋体" w:hAnsi="宋体" w:cs="宋体" w:eastAsia="宋体" w:hint="default"/>
          <w:spacing w:val="-56"/>
          <w:sz w:val="24"/>
          <w:szCs w:val="24"/>
        </w:rPr>
        <w:t> </w:t>
      </w:r>
      <w:r>
        <w:rPr>
          <w:rFonts w:ascii="宋体" w:hAnsi="宋体" w:cs="宋体" w:eastAsia="宋体" w:hint="default"/>
          <w:sz w:val="24"/>
          <w:szCs w:val="24"/>
        </w:rPr>
        <w:t>40</w:t>
      </w:r>
      <w:r>
        <w:rPr>
          <w:rFonts w:ascii="宋体" w:hAnsi="宋体" w:cs="宋体" w:eastAsia="宋体" w:hint="default"/>
          <w:spacing w:val="-56"/>
          <w:sz w:val="24"/>
          <w:szCs w:val="24"/>
        </w:rPr>
        <w:t> </w:t>
      </w:r>
      <w:r>
        <w:rPr>
          <w:rFonts w:ascii="宋体" w:hAnsi="宋体" w:cs="宋体" w:eastAsia="宋体" w:hint="default"/>
          <w:spacing w:val="-8"/>
          <w:sz w:val="24"/>
          <w:szCs w:val="24"/>
        </w:rPr>
        <w:t>万元，参股</w:t>
      </w:r>
      <w:r>
        <w:rPr>
          <w:rFonts w:ascii="宋体" w:hAnsi="宋体" w:cs="宋体" w:eastAsia="宋体" w:hint="default"/>
          <w:sz w:val="24"/>
          <w:szCs w:val="24"/>
        </w:rPr>
        <w:t> 设立重庆国奥百年熙康健康管理有限公司，持股比例</w:t>
      </w:r>
      <w:r>
        <w:rPr>
          <w:rFonts w:ascii="宋体" w:hAnsi="宋体" w:cs="宋体" w:eastAsia="宋体" w:hint="default"/>
          <w:spacing w:val="-60"/>
          <w:sz w:val="24"/>
          <w:szCs w:val="24"/>
        </w:rPr>
        <w:t> </w:t>
      </w:r>
      <w:r>
        <w:rPr>
          <w:rFonts w:ascii="宋体" w:hAnsi="宋体" w:cs="宋体" w:eastAsia="宋体" w:hint="default"/>
          <w:sz w:val="24"/>
          <w:szCs w:val="24"/>
        </w:rPr>
        <w:t>20%。</w:t>
      </w:r>
    </w:p>
    <w:p>
      <w:pPr>
        <w:spacing w:line="312" w:lineRule="exact" w:before="0"/>
        <w:ind w:left="338" w:right="337" w:firstLine="0"/>
        <w:jc w:val="left"/>
        <w:rPr>
          <w:rFonts w:ascii="宋体" w:hAnsi="宋体" w:cs="宋体" w:eastAsia="宋体" w:hint="default"/>
          <w:sz w:val="24"/>
          <w:szCs w:val="24"/>
        </w:rPr>
      </w:pPr>
      <w:r>
        <w:rPr>
          <w:rFonts w:ascii="宋体" w:hAnsi="宋体" w:cs="宋体" w:eastAsia="宋体" w:hint="default"/>
          <w:sz w:val="24"/>
          <w:szCs w:val="24"/>
        </w:rPr>
        <w:t>（5）2011</w:t>
      </w:r>
      <w:r>
        <w:rPr>
          <w:rFonts w:ascii="宋体" w:hAnsi="宋体" w:cs="宋体" w:eastAsia="宋体" w:hint="default"/>
          <w:spacing w:val="-57"/>
          <w:sz w:val="24"/>
          <w:szCs w:val="24"/>
        </w:rPr>
        <w:t> </w:t>
      </w:r>
      <w:r>
        <w:rPr>
          <w:rFonts w:ascii="宋体" w:hAnsi="宋体" w:cs="宋体" w:eastAsia="宋体" w:hint="default"/>
          <w:sz w:val="24"/>
          <w:szCs w:val="24"/>
        </w:rPr>
        <w:t>年</w:t>
      </w:r>
      <w:r>
        <w:rPr>
          <w:rFonts w:ascii="宋体" w:hAnsi="宋体" w:cs="宋体" w:eastAsia="宋体" w:hint="default"/>
          <w:spacing w:val="-57"/>
          <w:sz w:val="24"/>
          <w:szCs w:val="24"/>
        </w:rPr>
        <w:t> </w:t>
      </w:r>
      <w:r>
        <w:rPr>
          <w:rFonts w:ascii="宋体" w:hAnsi="宋体" w:cs="宋体" w:eastAsia="宋体" w:hint="default"/>
          <w:sz w:val="24"/>
          <w:szCs w:val="24"/>
        </w:rPr>
        <w:t>5</w:t>
      </w:r>
      <w:r>
        <w:rPr>
          <w:rFonts w:ascii="宋体" w:hAnsi="宋体" w:cs="宋体" w:eastAsia="宋体" w:hint="default"/>
          <w:spacing w:val="-57"/>
          <w:sz w:val="24"/>
          <w:szCs w:val="24"/>
        </w:rPr>
        <w:t> </w:t>
      </w:r>
      <w:r>
        <w:rPr>
          <w:rFonts w:ascii="宋体" w:hAnsi="宋体" w:cs="宋体" w:eastAsia="宋体" w:hint="default"/>
          <w:sz w:val="24"/>
          <w:szCs w:val="24"/>
        </w:rPr>
        <w:t>月，本公司之全资子公司沈阳东软医疗系统有限公司对其子公司东软医</w:t>
      </w:r>
      <w:r>
        <w:rPr>
          <w:rFonts w:ascii="宋体" w:hAnsi="宋体" w:cs="宋体" w:eastAsia="宋体" w:hint="default"/>
          <w:sz w:val="24"/>
          <w:szCs w:val="24"/>
        </w:rPr>
        <w:t> 疗（中东）自由区有限责任公司增加注册资本</w:t>
      </w:r>
      <w:r>
        <w:rPr>
          <w:rFonts w:ascii="宋体" w:hAnsi="宋体" w:cs="宋体" w:eastAsia="宋体" w:hint="default"/>
          <w:spacing w:val="-73"/>
          <w:sz w:val="24"/>
          <w:szCs w:val="24"/>
        </w:rPr>
        <w:t> </w:t>
      </w:r>
      <w:r>
        <w:rPr>
          <w:rFonts w:ascii="宋体" w:hAnsi="宋体" w:cs="宋体" w:eastAsia="宋体" w:hint="default"/>
          <w:sz w:val="24"/>
          <w:szCs w:val="24"/>
        </w:rPr>
        <w:t>250</w:t>
      </w:r>
      <w:r>
        <w:rPr>
          <w:rFonts w:ascii="宋体" w:hAnsi="宋体" w:cs="宋体" w:eastAsia="宋体" w:hint="default"/>
          <w:spacing w:val="-73"/>
          <w:sz w:val="24"/>
          <w:szCs w:val="24"/>
        </w:rPr>
        <w:t> </w:t>
      </w:r>
      <w:r>
        <w:rPr>
          <w:rFonts w:ascii="宋体" w:hAnsi="宋体" w:cs="宋体" w:eastAsia="宋体" w:hint="default"/>
          <w:sz w:val="24"/>
          <w:szCs w:val="24"/>
        </w:rPr>
        <w:t>万美元，增资后注册资本达到</w:t>
      </w:r>
      <w:r>
        <w:rPr>
          <w:rFonts w:ascii="宋体" w:hAnsi="宋体" w:cs="宋体" w:eastAsia="宋体" w:hint="default"/>
          <w:spacing w:val="-73"/>
          <w:sz w:val="24"/>
          <w:szCs w:val="24"/>
        </w:rPr>
        <w:t> </w:t>
      </w:r>
      <w:r>
        <w:rPr>
          <w:rFonts w:ascii="宋体" w:hAnsi="宋体" w:cs="宋体" w:eastAsia="宋体" w:hint="default"/>
          <w:sz w:val="24"/>
          <w:szCs w:val="24"/>
        </w:rPr>
        <w:t>350</w:t>
      </w:r>
      <w:r>
        <w:rPr>
          <w:rFonts w:ascii="宋体" w:hAnsi="宋体" w:cs="宋体" w:eastAsia="宋体" w:hint="default"/>
          <w:spacing w:val="-73"/>
          <w:sz w:val="24"/>
          <w:szCs w:val="24"/>
        </w:rPr>
        <w:t> </w:t>
      </w:r>
      <w:r>
        <w:rPr>
          <w:rFonts w:ascii="宋体" w:hAnsi="宋体" w:cs="宋体" w:eastAsia="宋体" w:hint="default"/>
          <w:sz w:val="24"/>
          <w:szCs w:val="24"/>
        </w:rPr>
        <w:t>万</w:t>
      </w:r>
    </w:p>
    <w:p>
      <w:pPr>
        <w:spacing w:line="282" w:lineRule="exact" w:before="0"/>
        <w:ind w:left="338" w:right="337" w:firstLine="0"/>
        <w:jc w:val="left"/>
        <w:rPr>
          <w:rFonts w:ascii="宋体" w:hAnsi="宋体" w:cs="宋体" w:eastAsia="宋体" w:hint="default"/>
          <w:sz w:val="24"/>
          <w:szCs w:val="24"/>
        </w:rPr>
      </w:pPr>
      <w:r>
        <w:rPr>
          <w:rFonts w:ascii="宋体" w:hAnsi="宋体" w:cs="宋体" w:eastAsia="宋体" w:hint="default"/>
          <w:sz w:val="24"/>
          <w:szCs w:val="24"/>
        </w:rPr>
        <w:t>美元，报告期内出资</w:t>
      </w:r>
      <w:r>
        <w:rPr>
          <w:rFonts w:ascii="宋体" w:hAnsi="宋体" w:cs="宋体" w:eastAsia="宋体" w:hint="default"/>
          <w:spacing w:val="-60"/>
          <w:sz w:val="24"/>
          <w:szCs w:val="24"/>
        </w:rPr>
        <w:t> </w:t>
      </w:r>
      <w:r>
        <w:rPr>
          <w:rFonts w:ascii="宋体" w:hAnsi="宋体" w:cs="宋体" w:eastAsia="宋体" w:hint="default"/>
          <w:sz w:val="24"/>
          <w:szCs w:val="24"/>
        </w:rPr>
        <w:t>73</w:t>
      </w:r>
      <w:r>
        <w:rPr>
          <w:rFonts w:ascii="宋体" w:hAnsi="宋体" w:cs="宋体" w:eastAsia="宋体" w:hint="default"/>
          <w:spacing w:val="-60"/>
          <w:sz w:val="24"/>
          <w:szCs w:val="24"/>
        </w:rPr>
        <w:t> </w:t>
      </w:r>
      <w:r>
        <w:rPr>
          <w:rFonts w:ascii="宋体" w:hAnsi="宋体" w:cs="宋体" w:eastAsia="宋体" w:hint="default"/>
          <w:sz w:val="24"/>
          <w:szCs w:val="24"/>
        </w:rPr>
        <w:t>万美元，累计出资</w:t>
      </w:r>
      <w:r>
        <w:rPr>
          <w:rFonts w:ascii="宋体" w:hAnsi="宋体" w:cs="宋体" w:eastAsia="宋体" w:hint="default"/>
          <w:spacing w:val="-60"/>
          <w:sz w:val="24"/>
          <w:szCs w:val="24"/>
        </w:rPr>
        <w:t> </w:t>
      </w:r>
      <w:r>
        <w:rPr>
          <w:rFonts w:ascii="宋体" w:hAnsi="宋体" w:cs="宋体" w:eastAsia="宋体" w:hint="default"/>
          <w:sz w:val="24"/>
          <w:szCs w:val="24"/>
        </w:rPr>
        <w:t>140</w:t>
      </w:r>
      <w:r>
        <w:rPr>
          <w:rFonts w:ascii="宋体" w:hAnsi="宋体" w:cs="宋体" w:eastAsia="宋体" w:hint="default"/>
          <w:spacing w:val="-60"/>
          <w:sz w:val="24"/>
          <w:szCs w:val="24"/>
        </w:rPr>
        <w:t> </w:t>
      </w:r>
      <w:r>
        <w:rPr>
          <w:rFonts w:ascii="宋体" w:hAnsi="宋体" w:cs="宋体" w:eastAsia="宋体" w:hint="default"/>
          <w:sz w:val="24"/>
          <w:szCs w:val="24"/>
        </w:rPr>
        <w:t>万美元。</w:t>
      </w:r>
    </w:p>
    <w:p>
      <w:pPr>
        <w:spacing w:line="312" w:lineRule="exact" w:before="0"/>
        <w:ind w:left="338" w:right="337" w:firstLine="0"/>
        <w:jc w:val="left"/>
        <w:rPr>
          <w:rFonts w:ascii="宋体" w:hAnsi="宋体" w:cs="宋体" w:eastAsia="宋体" w:hint="default"/>
          <w:sz w:val="24"/>
          <w:szCs w:val="24"/>
        </w:rPr>
      </w:pPr>
      <w:r>
        <w:rPr>
          <w:rFonts w:ascii="宋体" w:hAnsi="宋体" w:cs="宋体" w:eastAsia="宋体" w:hint="default"/>
          <w:sz w:val="24"/>
          <w:szCs w:val="24"/>
        </w:rPr>
        <w:t>（6）2011</w:t>
      </w:r>
      <w:r>
        <w:rPr>
          <w:rFonts w:ascii="宋体" w:hAnsi="宋体" w:cs="宋体" w:eastAsia="宋体" w:hint="default"/>
          <w:spacing w:val="-65"/>
          <w:sz w:val="24"/>
          <w:szCs w:val="24"/>
        </w:rPr>
        <w:t> </w:t>
      </w:r>
      <w:r>
        <w:rPr>
          <w:rFonts w:ascii="宋体" w:hAnsi="宋体" w:cs="宋体" w:eastAsia="宋体" w:hint="default"/>
          <w:sz w:val="24"/>
          <w:szCs w:val="24"/>
        </w:rPr>
        <w:t>年</w:t>
      </w:r>
      <w:r>
        <w:rPr>
          <w:rFonts w:ascii="宋体" w:hAnsi="宋体" w:cs="宋体" w:eastAsia="宋体" w:hint="default"/>
          <w:spacing w:val="-65"/>
          <w:sz w:val="24"/>
          <w:szCs w:val="24"/>
        </w:rPr>
        <w:t> </w:t>
      </w:r>
      <w:r>
        <w:rPr>
          <w:rFonts w:ascii="宋体" w:hAnsi="宋体" w:cs="宋体" w:eastAsia="宋体" w:hint="default"/>
          <w:sz w:val="24"/>
          <w:szCs w:val="24"/>
        </w:rPr>
        <w:t>5</w:t>
      </w:r>
      <w:r>
        <w:rPr>
          <w:rFonts w:ascii="宋体" w:hAnsi="宋体" w:cs="宋体" w:eastAsia="宋体" w:hint="default"/>
          <w:spacing w:val="-65"/>
          <w:sz w:val="24"/>
          <w:szCs w:val="24"/>
        </w:rPr>
        <w:t> </w:t>
      </w:r>
      <w:r>
        <w:rPr>
          <w:rFonts w:ascii="宋体" w:hAnsi="宋体" w:cs="宋体" w:eastAsia="宋体" w:hint="default"/>
          <w:sz w:val="24"/>
          <w:szCs w:val="24"/>
        </w:rPr>
        <w:t>月，本公司出资</w:t>
      </w:r>
      <w:r>
        <w:rPr>
          <w:rFonts w:ascii="宋体" w:hAnsi="宋体" w:cs="宋体" w:eastAsia="宋体" w:hint="default"/>
          <w:spacing w:val="-65"/>
          <w:sz w:val="24"/>
          <w:szCs w:val="24"/>
        </w:rPr>
        <w:t> </w:t>
      </w:r>
      <w:r>
        <w:rPr>
          <w:rFonts w:ascii="宋体" w:hAnsi="宋体" w:cs="宋体" w:eastAsia="宋体" w:hint="default"/>
          <w:sz w:val="24"/>
          <w:szCs w:val="24"/>
        </w:rPr>
        <w:t>2,250</w:t>
      </w:r>
      <w:r>
        <w:rPr>
          <w:rFonts w:ascii="宋体" w:hAnsi="宋体" w:cs="宋体" w:eastAsia="宋体" w:hint="default"/>
          <w:spacing w:val="-65"/>
          <w:sz w:val="24"/>
          <w:szCs w:val="24"/>
        </w:rPr>
        <w:t> </w:t>
      </w:r>
      <w:r>
        <w:rPr>
          <w:rFonts w:ascii="宋体" w:hAnsi="宋体" w:cs="宋体" w:eastAsia="宋体" w:hint="default"/>
          <w:sz w:val="24"/>
          <w:szCs w:val="24"/>
        </w:rPr>
        <w:t>万元设立广东东软时尚数字技术有限公司，持股</w:t>
      </w:r>
    </w:p>
    <w:p>
      <w:pPr>
        <w:spacing w:line="312" w:lineRule="exact" w:before="0"/>
        <w:ind w:left="338" w:right="337" w:firstLine="0"/>
        <w:jc w:val="left"/>
        <w:rPr>
          <w:rFonts w:ascii="宋体" w:hAnsi="宋体" w:cs="宋体" w:eastAsia="宋体" w:hint="default"/>
          <w:sz w:val="24"/>
          <w:szCs w:val="24"/>
        </w:rPr>
      </w:pPr>
      <w:r>
        <w:rPr>
          <w:rFonts w:ascii="宋体" w:hAnsi="宋体" w:cs="宋体" w:eastAsia="宋体" w:hint="default"/>
          <w:sz w:val="24"/>
          <w:szCs w:val="24"/>
        </w:rPr>
        <w:t>比例</w:t>
      </w:r>
      <w:r>
        <w:rPr>
          <w:rFonts w:ascii="宋体" w:hAnsi="宋体" w:cs="宋体" w:eastAsia="宋体" w:hint="default"/>
          <w:spacing w:val="-60"/>
          <w:sz w:val="24"/>
          <w:szCs w:val="24"/>
        </w:rPr>
        <w:t> </w:t>
      </w:r>
      <w:r>
        <w:rPr>
          <w:rFonts w:ascii="宋体" w:hAnsi="宋体" w:cs="宋体" w:eastAsia="宋体" w:hint="default"/>
          <w:sz w:val="24"/>
          <w:szCs w:val="24"/>
        </w:rPr>
        <w:t>60%，自</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5</w:t>
      </w:r>
      <w:r>
        <w:rPr>
          <w:rFonts w:ascii="宋体" w:hAnsi="宋体" w:cs="宋体" w:eastAsia="宋体" w:hint="default"/>
          <w:spacing w:val="-60"/>
          <w:sz w:val="24"/>
          <w:szCs w:val="24"/>
        </w:rPr>
        <w:t> </w:t>
      </w:r>
      <w:r>
        <w:rPr>
          <w:rFonts w:ascii="宋体" w:hAnsi="宋体" w:cs="宋体" w:eastAsia="宋体" w:hint="default"/>
          <w:sz w:val="24"/>
          <w:szCs w:val="24"/>
        </w:rPr>
        <w:t>月起将其纳入合并财务报表范围。</w:t>
      </w:r>
    </w:p>
    <w:p>
      <w:pPr>
        <w:spacing w:line="312" w:lineRule="exact" w:before="29"/>
        <w:ind w:left="338" w:right="217" w:firstLine="0"/>
        <w:jc w:val="left"/>
        <w:rPr>
          <w:rFonts w:ascii="宋体" w:hAnsi="宋体" w:cs="宋体" w:eastAsia="宋体" w:hint="default"/>
          <w:sz w:val="24"/>
          <w:szCs w:val="24"/>
        </w:rPr>
      </w:pPr>
      <w:r>
        <w:rPr>
          <w:rFonts w:ascii="宋体" w:hAnsi="宋体" w:cs="宋体" w:eastAsia="宋体" w:hint="default"/>
          <w:sz w:val="24"/>
          <w:szCs w:val="24"/>
        </w:rPr>
        <w:t>（7）2011</w:t>
      </w:r>
      <w:r>
        <w:rPr>
          <w:rFonts w:ascii="宋体" w:hAnsi="宋体" w:cs="宋体" w:eastAsia="宋体" w:hint="default"/>
          <w:spacing w:val="-63"/>
          <w:sz w:val="24"/>
          <w:szCs w:val="24"/>
        </w:rPr>
        <w:t> </w:t>
      </w:r>
      <w:r>
        <w:rPr>
          <w:rFonts w:ascii="宋体" w:hAnsi="宋体" w:cs="宋体" w:eastAsia="宋体" w:hint="default"/>
          <w:sz w:val="24"/>
          <w:szCs w:val="24"/>
        </w:rPr>
        <w:t>年</w:t>
      </w:r>
      <w:r>
        <w:rPr>
          <w:rFonts w:ascii="宋体" w:hAnsi="宋体" w:cs="宋体" w:eastAsia="宋体" w:hint="default"/>
          <w:spacing w:val="-63"/>
          <w:sz w:val="24"/>
          <w:szCs w:val="24"/>
        </w:rPr>
        <w:t> </w:t>
      </w:r>
      <w:r>
        <w:rPr>
          <w:rFonts w:ascii="宋体" w:hAnsi="宋体" w:cs="宋体" w:eastAsia="宋体" w:hint="default"/>
          <w:sz w:val="24"/>
          <w:szCs w:val="24"/>
        </w:rPr>
        <w:t>6</w:t>
      </w:r>
      <w:r>
        <w:rPr>
          <w:rFonts w:ascii="宋体" w:hAnsi="宋体" w:cs="宋体" w:eastAsia="宋体" w:hint="default"/>
          <w:spacing w:val="-63"/>
          <w:sz w:val="24"/>
          <w:szCs w:val="24"/>
        </w:rPr>
        <w:t> </w:t>
      </w:r>
      <w:r>
        <w:rPr>
          <w:rFonts w:ascii="宋体" w:hAnsi="宋体" w:cs="宋体" w:eastAsia="宋体" w:hint="default"/>
          <w:sz w:val="24"/>
          <w:szCs w:val="24"/>
        </w:rPr>
        <w:t>月，本公司之全资子公司沈阳东软医疗系统有限公司出资</w:t>
      </w:r>
      <w:r>
        <w:rPr>
          <w:rFonts w:ascii="宋体" w:hAnsi="宋体" w:cs="宋体" w:eastAsia="宋体" w:hint="default"/>
          <w:spacing w:val="-63"/>
          <w:sz w:val="24"/>
          <w:szCs w:val="24"/>
        </w:rPr>
        <w:t> </w:t>
      </w:r>
      <w:r>
        <w:rPr>
          <w:rFonts w:ascii="宋体" w:hAnsi="宋体" w:cs="宋体" w:eastAsia="宋体" w:hint="default"/>
          <w:sz w:val="24"/>
          <w:szCs w:val="24"/>
        </w:rPr>
        <w:t>2,760</w:t>
      </w:r>
      <w:r>
        <w:rPr>
          <w:rFonts w:ascii="宋体" w:hAnsi="宋体" w:cs="宋体" w:eastAsia="宋体" w:hint="default"/>
          <w:spacing w:val="-63"/>
          <w:sz w:val="24"/>
          <w:szCs w:val="24"/>
        </w:rPr>
        <w:t> </w:t>
      </w:r>
      <w:r>
        <w:rPr>
          <w:rFonts w:ascii="宋体" w:hAnsi="宋体" w:cs="宋体" w:eastAsia="宋体" w:hint="default"/>
          <w:sz w:val="24"/>
          <w:szCs w:val="24"/>
        </w:rPr>
        <w:t>万元，</w:t>
      </w:r>
      <w:r>
        <w:rPr>
          <w:rFonts w:ascii="宋体" w:hAnsi="宋体" w:cs="宋体" w:eastAsia="宋体" w:hint="default"/>
          <w:spacing w:val="-1"/>
          <w:sz w:val="24"/>
          <w:szCs w:val="24"/>
        </w:rPr>
        <w:t> </w:t>
      </w:r>
      <w:r>
        <w:rPr>
          <w:rFonts w:ascii="宋体" w:hAnsi="宋体" w:cs="宋体" w:eastAsia="宋体" w:hint="default"/>
          <w:spacing w:val="-4"/>
          <w:sz w:val="24"/>
          <w:szCs w:val="24"/>
        </w:rPr>
        <w:t>认缴南昌百特生物高新技术股份有限公司新增注册资本，认缴完成后持股比例为</w:t>
      </w:r>
      <w:r>
        <w:rPr>
          <w:rFonts w:ascii="宋体" w:hAnsi="宋体" w:cs="宋体" w:eastAsia="宋体" w:hint="default"/>
          <w:spacing w:val="-31"/>
          <w:sz w:val="24"/>
          <w:szCs w:val="24"/>
        </w:rPr>
        <w:t> </w:t>
      </w:r>
      <w:r>
        <w:rPr>
          <w:rFonts w:ascii="宋体" w:hAnsi="宋体" w:cs="宋体" w:eastAsia="宋体" w:hint="default"/>
          <w:sz w:val="24"/>
          <w:szCs w:val="24"/>
        </w:rPr>
        <w:t>9.01%。</w:t>
      </w:r>
    </w:p>
    <w:p>
      <w:pPr>
        <w:spacing w:line="240" w:lineRule="auto" w:before="13"/>
        <w:rPr>
          <w:rFonts w:ascii="宋体" w:hAnsi="宋体" w:cs="宋体" w:eastAsia="宋体" w:hint="default"/>
          <w:sz w:val="24"/>
          <w:szCs w:val="24"/>
        </w:rPr>
      </w:pPr>
    </w:p>
    <w:p>
      <w:pPr>
        <w:pStyle w:val="BodyText"/>
        <w:spacing w:line="240" w:lineRule="auto"/>
        <w:ind w:left="338" w:right="337"/>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headerReference w:type="default" r:id="rId13"/>
          <w:pgSz w:w="11910" w:h="16840"/>
          <w:pgMar w:header="1012" w:footer="480" w:top="1360" w:bottom="660" w:left="1080" w:right="1060"/>
        </w:sectPr>
      </w:pPr>
    </w:p>
    <w:p>
      <w:pPr>
        <w:spacing w:line="240" w:lineRule="auto" w:before="6"/>
        <w:rPr>
          <w:rFonts w:ascii="黑体" w:hAnsi="黑体" w:cs="黑体" w:eastAsia="黑体" w:hint="default"/>
          <w:sz w:val="15"/>
          <w:szCs w:val="15"/>
        </w:rPr>
      </w:pPr>
    </w:p>
    <w:p>
      <w:pPr>
        <w:pStyle w:val="Heading5"/>
        <w:spacing w:line="312" w:lineRule="exact" w:before="56"/>
        <w:ind w:right="233"/>
        <w:jc w:val="both"/>
      </w:pPr>
      <w:r>
        <w:rPr/>
        <w:t>（8）2011</w:t>
      </w:r>
      <w:r>
        <w:rPr>
          <w:spacing w:val="-57"/>
        </w:rPr>
        <w:t> </w:t>
      </w:r>
      <w:r>
        <w:rPr/>
        <w:t>年</w:t>
      </w:r>
      <w:r>
        <w:rPr>
          <w:spacing w:val="-57"/>
        </w:rPr>
        <w:t> </w:t>
      </w:r>
      <w:r>
        <w:rPr/>
        <w:t>6</w:t>
      </w:r>
      <w:r>
        <w:rPr>
          <w:spacing w:val="-57"/>
        </w:rPr>
        <w:t> </w:t>
      </w:r>
      <w:r>
        <w:rPr/>
        <w:t>月，本公司之控股子公司辽宁东软创业投资有限公司对其子公司北京东</w:t>
      </w:r>
      <w:r>
        <w:rPr/>
        <w:t> 软越通软件技术有限公司增资</w:t>
      </w:r>
      <w:r>
        <w:rPr>
          <w:spacing w:val="-60"/>
        </w:rPr>
        <w:t> </w:t>
      </w:r>
      <w:r>
        <w:rPr/>
        <w:t>350</w:t>
      </w:r>
      <w:r>
        <w:rPr>
          <w:spacing w:val="-60"/>
        </w:rPr>
        <w:t> </w:t>
      </w:r>
      <w:r>
        <w:rPr/>
        <w:t>万元，增资后投资总额达</w:t>
      </w:r>
      <w:r>
        <w:rPr>
          <w:spacing w:val="-60"/>
        </w:rPr>
        <w:t> </w:t>
      </w:r>
      <w:r>
        <w:rPr/>
        <w:t>1,050</w:t>
      </w:r>
      <w:r>
        <w:rPr>
          <w:spacing w:val="-60"/>
        </w:rPr>
        <w:t> </w:t>
      </w:r>
      <w:r>
        <w:rPr/>
        <w:t>万元。</w:t>
      </w:r>
    </w:p>
    <w:p>
      <w:pPr>
        <w:spacing w:line="312" w:lineRule="exact" w:before="0"/>
        <w:ind w:left="118" w:right="100" w:firstLine="0"/>
        <w:jc w:val="left"/>
        <w:rPr>
          <w:rFonts w:ascii="宋体" w:hAnsi="宋体" w:cs="宋体" w:eastAsia="宋体" w:hint="default"/>
          <w:sz w:val="24"/>
          <w:szCs w:val="24"/>
        </w:rPr>
      </w:pPr>
      <w:r>
        <w:rPr>
          <w:rFonts w:ascii="宋体" w:hAnsi="宋体" w:cs="宋体" w:eastAsia="宋体" w:hint="default"/>
          <w:spacing w:val="10"/>
          <w:sz w:val="24"/>
          <w:szCs w:val="24"/>
        </w:rPr>
        <w:t>（9）2011年6</w:t>
      </w:r>
      <w:r>
        <w:rPr>
          <w:rFonts w:ascii="宋体" w:hAnsi="宋体" w:cs="宋体" w:eastAsia="宋体" w:hint="default"/>
          <w:spacing w:val="-60"/>
          <w:sz w:val="24"/>
          <w:szCs w:val="24"/>
        </w:rPr>
        <w:t> </w:t>
      </w:r>
      <w:r>
        <w:rPr>
          <w:rFonts w:ascii="宋体" w:hAnsi="宋体" w:cs="宋体" w:eastAsia="宋体" w:hint="default"/>
          <w:sz w:val="24"/>
          <w:szCs w:val="24"/>
        </w:rPr>
        <w:t>月和</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pacing w:val="-4"/>
          <w:sz w:val="24"/>
          <w:szCs w:val="24"/>
        </w:rPr>
        <w:t>月，本公司对子公司东软（欧洲）有限公司增资</w:t>
      </w:r>
      <w:r>
        <w:rPr>
          <w:rFonts w:ascii="宋体" w:hAnsi="宋体" w:cs="宋体" w:eastAsia="宋体" w:hint="default"/>
          <w:spacing w:val="-60"/>
          <w:sz w:val="24"/>
          <w:szCs w:val="24"/>
        </w:rPr>
        <w:t> </w:t>
      </w:r>
      <w:r>
        <w:rPr>
          <w:rFonts w:ascii="宋体" w:hAnsi="宋体" w:cs="宋体" w:eastAsia="宋体" w:hint="default"/>
          <w:sz w:val="24"/>
          <w:szCs w:val="24"/>
        </w:rPr>
        <w:t>748.49</w:t>
      </w:r>
      <w:r>
        <w:rPr>
          <w:rFonts w:ascii="宋体" w:hAnsi="宋体" w:cs="宋体" w:eastAsia="宋体" w:hint="default"/>
          <w:spacing w:val="-60"/>
          <w:sz w:val="24"/>
          <w:szCs w:val="24"/>
        </w:rPr>
        <w:t> </w:t>
      </w:r>
      <w:r>
        <w:rPr>
          <w:rFonts w:ascii="宋体" w:hAnsi="宋体" w:cs="宋体" w:eastAsia="宋体" w:hint="default"/>
          <w:sz w:val="24"/>
          <w:szCs w:val="24"/>
        </w:rPr>
        <w:t>万欧元，</w:t>
      </w:r>
      <w:r>
        <w:rPr>
          <w:rFonts w:ascii="宋体" w:hAnsi="宋体" w:cs="宋体" w:eastAsia="宋体" w:hint="default"/>
          <w:sz w:val="24"/>
          <w:szCs w:val="24"/>
        </w:rPr>
        <w:t> 增资后投资总额达</w:t>
      </w:r>
      <w:r>
        <w:rPr>
          <w:rFonts w:ascii="宋体" w:hAnsi="宋体" w:cs="宋体" w:eastAsia="宋体" w:hint="default"/>
          <w:spacing w:val="-60"/>
          <w:sz w:val="24"/>
          <w:szCs w:val="24"/>
        </w:rPr>
        <w:t> </w:t>
      </w:r>
      <w:r>
        <w:rPr>
          <w:rFonts w:ascii="宋体" w:hAnsi="宋体" w:cs="宋体" w:eastAsia="宋体" w:hint="default"/>
          <w:sz w:val="24"/>
          <w:szCs w:val="24"/>
        </w:rPr>
        <w:t>2,801.46</w:t>
      </w:r>
      <w:r>
        <w:rPr>
          <w:rFonts w:ascii="宋体" w:hAnsi="宋体" w:cs="宋体" w:eastAsia="宋体" w:hint="default"/>
          <w:spacing w:val="-60"/>
          <w:sz w:val="24"/>
          <w:szCs w:val="24"/>
        </w:rPr>
        <w:t> </w:t>
      </w:r>
      <w:r>
        <w:rPr>
          <w:rFonts w:ascii="宋体" w:hAnsi="宋体" w:cs="宋体" w:eastAsia="宋体" w:hint="default"/>
          <w:sz w:val="24"/>
          <w:szCs w:val="24"/>
        </w:rPr>
        <w:t>万欧元。</w:t>
      </w:r>
    </w:p>
    <w:p>
      <w:pPr>
        <w:spacing w:line="312" w:lineRule="exact" w:before="0"/>
        <w:ind w:left="118" w:right="235" w:firstLine="0"/>
        <w:jc w:val="both"/>
        <w:rPr>
          <w:rFonts w:ascii="宋体" w:hAnsi="宋体" w:cs="宋体" w:eastAsia="宋体" w:hint="default"/>
          <w:sz w:val="24"/>
          <w:szCs w:val="24"/>
        </w:rPr>
      </w:pPr>
      <w:r>
        <w:rPr>
          <w:rFonts w:ascii="宋体" w:hAnsi="宋体" w:cs="宋体" w:eastAsia="宋体" w:hint="default"/>
          <w:spacing w:val="8"/>
          <w:sz w:val="24"/>
          <w:szCs w:val="24"/>
        </w:rPr>
        <w:t>（10）2011年7</w:t>
      </w:r>
      <w:r>
        <w:rPr>
          <w:rFonts w:ascii="宋体" w:hAnsi="宋体" w:cs="宋体" w:eastAsia="宋体" w:hint="default"/>
          <w:spacing w:val="-57"/>
          <w:sz w:val="24"/>
          <w:szCs w:val="24"/>
        </w:rPr>
        <w:t> </w:t>
      </w:r>
      <w:r>
        <w:rPr>
          <w:rFonts w:ascii="宋体" w:hAnsi="宋体" w:cs="宋体" w:eastAsia="宋体" w:hint="default"/>
          <w:spacing w:val="-6"/>
          <w:sz w:val="24"/>
          <w:szCs w:val="24"/>
        </w:rPr>
        <w:t>月，本公司出资</w:t>
      </w:r>
      <w:r>
        <w:rPr>
          <w:rFonts w:ascii="宋体" w:hAnsi="宋体" w:cs="宋体" w:eastAsia="宋体" w:hint="default"/>
          <w:spacing w:val="-57"/>
          <w:sz w:val="24"/>
          <w:szCs w:val="24"/>
        </w:rPr>
        <w:t> </w:t>
      </w:r>
      <w:r>
        <w:rPr>
          <w:rFonts w:ascii="宋体" w:hAnsi="宋体" w:cs="宋体" w:eastAsia="宋体" w:hint="default"/>
          <w:sz w:val="24"/>
          <w:szCs w:val="24"/>
        </w:rPr>
        <w:t>353.5</w:t>
      </w:r>
      <w:r>
        <w:rPr>
          <w:rFonts w:ascii="宋体" w:hAnsi="宋体" w:cs="宋体" w:eastAsia="宋体" w:hint="default"/>
          <w:spacing w:val="-57"/>
          <w:sz w:val="24"/>
          <w:szCs w:val="24"/>
        </w:rPr>
        <w:t> </w:t>
      </w:r>
      <w:r>
        <w:rPr>
          <w:rFonts w:ascii="宋体" w:hAnsi="宋体" w:cs="宋体" w:eastAsia="宋体" w:hint="default"/>
          <w:spacing w:val="-2"/>
          <w:sz w:val="24"/>
          <w:szCs w:val="24"/>
        </w:rPr>
        <w:t>万元设立沈阳东软交通信息技术有限公司，持股</w:t>
      </w:r>
      <w:r>
        <w:rPr>
          <w:rFonts w:ascii="宋体" w:hAnsi="宋体" w:cs="宋体" w:eastAsia="宋体" w:hint="default"/>
          <w:sz w:val="24"/>
          <w:szCs w:val="24"/>
        </w:rPr>
        <w:t> 比例</w:t>
      </w:r>
      <w:r>
        <w:rPr>
          <w:rFonts w:ascii="宋体" w:hAnsi="宋体" w:cs="宋体" w:eastAsia="宋体" w:hint="default"/>
          <w:spacing w:val="-60"/>
          <w:sz w:val="24"/>
          <w:szCs w:val="24"/>
        </w:rPr>
        <w:t> </w:t>
      </w:r>
      <w:r>
        <w:rPr>
          <w:rFonts w:ascii="宋体" w:hAnsi="宋体" w:cs="宋体" w:eastAsia="宋体" w:hint="default"/>
          <w:sz w:val="24"/>
          <w:szCs w:val="24"/>
        </w:rPr>
        <w:t>50.5％，自</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7</w:t>
      </w:r>
      <w:r>
        <w:rPr>
          <w:rFonts w:ascii="宋体" w:hAnsi="宋体" w:cs="宋体" w:eastAsia="宋体" w:hint="default"/>
          <w:spacing w:val="-60"/>
          <w:sz w:val="24"/>
          <w:szCs w:val="24"/>
        </w:rPr>
        <w:t> </w:t>
      </w:r>
      <w:r>
        <w:rPr>
          <w:rFonts w:ascii="宋体" w:hAnsi="宋体" w:cs="宋体" w:eastAsia="宋体" w:hint="default"/>
          <w:sz w:val="24"/>
          <w:szCs w:val="24"/>
        </w:rPr>
        <w:t>月起将其纳入合并财务报表范围。</w:t>
      </w:r>
    </w:p>
    <w:p>
      <w:pPr>
        <w:spacing w:line="312" w:lineRule="exact" w:before="0"/>
        <w:ind w:left="118" w:right="105" w:firstLine="0"/>
        <w:jc w:val="left"/>
        <w:rPr>
          <w:rFonts w:ascii="宋体" w:hAnsi="宋体" w:cs="宋体" w:eastAsia="宋体" w:hint="default"/>
          <w:sz w:val="24"/>
          <w:szCs w:val="24"/>
        </w:rPr>
      </w:pPr>
      <w:r>
        <w:rPr>
          <w:rFonts w:ascii="宋体" w:hAnsi="宋体" w:cs="宋体" w:eastAsia="宋体" w:hint="default"/>
          <w:spacing w:val="-2"/>
          <w:sz w:val="24"/>
          <w:szCs w:val="24"/>
        </w:rPr>
        <w:t>（11）2011年7</w:t>
      </w:r>
      <w:r>
        <w:rPr>
          <w:rFonts w:ascii="宋体" w:hAnsi="宋体" w:cs="宋体" w:eastAsia="宋体" w:hint="default"/>
          <w:spacing w:val="-65"/>
          <w:sz w:val="24"/>
          <w:szCs w:val="24"/>
        </w:rPr>
        <w:t> </w:t>
      </w:r>
      <w:r>
        <w:rPr>
          <w:rFonts w:ascii="宋体" w:hAnsi="宋体" w:cs="宋体" w:eastAsia="宋体" w:hint="default"/>
          <w:spacing w:val="-18"/>
          <w:sz w:val="24"/>
          <w:szCs w:val="24"/>
        </w:rPr>
        <w:t>月，本公司出资</w:t>
      </w:r>
      <w:r>
        <w:rPr>
          <w:rFonts w:ascii="宋体" w:hAnsi="宋体" w:cs="宋体" w:eastAsia="宋体" w:hint="default"/>
          <w:spacing w:val="-65"/>
          <w:sz w:val="24"/>
          <w:szCs w:val="24"/>
        </w:rPr>
        <w:t> </w:t>
      </w:r>
      <w:r>
        <w:rPr>
          <w:rFonts w:ascii="宋体" w:hAnsi="宋体" w:cs="宋体" w:eastAsia="宋体" w:hint="default"/>
          <w:sz w:val="24"/>
          <w:szCs w:val="24"/>
        </w:rPr>
        <w:t>1,200</w:t>
      </w:r>
      <w:r>
        <w:rPr>
          <w:rFonts w:ascii="宋体" w:hAnsi="宋体" w:cs="宋体" w:eastAsia="宋体" w:hint="default"/>
          <w:spacing w:val="-65"/>
          <w:sz w:val="24"/>
          <w:szCs w:val="24"/>
        </w:rPr>
        <w:t> </w:t>
      </w:r>
      <w:r>
        <w:rPr>
          <w:rFonts w:ascii="宋体" w:hAnsi="宋体" w:cs="宋体" w:eastAsia="宋体" w:hint="default"/>
          <w:spacing w:val="-7"/>
          <w:sz w:val="24"/>
          <w:szCs w:val="24"/>
        </w:rPr>
        <w:t>万元设立东软集团南京有限公司，持股比例</w:t>
      </w:r>
      <w:r>
        <w:rPr>
          <w:rFonts w:ascii="宋体" w:hAnsi="宋体" w:cs="宋体" w:eastAsia="宋体" w:hint="default"/>
          <w:spacing w:val="-65"/>
          <w:sz w:val="24"/>
          <w:szCs w:val="24"/>
        </w:rPr>
        <w:t> </w:t>
      </w:r>
      <w:r>
        <w:rPr>
          <w:rFonts w:ascii="宋体" w:hAnsi="宋体" w:cs="宋体" w:eastAsia="宋体" w:hint="default"/>
          <w:sz w:val="24"/>
          <w:szCs w:val="24"/>
        </w:rPr>
        <w:t>100％，</w:t>
      </w:r>
      <w:r>
        <w:rPr>
          <w:rFonts w:ascii="宋体" w:hAnsi="宋体" w:cs="宋体" w:eastAsia="宋体" w:hint="default"/>
          <w:sz w:val="24"/>
          <w:szCs w:val="24"/>
        </w:rPr>
        <w:t> 自</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7</w:t>
      </w:r>
      <w:r>
        <w:rPr>
          <w:rFonts w:ascii="宋体" w:hAnsi="宋体" w:cs="宋体" w:eastAsia="宋体" w:hint="default"/>
          <w:spacing w:val="-60"/>
          <w:sz w:val="24"/>
          <w:szCs w:val="24"/>
        </w:rPr>
        <w:t> </w:t>
      </w:r>
      <w:r>
        <w:rPr>
          <w:rFonts w:ascii="宋体" w:hAnsi="宋体" w:cs="宋体" w:eastAsia="宋体" w:hint="default"/>
          <w:sz w:val="24"/>
          <w:szCs w:val="24"/>
        </w:rPr>
        <w:t>月起将其纳入合并财务报表范围。</w:t>
      </w:r>
    </w:p>
    <w:p>
      <w:pPr>
        <w:spacing w:line="312" w:lineRule="exact" w:before="0"/>
        <w:ind w:left="118" w:right="234" w:firstLine="0"/>
        <w:jc w:val="both"/>
        <w:rPr>
          <w:rFonts w:ascii="宋体" w:hAnsi="宋体" w:cs="宋体" w:eastAsia="宋体" w:hint="default"/>
          <w:sz w:val="24"/>
          <w:szCs w:val="24"/>
        </w:rPr>
      </w:pPr>
      <w:r>
        <w:rPr>
          <w:rFonts w:ascii="宋体" w:hAnsi="宋体" w:cs="宋体" w:eastAsia="宋体" w:hint="default"/>
          <w:spacing w:val="9"/>
          <w:sz w:val="24"/>
          <w:szCs w:val="24"/>
        </w:rPr>
        <w:t>（12）2011年7</w:t>
      </w:r>
      <w:r>
        <w:rPr>
          <w:rFonts w:ascii="宋体" w:hAnsi="宋体" w:cs="宋体" w:eastAsia="宋体" w:hint="default"/>
          <w:spacing w:val="-57"/>
          <w:sz w:val="24"/>
          <w:szCs w:val="24"/>
        </w:rPr>
        <w:t> </w:t>
      </w:r>
      <w:r>
        <w:rPr>
          <w:rFonts w:ascii="宋体" w:hAnsi="宋体" w:cs="宋体" w:eastAsia="宋体" w:hint="default"/>
          <w:spacing w:val="-4"/>
          <w:sz w:val="24"/>
          <w:szCs w:val="24"/>
        </w:rPr>
        <w:t>月，本公司之全资子公司东软（香港）有限公司出资</w:t>
      </w:r>
      <w:r>
        <w:rPr>
          <w:rFonts w:ascii="宋体" w:hAnsi="宋体" w:cs="宋体" w:eastAsia="宋体" w:hint="default"/>
          <w:spacing w:val="-57"/>
          <w:sz w:val="24"/>
          <w:szCs w:val="24"/>
        </w:rPr>
        <w:t> </w:t>
      </w:r>
      <w:r>
        <w:rPr>
          <w:rFonts w:ascii="宋体" w:hAnsi="宋体" w:cs="宋体" w:eastAsia="宋体" w:hint="default"/>
          <w:sz w:val="24"/>
          <w:szCs w:val="24"/>
        </w:rPr>
        <w:t>3.5</w:t>
      </w:r>
      <w:r>
        <w:rPr>
          <w:rFonts w:ascii="宋体" w:hAnsi="宋体" w:cs="宋体" w:eastAsia="宋体" w:hint="default"/>
          <w:spacing w:val="-57"/>
          <w:sz w:val="24"/>
          <w:szCs w:val="24"/>
        </w:rPr>
        <w:t> </w:t>
      </w:r>
      <w:r>
        <w:rPr>
          <w:rFonts w:ascii="宋体" w:hAnsi="宋体" w:cs="宋体" w:eastAsia="宋体" w:hint="default"/>
          <w:sz w:val="24"/>
          <w:szCs w:val="24"/>
        </w:rPr>
        <w:t>万美元设立东</w:t>
      </w:r>
      <w:r>
        <w:rPr>
          <w:rFonts w:ascii="宋体" w:hAnsi="宋体" w:cs="宋体" w:eastAsia="宋体" w:hint="default"/>
          <w:sz w:val="24"/>
          <w:szCs w:val="24"/>
        </w:rPr>
        <w:t> 软熙康控股有限公司，持股比例</w:t>
      </w:r>
      <w:r>
        <w:rPr>
          <w:rFonts w:ascii="宋体" w:hAnsi="宋体" w:cs="宋体" w:eastAsia="宋体" w:hint="default"/>
          <w:spacing w:val="-60"/>
          <w:sz w:val="24"/>
          <w:szCs w:val="24"/>
        </w:rPr>
        <w:t> </w:t>
      </w:r>
      <w:r>
        <w:rPr>
          <w:rFonts w:ascii="宋体" w:hAnsi="宋体" w:cs="宋体" w:eastAsia="宋体" w:hint="default"/>
          <w:sz w:val="24"/>
          <w:szCs w:val="24"/>
        </w:rPr>
        <w:t>70%，自</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7</w:t>
      </w:r>
      <w:r>
        <w:rPr>
          <w:rFonts w:ascii="宋体" w:hAnsi="宋体" w:cs="宋体" w:eastAsia="宋体" w:hint="default"/>
          <w:spacing w:val="-60"/>
          <w:sz w:val="24"/>
          <w:szCs w:val="24"/>
        </w:rPr>
        <w:t> </w:t>
      </w:r>
      <w:r>
        <w:rPr>
          <w:rFonts w:ascii="宋体" w:hAnsi="宋体" w:cs="宋体" w:eastAsia="宋体" w:hint="default"/>
          <w:sz w:val="24"/>
          <w:szCs w:val="24"/>
        </w:rPr>
        <w:t>月起将其纳入合并财务报表范围。</w:t>
      </w:r>
    </w:p>
    <w:p>
      <w:pPr>
        <w:spacing w:line="312" w:lineRule="exact" w:before="0"/>
        <w:ind w:left="118" w:right="234" w:firstLine="0"/>
        <w:jc w:val="both"/>
        <w:rPr>
          <w:rFonts w:ascii="宋体" w:hAnsi="宋体" w:cs="宋体" w:eastAsia="宋体" w:hint="default"/>
          <w:sz w:val="24"/>
          <w:szCs w:val="24"/>
        </w:rPr>
      </w:pPr>
      <w:r>
        <w:rPr>
          <w:rFonts w:ascii="宋体" w:hAnsi="宋体" w:cs="宋体" w:eastAsia="宋体" w:hint="default"/>
          <w:spacing w:val="6"/>
          <w:sz w:val="24"/>
          <w:szCs w:val="24"/>
        </w:rPr>
        <w:t>（13）2011年7</w:t>
      </w:r>
      <w:r>
        <w:rPr>
          <w:rFonts w:ascii="宋体" w:hAnsi="宋体" w:cs="宋体" w:eastAsia="宋体" w:hint="default"/>
          <w:spacing w:val="-52"/>
          <w:sz w:val="24"/>
          <w:szCs w:val="24"/>
        </w:rPr>
        <w:t> </w:t>
      </w:r>
      <w:r>
        <w:rPr>
          <w:rFonts w:ascii="宋体" w:hAnsi="宋体" w:cs="宋体" w:eastAsia="宋体" w:hint="default"/>
          <w:spacing w:val="-2"/>
          <w:sz w:val="24"/>
          <w:szCs w:val="24"/>
        </w:rPr>
        <w:t>月，本公司之间接控股子公司东软熙康控股有限公司在香港收购东软熙</w:t>
      </w:r>
      <w:r>
        <w:rPr>
          <w:rFonts w:ascii="宋体" w:hAnsi="宋体" w:cs="宋体" w:eastAsia="宋体" w:hint="default"/>
          <w:sz w:val="24"/>
          <w:szCs w:val="24"/>
        </w:rPr>
        <w:t> 康国际有限公司，持股比例 100%，同时对其增资，增资后发行股本为 100</w:t>
      </w:r>
      <w:r>
        <w:rPr>
          <w:rFonts w:ascii="宋体" w:hAnsi="宋体" w:cs="宋体" w:eastAsia="宋体" w:hint="default"/>
          <w:spacing w:val="-51"/>
          <w:sz w:val="24"/>
          <w:szCs w:val="24"/>
        </w:rPr>
        <w:t> </w:t>
      </w:r>
      <w:r>
        <w:rPr>
          <w:rFonts w:ascii="宋体" w:hAnsi="宋体" w:cs="宋体" w:eastAsia="宋体" w:hint="default"/>
          <w:sz w:val="24"/>
          <w:szCs w:val="24"/>
        </w:rPr>
        <w:t>万港元，自</w:t>
      </w:r>
      <w:r>
        <w:rPr>
          <w:rFonts w:ascii="宋体" w:hAnsi="宋体" w:cs="宋体" w:eastAsia="宋体" w:hint="default"/>
          <w:sz w:val="24"/>
          <w:szCs w:val="24"/>
        </w:rPr>
        <w:t> 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7</w:t>
      </w:r>
      <w:r>
        <w:rPr>
          <w:rFonts w:ascii="宋体" w:hAnsi="宋体" w:cs="宋体" w:eastAsia="宋体" w:hint="default"/>
          <w:spacing w:val="-60"/>
          <w:sz w:val="24"/>
          <w:szCs w:val="24"/>
        </w:rPr>
        <w:t> </w:t>
      </w:r>
      <w:r>
        <w:rPr>
          <w:rFonts w:ascii="宋体" w:hAnsi="宋体" w:cs="宋体" w:eastAsia="宋体" w:hint="default"/>
          <w:sz w:val="24"/>
          <w:szCs w:val="24"/>
        </w:rPr>
        <w:t>月起将其纳入合并财务报表范围。</w:t>
      </w:r>
    </w:p>
    <w:p>
      <w:pPr>
        <w:spacing w:line="312" w:lineRule="exact" w:before="0"/>
        <w:ind w:left="118" w:right="234" w:firstLine="0"/>
        <w:jc w:val="both"/>
        <w:rPr>
          <w:rFonts w:ascii="宋体" w:hAnsi="宋体" w:cs="宋体" w:eastAsia="宋体" w:hint="default"/>
          <w:sz w:val="24"/>
          <w:szCs w:val="24"/>
        </w:rPr>
      </w:pPr>
      <w:r>
        <w:rPr>
          <w:rFonts w:ascii="宋体" w:hAnsi="宋体" w:cs="宋体" w:eastAsia="宋体" w:hint="default"/>
          <w:spacing w:val="6"/>
          <w:sz w:val="24"/>
          <w:szCs w:val="24"/>
        </w:rPr>
        <w:t>（14）2011年7</w:t>
      </w:r>
      <w:r>
        <w:rPr>
          <w:rFonts w:ascii="宋体" w:hAnsi="宋体" w:cs="宋体" w:eastAsia="宋体" w:hint="default"/>
          <w:spacing w:val="-53"/>
          <w:sz w:val="24"/>
          <w:szCs w:val="24"/>
        </w:rPr>
        <w:t> </w:t>
      </w:r>
      <w:r>
        <w:rPr>
          <w:rFonts w:ascii="宋体" w:hAnsi="宋体" w:cs="宋体" w:eastAsia="宋体" w:hint="default"/>
          <w:spacing w:val="-3"/>
          <w:sz w:val="24"/>
          <w:szCs w:val="24"/>
        </w:rPr>
        <w:t>月，本公司之间接控股子公司东软熙康控股有限公司出资</w:t>
      </w:r>
      <w:r>
        <w:rPr>
          <w:rFonts w:ascii="宋体" w:hAnsi="宋体" w:cs="宋体" w:eastAsia="宋体" w:hint="default"/>
          <w:spacing w:val="-53"/>
          <w:sz w:val="24"/>
          <w:szCs w:val="24"/>
        </w:rPr>
        <w:t> </w:t>
      </w:r>
      <w:r>
        <w:rPr>
          <w:rFonts w:ascii="宋体" w:hAnsi="宋体" w:cs="宋体" w:eastAsia="宋体" w:hint="default"/>
          <w:sz w:val="24"/>
          <w:szCs w:val="24"/>
        </w:rPr>
        <w:t>800</w:t>
      </w:r>
      <w:r>
        <w:rPr>
          <w:rFonts w:ascii="宋体" w:hAnsi="宋体" w:cs="宋体" w:eastAsia="宋体" w:hint="default"/>
          <w:spacing w:val="-53"/>
          <w:sz w:val="24"/>
          <w:szCs w:val="24"/>
        </w:rPr>
        <w:t> </w:t>
      </w:r>
      <w:r>
        <w:rPr>
          <w:rFonts w:ascii="宋体" w:hAnsi="宋体" w:cs="宋体" w:eastAsia="宋体" w:hint="default"/>
          <w:sz w:val="24"/>
          <w:szCs w:val="24"/>
        </w:rPr>
        <w:t>万美元设</w:t>
      </w:r>
      <w:r>
        <w:rPr>
          <w:rFonts w:ascii="宋体" w:hAnsi="宋体" w:cs="宋体" w:eastAsia="宋体" w:hint="default"/>
          <w:sz w:val="24"/>
          <w:szCs w:val="24"/>
        </w:rPr>
        <w:t> 立东软熙康健康科技有限公司，持股比例</w:t>
      </w:r>
      <w:r>
        <w:rPr>
          <w:rFonts w:ascii="宋体" w:hAnsi="宋体" w:cs="宋体" w:eastAsia="宋体" w:hint="default"/>
          <w:spacing w:val="-65"/>
          <w:sz w:val="24"/>
          <w:szCs w:val="24"/>
        </w:rPr>
        <w:t> </w:t>
      </w:r>
      <w:r>
        <w:rPr>
          <w:rFonts w:ascii="宋体" w:hAnsi="宋体" w:cs="宋体" w:eastAsia="宋体" w:hint="default"/>
          <w:sz w:val="24"/>
          <w:szCs w:val="24"/>
        </w:rPr>
        <w:t>100%，自</w:t>
      </w:r>
      <w:r>
        <w:rPr>
          <w:rFonts w:ascii="宋体" w:hAnsi="宋体" w:cs="宋体" w:eastAsia="宋体" w:hint="default"/>
          <w:spacing w:val="-65"/>
          <w:sz w:val="24"/>
          <w:szCs w:val="24"/>
        </w:rPr>
        <w:t> </w:t>
      </w:r>
      <w:r>
        <w:rPr>
          <w:rFonts w:ascii="宋体" w:hAnsi="宋体" w:cs="宋体" w:eastAsia="宋体" w:hint="default"/>
          <w:sz w:val="24"/>
          <w:szCs w:val="24"/>
        </w:rPr>
        <w:t>2011</w:t>
      </w:r>
      <w:r>
        <w:rPr>
          <w:rFonts w:ascii="宋体" w:hAnsi="宋体" w:cs="宋体" w:eastAsia="宋体" w:hint="default"/>
          <w:spacing w:val="-66"/>
          <w:sz w:val="24"/>
          <w:szCs w:val="24"/>
        </w:rPr>
        <w:t> </w:t>
      </w:r>
      <w:r>
        <w:rPr>
          <w:rFonts w:ascii="宋体" w:hAnsi="宋体" w:cs="宋体" w:eastAsia="宋体" w:hint="default"/>
          <w:sz w:val="24"/>
          <w:szCs w:val="24"/>
        </w:rPr>
        <w:t>年</w:t>
      </w:r>
      <w:r>
        <w:rPr>
          <w:rFonts w:ascii="宋体" w:hAnsi="宋体" w:cs="宋体" w:eastAsia="宋体" w:hint="default"/>
          <w:spacing w:val="-65"/>
          <w:sz w:val="24"/>
          <w:szCs w:val="24"/>
        </w:rPr>
        <w:t> </w:t>
      </w:r>
      <w:r>
        <w:rPr>
          <w:rFonts w:ascii="宋体" w:hAnsi="宋体" w:cs="宋体" w:eastAsia="宋体" w:hint="default"/>
          <w:sz w:val="24"/>
          <w:szCs w:val="24"/>
        </w:rPr>
        <w:t>7</w:t>
      </w:r>
      <w:r>
        <w:rPr>
          <w:rFonts w:ascii="宋体" w:hAnsi="宋体" w:cs="宋体" w:eastAsia="宋体" w:hint="default"/>
          <w:spacing w:val="-65"/>
          <w:sz w:val="24"/>
          <w:szCs w:val="24"/>
        </w:rPr>
        <w:t> </w:t>
      </w:r>
      <w:r>
        <w:rPr>
          <w:rFonts w:ascii="宋体" w:hAnsi="宋体" w:cs="宋体" w:eastAsia="宋体" w:hint="default"/>
          <w:sz w:val="24"/>
          <w:szCs w:val="24"/>
        </w:rPr>
        <w:t>月起将其纳入合并财务报</w:t>
      </w:r>
      <w:r>
        <w:rPr>
          <w:rFonts w:ascii="宋体" w:hAnsi="宋体" w:cs="宋体" w:eastAsia="宋体" w:hint="default"/>
          <w:spacing w:val="-1"/>
          <w:sz w:val="24"/>
          <w:szCs w:val="24"/>
        </w:rPr>
        <w:t> </w:t>
      </w:r>
      <w:r>
        <w:rPr>
          <w:rFonts w:ascii="宋体" w:hAnsi="宋体" w:cs="宋体" w:eastAsia="宋体" w:hint="default"/>
          <w:sz w:val="24"/>
          <w:szCs w:val="24"/>
        </w:rPr>
        <w:t>表范围。</w:t>
      </w:r>
    </w:p>
    <w:p>
      <w:pPr>
        <w:spacing w:line="312" w:lineRule="exact" w:before="0"/>
        <w:ind w:left="118" w:right="233" w:firstLine="0"/>
        <w:jc w:val="both"/>
        <w:rPr>
          <w:rFonts w:ascii="宋体" w:hAnsi="宋体" w:cs="宋体" w:eastAsia="宋体" w:hint="default"/>
          <w:sz w:val="24"/>
          <w:szCs w:val="24"/>
        </w:rPr>
      </w:pPr>
      <w:r>
        <w:rPr>
          <w:rFonts w:ascii="宋体" w:hAnsi="宋体" w:cs="宋体" w:eastAsia="宋体" w:hint="default"/>
          <w:spacing w:val="12"/>
          <w:sz w:val="24"/>
          <w:szCs w:val="24"/>
        </w:rPr>
        <w:t>（15）2011年7</w:t>
      </w:r>
      <w:r>
        <w:rPr>
          <w:rFonts w:ascii="宋体" w:hAnsi="宋体" w:cs="宋体" w:eastAsia="宋体" w:hint="default"/>
          <w:spacing w:val="-66"/>
          <w:sz w:val="24"/>
          <w:szCs w:val="24"/>
        </w:rPr>
        <w:t> </w:t>
      </w:r>
      <w:r>
        <w:rPr>
          <w:rFonts w:ascii="宋体" w:hAnsi="宋体" w:cs="宋体" w:eastAsia="宋体" w:hint="default"/>
          <w:sz w:val="24"/>
          <w:szCs w:val="24"/>
        </w:rPr>
        <w:t>月，本公司之子公司东软集团（欧洲）有限公司以</w:t>
      </w:r>
      <w:r>
        <w:rPr>
          <w:rFonts w:ascii="宋体" w:hAnsi="宋体" w:cs="宋体" w:eastAsia="宋体" w:hint="default"/>
          <w:spacing w:val="-66"/>
          <w:sz w:val="24"/>
          <w:szCs w:val="24"/>
        </w:rPr>
        <w:t> </w:t>
      </w:r>
      <w:r>
        <w:rPr>
          <w:rFonts w:ascii="宋体" w:hAnsi="宋体" w:cs="宋体" w:eastAsia="宋体" w:hint="default"/>
          <w:sz w:val="24"/>
          <w:szCs w:val="24"/>
        </w:rPr>
        <w:t>66.02</w:t>
      </w:r>
      <w:r>
        <w:rPr>
          <w:rFonts w:ascii="宋体" w:hAnsi="宋体" w:cs="宋体" w:eastAsia="宋体" w:hint="default"/>
          <w:spacing w:val="-66"/>
          <w:sz w:val="24"/>
          <w:szCs w:val="24"/>
        </w:rPr>
        <w:t> </w:t>
      </w:r>
      <w:r>
        <w:rPr>
          <w:rFonts w:ascii="宋体" w:hAnsi="宋体" w:cs="宋体" w:eastAsia="宋体" w:hint="default"/>
          <w:sz w:val="24"/>
          <w:szCs w:val="24"/>
        </w:rPr>
        <w:t>美元/股的价</w:t>
      </w:r>
      <w:r>
        <w:rPr>
          <w:rFonts w:ascii="宋体" w:hAnsi="宋体" w:cs="宋体" w:eastAsia="宋体" w:hint="default"/>
          <w:spacing w:val="-1"/>
          <w:sz w:val="24"/>
          <w:szCs w:val="24"/>
        </w:rPr>
        <w:t> </w:t>
      </w:r>
      <w:r>
        <w:rPr>
          <w:rFonts w:ascii="宋体" w:hAnsi="宋体" w:cs="宋体" w:eastAsia="宋体" w:hint="default"/>
          <w:sz w:val="24"/>
          <w:szCs w:val="24"/>
        </w:rPr>
        <w:t>格认购</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Aerotel</w:t>
      </w:r>
      <w:r>
        <w:rPr>
          <w:rFonts w:ascii="Times New Roman" w:hAnsi="Times New Roman" w:cs="Times New Roman" w:eastAsia="Times New Roman" w:hint="default"/>
          <w:spacing w:val="33"/>
          <w:sz w:val="24"/>
          <w:szCs w:val="24"/>
        </w:rPr>
        <w:t> </w:t>
      </w:r>
      <w:r>
        <w:rPr>
          <w:rFonts w:ascii="Times New Roman" w:hAnsi="Times New Roman" w:cs="Times New Roman" w:eastAsia="Times New Roman" w:hint="default"/>
          <w:sz w:val="24"/>
          <w:szCs w:val="24"/>
        </w:rPr>
        <w:t>Medical</w:t>
      </w:r>
      <w:r>
        <w:rPr>
          <w:rFonts w:ascii="Times New Roman" w:hAnsi="Times New Roman" w:cs="Times New Roman" w:eastAsia="Times New Roman" w:hint="default"/>
          <w:spacing w:val="33"/>
          <w:sz w:val="24"/>
          <w:szCs w:val="24"/>
        </w:rPr>
        <w:t> </w:t>
      </w:r>
      <w:r>
        <w:rPr>
          <w:rFonts w:ascii="Times New Roman" w:hAnsi="Times New Roman" w:cs="Times New Roman" w:eastAsia="Times New Roman" w:hint="default"/>
          <w:sz w:val="24"/>
          <w:szCs w:val="24"/>
        </w:rPr>
        <w:t>Systems</w:t>
      </w:r>
      <w:r>
        <w:rPr>
          <w:rFonts w:ascii="宋体" w:hAnsi="宋体" w:cs="宋体" w:eastAsia="宋体" w:hint="default"/>
          <w:sz w:val="24"/>
          <w:szCs w:val="24"/>
        </w:rPr>
        <w:t>（</w:t>
      </w:r>
      <w:r>
        <w:rPr>
          <w:rFonts w:ascii="Times New Roman" w:hAnsi="Times New Roman" w:cs="Times New Roman" w:eastAsia="Times New Roman" w:hint="default"/>
          <w:sz w:val="24"/>
          <w:szCs w:val="24"/>
        </w:rPr>
        <w:t>1998</w:t>
      </w:r>
      <w:r>
        <w:rPr>
          <w:rFonts w:ascii="宋体" w:hAnsi="宋体" w:cs="宋体" w:eastAsia="宋体" w:hint="default"/>
          <w:sz w:val="24"/>
          <w:szCs w:val="24"/>
        </w:rPr>
        <w:t>）</w:t>
      </w:r>
      <w:r>
        <w:rPr>
          <w:rFonts w:ascii="Times New Roman" w:hAnsi="Times New Roman" w:cs="Times New Roman" w:eastAsia="Times New Roman" w:hint="default"/>
          <w:sz w:val="24"/>
          <w:szCs w:val="24"/>
        </w:rPr>
        <w:t>Ltd.</w:t>
      </w:r>
      <w:r>
        <w:rPr>
          <w:rFonts w:ascii="宋体" w:hAnsi="宋体" w:cs="宋体" w:eastAsia="宋体" w:hint="default"/>
          <w:sz w:val="24"/>
          <w:szCs w:val="24"/>
        </w:rPr>
        <w:t>新增发行</w:t>
      </w:r>
      <w:r>
        <w:rPr>
          <w:rFonts w:ascii="宋体" w:hAnsi="宋体" w:cs="宋体" w:eastAsia="宋体" w:hint="default"/>
          <w:spacing w:val="-61"/>
          <w:sz w:val="24"/>
          <w:szCs w:val="24"/>
        </w:rPr>
        <w:t> </w:t>
      </w:r>
      <w:r>
        <w:rPr>
          <w:rFonts w:ascii="宋体" w:hAnsi="宋体" w:cs="宋体" w:eastAsia="宋体" w:hint="default"/>
          <w:sz w:val="24"/>
          <w:szCs w:val="24"/>
        </w:rPr>
        <w:t>26,915</w:t>
      </w:r>
      <w:r>
        <w:rPr>
          <w:rFonts w:ascii="宋体" w:hAnsi="宋体" w:cs="宋体" w:eastAsia="宋体" w:hint="default"/>
          <w:spacing w:val="-61"/>
          <w:sz w:val="24"/>
          <w:szCs w:val="24"/>
        </w:rPr>
        <w:t> </w:t>
      </w:r>
      <w:r>
        <w:rPr>
          <w:rFonts w:ascii="宋体" w:hAnsi="宋体" w:cs="宋体" w:eastAsia="宋体" w:hint="default"/>
          <w:sz w:val="24"/>
          <w:szCs w:val="24"/>
        </w:rPr>
        <w:t>股普通股，占该公司增发</w:t>
      </w:r>
      <w:r>
        <w:rPr>
          <w:rFonts w:ascii="宋体" w:hAnsi="宋体" w:cs="宋体" w:eastAsia="宋体" w:hint="default"/>
          <w:sz w:val="24"/>
          <w:szCs w:val="24"/>
        </w:rPr>
        <w:t> 后已发行股份的</w:t>
      </w:r>
      <w:r>
        <w:rPr>
          <w:rFonts w:ascii="宋体" w:hAnsi="宋体" w:cs="宋体" w:eastAsia="宋体" w:hint="default"/>
          <w:spacing w:val="-60"/>
          <w:sz w:val="24"/>
          <w:szCs w:val="24"/>
        </w:rPr>
        <w:t> </w:t>
      </w:r>
      <w:r>
        <w:rPr>
          <w:rFonts w:ascii="宋体" w:hAnsi="宋体" w:cs="宋体" w:eastAsia="宋体" w:hint="default"/>
          <w:sz w:val="24"/>
          <w:szCs w:val="24"/>
        </w:rPr>
        <w:t>30.77%，投资金额为</w:t>
      </w:r>
      <w:r>
        <w:rPr>
          <w:rFonts w:ascii="宋体" w:hAnsi="宋体" w:cs="宋体" w:eastAsia="宋体" w:hint="default"/>
          <w:spacing w:val="-60"/>
          <w:sz w:val="24"/>
          <w:szCs w:val="24"/>
        </w:rPr>
        <w:t> </w:t>
      </w:r>
      <w:r>
        <w:rPr>
          <w:rFonts w:ascii="宋体" w:hAnsi="宋体" w:cs="宋体" w:eastAsia="宋体" w:hint="default"/>
          <w:sz w:val="24"/>
          <w:szCs w:val="24"/>
        </w:rPr>
        <w:t>177.7</w:t>
      </w:r>
      <w:r>
        <w:rPr>
          <w:rFonts w:ascii="宋体" w:hAnsi="宋体" w:cs="宋体" w:eastAsia="宋体" w:hint="default"/>
          <w:spacing w:val="-60"/>
          <w:sz w:val="24"/>
          <w:szCs w:val="24"/>
        </w:rPr>
        <w:t> </w:t>
      </w:r>
      <w:r>
        <w:rPr>
          <w:rFonts w:ascii="宋体" w:hAnsi="宋体" w:cs="宋体" w:eastAsia="宋体" w:hint="default"/>
          <w:sz w:val="24"/>
          <w:szCs w:val="24"/>
        </w:rPr>
        <w:t>万美元。</w:t>
      </w:r>
    </w:p>
    <w:p>
      <w:pPr>
        <w:spacing w:line="312" w:lineRule="exact" w:before="0"/>
        <w:ind w:left="118" w:right="106" w:firstLine="0"/>
        <w:jc w:val="left"/>
        <w:rPr>
          <w:rFonts w:ascii="宋体" w:hAnsi="宋体" w:cs="宋体" w:eastAsia="宋体" w:hint="default"/>
          <w:sz w:val="24"/>
          <w:szCs w:val="24"/>
        </w:rPr>
      </w:pPr>
      <w:r>
        <w:rPr>
          <w:rFonts w:ascii="宋体" w:hAnsi="宋体" w:cs="宋体" w:eastAsia="宋体" w:hint="default"/>
          <w:sz w:val="24"/>
          <w:szCs w:val="24"/>
        </w:rPr>
        <w:t>（16）2011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7</w:t>
      </w:r>
      <w:r>
        <w:rPr>
          <w:rFonts w:ascii="宋体" w:hAnsi="宋体" w:cs="宋体" w:eastAsia="宋体" w:hint="default"/>
          <w:spacing w:val="-60"/>
          <w:sz w:val="24"/>
          <w:szCs w:val="24"/>
        </w:rPr>
        <w:t> </w:t>
      </w:r>
      <w:r>
        <w:rPr>
          <w:rFonts w:ascii="宋体" w:hAnsi="宋体" w:cs="宋体" w:eastAsia="宋体" w:hint="default"/>
          <w:sz w:val="24"/>
          <w:szCs w:val="24"/>
        </w:rPr>
        <w:t>月，本公司出资</w:t>
      </w:r>
      <w:r>
        <w:rPr>
          <w:rFonts w:ascii="宋体" w:hAnsi="宋体" w:cs="宋体" w:eastAsia="宋体" w:hint="default"/>
          <w:spacing w:val="-60"/>
          <w:sz w:val="24"/>
          <w:szCs w:val="24"/>
        </w:rPr>
        <w:t> </w:t>
      </w:r>
      <w:r>
        <w:rPr>
          <w:rFonts w:ascii="宋体" w:hAnsi="宋体" w:cs="宋体" w:eastAsia="宋体" w:hint="default"/>
          <w:sz w:val="24"/>
          <w:szCs w:val="24"/>
        </w:rPr>
        <w:t>905.1</w:t>
      </w:r>
      <w:r>
        <w:rPr>
          <w:rFonts w:ascii="宋体" w:hAnsi="宋体" w:cs="宋体" w:eastAsia="宋体" w:hint="default"/>
          <w:spacing w:val="-60"/>
          <w:sz w:val="24"/>
          <w:szCs w:val="24"/>
        </w:rPr>
        <w:t> </w:t>
      </w:r>
      <w:r>
        <w:rPr>
          <w:rFonts w:ascii="宋体" w:hAnsi="宋体" w:cs="宋体" w:eastAsia="宋体" w:hint="default"/>
          <w:sz w:val="24"/>
          <w:szCs w:val="24"/>
        </w:rPr>
        <w:t>万元参股设立沈阳东芝东软信息系统有限公司，</w:t>
      </w:r>
      <w:r>
        <w:rPr>
          <w:rFonts w:ascii="宋体" w:hAnsi="宋体" w:cs="宋体" w:eastAsia="宋体" w:hint="default"/>
          <w:sz w:val="24"/>
          <w:szCs w:val="24"/>
        </w:rPr>
        <w:t> 持股比例</w:t>
      </w:r>
      <w:r>
        <w:rPr>
          <w:rFonts w:ascii="宋体" w:hAnsi="宋体" w:cs="宋体" w:eastAsia="宋体" w:hint="default"/>
          <w:spacing w:val="-60"/>
          <w:sz w:val="24"/>
          <w:szCs w:val="24"/>
        </w:rPr>
        <w:t> </w:t>
      </w:r>
      <w:r>
        <w:rPr>
          <w:rFonts w:ascii="宋体" w:hAnsi="宋体" w:cs="宋体" w:eastAsia="宋体" w:hint="default"/>
          <w:sz w:val="24"/>
          <w:szCs w:val="24"/>
        </w:rPr>
        <w:t>40%。</w:t>
      </w:r>
    </w:p>
    <w:p>
      <w:pPr>
        <w:spacing w:line="312" w:lineRule="exact" w:before="0"/>
        <w:ind w:left="118" w:right="100" w:firstLine="0"/>
        <w:jc w:val="left"/>
        <w:rPr>
          <w:rFonts w:ascii="宋体" w:hAnsi="宋体" w:cs="宋体" w:eastAsia="宋体" w:hint="default"/>
          <w:sz w:val="24"/>
          <w:szCs w:val="24"/>
        </w:rPr>
      </w:pPr>
      <w:r>
        <w:rPr>
          <w:rFonts w:ascii="宋体" w:hAnsi="宋体" w:cs="宋体" w:eastAsia="宋体" w:hint="default"/>
          <w:sz w:val="24"/>
          <w:szCs w:val="24"/>
        </w:rPr>
        <w:t>（17）2011年7</w:t>
      </w:r>
      <w:r>
        <w:rPr>
          <w:rFonts w:ascii="宋体" w:hAnsi="宋体" w:cs="宋体" w:eastAsia="宋体" w:hint="default"/>
          <w:spacing w:val="-53"/>
          <w:sz w:val="24"/>
          <w:szCs w:val="24"/>
        </w:rPr>
        <w:t> </w:t>
      </w:r>
      <w:r>
        <w:rPr>
          <w:rFonts w:ascii="宋体" w:hAnsi="宋体" w:cs="宋体" w:eastAsia="宋体" w:hint="default"/>
          <w:spacing w:val="-5"/>
          <w:sz w:val="24"/>
          <w:szCs w:val="24"/>
        </w:rPr>
        <w:t>月，本公司之全资子公司沈阳东软信息技术服务有限公司出资</w:t>
      </w:r>
      <w:r>
        <w:rPr>
          <w:rFonts w:ascii="宋体" w:hAnsi="宋体" w:cs="宋体" w:eastAsia="宋体" w:hint="default"/>
          <w:spacing w:val="-53"/>
          <w:sz w:val="24"/>
          <w:szCs w:val="24"/>
        </w:rPr>
        <w:t> </w:t>
      </w:r>
      <w:r>
        <w:rPr>
          <w:rFonts w:ascii="宋体" w:hAnsi="宋体" w:cs="宋体" w:eastAsia="宋体" w:hint="default"/>
          <w:sz w:val="24"/>
          <w:szCs w:val="24"/>
        </w:rPr>
        <w:t>450</w:t>
      </w:r>
      <w:r>
        <w:rPr>
          <w:rFonts w:ascii="宋体" w:hAnsi="宋体" w:cs="宋体" w:eastAsia="宋体" w:hint="default"/>
          <w:spacing w:val="-53"/>
          <w:sz w:val="24"/>
          <w:szCs w:val="24"/>
        </w:rPr>
        <w:t> </w:t>
      </w:r>
      <w:r>
        <w:rPr>
          <w:rFonts w:ascii="宋体" w:hAnsi="宋体" w:cs="宋体" w:eastAsia="宋体" w:hint="default"/>
          <w:sz w:val="24"/>
          <w:szCs w:val="24"/>
        </w:rPr>
        <w:t>万元，</w:t>
      </w:r>
      <w:r>
        <w:rPr>
          <w:rFonts w:ascii="宋体" w:hAnsi="宋体" w:cs="宋体" w:eastAsia="宋体" w:hint="default"/>
          <w:sz w:val="24"/>
          <w:szCs w:val="24"/>
        </w:rPr>
        <w:t> 参股设立日电东软信息技术有限公司，持股比例</w:t>
      </w:r>
      <w:r>
        <w:rPr>
          <w:rFonts w:ascii="宋体" w:hAnsi="宋体" w:cs="宋体" w:eastAsia="宋体" w:hint="default"/>
          <w:spacing w:val="-60"/>
          <w:sz w:val="24"/>
          <w:szCs w:val="24"/>
        </w:rPr>
        <w:t> </w:t>
      </w:r>
      <w:r>
        <w:rPr>
          <w:rFonts w:ascii="宋体" w:hAnsi="宋体" w:cs="宋体" w:eastAsia="宋体" w:hint="default"/>
          <w:sz w:val="24"/>
          <w:szCs w:val="24"/>
        </w:rPr>
        <w:t>30%。</w:t>
      </w:r>
    </w:p>
    <w:p>
      <w:pPr>
        <w:spacing w:line="312" w:lineRule="exact" w:before="0"/>
        <w:ind w:left="118" w:right="233" w:firstLine="0"/>
        <w:jc w:val="both"/>
        <w:rPr>
          <w:rFonts w:ascii="宋体" w:hAnsi="宋体" w:cs="宋体" w:eastAsia="宋体" w:hint="default"/>
          <w:sz w:val="24"/>
          <w:szCs w:val="24"/>
        </w:rPr>
      </w:pPr>
      <w:r>
        <w:rPr>
          <w:rFonts w:ascii="宋体" w:hAnsi="宋体" w:cs="宋体" w:eastAsia="宋体" w:hint="default"/>
          <w:spacing w:val="15"/>
          <w:sz w:val="24"/>
          <w:szCs w:val="24"/>
        </w:rPr>
        <w:t>（18）2011年8</w:t>
      </w:r>
      <w:r>
        <w:rPr>
          <w:rFonts w:ascii="宋体" w:hAnsi="宋体" w:cs="宋体" w:eastAsia="宋体" w:hint="default"/>
          <w:spacing w:val="-41"/>
          <w:sz w:val="24"/>
          <w:szCs w:val="24"/>
        </w:rPr>
        <w:t> </w:t>
      </w:r>
      <w:r>
        <w:rPr>
          <w:rFonts w:ascii="宋体" w:hAnsi="宋体" w:cs="宋体" w:eastAsia="宋体" w:hint="default"/>
          <w:sz w:val="24"/>
          <w:szCs w:val="24"/>
        </w:rPr>
        <w:t>月，本公司收购北京利博赛社保信息技术有限公司</w:t>
      </w:r>
      <w:r>
        <w:rPr>
          <w:rFonts w:ascii="宋体" w:hAnsi="宋体" w:cs="宋体" w:eastAsia="宋体" w:hint="default"/>
          <w:spacing w:val="-41"/>
          <w:sz w:val="24"/>
          <w:szCs w:val="24"/>
        </w:rPr>
        <w:t> </w:t>
      </w:r>
      <w:r>
        <w:rPr>
          <w:rFonts w:ascii="宋体" w:hAnsi="宋体" w:cs="宋体" w:eastAsia="宋体" w:hint="default"/>
          <w:sz w:val="24"/>
          <w:szCs w:val="24"/>
        </w:rPr>
        <w:t>28.33%的股权，收</w:t>
      </w:r>
      <w:r>
        <w:rPr>
          <w:rFonts w:ascii="宋体" w:hAnsi="宋体" w:cs="宋体" w:eastAsia="宋体" w:hint="default"/>
          <w:sz w:val="24"/>
          <w:szCs w:val="24"/>
        </w:rPr>
        <w:t> 购后持股比例</w:t>
      </w:r>
      <w:r>
        <w:rPr>
          <w:rFonts w:ascii="宋体" w:hAnsi="宋体" w:cs="宋体" w:eastAsia="宋体" w:hint="default"/>
          <w:spacing w:val="-60"/>
          <w:sz w:val="24"/>
          <w:szCs w:val="24"/>
        </w:rPr>
        <w:t> </w:t>
      </w:r>
      <w:r>
        <w:rPr>
          <w:rFonts w:ascii="宋体" w:hAnsi="宋体" w:cs="宋体" w:eastAsia="宋体" w:hint="default"/>
          <w:sz w:val="24"/>
          <w:szCs w:val="24"/>
        </w:rPr>
        <w:t>61.67%，自</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月起将其纳入合并财务报表范围。</w:t>
      </w:r>
    </w:p>
    <w:p>
      <w:pPr>
        <w:spacing w:line="312" w:lineRule="exact" w:before="0"/>
        <w:ind w:left="118" w:right="233" w:firstLine="0"/>
        <w:jc w:val="both"/>
        <w:rPr>
          <w:rFonts w:ascii="宋体" w:hAnsi="宋体" w:cs="宋体" w:eastAsia="宋体" w:hint="default"/>
          <w:sz w:val="24"/>
          <w:szCs w:val="24"/>
        </w:rPr>
      </w:pPr>
      <w:r>
        <w:rPr>
          <w:rFonts w:ascii="宋体" w:hAnsi="宋体" w:cs="宋体" w:eastAsia="宋体" w:hint="default"/>
          <w:spacing w:val="12"/>
          <w:sz w:val="24"/>
          <w:szCs w:val="24"/>
        </w:rPr>
        <w:t>（19）2011年8</w:t>
      </w:r>
      <w:r>
        <w:rPr>
          <w:rFonts w:ascii="宋体" w:hAnsi="宋体" w:cs="宋体" w:eastAsia="宋体" w:hint="default"/>
          <w:spacing w:val="-58"/>
          <w:sz w:val="24"/>
          <w:szCs w:val="24"/>
        </w:rPr>
        <w:t> </w:t>
      </w:r>
      <w:r>
        <w:rPr>
          <w:rFonts w:ascii="宋体" w:hAnsi="宋体" w:cs="宋体" w:eastAsia="宋体" w:hint="default"/>
          <w:sz w:val="24"/>
          <w:szCs w:val="24"/>
        </w:rPr>
        <w:t>月，本公司之全资子公司东软集团（北京）有限公司出资的</w:t>
      </w:r>
      <w:r>
        <w:rPr>
          <w:rFonts w:ascii="宋体" w:hAnsi="宋体" w:cs="宋体" w:eastAsia="宋体" w:hint="default"/>
          <w:spacing w:val="-58"/>
          <w:sz w:val="24"/>
          <w:szCs w:val="24"/>
        </w:rPr>
        <w:t> </w:t>
      </w:r>
      <w:r>
        <w:rPr>
          <w:rFonts w:ascii="宋体" w:hAnsi="宋体" w:cs="宋体" w:eastAsia="宋体" w:hint="default"/>
          <w:sz w:val="24"/>
          <w:szCs w:val="24"/>
        </w:rPr>
        <w:t>11,410</w:t>
      </w:r>
      <w:r>
        <w:rPr>
          <w:rFonts w:ascii="宋体" w:hAnsi="宋体" w:cs="宋体" w:eastAsia="宋体" w:hint="default"/>
          <w:spacing w:val="-58"/>
          <w:sz w:val="24"/>
          <w:szCs w:val="24"/>
        </w:rPr>
        <w:t> </w:t>
      </w:r>
      <w:r>
        <w:rPr>
          <w:rFonts w:ascii="宋体" w:hAnsi="宋体" w:cs="宋体" w:eastAsia="宋体" w:hint="default"/>
          <w:sz w:val="24"/>
          <w:szCs w:val="24"/>
        </w:rPr>
        <w:t>万</w:t>
      </w:r>
      <w:r>
        <w:rPr>
          <w:rFonts w:ascii="宋体" w:hAnsi="宋体" w:cs="宋体" w:eastAsia="宋体" w:hint="default"/>
          <w:sz w:val="24"/>
          <w:szCs w:val="24"/>
        </w:rPr>
        <w:t> </w:t>
      </w:r>
      <w:r>
        <w:rPr>
          <w:rFonts w:ascii="宋体" w:hAnsi="宋体" w:cs="宋体" w:eastAsia="宋体" w:hint="default"/>
          <w:spacing w:val="-2"/>
          <w:sz w:val="24"/>
          <w:szCs w:val="24"/>
        </w:rPr>
        <w:t>元收购北京望海康信科技有限公司（收购后更名为北京东软望海科技有限公司）73.14%</w:t>
      </w:r>
      <w:r>
        <w:rPr>
          <w:rFonts w:ascii="宋体" w:hAnsi="宋体" w:cs="宋体" w:eastAsia="宋体" w:hint="default"/>
          <w:spacing w:val="-90"/>
          <w:sz w:val="24"/>
          <w:szCs w:val="24"/>
        </w:rPr>
        <w:t> </w:t>
      </w:r>
      <w:r>
        <w:rPr>
          <w:rFonts w:ascii="宋体" w:hAnsi="宋体" w:cs="宋体" w:eastAsia="宋体" w:hint="default"/>
          <w:spacing w:val="-90"/>
          <w:sz w:val="24"/>
          <w:szCs w:val="24"/>
        </w:rPr>
      </w:r>
      <w:r>
        <w:rPr>
          <w:rFonts w:ascii="宋体" w:hAnsi="宋体" w:cs="宋体" w:eastAsia="宋体" w:hint="default"/>
          <w:sz w:val="24"/>
          <w:szCs w:val="24"/>
        </w:rPr>
        <w:t>股权，自</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8</w:t>
      </w:r>
      <w:r>
        <w:rPr>
          <w:rFonts w:ascii="宋体" w:hAnsi="宋体" w:cs="宋体" w:eastAsia="宋体" w:hint="default"/>
          <w:spacing w:val="-60"/>
          <w:sz w:val="24"/>
          <w:szCs w:val="24"/>
        </w:rPr>
        <w:t> </w:t>
      </w:r>
      <w:r>
        <w:rPr>
          <w:rFonts w:ascii="宋体" w:hAnsi="宋体" w:cs="宋体" w:eastAsia="宋体" w:hint="default"/>
          <w:sz w:val="24"/>
          <w:szCs w:val="24"/>
        </w:rPr>
        <w:t>月起将其纳入合并财务报表范围。</w:t>
      </w:r>
    </w:p>
    <w:p>
      <w:pPr>
        <w:spacing w:line="282" w:lineRule="exact" w:before="0"/>
        <w:ind w:left="118" w:right="0" w:firstLine="0"/>
        <w:jc w:val="both"/>
        <w:rPr>
          <w:rFonts w:ascii="宋体" w:hAnsi="宋体" w:cs="宋体" w:eastAsia="宋体" w:hint="default"/>
          <w:sz w:val="24"/>
          <w:szCs w:val="24"/>
        </w:rPr>
      </w:pPr>
      <w:r>
        <w:rPr>
          <w:rFonts w:ascii="宋体" w:hAnsi="宋体" w:cs="宋体" w:eastAsia="宋体" w:hint="default"/>
          <w:sz w:val="24"/>
          <w:szCs w:val="24"/>
        </w:rPr>
        <w:t>（20）2011</w:t>
      </w:r>
      <w:r>
        <w:rPr>
          <w:rFonts w:ascii="宋体" w:hAnsi="宋体" w:cs="宋体" w:eastAsia="宋体" w:hint="default"/>
          <w:spacing w:val="-43"/>
          <w:sz w:val="24"/>
          <w:szCs w:val="24"/>
        </w:rPr>
        <w:t> </w:t>
      </w:r>
      <w:r>
        <w:rPr>
          <w:rFonts w:ascii="宋体" w:hAnsi="宋体" w:cs="宋体" w:eastAsia="宋体" w:hint="default"/>
          <w:sz w:val="24"/>
          <w:szCs w:val="24"/>
        </w:rPr>
        <w:t>年</w:t>
      </w:r>
      <w:r>
        <w:rPr>
          <w:rFonts w:ascii="宋体" w:hAnsi="宋体" w:cs="宋体" w:eastAsia="宋体" w:hint="default"/>
          <w:spacing w:val="-43"/>
          <w:sz w:val="24"/>
          <w:szCs w:val="24"/>
        </w:rPr>
        <w:t> </w:t>
      </w:r>
      <w:r>
        <w:rPr>
          <w:rFonts w:ascii="宋体" w:hAnsi="宋体" w:cs="宋体" w:eastAsia="宋体" w:hint="default"/>
          <w:sz w:val="24"/>
          <w:szCs w:val="24"/>
        </w:rPr>
        <w:t>10</w:t>
      </w:r>
      <w:r>
        <w:rPr>
          <w:rFonts w:ascii="宋体" w:hAnsi="宋体" w:cs="宋体" w:eastAsia="宋体" w:hint="default"/>
          <w:spacing w:val="-43"/>
          <w:sz w:val="24"/>
          <w:szCs w:val="24"/>
        </w:rPr>
        <w:t> </w:t>
      </w:r>
      <w:r>
        <w:rPr>
          <w:rFonts w:ascii="宋体" w:hAnsi="宋体" w:cs="宋体" w:eastAsia="宋体" w:hint="default"/>
          <w:sz w:val="24"/>
          <w:szCs w:val="24"/>
        </w:rPr>
        <w:t>月，本公司之间接控股子公司东软熙康健康科技有限公司出资</w:t>
      </w:r>
      <w:r>
        <w:rPr>
          <w:rFonts w:ascii="宋体" w:hAnsi="宋体" w:cs="宋体" w:eastAsia="宋体" w:hint="default"/>
          <w:spacing w:val="-43"/>
          <w:sz w:val="24"/>
          <w:szCs w:val="24"/>
        </w:rPr>
        <w:t> </w:t>
      </w:r>
      <w:r>
        <w:rPr>
          <w:rFonts w:ascii="宋体" w:hAnsi="宋体" w:cs="宋体" w:eastAsia="宋体" w:hint="default"/>
          <w:sz w:val="24"/>
          <w:szCs w:val="24"/>
        </w:rPr>
        <w:t>3,000</w:t>
      </w:r>
    </w:p>
    <w:p>
      <w:pPr>
        <w:spacing w:line="312" w:lineRule="exact" w:before="29"/>
        <w:ind w:left="118" w:right="234" w:firstLine="0"/>
        <w:jc w:val="both"/>
        <w:rPr>
          <w:rFonts w:ascii="宋体" w:hAnsi="宋体" w:cs="宋体" w:eastAsia="宋体" w:hint="default"/>
          <w:sz w:val="24"/>
          <w:szCs w:val="24"/>
        </w:rPr>
      </w:pPr>
      <w:r>
        <w:rPr>
          <w:rFonts w:ascii="宋体" w:hAnsi="宋体" w:cs="宋体" w:eastAsia="宋体" w:hint="default"/>
          <w:spacing w:val="-3"/>
          <w:sz w:val="24"/>
          <w:szCs w:val="24"/>
        </w:rPr>
        <w:t>万元设立辽宁东软熙康健康管理有限公司，持股比例</w:t>
      </w:r>
      <w:r>
        <w:rPr>
          <w:rFonts w:ascii="宋体" w:hAnsi="宋体" w:cs="宋体" w:eastAsia="宋体" w:hint="default"/>
          <w:spacing w:val="-57"/>
          <w:sz w:val="24"/>
          <w:szCs w:val="24"/>
        </w:rPr>
        <w:t> </w:t>
      </w:r>
      <w:r>
        <w:rPr>
          <w:rFonts w:ascii="宋体" w:hAnsi="宋体" w:cs="宋体" w:eastAsia="宋体" w:hint="default"/>
          <w:spacing w:val="-10"/>
          <w:sz w:val="24"/>
          <w:szCs w:val="24"/>
        </w:rPr>
        <w:t>100%，自</w:t>
      </w:r>
      <w:r>
        <w:rPr>
          <w:rFonts w:ascii="宋体" w:hAnsi="宋体" w:cs="宋体" w:eastAsia="宋体" w:hint="default"/>
          <w:spacing w:val="-57"/>
          <w:sz w:val="24"/>
          <w:szCs w:val="24"/>
        </w:rPr>
        <w:t> </w:t>
      </w:r>
      <w:r>
        <w:rPr>
          <w:rFonts w:ascii="宋体" w:hAnsi="宋体" w:cs="宋体" w:eastAsia="宋体" w:hint="default"/>
          <w:sz w:val="24"/>
          <w:szCs w:val="24"/>
        </w:rPr>
        <w:t>2011</w:t>
      </w:r>
      <w:r>
        <w:rPr>
          <w:rFonts w:ascii="宋体" w:hAnsi="宋体" w:cs="宋体" w:eastAsia="宋体" w:hint="default"/>
          <w:spacing w:val="-57"/>
          <w:sz w:val="24"/>
          <w:szCs w:val="24"/>
        </w:rPr>
        <w:t> </w:t>
      </w:r>
      <w:r>
        <w:rPr>
          <w:rFonts w:ascii="宋体" w:hAnsi="宋体" w:cs="宋体" w:eastAsia="宋体" w:hint="default"/>
          <w:sz w:val="24"/>
          <w:szCs w:val="24"/>
        </w:rPr>
        <w:t>年</w:t>
      </w:r>
      <w:r>
        <w:rPr>
          <w:rFonts w:ascii="宋体" w:hAnsi="宋体" w:cs="宋体" w:eastAsia="宋体" w:hint="default"/>
          <w:spacing w:val="-57"/>
          <w:sz w:val="24"/>
          <w:szCs w:val="24"/>
        </w:rPr>
        <w:t> </w:t>
      </w:r>
      <w:r>
        <w:rPr>
          <w:rFonts w:ascii="宋体" w:hAnsi="宋体" w:cs="宋体" w:eastAsia="宋体" w:hint="default"/>
          <w:sz w:val="24"/>
          <w:szCs w:val="24"/>
        </w:rPr>
        <w:t>10</w:t>
      </w:r>
      <w:r>
        <w:rPr>
          <w:rFonts w:ascii="宋体" w:hAnsi="宋体" w:cs="宋体" w:eastAsia="宋体" w:hint="default"/>
          <w:spacing w:val="-57"/>
          <w:sz w:val="24"/>
          <w:szCs w:val="24"/>
        </w:rPr>
        <w:t> </w:t>
      </w:r>
      <w:r>
        <w:rPr>
          <w:rFonts w:ascii="宋体" w:hAnsi="宋体" w:cs="宋体" w:eastAsia="宋体" w:hint="default"/>
          <w:sz w:val="24"/>
          <w:szCs w:val="24"/>
        </w:rPr>
        <w:t>月起将其纳入</w:t>
      </w:r>
      <w:r>
        <w:rPr>
          <w:rFonts w:ascii="宋体" w:hAnsi="宋体" w:cs="宋体" w:eastAsia="宋体" w:hint="default"/>
          <w:sz w:val="24"/>
          <w:szCs w:val="24"/>
        </w:rPr>
        <w:t> 合并财务报表范围。</w:t>
      </w:r>
    </w:p>
    <w:p>
      <w:pPr>
        <w:spacing w:line="312" w:lineRule="exact" w:before="0"/>
        <w:ind w:left="118" w:right="97" w:firstLine="0"/>
        <w:jc w:val="left"/>
        <w:rPr>
          <w:rFonts w:ascii="宋体" w:hAnsi="宋体" w:cs="宋体" w:eastAsia="宋体" w:hint="default"/>
          <w:sz w:val="24"/>
          <w:szCs w:val="24"/>
        </w:rPr>
      </w:pPr>
      <w:r>
        <w:rPr>
          <w:rFonts w:ascii="宋体" w:hAnsi="宋体" w:cs="宋体" w:eastAsia="宋体" w:hint="default"/>
          <w:sz w:val="24"/>
          <w:szCs w:val="24"/>
        </w:rPr>
        <w:t>（21）2011</w:t>
      </w:r>
      <w:r>
        <w:rPr>
          <w:rFonts w:ascii="宋体" w:hAnsi="宋体" w:cs="宋体" w:eastAsia="宋体" w:hint="default"/>
          <w:spacing w:val="-67"/>
          <w:sz w:val="24"/>
          <w:szCs w:val="24"/>
        </w:rPr>
        <w:t> </w:t>
      </w:r>
      <w:r>
        <w:rPr>
          <w:rFonts w:ascii="宋体" w:hAnsi="宋体" w:cs="宋体" w:eastAsia="宋体" w:hint="default"/>
          <w:sz w:val="24"/>
          <w:szCs w:val="24"/>
        </w:rPr>
        <w:t>年</w:t>
      </w:r>
      <w:r>
        <w:rPr>
          <w:rFonts w:ascii="宋体" w:hAnsi="宋体" w:cs="宋体" w:eastAsia="宋体" w:hint="default"/>
          <w:spacing w:val="-67"/>
          <w:sz w:val="24"/>
          <w:szCs w:val="24"/>
        </w:rPr>
        <w:t> </w:t>
      </w:r>
      <w:r>
        <w:rPr>
          <w:rFonts w:ascii="宋体" w:hAnsi="宋体" w:cs="宋体" w:eastAsia="宋体" w:hint="default"/>
          <w:sz w:val="24"/>
          <w:szCs w:val="24"/>
        </w:rPr>
        <w:t>10</w:t>
      </w:r>
      <w:r>
        <w:rPr>
          <w:rFonts w:ascii="宋体" w:hAnsi="宋体" w:cs="宋体" w:eastAsia="宋体" w:hint="default"/>
          <w:spacing w:val="-67"/>
          <w:sz w:val="24"/>
          <w:szCs w:val="24"/>
        </w:rPr>
        <w:t> </w:t>
      </w:r>
      <w:r>
        <w:rPr>
          <w:rFonts w:ascii="宋体" w:hAnsi="宋体" w:cs="宋体" w:eastAsia="宋体" w:hint="default"/>
          <w:sz w:val="24"/>
          <w:szCs w:val="24"/>
        </w:rPr>
        <w:t>月，本公司以无形资产技术使用权出资认购美国</w:t>
      </w:r>
      <w:r>
        <w:rPr>
          <w:rFonts w:ascii="宋体" w:hAnsi="宋体" w:cs="宋体" w:eastAsia="宋体" w:hint="default"/>
          <w:spacing w:val="-67"/>
          <w:sz w:val="24"/>
          <w:szCs w:val="24"/>
        </w:rPr>
        <w:t> </w:t>
      </w:r>
      <w:r>
        <w:rPr>
          <w:rFonts w:ascii="Times New Roman" w:hAnsi="Times New Roman" w:cs="Times New Roman" w:eastAsia="Times New Roman" w:hint="default"/>
          <w:sz w:val="24"/>
          <w:szCs w:val="24"/>
        </w:rPr>
        <w:t>Appconomy,</w:t>
      </w:r>
      <w:r>
        <w:rPr>
          <w:rFonts w:ascii="Times New Roman" w:hAnsi="Times New Roman" w:cs="Times New Roman" w:eastAsia="Times New Roman" w:hint="default"/>
          <w:spacing w:val="-7"/>
          <w:sz w:val="24"/>
          <w:szCs w:val="24"/>
        </w:rPr>
        <w:t> </w:t>
      </w:r>
      <w:r>
        <w:rPr>
          <w:rFonts w:ascii="Times New Roman" w:hAnsi="Times New Roman" w:cs="Times New Roman" w:eastAsia="Times New Roman" w:hint="default"/>
          <w:sz w:val="24"/>
          <w:szCs w:val="24"/>
        </w:rPr>
        <w:t>Inc.</w:t>
      </w:r>
      <w:r>
        <w:rPr>
          <w:rFonts w:ascii="宋体" w:hAnsi="宋体" w:cs="宋体" w:eastAsia="宋体" w:hint="default"/>
          <w:sz w:val="24"/>
          <w:szCs w:val="24"/>
        </w:rPr>
        <w:t>新增 发行优先股股份</w:t>
      </w:r>
      <w:r>
        <w:rPr>
          <w:rFonts w:ascii="宋体" w:hAnsi="宋体" w:cs="宋体" w:eastAsia="宋体" w:hint="default"/>
          <w:spacing w:val="-66"/>
          <w:sz w:val="24"/>
          <w:szCs w:val="24"/>
        </w:rPr>
        <w:t> </w:t>
      </w:r>
      <w:r>
        <w:rPr>
          <w:rFonts w:ascii="宋体" w:hAnsi="宋体" w:cs="宋体" w:eastAsia="宋体" w:hint="default"/>
          <w:sz w:val="24"/>
          <w:szCs w:val="24"/>
        </w:rPr>
        <w:t>6,903,220</w:t>
      </w:r>
      <w:r>
        <w:rPr>
          <w:rFonts w:ascii="宋体" w:hAnsi="宋体" w:cs="宋体" w:eastAsia="宋体" w:hint="default"/>
          <w:spacing w:val="-66"/>
          <w:sz w:val="24"/>
          <w:szCs w:val="24"/>
        </w:rPr>
        <w:t> </w:t>
      </w:r>
      <w:r>
        <w:rPr>
          <w:rFonts w:ascii="宋体" w:hAnsi="宋体" w:cs="宋体" w:eastAsia="宋体" w:hint="default"/>
          <w:sz w:val="24"/>
          <w:szCs w:val="24"/>
        </w:rPr>
        <w:t>股，该技术使用权评估价值为</w:t>
      </w:r>
      <w:r>
        <w:rPr>
          <w:rFonts w:ascii="宋体" w:hAnsi="宋体" w:cs="宋体" w:eastAsia="宋体" w:hint="default"/>
          <w:spacing w:val="-66"/>
          <w:sz w:val="24"/>
          <w:szCs w:val="24"/>
        </w:rPr>
        <w:t> </w:t>
      </w:r>
      <w:r>
        <w:rPr>
          <w:rFonts w:ascii="宋体" w:hAnsi="宋体" w:cs="宋体" w:eastAsia="宋体" w:hint="default"/>
          <w:sz w:val="24"/>
          <w:szCs w:val="24"/>
        </w:rPr>
        <w:t>2,493.44</w:t>
      </w:r>
      <w:r>
        <w:rPr>
          <w:rFonts w:ascii="宋体" w:hAnsi="宋体" w:cs="宋体" w:eastAsia="宋体" w:hint="default"/>
          <w:spacing w:val="-66"/>
          <w:sz w:val="24"/>
          <w:szCs w:val="24"/>
        </w:rPr>
        <w:t> </w:t>
      </w:r>
      <w:r>
        <w:rPr>
          <w:rFonts w:ascii="宋体" w:hAnsi="宋体" w:cs="宋体" w:eastAsia="宋体" w:hint="default"/>
          <w:spacing w:val="-3"/>
          <w:sz w:val="24"/>
          <w:szCs w:val="24"/>
        </w:rPr>
        <w:t>万元人民币。目前，</w:t>
      </w:r>
      <w:r>
        <w:rPr>
          <w:rFonts w:ascii="宋体" w:hAnsi="宋体" w:cs="宋体" w:eastAsia="宋体" w:hint="default"/>
          <w:sz w:val="24"/>
          <w:szCs w:val="24"/>
        </w:rPr>
        <w:t> 本公司占</w:t>
      </w:r>
      <w:r>
        <w:rPr>
          <w:rFonts w:ascii="宋体" w:hAnsi="宋体" w:cs="宋体" w:eastAsia="宋体" w:hint="default"/>
          <w:spacing w:val="-66"/>
          <w:sz w:val="24"/>
          <w:szCs w:val="24"/>
        </w:rPr>
        <w:t> </w:t>
      </w:r>
      <w:r>
        <w:rPr>
          <w:rFonts w:ascii="Times New Roman" w:hAnsi="Times New Roman" w:cs="Times New Roman" w:eastAsia="Times New Roman" w:hint="default"/>
          <w:sz w:val="24"/>
          <w:szCs w:val="24"/>
        </w:rPr>
        <w:t>Appconomy,</w:t>
      </w:r>
      <w:r>
        <w:rPr>
          <w:rFonts w:ascii="Times New Roman" w:hAnsi="Times New Roman" w:cs="Times New Roman" w:eastAsia="Times New Roman" w:hint="default"/>
          <w:spacing w:val="-6"/>
          <w:sz w:val="24"/>
          <w:szCs w:val="24"/>
        </w:rPr>
        <w:t> </w:t>
      </w:r>
      <w:r>
        <w:rPr>
          <w:rFonts w:ascii="Times New Roman" w:hAnsi="Times New Roman" w:cs="Times New Roman" w:eastAsia="Times New Roman" w:hint="default"/>
          <w:sz w:val="24"/>
          <w:szCs w:val="24"/>
        </w:rPr>
        <w:t>Inc.</w:t>
      </w:r>
      <w:r>
        <w:rPr>
          <w:rFonts w:ascii="宋体" w:hAnsi="宋体" w:cs="宋体" w:eastAsia="宋体" w:hint="default"/>
          <w:sz w:val="24"/>
          <w:szCs w:val="24"/>
        </w:rPr>
        <w:t>已发行股份的</w:t>
      </w:r>
      <w:r>
        <w:rPr>
          <w:rFonts w:ascii="宋体" w:hAnsi="宋体" w:cs="宋体" w:eastAsia="宋体" w:hint="default"/>
          <w:spacing w:val="-66"/>
          <w:sz w:val="24"/>
          <w:szCs w:val="24"/>
        </w:rPr>
        <w:t> </w:t>
      </w:r>
      <w:r>
        <w:rPr>
          <w:rFonts w:ascii="宋体" w:hAnsi="宋体" w:cs="宋体" w:eastAsia="宋体" w:hint="default"/>
          <w:sz w:val="24"/>
          <w:szCs w:val="24"/>
        </w:rPr>
        <w:t>13.32%。</w:t>
      </w:r>
    </w:p>
    <w:p>
      <w:pPr>
        <w:spacing w:line="282" w:lineRule="exact" w:before="0"/>
        <w:ind w:left="118" w:right="0" w:firstLine="0"/>
        <w:jc w:val="both"/>
        <w:rPr>
          <w:rFonts w:ascii="宋体" w:hAnsi="宋体" w:cs="宋体" w:eastAsia="宋体" w:hint="default"/>
          <w:sz w:val="24"/>
          <w:szCs w:val="24"/>
        </w:rPr>
      </w:pPr>
      <w:r>
        <w:rPr>
          <w:rFonts w:ascii="宋体" w:hAnsi="宋体" w:cs="宋体" w:eastAsia="宋体" w:hint="default"/>
          <w:sz w:val="24"/>
          <w:szCs w:val="24"/>
        </w:rPr>
        <w:t>（22）2011</w:t>
      </w:r>
      <w:r>
        <w:rPr>
          <w:rFonts w:ascii="宋体" w:hAnsi="宋体" w:cs="宋体" w:eastAsia="宋体" w:hint="default"/>
          <w:spacing w:val="-66"/>
          <w:sz w:val="24"/>
          <w:szCs w:val="24"/>
        </w:rPr>
        <w:t> </w:t>
      </w:r>
      <w:r>
        <w:rPr>
          <w:rFonts w:ascii="宋体" w:hAnsi="宋体" w:cs="宋体" w:eastAsia="宋体" w:hint="default"/>
          <w:sz w:val="24"/>
          <w:szCs w:val="24"/>
        </w:rPr>
        <w:t>年</w:t>
      </w:r>
      <w:r>
        <w:rPr>
          <w:rFonts w:ascii="宋体" w:hAnsi="宋体" w:cs="宋体" w:eastAsia="宋体" w:hint="default"/>
          <w:spacing w:val="-66"/>
          <w:sz w:val="24"/>
          <w:szCs w:val="24"/>
        </w:rPr>
        <w:t> </w:t>
      </w:r>
      <w:r>
        <w:rPr>
          <w:rFonts w:ascii="宋体" w:hAnsi="宋体" w:cs="宋体" w:eastAsia="宋体" w:hint="default"/>
          <w:sz w:val="24"/>
          <w:szCs w:val="24"/>
        </w:rPr>
        <w:t>10</w:t>
      </w:r>
      <w:r>
        <w:rPr>
          <w:rFonts w:ascii="宋体" w:hAnsi="宋体" w:cs="宋体" w:eastAsia="宋体" w:hint="default"/>
          <w:spacing w:val="-66"/>
          <w:sz w:val="24"/>
          <w:szCs w:val="24"/>
        </w:rPr>
        <w:t> </w:t>
      </w:r>
      <w:r>
        <w:rPr>
          <w:rFonts w:ascii="宋体" w:hAnsi="宋体" w:cs="宋体" w:eastAsia="宋体" w:hint="default"/>
          <w:sz w:val="24"/>
          <w:szCs w:val="24"/>
        </w:rPr>
        <w:t>月，本公司出资</w:t>
      </w:r>
      <w:r>
        <w:rPr>
          <w:rFonts w:ascii="宋体" w:hAnsi="宋体" w:cs="宋体" w:eastAsia="宋体" w:hint="default"/>
          <w:spacing w:val="-66"/>
          <w:sz w:val="24"/>
          <w:szCs w:val="24"/>
        </w:rPr>
        <w:t> </w:t>
      </w:r>
      <w:r>
        <w:rPr>
          <w:rFonts w:ascii="宋体" w:hAnsi="宋体" w:cs="宋体" w:eastAsia="宋体" w:hint="default"/>
          <w:sz w:val="24"/>
          <w:szCs w:val="24"/>
        </w:rPr>
        <w:t>1,000</w:t>
      </w:r>
      <w:r>
        <w:rPr>
          <w:rFonts w:ascii="宋体" w:hAnsi="宋体" w:cs="宋体" w:eastAsia="宋体" w:hint="default"/>
          <w:spacing w:val="-66"/>
          <w:sz w:val="24"/>
          <w:szCs w:val="24"/>
        </w:rPr>
        <w:t> </w:t>
      </w:r>
      <w:r>
        <w:rPr>
          <w:rFonts w:ascii="宋体" w:hAnsi="宋体" w:cs="宋体" w:eastAsia="宋体" w:hint="default"/>
          <w:sz w:val="24"/>
          <w:szCs w:val="24"/>
        </w:rPr>
        <w:t>万元设立东软集团（郑州）有限公司，持股比</w:t>
      </w:r>
    </w:p>
    <w:p>
      <w:pPr>
        <w:spacing w:line="312" w:lineRule="exact" w:before="0"/>
        <w:ind w:left="118" w:right="0" w:firstLine="0"/>
        <w:jc w:val="both"/>
        <w:rPr>
          <w:rFonts w:ascii="宋体" w:hAnsi="宋体" w:cs="宋体" w:eastAsia="宋体" w:hint="default"/>
          <w:sz w:val="24"/>
          <w:szCs w:val="24"/>
        </w:rPr>
      </w:pPr>
      <w:r>
        <w:rPr>
          <w:rFonts w:ascii="宋体" w:hAnsi="宋体" w:cs="宋体" w:eastAsia="宋体" w:hint="default"/>
          <w:sz w:val="24"/>
          <w:szCs w:val="24"/>
        </w:rPr>
        <w:t>例</w:t>
      </w:r>
      <w:r>
        <w:rPr>
          <w:rFonts w:ascii="宋体" w:hAnsi="宋体" w:cs="宋体" w:eastAsia="宋体" w:hint="default"/>
          <w:spacing w:val="-60"/>
          <w:sz w:val="24"/>
          <w:szCs w:val="24"/>
        </w:rPr>
        <w:t> </w:t>
      </w:r>
      <w:r>
        <w:rPr>
          <w:rFonts w:ascii="宋体" w:hAnsi="宋体" w:cs="宋体" w:eastAsia="宋体" w:hint="default"/>
          <w:sz w:val="24"/>
          <w:szCs w:val="24"/>
        </w:rPr>
        <w:t>100%，自</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月起将其纳入合并财务报表范围。</w:t>
      </w:r>
    </w:p>
    <w:p>
      <w:pPr>
        <w:spacing w:line="312" w:lineRule="exact" w:before="0"/>
        <w:ind w:left="118" w:right="0" w:firstLine="0"/>
        <w:jc w:val="both"/>
        <w:rPr>
          <w:rFonts w:ascii="宋体" w:hAnsi="宋体" w:cs="宋体" w:eastAsia="宋体" w:hint="default"/>
          <w:sz w:val="24"/>
          <w:szCs w:val="24"/>
        </w:rPr>
      </w:pPr>
      <w:r>
        <w:rPr>
          <w:rFonts w:ascii="宋体" w:hAnsi="宋体" w:cs="宋体" w:eastAsia="宋体" w:hint="default"/>
          <w:sz w:val="24"/>
          <w:szCs w:val="24"/>
        </w:rPr>
        <w:t>（23）2011</w:t>
      </w:r>
      <w:r>
        <w:rPr>
          <w:rFonts w:ascii="宋体" w:hAnsi="宋体" w:cs="宋体" w:eastAsia="宋体" w:hint="default"/>
          <w:spacing w:val="-43"/>
          <w:sz w:val="24"/>
          <w:szCs w:val="24"/>
        </w:rPr>
        <w:t> </w:t>
      </w:r>
      <w:r>
        <w:rPr>
          <w:rFonts w:ascii="宋体" w:hAnsi="宋体" w:cs="宋体" w:eastAsia="宋体" w:hint="default"/>
          <w:sz w:val="24"/>
          <w:szCs w:val="24"/>
        </w:rPr>
        <w:t>年</w:t>
      </w:r>
      <w:r>
        <w:rPr>
          <w:rFonts w:ascii="宋体" w:hAnsi="宋体" w:cs="宋体" w:eastAsia="宋体" w:hint="default"/>
          <w:spacing w:val="-43"/>
          <w:sz w:val="24"/>
          <w:szCs w:val="24"/>
        </w:rPr>
        <w:t> </w:t>
      </w:r>
      <w:r>
        <w:rPr>
          <w:rFonts w:ascii="宋体" w:hAnsi="宋体" w:cs="宋体" w:eastAsia="宋体" w:hint="default"/>
          <w:sz w:val="24"/>
          <w:szCs w:val="24"/>
        </w:rPr>
        <w:t>11</w:t>
      </w:r>
      <w:r>
        <w:rPr>
          <w:rFonts w:ascii="宋体" w:hAnsi="宋体" w:cs="宋体" w:eastAsia="宋体" w:hint="default"/>
          <w:spacing w:val="-43"/>
          <w:sz w:val="24"/>
          <w:szCs w:val="24"/>
        </w:rPr>
        <w:t> </w:t>
      </w:r>
      <w:r>
        <w:rPr>
          <w:rFonts w:ascii="宋体" w:hAnsi="宋体" w:cs="宋体" w:eastAsia="宋体" w:hint="default"/>
          <w:sz w:val="24"/>
          <w:szCs w:val="24"/>
        </w:rPr>
        <w:t>月，本公司之间接控股子公司东软熙康健康科技有限公司出资</w:t>
      </w:r>
      <w:r>
        <w:rPr>
          <w:rFonts w:ascii="宋体" w:hAnsi="宋体" w:cs="宋体" w:eastAsia="宋体" w:hint="default"/>
          <w:spacing w:val="-43"/>
          <w:sz w:val="24"/>
          <w:szCs w:val="24"/>
        </w:rPr>
        <w:t> </w:t>
      </w:r>
      <w:r>
        <w:rPr>
          <w:rFonts w:ascii="宋体" w:hAnsi="宋体" w:cs="宋体" w:eastAsia="宋体" w:hint="default"/>
          <w:sz w:val="24"/>
          <w:szCs w:val="24"/>
        </w:rPr>
        <w:t>1,000</w:t>
      </w:r>
    </w:p>
    <w:p>
      <w:pPr>
        <w:spacing w:line="312" w:lineRule="exact" w:before="29"/>
        <w:ind w:left="118" w:right="234" w:firstLine="0"/>
        <w:jc w:val="both"/>
        <w:rPr>
          <w:rFonts w:ascii="宋体" w:hAnsi="宋体" w:cs="宋体" w:eastAsia="宋体" w:hint="default"/>
          <w:sz w:val="24"/>
          <w:szCs w:val="24"/>
        </w:rPr>
      </w:pPr>
      <w:r>
        <w:rPr>
          <w:rFonts w:ascii="宋体" w:hAnsi="宋体" w:cs="宋体" w:eastAsia="宋体" w:hint="default"/>
          <w:spacing w:val="-3"/>
          <w:sz w:val="24"/>
          <w:szCs w:val="24"/>
        </w:rPr>
        <w:t>万元设立沈阳东软熙康医疗系统有限公司，持股比例</w:t>
      </w:r>
      <w:r>
        <w:rPr>
          <w:rFonts w:ascii="宋体" w:hAnsi="宋体" w:cs="宋体" w:eastAsia="宋体" w:hint="default"/>
          <w:spacing w:val="-57"/>
          <w:sz w:val="24"/>
          <w:szCs w:val="24"/>
        </w:rPr>
        <w:t> </w:t>
      </w:r>
      <w:r>
        <w:rPr>
          <w:rFonts w:ascii="宋体" w:hAnsi="宋体" w:cs="宋体" w:eastAsia="宋体" w:hint="default"/>
          <w:spacing w:val="-10"/>
          <w:sz w:val="24"/>
          <w:szCs w:val="24"/>
        </w:rPr>
        <w:t>100%，自</w:t>
      </w:r>
      <w:r>
        <w:rPr>
          <w:rFonts w:ascii="宋体" w:hAnsi="宋体" w:cs="宋体" w:eastAsia="宋体" w:hint="default"/>
          <w:spacing w:val="-57"/>
          <w:sz w:val="24"/>
          <w:szCs w:val="24"/>
        </w:rPr>
        <w:t> </w:t>
      </w:r>
      <w:r>
        <w:rPr>
          <w:rFonts w:ascii="宋体" w:hAnsi="宋体" w:cs="宋体" w:eastAsia="宋体" w:hint="default"/>
          <w:sz w:val="24"/>
          <w:szCs w:val="24"/>
        </w:rPr>
        <w:t>2011</w:t>
      </w:r>
      <w:r>
        <w:rPr>
          <w:rFonts w:ascii="宋体" w:hAnsi="宋体" w:cs="宋体" w:eastAsia="宋体" w:hint="default"/>
          <w:spacing w:val="-57"/>
          <w:sz w:val="24"/>
          <w:szCs w:val="24"/>
        </w:rPr>
        <w:t> </w:t>
      </w:r>
      <w:r>
        <w:rPr>
          <w:rFonts w:ascii="宋体" w:hAnsi="宋体" w:cs="宋体" w:eastAsia="宋体" w:hint="default"/>
          <w:sz w:val="24"/>
          <w:szCs w:val="24"/>
        </w:rPr>
        <w:t>年</w:t>
      </w:r>
      <w:r>
        <w:rPr>
          <w:rFonts w:ascii="宋体" w:hAnsi="宋体" w:cs="宋体" w:eastAsia="宋体" w:hint="default"/>
          <w:spacing w:val="-57"/>
          <w:sz w:val="24"/>
          <w:szCs w:val="24"/>
        </w:rPr>
        <w:t> </w:t>
      </w:r>
      <w:r>
        <w:rPr>
          <w:rFonts w:ascii="宋体" w:hAnsi="宋体" w:cs="宋体" w:eastAsia="宋体" w:hint="default"/>
          <w:sz w:val="24"/>
          <w:szCs w:val="24"/>
        </w:rPr>
        <w:t>11</w:t>
      </w:r>
      <w:r>
        <w:rPr>
          <w:rFonts w:ascii="宋体" w:hAnsi="宋体" w:cs="宋体" w:eastAsia="宋体" w:hint="default"/>
          <w:spacing w:val="-57"/>
          <w:sz w:val="24"/>
          <w:szCs w:val="24"/>
        </w:rPr>
        <w:t> </w:t>
      </w:r>
      <w:r>
        <w:rPr>
          <w:rFonts w:ascii="宋体" w:hAnsi="宋体" w:cs="宋体" w:eastAsia="宋体" w:hint="default"/>
          <w:sz w:val="24"/>
          <w:szCs w:val="24"/>
        </w:rPr>
        <w:t>月起将其纳入</w:t>
      </w:r>
      <w:r>
        <w:rPr>
          <w:rFonts w:ascii="宋体" w:hAnsi="宋体" w:cs="宋体" w:eastAsia="宋体" w:hint="default"/>
          <w:sz w:val="24"/>
          <w:szCs w:val="24"/>
        </w:rPr>
        <w:t> 合并财务报表范围。</w:t>
      </w:r>
    </w:p>
    <w:p>
      <w:pPr>
        <w:spacing w:line="282" w:lineRule="exact" w:before="0"/>
        <w:ind w:left="118" w:right="0" w:firstLine="0"/>
        <w:jc w:val="both"/>
        <w:rPr>
          <w:rFonts w:ascii="宋体" w:hAnsi="宋体" w:cs="宋体" w:eastAsia="宋体" w:hint="default"/>
          <w:sz w:val="24"/>
          <w:szCs w:val="24"/>
        </w:rPr>
      </w:pPr>
      <w:r>
        <w:rPr>
          <w:rFonts w:ascii="宋体" w:hAnsi="宋体" w:cs="宋体" w:eastAsia="宋体" w:hint="default"/>
          <w:sz w:val="24"/>
          <w:szCs w:val="24"/>
        </w:rPr>
        <w:t>（24）2011</w:t>
      </w:r>
      <w:r>
        <w:rPr>
          <w:rFonts w:ascii="宋体" w:hAnsi="宋体" w:cs="宋体" w:eastAsia="宋体" w:hint="default"/>
          <w:spacing w:val="-66"/>
          <w:sz w:val="24"/>
          <w:szCs w:val="24"/>
        </w:rPr>
        <w:t> </w:t>
      </w:r>
      <w:r>
        <w:rPr>
          <w:rFonts w:ascii="宋体" w:hAnsi="宋体" w:cs="宋体" w:eastAsia="宋体" w:hint="default"/>
          <w:sz w:val="24"/>
          <w:szCs w:val="24"/>
        </w:rPr>
        <w:t>年</w:t>
      </w:r>
      <w:r>
        <w:rPr>
          <w:rFonts w:ascii="宋体" w:hAnsi="宋体" w:cs="宋体" w:eastAsia="宋体" w:hint="default"/>
          <w:spacing w:val="-66"/>
          <w:sz w:val="24"/>
          <w:szCs w:val="24"/>
        </w:rPr>
        <w:t> </w:t>
      </w:r>
      <w:r>
        <w:rPr>
          <w:rFonts w:ascii="宋体" w:hAnsi="宋体" w:cs="宋体" w:eastAsia="宋体" w:hint="default"/>
          <w:sz w:val="24"/>
          <w:szCs w:val="24"/>
        </w:rPr>
        <w:t>11</w:t>
      </w:r>
      <w:r>
        <w:rPr>
          <w:rFonts w:ascii="宋体" w:hAnsi="宋体" w:cs="宋体" w:eastAsia="宋体" w:hint="default"/>
          <w:spacing w:val="-66"/>
          <w:sz w:val="24"/>
          <w:szCs w:val="24"/>
        </w:rPr>
        <w:t> </w:t>
      </w:r>
      <w:r>
        <w:rPr>
          <w:rFonts w:ascii="宋体" w:hAnsi="宋体" w:cs="宋体" w:eastAsia="宋体" w:hint="default"/>
          <w:sz w:val="24"/>
          <w:szCs w:val="24"/>
        </w:rPr>
        <w:t>月，本公司出资</w:t>
      </w:r>
      <w:r>
        <w:rPr>
          <w:rFonts w:ascii="宋体" w:hAnsi="宋体" w:cs="宋体" w:eastAsia="宋体" w:hint="default"/>
          <w:spacing w:val="-66"/>
          <w:sz w:val="24"/>
          <w:szCs w:val="24"/>
        </w:rPr>
        <w:t> </w:t>
      </w:r>
      <w:r>
        <w:rPr>
          <w:rFonts w:ascii="宋体" w:hAnsi="宋体" w:cs="宋体" w:eastAsia="宋体" w:hint="default"/>
          <w:sz w:val="24"/>
          <w:szCs w:val="24"/>
        </w:rPr>
        <w:t>2,000</w:t>
      </w:r>
      <w:r>
        <w:rPr>
          <w:rFonts w:ascii="宋体" w:hAnsi="宋体" w:cs="宋体" w:eastAsia="宋体" w:hint="default"/>
          <w:spacing w:val="-66"/>
          <w:sz w:val="24"/>
          <w:szCs w:val="24"/>
        </w:rPr>
        <w:t> </w:t>
      </w:r>
      <w:r>
        <w:rPr>
          <w:rFonts w:ascii="宋体" w:hAnsi="宋体" w:cs="宋体" w:eastAsia="宋体" w:hint="default"/>
          <w:sz w:val="24"/>
          <w:szCs w:val="24"/>
        </w:rPr>
        <w:t>万元设立东软集团（南昌）有限公司，持股比</w:t>
      </w:r>
    </w:p>
    <w:p>
      <w:pPr>
        <w:spacing w:line="312" w:lineRule="exact" w:before="0"/>
        <w:ind w:left="118" w:right="0" w:firstLine="0"/>
        <w:jc w:val="both"/>
        <w:rPr>
          <w:rFonts w:ascii="宋体" w:hAnsi="宋体" w:cs="宋体" w:eastAsia="宋体" w:hint="default"/>
          <w:sz w:val="24"/>
          <w:szCs w:val="24"/>
        </w:rPr>
      </w:pPr>
      <w:r>
        <w:rPr>
          <w:rFonts w:ascii="宋体" w:hAnsi="宋体" w:cs="宋体" w:eastAsia="宋体" w:hint="default"/>
          <w:sz w:val="24"/>
          <w:szCs w:val="24"/>
        </w:rPr>
        <w:t>例</w:t>
      </w:r>
      <w:r>
        <w:rPr>
          <w:rFonts w:ascii="宋体" w:hAnsi="宋体" w:cs="宋体" w:eastAsia="宋体" w:hint="default"/>
          <w:spacing w:val="-60"/>
          <w:sz w:val="24"/>
          <w:szCs w:val="24"/>
        </w:rPr>
        <w:t> </w:t>
      </w:r>
      <w:r>
        <w:rPr>
          <w:rFonts w:ascii="宋体" w:hAnsi="宋体" w:cs="宋体" w:eastAsia="宋体" w:hint="default"/>
          <w:sz w:val="24"/>
          <w:szCs w:val="24"/>
        </w:rPr>
        <w:t>100%，自</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11</w:t>
      </w:r>
      <w:r>
        <w:rPr>
          <w:rFonts w:ascii="宋体" w:hAnsi="宋体" w:cs="宋体" w:eastAsia="宋体" w:hint="default"/>
          <w:spacing w:val="-60"/>
          <w:sz w:val="24"/>
          <w:szCs w:val="24"/>
        </w:rPr>
        <w:t> </w:t>
      </w:r>
      <w:r>
        <w:rPr>
          <w:rFonts w:ascii="宋体" w:hAnsi="宋体" w:cs="宋体" w:eastAsia="宋体" w:hint="default"/>
          <w:sz w:val="24"/>
          <w:szCs w:val="24"/>
        </w:rPr>
        <w:t>月起将其纳入合并财务报表范围。</w:t>
      </w:r>
    </w:p>
    <w:p>
      <w:pPr>
        <w:spacing w:line="312" w:lineRule="exact" w:before="0"/>
        <w:ind w:left="118" w:right="0" w:firstLine="0"/>
        <w:jc w:val="both"/>
        <w:rPr>
          <w:rFonts w:ascii="宋体" w:hAnsi="宋体" w:cs="宋体" w:eastAsia="宋体" w:hint="default"/>
          <w:sz w:val="24"/>
          <w:szCs w:val="24"/>
        </w:rPr>
      </w:pPr>
      <w:r>
        <w:rPr>
          <w:rFonts w:ascii="宋体" w:hAnsi="宋体" w:cs="宋体" w:eastAsia="宋体" w:hint="default"/>
          <w:sz w:val="24"/>
          <w:szCs w:val="24"/>
        </w:rPr>
        <w:t>（25）2011</w:t>
      </w:r>
      <w:r>
        <w:rPr>
          <w:rFonts w:ascii="宋体" w:hAnsi="宋体" w:cs="宋体" w:eastAsia="宋体" w:hint="default"/>
          <w:spacing w:val="-59"/>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12</w:t>
      </w:r>
      <w:r>
        <w:rPr>
          <w:rFonts w:ascii="宋体" w:hAnsi="宋体" w:cs="宋体" w:eastAsia="宋体" w:hint="default"/>
          <w:spacing w:val="-59"/>
          <w:sz w:val="24"/>
          <w:szCs w:val="24"/>
        </w:rPr>
        <w:t> </w:t>
      </w:r>
      <w:r>
        <w:rPr>
          <w:rFonts w:ascii="宋体" w:hAnsi="宋体" w:cs="宋体" w:eastAsia="宋体" w:hint="default"/>
          <w:sz w:val="24"/>
          <w:szCs w:val="24"/>
        </w:rPr>
        <w:t>月，本公司之控股子公司广东东软时尚数字技术有限公司出资</w:t>
      </w:r>
      <w:r>
        <w:rPr>
          <w:rFonts w:ascii="宋体" w:hAnsi="宋体" w:cs="宋体" w:eastAsia="宋体" w:hint="default"/>
          <w:spacing w:val="-59"/>
          <w:sz w:val="24"/>
          <w:szCs w:val="24"/>
        </w:rPr>
        <w:t> </w:t>
      </w:r>
      <w:r>
        <w:rPr>
          <w:rFonts w:ascii="宋体" w:hAnsi="宋体" w:cs="宋体" w:eastAsia="宋体" w:hint="default"/>
          <w:sz w:val="24"/>
          <w:szCs w:val="24"/>
        </w:rPr>
        <w:t>100</w:t>
      </w:r>
      <w:r>
        <w:rPr>
          <w:rFonts w:ascii="宋体" w:hAnsi="宋体" w:cs="宋体" w:eastAsia="宋体" w:hint="default"/>
          <w:spacing w:val="-59"/>
          <w:sz w:val="24"/>
          <w:szCs w:val="24"/>
        </w:rPr>
        <w:t> </w:t>
      </w:r>
      <w:r>
        <w:rPr>
          <w:rFonts w:ascii="宋体" w:hAnsi="宋体" w:cs="宋体" w:eastAsia="宋体" w:hint="default"/>
          <w:sz w:val="24"/>
          <w:szCs w:val="24"/>
        </w:rPr>
        <w:t>万</w:t>
      </w:r>
    </w:p>
    <w:p>
      <w:pPr>
        <w:spacing w:line="313" w:lineRule="exact" w:before="0"/>
        <w:ind w:left="118" w:right="0" w:firstLine="0"/>
        <w:jc w:val="both"/>
        <w:rPr>
          <w:rFonts w:ascii="宋体" w:hAnsi="宋体" w:cs="宋体" w:eastAsia="宋体" w:hint="default"/>
          <w:sz w:val="24"/>
          <w:szCs w:val="24"/>
        </w:rPr>
      </w:pPr>
      <w:r>
        <w:rPr>
          <w:rFonts w:ascii="宋体" w:hAnsi="宋体" w:cs="宋体" w:eastAsia="宋体" w:hint="default"/>
          <w:spacing w:val="-3"/>
          <w:sz w:val="24"/>
          <w:szCs w:val="24"/>
        </w:rPr>
        <w:t>元设立深圳市东软时尚数字技术有限公司，持股比例</w:t>
      </w:r>
      <w:r>
        <w:rPr>
          <w:rFonts w:ascii="宋体" w:hAnsi="宋体" w:cs="宋体" w:eastAsia="宋体" w:hint="default"/>
          <w:spacing w:val="-57"/>
          <w:sz w:val="24"/>
          <w:szCs w:val="24"/>
        </w:rPr>
        <w:t> </w:t>
      </w:r>
      <w:r>
        <w:rPr>
          <w:rFonts w:ascii="宋体" w:hAnsi="宋体" w:cs="宋体" w:eastAsia="宋体" w:hint="default"/>
          <w:spacing w:val="-10"/>
          <w:sz w:val="24"/>
          <w:szCs w:val="24"/>
        </w:rPr>
        <w:t>100%，自</w:t>
      </w:r>
      <w:r>
        <w:rPr>
          <w:rFonts w:ascii="宋体" w:hAnsi="宋体" w:cs="宋体" w:eastAsia="宋体" w:hint="default"/>
          <w:spacing w:val="-57"/>
          <w:sz w:val="24"/>
          <w:szCs w:val="24"/>
        </w:rPr>
        <w:t> </w:t>
      </w:r>
      <w:r>
        <w:rPr>
          <w:rFonts w:ascii="宋体" w:hAnsi="宋体" w:cs="宋体" w:eastAsia="宋体" w:hint="default"/>
          <w:sz w:val="24"/>
          <w:szCs w:val="24"/>
        </w:rPr>
        <w:t>2011</w:t>
      </w:r>
      <w:r>
        <w:rPr>
          <w:rFonts w:ascii="宋体" w:hAnsi="宋体" w:cs="宋体" w:eastAsia="宋体" w:hint="default"/>
          <w:spacing w:val="-57"/>
          <w:sz w:val="24"/>
          <w:szCs w:val="24"/>
        </w:rPr>
        <w:t> </w:t>
      </w:r>
      <w:r>
        <w:rPr>
          <w:rFonts w:ascii="宋体" w:hAnsi="宋体" w:cs="宋体" w:eastAsia="宋体" w:hint="default"/>
          <w:sz w:val="24"/>
          <w:szCs w:val="24"/>
        </w:rPr>
        <w:t>年</w:t>
      </w:r>
      <w:r>
        <w:rPr>
          <w:rFonts w:ascii="宋体" w:hAnsi="宋体" w:cs="宋体" w:eastAsia="宋体" w:hint="default"/>
          <w:spacing w:val="-57"/>
          <w:sz w:val="24"/>
          <w:szCs w:val="24"/>
        </w:rPr>
        <w:t> </w:t>
      </w:r>
      <w:r>
        <w:rPr>
          <w:rFonts w:ascii="宋体" w:hAnsi="宋体" w:cs="宋体" w:eastAsia="宋体" w:hint="default"/>
          <w:sz w:val="24"/>
          <w:szCs w:val="24"/>
        </w:rPr>
        <w:t>12</w:t>
      </w:r>
      <w:r>
        <w:rPr>
          <w:rFonts w:ascii="宋体" w:hAnsi="宋体" w:cs="宋体" w:eastAsia="宋体" w:hint="default"/>
          <w:spacing w:val="-57"/>
          <w:sz w:val="24"/>
          <w:szCs w:val="24"/>
        </w:rPr>
        <w:t> </w:t>
      </w:r>
      <w:r>
        <w:rPr>
          <w:rFonts w:ascii="宋体" w:hAnsi="宋体" w:cs="宋体" w:eastAsia="宋体" w:hint="default"/>
          <w:sz w:val="24"/>
          <w:szCs w:val="24"/>
        </w:rPr>
        <w:t>月起将其纳入</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BodyText"/>
        <w:spacing w:line="240" w:lineRule="auto" w:before="0"/>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6"/>
        <w:rPr>
          <w:rFonts w:ascii="黑体" w:hAnsi="黑体" w:cs="黑体" w:eastAsia="黑体" w:hint="default"/>
          <w:sz w:val="15"/>
          <w:szCs w:val="15"/>
        </w:rPr>
      </w:pPr>
    </w:p>
    <w:p>
      <w:pPr>
        <w:pStyle w:val="Heading5"/>
        <w:spacing w:line="313" w:lineRule="exact" w:before="26"/>
        <w:ind w:left="498" w:right="360"/>
        <w:jc w:val="left"/>
      </w:pPr>
      <w:r>
        <w:rPr/>
        <w:t>合并财务报表范围。</w:t>
      </w:r>
    </w:p>
    <w:p>
      <w:pPr>
        <w:spacing w:line="312" w:lineRule="exact" w:before="0"/>
        <w:ind w:left="498" w:right="360" w:firstLine="0"/>
        <w:jc w:val="left"/>
        <w:rPr>
          <w:rFonts w:ascii="宋体" w:hAnsi="宋体" w:cs="宋体" w:eastAsia="宋体" w:hint="default"/>
          <w:sz w:val="24"/>
          <w:szCs w:val="24"/>
        </w:rPr>
      </w:pPr>
      <w:r>
        <w:rPr>
          <w:rFonts w:ascii="宋体" w:hAnsi="宋体" w:cs="宋体" w:eastAsia="宋体" w:hint="default"/>
          <w:sz w:val="24"/>
          <w:szCs w:val="24"/>
        </w:rPr>
        <w:t>（26）2011</w:t>
      </w:r>
      <w:r>
        <w:rPr>
          <w:rFonts w:ascii="宋体" w:hAnsi="宋体" w:cs="宋体" w:eastAsia="宋体" w:hint="default"/>
          <w:spacing w:val="-59"/>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12</w:t>
      </w:r>
      <w:r>
        <w:rPr>
          <w:rFonts w:ascii="宋体" w:hAnsi="宋体" w:cs="宋体" w:eastAsia="宋体" w:hint="default"/>
          <w:spacing w:val="-59"/>
          <w:sz w:val="24"/>
          <w:szCs w:val="24"/>
        </w:rPr>
        <w:t> </w:t>
      </w:r>
      <w:r>
        <w:rPr>
          <w:rFonts w:ascii="宋体" w:hAnsi="宋体" w:cs="宋体" w:eastAsia="宋体" w:hint="default"/>
          <w:sz w:val="24"/>
          <w:szCs w:val="24"/>
        </w:rPr>
        <w:t>月，本公司对东软集团（大连）有限公司增资</w:t>
      </w:r>
      <w:r>
        <w:rPr>
          <w:rFonts w:ascii="宋体" w:hAnsi="宋体" w:cs="宋体" w:eastAsia="宋体" w:hint="default"/>
          <w:spacing w:val="-59"/>
          <w:sz w:val="24"/>
          <w:szCs w:val="24"/>
        </w:rPr>
        <w:t> </w:t>
      </w:r>
      <w:r>
        <w:rPr>
          <w:rFonts w:ascii="宋体" w:hAnsi="宋体" w:cs="宋体" w:eastAsia="宋体" w:hint="default"/>
          <w:sz w:val="24"/>
          <w:szCs w:val="24"/>
        </w:rPr>
        <w:t>2</w:t>
      </w:r>
      <w:r>
        <w:rPr>
          <w:rFonts w:ascii="宋体" w:hAnsi="宋体" w:cs="宋体" w:eastAsia="宋体" w:hint="default"/>
          <w:spacing w:val="-60"/>
          <w:sz w:val="24"/>
          <w:szCs w:val="24"/>
        </w:rPr>
        <w:t> </w:t>
      </w:r>
      <w:r>
        <w:rPr>
          <w:rFonts w:ascii="宋体" w:hAnsi="宋体" w:cs="宋体" w:eastAsia="宋体" w:hint="default"/>
          <w:sz w:val="24"/>
          <w:szCs w:val="24"/>
        </w:rPr>
        <w:t>亿元，增资后投资总</w:t>
      </w:r>
    </w:p>
    <w:p>
      <w:pPr>
        <w:spacing w:line="312" w:lineRule="exact" w:before="0"/>
        <w:ind w:left="498" w:right="360" w:firstLine="0"/>
        <w:jc w:val="left"/>
        <w:rPr>
          <w:rFonts w:ascii="宋体" w:hAnsi="宋体" w:cs="宋体" w:eastAsia="宋体" w:hint="default"/>
          <w:sz w:val="24"/>
          <w:szCs w:val="24"/>
        </w:rPr>
      </w:pPr>
      <w:r>
        <w:rPr>
          <w:rFonts w:ascii="宋体" w:hAnsi="宋体" w:cs="宋体" w:eastAsia="宋体" w:hint="default"/>
          <w:sz w:val="24"/>
          <w:szCs w:val="24"/>
        </w:rPr>
        <w:t>额达</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亿元。</w:t>
      </w:r>
    </w:p>
    <w:p>
      <w:pPr>
        <w:spacing w:line="312" w:lineRule="exact" w:before="29"/>
        <w:ind w:left="498" w:right="480" w:firstLine="0"/>
        <w:jc w:val="left"/>
        <w:rPr>
          <w:rFonts w:ascii="宋体" w:hAnsi="宋体" w:cs="宋体" w:eastAsia="宋体" w:hint="default"/>
          <w:sz w:val="24"/>
          <w:szCs w:val="24"/>
        </w:rPr>
      </w:pPr>
      <w:r>
        <w:rPr>
          <w:rFonts w:ascii="宋体" w:hAnsi="宋体" w:cs="宋体" w:eastAsia="宋体" w:hint="default"/>
          <w:sz w:val="24"/>
          <w:szCs w:val="24"/>
        </w:rPr>
        <w:t>（27）2011</w:t>
      </w:r>
      <w:r>
        <w:rPr>
          <w:rFonts w:ascii="宋体" w:hAnsi="宋体" w:cs="宋体" w:eastAsia="宋体" w:hint="default"/>
          <w:spacing w:val="-58"/>
          <w:sz w:val="24"/>
          <w:szCs w:val="24"/>
        </w:rPr>
        <w:t> </w:t>
      </w: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z w:val="24"/>
          <w:szCs w:val="24"/>
        </w:rPr>
        <w:t>12</w:t>
      </w:r>
      <w:r>
        <w:rPr>
          <w:rFonts w:ascii="宋体" w:hAnsi="宋体" w:cs="宋体" w:eastAsia="宋体" w:hint="default"/>
          <w:spacing w:val="-58"/>
          <w:sz w:val="24"/>
          <w:szCs w:val="24"/>
        </w:rPr>
        <w:t> </w:t>
      </w:r>
      <w:r>
        <w:rPr>
          <w:rFonts w:ascii="宋体" w:hAnsi="宋体" w:cs="宋体" w:eastAsia="宋体" w:hint="default"/>
          <w:sz w:val="24"/>
          <w:szCs w:val="24"/>
        </w:rPr>
        <w:t>月，本公司之间接控股子公司东软熙康健康科技有限公司投资设立天</w:t>
      </w:r>
      <w:r>
        <w:rPr>
          <w:rFonts w:ascii="宋体" w:hAnsi="宋体" w:cs="宋体" w:eastAsia="宋体" w:hint="default"/>
          <w:sz w:val="24"/>
          <w:szCs w:val="24"/>
        </w:rPr>
        <w:t> 津熙康健康科技有限公司，注册资本</w:t>
      </w:r>
      <w:r>
        <w:rPr>
          <w:rFonts w:ascii="宋体" w:hAnsi="宋体" w:cs="宋体" w:eastAsia="宋体" w:hint="default"/>
          <w:spacing w:val="-66"/>
          <w:sz w:val="24"/>
          <w:szCs w:val="24"/>
        </w:rPr>
        <w:t> </w:t>
      </w:r>
      <w:r>
        <w:rPr>
          <w:rFonts w:ascii="宋体" w:hAnsi="宋体" w:cs="宋体" w:eastAsia="宋体" w:hint="default"/>
          <w:sz w:val="24"/>
          <w:szCs w:val="24"/>
        </w:rPr>
        <w:t>3,000</w:t>
      </w:r>
      <w:r>
        <w:rPr>
          <w:rFonts w:ascii="宋体" w:hAnsi="宋体" w:cs="宋体" w:eastAsia="宋体" w:hint="default"/>
          <w:spacing w:val="-66"/>
          <w:sz w:val="24"/>
          <w:szCs w:val="24"/>
        </w:rPr>
        <w:t> </w:t>
      </w:r>
      <w:r>
        <w:rPr>
          <w:rFonts w:ascii="宋体" w:hAnsi="宋体" w:cs="宋体" w:eastAsia="宋体" w:hint="default"/>
          <w:sz w:val="24"/>
          <w:szCs w:val="24"/>
        </w:rPr>
        <w:t>万元，已投资</w:t>
      </w:r>
      <w:r>
        <w:rPr>
          <w:rFonts w:ascii="宋体" w:hAnsi="宋体" w:cs="宋体" w:eastAsia="宋体" w:hint="default"/>
          <w:spacing w:val="-66"/>
          <w:sz w:val="24"/>
          <w:szCs w:val="24"/>
        </w:rPr>
        <w:t> </w:t>
      </w:r>
      <w:r>
        <w:rPr>
          <w:rFonts w:ascii="宋体" w:hAnsi="宋体" w:cs="宋体" w:eastAsia="宋体" w:hint="default"/>
          <w:sz w:val="24"/>
          <w:szCs w:val="24"/>
        </w:rPr>
        <w:t>450</w:t>
      </w:r>
      <w:r>
        <w:rPr>
          <w:rFonts w:ascii="宋体" w:hAnsi="宋体" w:cs="宋体" w:eastAsia="宋体" w:hint="default"/>
          <w:spacing w:val="-66"/>
          <w:sz w:val="24"/>
          <w:szCs w:val="24"/>
        </w:rPr>
        <w:t> </w:t>
      </w:r>
      <w:r>
        <w:rPr>
          <w:rFonts w:ascii="宋体" w:hAnsi="宋体" w:cs="宋体" w:eastAsia="宋体" w:hint="default"/>
          <w:sz w:val="24"/>
          <w:szCs w:val="24"/>
        </w:rPr>
        <w:t>万元，持股比例</w:t>
      </w:r>
      <w:r>
        <w:rPr>
          <w:rFonts w:ascii="宋体" w:hAnsi="宋体" w:cs="宋体" w:eastAsia="宋体" w:hint="default"/>
          <w:spacing w:val="-66"/>
          <w:sz w:val="24"/>
          <w:szCs w:val="24"/>
        </w:rPr>
        <w:t> </w:t>
      </w:r>
      <w:r>
        <w:rPr>
          <w:rFonts w:ascii="宋体" w:hAnsi="宋体" w:cs="宋体" w:eastAsia="宋体" w:hint="default"/>
          <w:sz w:val="24"/>
          <w:szCs w:val="24"/>
        </w:rPr>
        <w:t>75%，自</w:t>
      </w:r>
    </w:p>
    <w:p>
      <w:pPr>
        <w:spacing w:line="283" w:lineRule="exact" w:before="0"/>
        <w:ind w:left="498" w:right="360" w:firstLine="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月起将其纳入合并财务报表范围。</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1012" w:footer="480" w:top="1360" w:bottom="660" w:left="920" w:right="920"/>
        </w:sectPr>
      </w:pPr>
    </w:p>
    <w:p>
      <w:pPr>
        <w:spacing w:line="312" w:lineRule="exact" w:before="56"/>
        <w:ind w:left="978" w:right="-20" w:hanging="480"/>
        <w:jc w:val="left"/>
        <w:rPr>
          <w:rFonts w:ascii="宋体" w:hAnsi="宋体" w:cs="宋体" w:eastAsia="宋体" w:hint="default"/>
          <w:sz w:val="24"/>
          <w:szCs w:val="24"/>
        </w:rPr>
      </w:pPr>
      <w:r>
        <w:rPr>
          <w:rFonts w:ascii="宋体" w:hAnsi="宋体" w:cs="宋体" w:eastAsia="宋体" w:hint="default"/>
          <w:sz w:val="24"/>
          <w:szCs w:val="24"/>
        </w:rPr>
        <w:t>2、委托理财情况 报告期内，公司委托理财情况如下：</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pStyle w:val="BodyText"/>
        <w:spacing w:line="240" w:lineRule="auto" w:before="150"/>
        <w:ind w:left="498" w:right="0"/>
        <w:jc w:val="left"/>
        <w:rPr>
          <w:rFonts w:ascii="宋体" w:hAnsi="宋体" w:cs="宋体" w:eastAsia="宋体" w:hint="default"/>
        </w:rPr>
      </w:pPr>
      <w:r>
        <w:rPr>
          <w:rFonts w:ascii="宋体" w:hAnsi="宋体" w:cs="宋体" w:eastAsia="宋体" w:hint="default"/>
        </w:rPr>
        <w:t>单位：万元</w:t>
      </w:r>
      <w:r>
        <w:rPr>
          <w:rFonts w:ascii="宋体" w:hAnsi="宋体" w:cs="宋体" w:eastAsia="宋体" w:hint="default"/>
          <w:spacing w:val="-11"/>
        </w:rPr>
        <w:t> </w:t>
      </w:r>
      <w:r>
        <w:rPr>
          <w:rFonts w:ascii="宋体" w:hAnsi="宋体" w:cs="宋体" w:eastAsia="宋体" w:hint="default"/>
        </w:rPr>
        <w:t>币种：人民币</w:t>
      </w:r>
    </w:p>
    <w:p>
      <w:pPr>
        <w:spacing w:after="0" w:line="240" w:lineRule="auto"/>
        <w:jc w:val="left"/>
        <w:rPr>
          <w:rFonts w:ascii="宋体" w:hAnsi="宋体" w:cs="宋体" w:eastAsia="宋体" w:hint="default"/>
        </w:rPr>
        <w:sectPr>
          <w:type w:val="continuous"/>
          <w:pgSz w:w="11910" w:h="16840"/>
          <w:pgMar w:top="1600" w:bottom="280" w:left="920" w:right="920"/>
          <w:cols w:num="2" w:equalWidth="0">
            <w:col w:w="4819" w:space="1836"/>
            <w:col w:w="3415"/>
          </w:cols>
        </w:sectPr>
      </w:pPr>
    </w:p>
    <w:p>
      <w:pPr>
        <w:spacing w:line="240" w:lineRule="auto" w:before="13"/>
        <w:rPr>
          <w:rFonts w:ascii="宋体" w:hAnsi="宋体" w:cs="宋体" w:eastAsia="宋体" w:hint="default"/>
          <w:sz w:val="3"/>
          <w:szCs w:val="3"/>
        </w:rPr>
      </w:pPr>
    </w:p>
    <w:tbl>
      <w:tblPr>
        <w:tblW w:w="0" w:type="auto"/>
        <w:jc w:val="left"/>
        <w:tblInd w:w="119" w:type="dxa"/>
        <w:tblLayout w:type="fixed"/>
        <w:tblCellMar>
          <w:top w:w="0" w:type="dxa"/>
          <w:left w:w="0" w:type="dxa"/>
          <w:bottom w:w="0" w:type="dxa"/>
          <w:right w:w="0" w:type="dxa"/>
        </w:tblCellMar>
        <w:tblLook w:val="01E0"/>
      </w:tblPr>
      <w:tblGrid>
        <w:gridCol w:w="850"/>
        <w:gridCol w:w="866"/>
        <w:gridCol w:w="1062"/>
        <w:gridCol w:w="762"/>
        <w:gridCol w:w="656"/>
        <w:gridCol w:w="985"/>
        <w:gridCol w:w="995"/>
        <w:gridCol w:w="1009"/>
        <w:gridCol w:w="708"/>
        <w:gridCol w:w="709"/>
        <w:gridCol w:w="852"/>
        <w:gridCol w:w="359"/>
      </w:tblGrid>
      <w:tr>
        <w:trPr>
          <w:trHeight w:val="1262" w:hRule="exact"/>
        </w:trPr>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236" w:right="146" w:hanging="90"/>
              <w:jc w:val="left"/>
              <w:rPr>
                <w:rFonts w:ascii="宋体" w:hAnsi="宋体" w:cs="宋体" w:eastAsia="宋体" w:hint="default"/>
                <w:sz w:val="18"/>
                <w:szCs w:val="18"/>
              </w:rPr>
            </w:pPr>
            <w:r>
              <w:rPr>
                <w:rFonts w:ascii="宋体" w:hAnsi="宋体" w:cs="宋体" w:eastAsia="宋体" w:hint="default"/>
                <w:sz w:val="18"/>
                <w:szCs w:val="18"/>
              </w:rPr>
              <w:t>受托人 名称</w:t>
            </w:r>
          </w:p>
        </w:tc>
        <w:tc>
          <w:tcPr>
            <w:tcW w:w="8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54" w:right="155"/>
              <w:jc w:val="left"/>
              <w:rPr>
                <w:rFonts w:ascii="宋体" w:hAnsi="宋体" w:cs="宋体" w:eastAsia="宋体" w:hint="default"/>
                <w:sz w:val="18"/>
                <w:szCs w:val="18"/>
              </w:rPr>
            </w:pPr>
            <w:r>
              <w:rPr>
                <w:rFonts w:ascii="宋体" w:hAnsi="宋体" w:cs="宋体" w:eastAsia="宋体" w:hint="default"/>
                <w:sz w:val="18"/>
                <w:szCs w:val="18"/>
              </w:rPr>
              <w:t>委托理 财金额</w:t>
            </w:r>
          </w:p>
        </w:tc>
        <w:tc>
          <w:tcPr>
            <w:tcW w:w="10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63" w:right="162"/>
              <w:jc w:val="left"/>
              <w:rPr>
                <w:rFonts w:ascii="宋体" w:hAnsi="宋体" w:cs="宋体" w:eastAsia="宋体" w:hint="default"/>
                <w:sz w:val="18"/>
                <w:szCs w:val="18"/>
              </w:rPr>
            </w:pPr>
            <w:r>
              <w:rPr>
                <w:rFonts w:ascii="宋体" w:hAnsi="宋体" w:cs="宋体" w:eastAsia="宋体" w:hint="default"/>
                <w:sz w:val="18"/>
                <w:szCs w:val="18"/>
              </w:rPr>
              <w:t>委托理财 起始日期</w:t>
            </w:r>
          </w:p>
        </w:tc>
        <w:tc>
          <w:tcPr>
            <w:tcW w:w="7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3" w:right="102"/>
              <w:jc w:val="both"/>
              <w:rPr>
                <w:rFonts w:ascii="宋体" w:hAnsi="宋体" w:cs="宋体" w:eastAsia="宋体" w:hint="default"/>
                <w:sz w:val="18"/>
                <w:szCs w:val="18"/>
              </w:rPr>
            </w:pPr>
            <w:r>
              <w:rPr>
                <w:rFonts w:ascii="宋体" w:hAnsi="宋体" w:cs="宋体" w:eastAsia="宋体" w:hint="default"/>
                <w:sz w:val="18"/>
                <w:szCs w:val="18"/>
              </w:rPr>
              <w:t>委托理 财终止 日期</w:t>
            </w:r>
          </w:p>
        </w:tc>
        <w:tc>
          <w:tcPr>
            <w:tcW w:w="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40" w:right="139"/>
              <w:jc w:val="both"/>
              <w:rPr>
                <w:rFonts w:ascii="宋体" w:hAnsi="宋体" w:cs="宋体" w:eastAsia="宋体" w:hint="default"/>
                <w:sz w:val="18"/>
                <w:szCs w:val="18"/>
              </w:rPr>
            </w:pPr>
            <w:r>
              <w:rPr>
                <w:rFonts w:ascii="宋体" w:hAnsi="宋体" w:cs="宋体" w:eastAsia="宋体" w:hint="default"/>
                <w:sz w:val="18"/>
                <w:szCs w:val="18"/>
              </w:rPr>
              <w:t>报酬 确定 方式</w:t>
            </w:r>
          </w:p>
        </w:tc>
        <w:tc>
          <w:tcPr>
            <w:tcW w:w="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23" w:right="125"/>
              <w:jc w:val="left"/>
              <w:rPr>
                <w:rFonts w:ascii="宋体" w:hAnsi="宋体" w:cs="宋体" w:eastAsia="宋体" w:hint="default"/>
                <w:sz w:val="18"/>
                <w:szCs w:val="18"/>
              </w:rPr>
            </w:pPr>
            <w:r>
              <w:rPr>
                <w:rFonts w:ascii="宋体" w:hAnsi="宋体" w:cs="宋体" w:eastAsia="宋体" w:hint="default"/>
                <w:sz w:val="18"/>
                <w:szCs w:val="18"/>
              </w:rPr>
              <w:t>实际收回 本金金额</w:t>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308" w:right="131" w:hanging="180"/>
              <w:jc w:val="left"/>
              <w:rPr>
                <w:rFonts w:ascii="宋体" w:hAnsi="宋体" w:cs="宋体" w:eastAsia="宋体" w:hint="default"/>
                <w:sz w:val="18"/>
                <w:szCs w:val="18"/>
              </w:rPr>
            </w:pPr>
            <w:r>
              <w:rPr>
                <w:rFonts w:ascii="宋体" w:hAnsi="宋体" w:cs="宋体" w:eastAsia="宋体" w:hint="default"/>
                <w:sz w:val="18"/>
                <w:szCs w:val="18"/>
              </w:rPr>
              <w:t>实际获得 收益</w:t>
            </w:r>
          </w:p>
        </w:tc>
        <w:tc>
          <w:tcPr>
            <w:tcW w:w="1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35" w:right="137"/>
              <w:jc w:val="left"/>
              <w:rPr>
                <w:rFonts w:ascii="宋体" w:hAnsi="宋体" w:cs="宋体" w:eastAsia="宋体" w:hint="default"/>
                <w:sz w:val="18"/>
                <w:szCs w:val="18"/>
              </w:rPr>
            </w:pPr>
            <w:r>
              <w:rPr>
                <w:rFonts w:ascii="宋体" w:hAnsi="宋体" w:cs="宋体" w:eastAsia="宋体" w:hint="default"/>
                <w:sz w:val="18"/>
                <w:szCs w:val="18"/>
              </w:rPr>
              <w:t>是否经过 法定程序</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0"/>
              <w:ind w:left="165" w:right="167"/>
              <w:jc w:val="both"/>
              <w:rPr>
                <w:rFonts w:ascii="宋体" w:hAnsi="宋体" w:cs="宋体" w:eastAsia="宋体" w:hint="default"/>
                <w:sz w:val="18"/>
                <w:szCs w:val="18"/>
              </w:rPr>
            </w:pPr>
            <w:r>
              <w:rPr>
                <w:rFonts w:ascii="宋体" w:hAnsi="宋体" w:cs="宋体" w:eastAsia="宋体" w:hint="default"/>
                <w:sz w:val="18"/>
                <w:szCs w:val="18"/>
              </w:rPr>
              <w:t>计提 减值 准备 金额</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66" w:right="167"/>
              <w:jc w:val="both"/>
              <w:rPr>
                <w:rFonts w:ascii="宋体" w:hAnsi="宋体" w:cs="宋体" w:eastAsia="宋体" w:hint="default"/>
                <w:sz w:val="18"/>
                <w:szCs w:val="18"/>
              </w:rPr>
            </w:pPr>
            <w:r>
              <w:rPr>
                <w:rFonts w:ascii="宋体" w:hAnsi="宋体" w:cs="宋体" w:eastAsia="宋体" w:hint="default"/>
                <w:sz w:val="18"/>
                <w:szCs w:val="18"/>
              </w:rPr>
              <w:t>是否 关联 交易</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0"/>
              <w:ind w:left="148" w:right="146"/>
              <w:jc w:val="both"/>
              <w:rPr>
                <w:rFonts w:ascii="宋体" w:hAnsi="宋体" w:cs="宋体" w:eastAsia="宋体" w:hint="default"/>
                <w:sz w:val="18"/>
                <w:szCs w:val="18"/>
              </w:rPr>
            </w:pPr>
            <w:r>
              <w:rPr>
                <w:rFonts w:ascii="宋体" w:hAnsi="宋体" w:cs="宋体" w:eastAsia="宋体" w:hint="default"/>
                <w:sz w:val="18"/>
                <w:szCs w:val="18"/>
              </w:rPr>
              <w:t>资金来 源是否 为募集 资金</w:t>
            </w:r>
          </w:p>
        </w:tc>
        <w:tc>
          <w:tcPr>
            <w:tcW w:w="359"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0"/>
              <w:ind w:left="100" w:right="61"/>
              <w:jc w:val="both"/>
              <w:rPr>
                <w:rFonts w:ascii="宋体" w:hAnsi="宋体" w:cs="宋体" w:eastAsia="宋体" w:hint="default"/>
                <w:sz w:val="18"/>
                <w:szCs w:val="18"/>
              </w:rPr>
            </w:pPr>
            <w:r>
              <w:rPr>
                <w:rFonts w:ascii="宋体" w:hAnsi="宋体" w:cs="宋体" w:eastAsia="宋体" w:hint="default"/>
                <w:sz w:val="18"/>
                <w:szCs w:val="18"/>
              </w:rPr>
              <w:t>关 联 关 系</w:t>
            </w:r>
          </w:p>
        </w:tc>
      </w:tr>
      <w:tr>
        <w:trPr>
          <w:trHeight w:val="952" w:hRule="exact"/>
        </w:trPr>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236" w:right="236"/>
              <w:jc w:val="left"/>
              <w:rPr>
                <w:rFonts w:ascii="宋体" w:hAnsi="宋体" w:cs="宋体" w:eastAsia="宋体" w:hint="default"/>
                <w:sz w:val="18"/>
                <w:szCs w:val="18"/>
              </w:rPr>
            </w:pPr>
            <w:r>
              <w:rPr>
                <w:rFonts w:ascii="宋体" w:hAnsi="宋体" w:cs="宋体" w:eastAsia="宋体" w:hint="default"/>
                <w:sz w:val="18"/>
                <w:szCs w:val="18"/>
              </w:rPr>
              <w:t>兴业 银行</w:t>
            </w:r>
          </w:p>
        </w:tc>
        <w:tc>
          <w:tcPr>
            <w:tcW w:w="8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10" w:right="0"/>
              <w:jc w:val="center"/>
              <w:rPr>
                <w:rFonts w:ascii="宋体" w:hAnsi="宋体" w:cs="宋体" w:eastAsia="宋体" w:hint="default"/>
                <w:sz w:val="18"/>
                <w:szCs w:val="18"/>
              </w:rPr>
            </w:pPr>
            <w:r>
              <w:rPr>
                <w:rFonts w:ascii="宋体"/>
                <w:sz w:val="18"/>
              </w:rPr>
              <w:t>30,000</w:t>
            </w:r>
          </w:p>
        </w:tc>
        <w:tc>
          <w:tcPr>
            <w:tcW w:w="10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p>
          <w:p>
            <w:pPr>
              <w:pStyle w:val="TableParagraph"/>
              <w:spacing w:line="240" w:lineRule="auto" w:before="76"/>
              <w:ind w:left="100" w:right="0"/>
              <w:jc w:val="left"/>
              <w:rPr>
                <w:rFonts w:ascii="宋体" w:hAnsi="宋体" w:cs="宋体" w:eastAsia="宋体" w:hint="default"/>
                <w:sz w:val="18"/>
                <w:szCs w:val="18"/>
              </w:rPr>
            </w:pPr>
            <w:r>
              <w:rPr>
                <w:rFonts w:ascii="宋体" w:hAnsi="宋体" w:cs="宋体" w:eastAsia="宋体" w:hint="default"/>
                <w:spacing w:val="29"/>
                <w:sz w:val="18"/>
                <w:szCs w:val="18"/>
              </w:rPr>
              <w:t>月1日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7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sz w:val="18"/>
              </w:rPr>
              <w:t>2012</w:t>
            </w:r>
          </w:p>
          <w:p>
            <w:pPr>
              <w:pStyle w:val="TableParagraph"/>
              <w:spacing w:line="316" w:lineRule="auto" w:before="76"/>
              <w:ind w:left="100" w:right="61"/>
              <w:jc w:val="left"/>
              <w:rPr>
                <w:rFonts w:ascii="宋体" w:hAnsi="宋体" w:cs="宋体" w:eastAsia="宋体" w:hint="default"/>
                <w:sz w:val="18"/>
                <w:szCs w:val="18"/>
              </w:rPr>
            </w:pPr>
            <w:r>
              <w:rPr>
                <w:rFonts w:ascii="宋体" w:hAnsi="宋体" w:cs="宋体" w:eastAsia="宋体" w:hint="default"/>
                <w:spacing w:val="29"/>
                <w:sz w:val="18"/>
                <w:szCs w:val="18"/>
              </w:rPr>
              <w:t>年2月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100" w:right="179"/>
              <w:jc w:val="left"/>
              <w:rPr>
                <w:rFonts w:ascii="宋体" w:hAnsi="宋体" w:cs="宋体" w:eastAsia="宋体" w:hint="default"/>
                <w:sz w:val="18"/>
                <w:szCs w:val="18"/>
              </w:rPr>
            </w:pPr>
            <w:r>
              <w:rPr>
                <w:rFonts w:ascii="宋体" w:hAnsi="宋体" w:cs="宋体" w:eastAsia="宋体" w:hint="default"/>
                <w:sz w:val="18"/>
                <w:szCs w:val="18"/>
              </w:rPr>
              <w:t>浮动 收益</w:t>
            </w:r>
          </w:p>
        </w:tc>
        <w:tc>
          <w:tcPr>
            <w:tcW w:w="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0"/>
              <w:jc w:val="right"/>
              <w:rPr>
                <w:rFonts w:ascii="宋体" w:hAnsi="宋体" w:cs="宋体" w:eastAsia="宋体" w:hint="default"/>
                <w:sz w:val="18"/>
                <w:szCs w:val="18"/>
              </w:rPr>
            </w:pPr>
            <w:r>
              <w:rPr>
                <w:rFonts w:ascii="宋体" w:hAnsi="宋体" w:cs="宋体" w:eastAsia="宋体" w:hint="default"/>
                <w:sz w:val="18"/>
                <w:szCs w:val="18"/>
              </w:rPr>
              <w:t>—</w:t>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0"/>
              <w:jc w:val="right"/>
              <w:rPr>
                <w:rFonts w:ascii="宋体" w:hAnsi="宋体" w:cs="宋体" w:eastAsia="宋体" w:hint="default"/>
                <w:sz w:val="18"/>
                <w:szCs w:val="18"/>
              </w:rPr>
            </w:pPr>
            <w:r>
              <w:rPr>
                <w:rFonts w:ascii="宋体" w:hAnsi="宋体" w:cs="宋体" w:eastAsia="宋体" w:hint="default"/>
                <w:sz w:val="18"/>
                <w:szCs w:val="18"/>
              </w:rPr>
              <w:t>—</w:t>
            </w:r>
          </w:p>
        </w:tc>
        <w:tc>
          <w:tcPr>
            <w:tcW w:w="1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3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61"/>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950" w:hRule="exact"/>
        </w:trPr>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36" w:right="236"/>
              <w:jc w:val="left"/>
              <w:rPr>
                <w:rFonts w:ascii="宋体" w:hAnsi="宋体" w:cs="宋体" w:eastAsia="宋体" w:hint="default"/>
                <w:sz w:val="18"/>
                <w:szCs w:val="18"/>
              </w:rPr>
            </w:pPr>
            <w:r>
              <w:rPr>
                <w:rFonts w:ascii="宋体" w:hAnsi="宋体" w:cs="宋体" w:eastAsia="宋体" w:hint="default"/>
                <w:sz w:val="18"/>
                <w:szCs w:val="18"/>
              </w:rPr>
              <w:t>兴业 银行</w:t>
            </w:r>
          </w:p>
        </w:tc>
        <w:tc>
          <w:tcPr>
            <w:tcW w:w="8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10" w:right="0"/>
              <w:jc w:val="center"/>
              <w:rPr>
                <w:rFonts w:ascii="宋体" w:hAnsi="宋体" w:cs="宋体" w:eastAsia="宋体" w:hint="default"/>
                <w:sz w:val="18"/>
                <w:szCs w:val="18"/>
              </w:rPr>
            </w:pPr>
            <w:r>
              <w:rPr>
                <w:rFonts w:ascii="宋体"/>
                <w:sz w:val="18"/>
              </w:rPr>
              <w:t>10,000</w:t>
            </w:r>
          </w:p>
        </w:tc>
        <w:tc>
          <w:tcPr>
            <w:tcW w:w="10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p>
          <w:p>
            <w:pPr>
              <w:pStyle w:val="TableParagraph"/>
              <w:spacing w:line="240" w:lineRule="auto" w:before="76"/>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23日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7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sz w:val="18"/>
              </w:rPr>
              <w:t>2012</w:t>
            </w:r>
          </w:p>
          <w:p>
            <w:pPr>
              <w:pStyle w:val="TableParagraph"/>
              <w:spacing w:line="316" w:lineRule="auto" w:before="76"/>
              <w:ind w:left="100" w:right="61"/>
              <w:jc w:val="left"/>
              <w:rPr>
                <w:rFonts w:ascii="宋体" w:hAnsi="宋体" w:cs="宋体" w:eastAsia="宋体" w:hint="default"/>
                <w:sz w:val="18"/>
                <w:szCs w:val="18"/>
              </w:rPr>
            </w:pPr>
            <w:r>
              <w:rPr>
                <w:rFonts w:ascii="宋体" w:hAnsi="宋体" w:cs="宋体" w:eastAsia="宋体" w:hint="default"/>
                <w:spacing w:val="29"/>
                <w:sz w:val="18"/>
                <w:szCs w:val="18"/>
              </w:rPr>
              <w:t>年2月</w:t>
            </w:r>
            <w:r>
              <w:rPr>
                <w:rFonts w:ascii="宋体" w:hAnsi="宋体" w:cs="宋体" w:eastAsia="宋体" w:hint="default"/>
                <w:spacing w:val="-46"/>
                <w:sz w:val="18"/>
                <w:szCs w:val="18"/>
              </w:rPr>
              <w:t> </w:t>
            </w:r>
            <w:r>
              <w:rPr>
                <w:rFonts w:ascii="宋体" w:hAnsi="宋体" w:cs="宋体" w:eastAsia="宋体" w:hint="default"/>
                <w:spacing w:val="22"/>
                <w:sz w:val="18"/>
                <w:szCs w:val="18"/>
              </w:rPr>
              <w:t>6日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0" w:right="179"/>
              <w:jc w:val="left"/>
              <w:rPr>
                <w:rFonts w:ascii="宋体" w:hAnsi="宋体" w:cs="宋体" w:eastAsia="宋体" w:hint="default"/>
                <w:sz w:val="18"/>
                <w:szCs w:val="18"/>
              </w:rPr>
            </w:pPr>
            <w:r>
              <w:rPr>
                <w:rFonts w:ascii="宋体" w:hAnsi="宋体" w:cs="宋体" w:eastAsia="宋体" w:hint="default"/>
                <w:sz w:val="18"/>
                <w:szCs w:val="18"/>
              </w:rPr>
              <w:t>浮动 收益</w:t>
            </w:r>
          </w:p>
        </w:tc>
        <w:tc>
          <w:tcPr>
            <w:tcW w:w="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00"/>
              <w:jc w:val="right"/>
              <w:rPr>
                <w:rFonts w:ascii="宋体" w:hAnsi="宋体" w:cs="宋体" w:eastAsia="宋体" w:hint="default"/>
                <w:sz w:val="18"/>
                <w:szCs w:val="18"/>
              </w:rPr>
            </w:pPr>
            <w:r>
              <w:rPr>
                <w:rFonts w:ascii="宋体" w:hAnsi="宋体" w:cs="宋体" w:eastAsia="宋体" w:hint="default"/>
                <w:sz w:val="18"/>
                <w:szCs w:val="18"/>
              </w:rPr>
              <w:t>—</w:t>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00"/>
              <w:jc w:val="right"/>
              <w:rPr>
                <w:rFonts w:ascii="宋体" w:hAnsi="宋体" w:cs="宋体" w:eastAsia="宋体" w:hint="default"/>
                <w:sz w:val="18"/>
                <w:szCs w:val="18"/>
              </w:rPr>
            </w:pPr>
            <w:r>
              <w:rPr>
                <w:rFonts w:ascii="宋体" w:hAnsi="宋体" w:cs="宋体" w:eastAsia="宋体" w:hint="default"/>
                <w:sz w:val="18"/>
                <w:szCs w:val="18"/>
              </w:rPr>
              <w:t>—</w:t>
            </w:r>
          </w:p>
        </w:tc>
        <w:tc>
          <w:tcPr>
            <w:tcW w:w="1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3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61"/>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28" w:hRule="exact"/>
        </w:trPr>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23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10" w:right="0"/>
              <w:jc w:val="center"/>
              <w:rPr>
                <w:rFonts w:ascii="宋体" w:hAnsi="宋体" w:cs="宋体" w:eastAsia="宋体" w:hint="default"/>
                <w:sz w:val="18"/>
                <w:szCs w:val="18"/>
              </w:rPr>
            </w:pPr>
            <w:r>
              <w:rPr>
                <w:rFonts w:ascii="宋体"/>
                <w:sz w:val="18"/>
              </w:rPr>
              <w:t>40,000</w:t>
            </w:r>
          </w:p>
        </w:tc>
        <w:tc>
          <w:tcPr>
            <w:tcW w:w="10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7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hAnsi="宋体" w:cs="宋体" w:eastAsia="宋体" w:hint="default"/>
                <w:sz w:val="18"/>
                <w:szCs w:val="18"/>
              </w:rPr>
              <w:t>—</w:t>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hAnsi="宋体" w:cs="宋体" w:eastAsia="宋体" w:hint="default"/>
                <w:sz w:val="18"/>
                <w:szCs w:val="18"/>
              </w:rPr>
              <w:t>—</w:t>
            </w:r>
          </w:p>
        </w:tc>
        <w:tc>
          <w:tcPr>
            <w:tcW w:w="1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412" w:right="0"/>
              <w:jc w:val="left"/>
              <w:rPr>
                <w:rFonts w:ascii="宋体" w:hAnsi="宋体" w:cs="宋体" w:eastAsia="宋体" w:hint="default"/>
                <w:sz w:val="18"/>
                <w:szCs w:val="18"/>
              </w:rPr>
            </w:pPr>
            <w:r>
              <w:rPr>
                <w:rFonts w:ascii="宋体" w:hAnsi="宋体" w:cs="宋体" w:eastAsia="宋体" w:hint="default"/>
                <w:sz w:val="18"/>
                <w:szCs w:val="18"/>
              </w:rPr>
              <w:t>—</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256" w:right="0"/>
              <w:jc w:val="left"/>
              <w:rPr>
                <w:rFonts w:ascii="宋体" w:hAnsi="宋体" w:cs="宋体" w:eastAsia="宋体" w:hint="default"/>
                <w:sz w:val="18"/>
                <w:szCs w:val="18"/>
              </w:rPr>
            </w:pPr>
            <w:r>
              <w:rPr>
                <w:rFonts w:ascii="宋体" w:hAnsi="宋体" w:cs="宋体" w:eastAsia="宋体" w:hint="default"/>
                <w:sz w:val="18"/>
                <w:szCs w:val="18"/>
              </w:rPr>
              <w:t>—</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3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61"/>
              <w:jc w:val="right"/>
              <w:rPr>
                <w:rFonts w:ascii="宋体" w:hAnsi="宋体" w:cs="宋体" w:eastAsia="宋体" w:hint="default"/>
                <w:sz w:val="18"/>
                <w:szCs w:val="18"/>
              </w:rPr>
            </w:pPr>
            <w:r>
              <w:rPr>
                <w:rFonts w:ascii="宋体" w:hAnsi="宋体" w:cs="宋体" w:eastAsia="宋体" w:hint="default"/>
                <w:sz w:val="18"/>
                <w:szCs w:val="18"/>
              </w:rPr>
              <w:t>—</w:t>
            </w:r>
          </w:p>
        </w:tc>
      </w:tr>
      <w:tr>
        <w:trPr>
          <w:trHeight w:val="328" w:hRule="exact"/>
        </w:trPr>
        <w:tc>
          <w:tcPr>
            <w:tcW w:w="7186" w:type="dxa"/>
            <w:gridSpan w:val="8"/>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逾期未收回的本金和收益累计金额（元）</w:t>
            </w:r>
          </w:p>
        </w:tc>
        <w:tc>
          <w:tcPr>
            <w:tcW w:w="2628" w:type="dxa"/>
            <w:gridSpan w:val="4"/>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98"/>
              <w:jc w:val="right"/>
              <w:rPr>
                <w:rFonts w:ascii="宋体" w:hAnsi="宋体" w:cs="宋体" w:eastAsia="宋体" w:hint="default"/>
                <w:sz w:val="21"/>
                <w:szCs w:val="21"/>
              </w:rPr>
            </w:pPr>
            <w:r>
              <w:rPr>
                <w:rFonts w:ascii="宋体"/>
                <w:sz w:val="21"/>
              </w:rPr>
              <w:t>0</w:t>
            </w:r>
          </w:p>
        </w:tc>
      </w:tr>
    </w:tbl>
    <w:p>
      <w:pPr>
        <w:pStyle w:val="Heading5"/>
        <w:spacing w:line="237" w:lineRule="auto" w:before="88"/>
        <w:ind w:left="498" w:right="489" w:firstLine="480"/>
        <w:jc w:val="both"/>
      </w:pPr>
      <w:r>
        <w:rPr>
          <w:spacing w:val="-4"/>
        </w:rPr>
        <w:t>注：以上委托理财情况，依据</w:t>
      </w:r>
      <w:r>
        <w:rPr>
          <w:spacing w:val="-59"/>
        </w:rPr>
        <w:t> </w:t>
      </w:r>
      <w:r>
        <w:rPr>
          <w:spacing w:val="25"/>
        </w:rPr>
        <w:t>2011年4月</w:t>
      </w:r>
      <w:r>
        <w:rPr>
          <w:spacing w:val="-59"/>
        </w:rPr>
        <w:t> </w:t>
      </w:r>
      <w:r>
        <w:rPr/>
        <w:t>25</w:t>
      </w:r>
      <w:r>
        <w:rPr>
          <w:spacing w:val="-59"/>
        </w:rPr>
        <w:t> </w:t>
      </w:r>
      <w:r>
        <w:rPr/>
        <w:t>日召开的公司五届二十六次董事会审</w:t>
      </w:r>
      <w:r>
        <w:rPr/>
        <w:t> </w:t>
      </w:r>
      <w:r>
        <w:rPr>
          <w:spacing w:val="-2"/>
        </w:rPr>
        <w:t>议通过的《关于购买银行理财产品的议案》，为尽可能地降低债券总体的利息成本，董</w:t>
      </w:r>
      <w:r>
        <w:rPr>
          <w:spacing w:val="-101"/>
        </w:rPr>
        <w:t> </w:t>
      </w:r>
      <w:r>
        <w:rPr>
          <w:spacing w:val="-101"/>
        </w:rPr>
      </w:r>
      <w:r>
        <w:rPr/>
        <w:t>事会同意公司管理层在债券发行后视资金的实际情况决定购买银行理财产品，额度为</w:t>
      </w:r>
      <w:r>
        <w:rPr>
          <w:spacing w:val="-51"/>
        </w:rPr>
        <w:t> </w:t>
      </w:r>
      <w:r>
        <w:rPr/>
        <w:t>4</w:t>
      </w:r>
    </w:p>
    <w:p>
      <w:pPr>
        <w:spacing w:line="312" w:lineRule="exact" w:before="29"/>
        <w:ind w:left="498" w:right="360" w:firstLine="0"/>
        <w:jc w:val="left"/>
        <w:rPr>
          <w:rFonts w:ascii="宋体" w:hAnsi="宋体" w:cs="宋体" w:eastAsia="宋体" w:hint="default"/>
          <w:sz w:val="24"/>
          <w:szCs w:val="24"/>
        </w:rPr>
      </w:pPr>
      <w:r>
        <w:rPr>
          <w:rFonts w:ascii="宋体" w:hAnsi="宋体" w:cs="宋体" w:eastAsia="宋体" w:hint="default"/>
          <w:spacing w:val="-2"/>
          <w:sz w:val="24"/>
          <w:szCs w:val="24"/>
        </w:rPr>
        <w:t>亿元以内（公司任一时点购买所有银行理财产品的资金支出总额不超过</w:t>
      </w:r>
      <w:r>
        <w:rPr>
          <w:rFonts w:ascii="宋体" w:hAnsi="宋体" w:cs="宋体" w:eastAsia="宋体" w:hint="default"/>
          <w:spacing w:val="-53"/>
          <w:sz w:val="24"/>
          <w:szCs w:val="24"/>
        </w:rPr>
        <w:t> </w:t>
      </w:r>
      <w:r>
        <w:rPr>
          <w:rFonts w:ascii="宋体" w:hAnsi="宋体" w:cs="宋体" w:eastAsia="宋体" w:hint="default"/>
          <w:sz w:val="24"/>
          <w:szCs w:val="24"/>
        </w:rPr>
        <w:t>4</w:t>
      </w:r>
      <w:r>
        <w:rPr>
          <w:rFonts w:ascii="宋体" w:hAnsi="宋体" w:cs="宋体" w:eastAsia="宋体" w:hint="default"/>
          <w:spacing w:val="-53"/>
          <w:sz w:val="24"/>
          <w:szCs w:val="24"/>
        </w:rPr>
        <w:t> </w:t>
      </w:r>
      <w:r>
        <w:rPr>
          <w:rFonts w:ascii="宋体" w:hAnsi="宋体" w:cs="宋体" w:eastAsia="宋体" w:hint="default"/>
          <w:spacing w:val="-18"/>
          <w:sz w:val="24"/>
          <w:szCs w:val="24"/>
        </w:rPr>
        <w:t>亿元人民币），</w:t>
      </w:r>
      <w:r>
        <w:rPr>
          <w:rFonts w:ascii="宋体" w:hAnsi="宋体" w:cs="宋体" w:eastAsia="宋体" w:hint="default"/>
          <w:sz w:val="24"/>
          <w:szCs w:val="24"/>
        </w:rPr>
        <w:t> 上述资金额度可滚动使用，期限为自董事会审议通过之日起二年以内。于报告期末，上 述两项理财产品尚未到期，因此未收回本金及相应收益，公司在资产负债表日按照预计 收益率确认投资收益</w:t>
      </w:r>
      <w:r>
        <w:rPr>
          <w:rFonts w:ascii="宋体" w:hAnsi="宋体" w:cs="宋体" w:eastAsia="宋体" w:hint="default"/>
          <w:spacing w:val="-86"/>
          <w:sz w:val="24"/>
          <w:szCs w:val="24"/>
        </w:rPr>
        <w:t> </w:t>
      </w:r>
      <w:r>
        <w:rPr>
          <w:rFonts w:ascii="宋体" w:hAnsi="宋体" w:cs="宋体" w:eastAsia="宋体" w:hint="default"/>
          <w:sz w:val="24"/>
          <w:szCs w:val="24"/>
        </w:rPr>
        <w:t>193</w:t>
      </w:r>
      <w:r>
        <w:rPr>
          <w:rFonts w:ascii="宋体" w:hAnsi="宋体" w:cs="宋体" w:eastAsia="宋体" w:hint="default"/>
          <w:spacing w:val="-86"/>
          <w:sz w:val="24"/>
          <w:szCs w:val="24"/>
        </w:rPr>
        <w:t> </w:t>
      </w:r>
      <w:r>
        <w:rPr>
          <w:rFonts w:ascii="宋体" w:hAnsi="宋体" w:cs="宋体" w:eastAsia="宋体" w:hint="default"/>
          <w:sz w:val="24"/>
          <w:szCs w:val="24"/>
        </w:rPr>
        <w:t>万元。同时，该两项理财产品已于资产负债表日后到期，公司</w:t>
      </w:r>
    </w:p>
    <w:p>
      <w:pPr>
        <w:spacing w:line="283" w:lineRule="exact" w:before="0"/>
        <w:ind w:left="498" w:right="360" w:firstLine="0"/>
        <w:jc w:val="left"/>
        <w:rPr>
          <w:rFonts w:ascii="宋体" w:hAnsi="宋体" w:cs="宋体" w:eastAsia="宋体" w:hint="default"/>
          <w:sz w:val="24"/>
          <w:szCs w:val="24"/>
        </w:rPr>
      </w:pPr>
      <w:r>
        <w:rPr>
          <w:rFonts w:ascii="宋体" w:hAnsi="宋体" w:cs="宋体" w:eastAsia="宋体" w:hint="default"/>
          <w:sz w:val="24"/>
          <w:szCs w:val="24"/>
        </w:rPr>
        <w:t>已收回本金及全部理财收益共计</w:t>
      </w:r>
      <w:r>
        <w:rPr>
          <w:rFonts w:ascii="宋体" w:hAnsi="宋体" w:cs="宋体" w:eastAsia="宋体" w:hint="default"/>
          <w:spacing w:val="-60"/>
          <w:sz w:val="24"/>
          <w:szCs w:val="24"/>
        </w:rPr>
        <w:t> </w:t>
      </w:r>
      <w:r>
        <w:rPr>
          <w:rFonts w:ascii="宋体" w:hAnsi="宋体" w:cs="宋体" w:eastAsia="宋体" w:hint="default"/>
          <w:sz w:val="24"/>
          <w:szCs w:val="24"/>
        </w:rPr>
        <w:t>40,586</w:t>
      </w:r>
      <w:r>
        <w:rPr>
          <w:rFonts w:ascii="宋体" w:hAnsi="宋体" w:cs="宋体" w:eastAsia="宋体" w:hint="default"/>
          <w:spacing w:val="-60"/>
          <w:sz w:val="24"/>
          <w:szCs w:val="24"/>
        </w:rPr>
        <w:t> </w:t>
      </w:r>
      <w:r>
        <w:rPr>
          <w:rFonts w:ascii="宋体" w:hAnsi="宋体" w:cs="宋体" w:eastAsia="宋体" w:hint="default"/>
          <w:sz w:val="24"/>
          <w:szCs w:val="24"/>
        </w:rPr>
        <w:t>万元。</w:t>
      </w:r>
    </w:p>
    <w:p>
      <w:pPr>
        <w:spacing w:line="310" w:lineRule="exact" w:before="155"/>
        <w:ind w:left="978" w:right="2346" w:hanging="480"/>
        <w:jc w:val="left"/>
        <w:rPr>
          <w:rFonts w:ascii="宋体" w:hAnsi="宋体" w:cs="宋体" w:eastAsia="宋体" w:hint="default"/>
          <w:sz w:val="24"/>
          <w:szCs w:val="24"/>
        </w:rPr>
      </w:pPr>
      <w:r>
        <w:rPr>
          <w:rFonts w:ascii="宋体" w:hAnsi="宋体" w:cs="宋体" w:eastAsia="宋体" w:hint="default"/>
          <w:sz w:val="24"/>
          <w:szCs w:val="24"/>
        </w:rPr>
        <w:t>3、募集资金使用情况 报告期内，公司无募集资金或前期募集资金使用到本期的情况。</w:t>
      </w:r>
    </w:p>
    <w:p>
      <w:pPr>
        <w:spacing w:line="313" w:lineRule="exact" w:before="94"/>
        <w:ind w:left="498" w:right="360" w:firstLine="0"/>
        <w:jc w:val="left"/>
        <w:rPr>
          <w:rFonts w:ascii="宋体" w:hAnsi="宋体" w:cs="宋体" w:eastAsia="宋体" w:hint="default"/>
          <w:sz w:val="24"/>
          <w:szCs w:val="24"/>
        </w:rPr>
      </w:pPr>
      <w:r>
        <w:rPr>
          <w:rFonts w:ascii="宋体" w:hAnsi="宋体" w:cs="宋体" w:eastAsia="宋体" w:hint="default"/>
          <w:sz w:val="24"/>
          <w:szCs w:val="24"/>
        </w:rPr>
        <w:t>4、非募集资金项目情况</w:t>
      </w:r>
    </w:p>
    <w:p>
      <w:pPr>
        <w:spacing w:line="312" w:lineRule="exact" w:before="29"/>
        <w:ind w:left="498" w:right="494" w:firstLine="480"/>
        <w:jc w:val="both"/>
        <w:rPr>
          <w:rFonts w:ascii="宋体" w:hAnsi="宋体" w:cs="宋体" w:eastAsia="宋体" w:hint="default"/>
          <w:sz w:val="24"/>
          <w:szCs w:val="24"/>
        </w:rPr>
      </w:pPr>
      <w:r>
        <w:rPr>
          <w:rFonts w:ascii="宋体" w:hAnsi="宋体" w:cs="宋体" w:eastAsia="宋体" w:hint="default"/>
          <w:sz w:val="24"/>
          <w:szCs w:val="24"/>
        </w:rPr>
        <w:t>报告期内，本公司及子公司共投资 22,685</w:t>
      </w:r>
      <w:r>
        <w:rPr>
          <w:rFonts w:ascii="宋体" w:hAnsi="宋体" w:cs="宋体" w:eastAsia="宋体" w:hint="default"/>
          <w:spacing w:val="-52"/>
          <w:sz w:val="24"/>
          <w:szCs w:val="24"/>
        </w:rPr>
        <w:t> </w:t>
      </w:r>
      <w:r>
        <w:rPr>
          <w:rFonts w:ascii="宋体" w:hAnsi="宋体" w:cs="宋体" w:eastAsia="宋体" w:hint="default"/>
          <w:sz w:val="24"/>
          <w:szCs w:val="24"/>
        </w:rPr>
        <w:t>万元用于北京软件园、上海软件园等工</w:t>
      </w:r>
      <w:r>
        <w:rPr>
          <w:rFonts w:ascii="宋体" w:hAnsi="宋体" w:cs="宋体" w:eastAsia="宋体" w:hint="default"/>
          <w:sz w:val="24"/>
          <w:szCs w:val="24"/>
        </w:rPr>
        <w:t> 程建设，资金来源为自有资金。具体情况如下：</w:t>
      </w:r>
    </w:p>
    <w:p>
      <w:pPr>
        <w:pStyle w:val="BodyText"/>
        <w:spacing w:line="268" w:lineRule="exact" w:before="0"/>
        <w:ind w:left="0" w:right="494"/>
        <w:jc w:val="right"/>
        <w:rPr>
          <w:rFonts w:ascii="宋体" w:hAnsi="宋体" w:cs="宋体" w:eastAsia="宋体" w:hint="default"/>
        </w:rPr>
      </w:pPr>
      <w:r>
        <w:rPr>
          <w:rFonts w:ascii="宋体" w:hAnsi="宋体" w:cs="宋体" w:eastAsia="宋体" w:hint="default"/>
        </w:rPr>
        <w:t>单位：万元</w:t>
      </w:r>
      <w:r>
        <w:rPr>
          <w:rFonts w:ascii="宋体" w:hAnsi="宋体" w:cs="宋体" w:eastAsia="宋体" w:hint="default"/>
          <w:spacing w:val="-11"/>
        </w:rPr>
        <w:t> </w:t>
      </w:r>
      <w:r>
        <w:rPr>
          <w:rFonts w:ascii="宋体" w:hAnsi="宋体" w:cs="宋体" w:eastAsia="宋体" w:hint="default"/>
        </w:rPr>
        <w:t>币种：人民币</w:t>
      </w:r>
    </w:p>
    <w:p>
      <w:pPr>
        <w:spacing w:line="240" w:lineRule="auto" w:before="13"/>
        <w:rPr>
          <w:rFonts w:ascii="宋体" w:hAnsi="宋体" w:cs="宋体" w:eastAsia="宋体" w:hint="default"/>
          <w:sz w:val="3"/>
          <w:szCs w:val="3"/>
        </w:rPr>
      </w:pPr>
    </w:p>
    <w:tbl>
      <w:tblPr>
        <w:tblW w:w="0" w:type="auto"/>
        <w:jc w:val="left"/>
        <w:tblInd w:w="385" w:type="dxa"/>
        <w:tblLayout w:type="fixed"/>
        <w:tblCellMar>
          <w:top w:w="0" w:type="dxa"/>
          <w:left w:w="0" w:type="dxa"/>
          <w:bottom w:w="0" w:type="dxa"/>
          <w:right w:w="0" w:type="dxa"/>
        </w:tblCellMar>
        <w:tblLook w:val="01E0"/>
      </w:tblPr>
      <w:tblGrid>
        <w:gridCol w:w="5059"/>
        <w:gridCol w:w="4226"/>
      </w:tblGrid>
      <w:tr>
        <w:trPr>
          <w:trHeight w:val="322" w:hRule="exact"/>
        </w:trPr>
        <w:tc>
          <w:tcPr>
            <w:tcW w:w="505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项目金额</w:t>
            </w:r>
          </w:p>
        </w:tc>
      </w:tr>
      <w:tr>
        <w:trPr>
          <w:trHeight w:val="322" w:hRule="exact"/>
        </w:trPr>
        <w:tc>
          <w:tcPr>
            <w:tcW w:w="5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北京软件园</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12,893</w:t>
            </w:r>
          </w:p>
        </w:tc>
      </w:tr>
      <w:tr>
        <w:trPr>
          <w:trHeight w:val="323" w:hRule="exact"/>
        </w:trPr>
        <w:tc>
          <w:tcPr>
            <w:tcW w:w="5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上海软件园</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5,527</w:t>
            </w:r>
          </w:p>
        </w:tc>
      </w:tr>
      <w:tr>
        <w:trPr>
          <w:trHeight w:val="322" w:hRule="exact"/>
        </w:trPr>
        <w:tc>
          <w:tcPr>
            <w:tcW w:w="5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广州软件园（一期）</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1,690</w:t>
            </w:r>
          </w:p>
        </w:tc>
      </w:tr>
      <w:tr>
        <w:trPr>
          <w:trHeight w:val="323" w:hRule="exact"/>
        </w:trPr>
        <w:tc>
          <w:tcPr>
            <w:tcW w:w="5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沈阳园区俱乐部改建</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72</w:t>
            </w:r>
          </w:p>
        </w:tc>
      </w:tr>
    </w:tbl>
    <w:p>
      <w:pPr>
        <w:spacing w:line="240" w:lineRule="auto" w:before="8"/>
        <w:rPr>
          <w:rFonts w:ascii="宋体" w:hAnsi="宋体" w:cs="宋体" w:eastAsia="宋体" w:hint="default"/>
          <w:sz w:val="19"/>
          <w:szCs w:val="19"/>
        </w:rPr>
      </w:pPr>
    </w:p>
    <w:p>
      <w:pPr>
        <w:pStyle w:val="BodyText"/>
        <w:spacing w:line="240" w:lineRule="auto"/>
        <w:ind w:left="498" w:right="36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type w:val="continuous"/>
          <w:pgSz w:w="11910" w:h="16840"/>
          <w:pgMar w:top="1600" w:bottom="280" w:left="920" w:right="920"/>
        </w:sectPr>
      </w:pPr>
    </w:p>
    <w:p>
      <w:pPr>
        <w:spacing w:line="240" w:lineRule="auto" w:before="6"/>
        <w:rPr>
          <w:rFonts w:ascii="黑体" w:hAnsi="黑体" w:cs="黑体" w:eastAsia="黑体" w:hint="default"/>
          <w:sz w:val="20"/>
          <w:szCs w:val="20"/>
        </w:rPr>
      </w:pPr>
    </w:p>
    <w:tbl>
      <w:tblPr>
        <w:tblW w:w="0" w:type="auto"/>
        <w:jc w:val="left"/>
        <w:tblInd w:w="325" w:type="dxa"/>
        <w:tblLayout w:type="fixed"/>
        <w:tblCellMar>
          <w:top w:w="0" w:type="dxa"/>
          <w:left w:w="0" w:type="dxa"/>
          <w:bottom w:w="0" w:type="dxa"/>
          <w:right w:w="0" w:type="dxa"/>
        </w:tblCellMar>
        <w:tblLook w:val="01E0"/>
      </w:tblPr>
      <w:tblGrid>
        <w:gridCol w:w="5059"/>
        <w:gridCol w:w="4226"/>
      </w:tblGrid>
      <w:tr>
        <w:trPr>
          <w:trHeight w:val="322" w:hRule="exact"/>
        </w:trPr>
        <w:tc>
          <w:tcPr>
            <w:tcW w:w="505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项目金额</w:t>
            </w:r>
          </w:p>
        </w:tc>
      </w:tr>
      <w:tr>
        <w:trPr>
          <w:trHeight w:val="323" w:hRule="exact"/>
        </w:trPr>
        <w:tc>
          <w:tcPr>
            <w:tcW w:w="5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医疗信息化建设体系</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295</w:t>
            </w:r>
          </w:p>
        </w:tc>
      </w:tr>
      <w:tr>
        <w:trPr>
          <w:trHeight w:val="322" w:hRule="exact"/>
        </w:trPr>
        <w:tc>
          <w:tcPr>
            <w:tcW w:w="5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海南软件园（一期）</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74</w:t>
            </w:r>
          </w:p>
        </w:tc>
      </w:tr>
      <w:tr>
        <w:trPr>
          <w:trHeight w:val="322" w:hRule="exact"/>
        </w:trPr>
        <w:tc>
          <w:tcPr>
            <w:tcW w:w="5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沈阳园区食堂改造</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2,134</w:t>
            </w:r>
          </w:p>
        </w:tc>
      </w:tr>
      <w:tr>
        <w:trPr>
          <w:trHeight w:val="323" w:hRule="exact"/>
        </w:trPr>
        <w:tc>
          <w:tcPr>
            <w:tcW w:w="5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4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18"/>
                <w:szCs w:val="18"/>
              </w:rPr>
            </w:pPr>
            <w:r>
              <w:rPr>
                <w:rFonts w:ascii="宋体"/>
                <w:sz w:val="18"/>
              </w:rPr>
              <w:t>22,685</w:t>
            </w:r>
          </w:p>
        </w:tc>
      </w:tr>
    </w:tbl>
    <w:p>
      <w:pPr>
        <w:spacing w:line="240" w:lineRule="auto" w:before="6"/>
        <w:rPr>
          <w:rFonts w:ascii="黑体" w:hAnsi="黑体" w:cs="黑体" w:eastAsia="黑体" w:hint="default"/>
          <w:sz w:val="9"/>
          <w:szCs w:val="9"/>
        </w:rPr>
      </w:pPr>
    </w:p>
    <w:p>
      <w:pPr>
        <w:spacing w:line="331" w:lineRule="auto" w:before="26"/>
        <w:ind w:left="918" w:right="2017" w:hanging="480"/>
        <w:jc w:val="left"/>
        <w:rPr>
          <w:rFonts w:ascii="宋体" w:hAnsi="宋体" w:cs="宋体" w:eastAsia="宋体" w:hint="default"/>
          <w:sz w:val="24"/>
          <w:szCs w:val="24"/>
        </w:rPr>
      </w:pPr>
      <w:r>
        <w:rPr>
          <w:rFonts w:ascii="宋体" w:hAnsi="宋体" w:cs="宋体" w:eastAsia="宋体" w:hint="default"/>
          <w:b/>
          <w:bCs/>
          <w:sz w:val="24"/>
          <w:szCs w:val="24"/>
        </w:rPr>
        <w:t>（六）董事会对公司会计政策、会计估计变更的原因及影响的讨论结果</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报告期内，公司无重大会计政策、会计估计变更。</w:t>
      </w:r>
    </w:p>
    <w:p>
      <w:pPr>
        <w:spacing w:line="331" w:lineRule="auto" w:before="95"/>
        <w:ind w:left="438" w:right="6246" w:firstLine="0"/>
        <w:jc w:val="left"/>
        <w:rPr>
          <w:rFonts w:ascii="宋体" w:hAnsi="宋体" w:cs="宋体" w:eastAsia="宋体" w:hint="default"/>
          <w:sz w:val="24"/>
          <w:szCs w:val="24"/>
        </w:rPr>
      </w:pPr>
      <w:r>
        <w:rPr/>
        <w:pict>
          <v:shape style="position:absolute;margin-left:54.360001pt;margin-top:44.02589pt;width:486.85pt;height:505.2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04"/>
                    <w:gridCol w:w="1648"/>
                    <w:gridCol w:w="3542"/>
                    <w:gridCol w:w="1418"/>
                    <w:gridCol w:w="1710"/>
                  </w:tblGrid>
                  <w:tr>
                    <w:trPr>
                      <w:trHeight w:val="635"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left="337"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决议内容</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64" w:right="162" w:firstLine="90"/>
                          <w:jc w:val="left"/>
                          <w:rPr>
                            <w:rFonts w:ascii="宋体" w:hAnsi="宋体" w:cs="宋体" w:eastAsia="宋体" w:hint="default"/>
                            <w:sz w:val="18"/>
                            <w:szCs w:val="18"/>
                          </w:rPr>
                        </w:pPr>
                        <w:r>
                          <w:rPr>
                            <w:rFonts w:ascii="宋体" w:hAnsi="宋体" w:cs="宋体" w:eastAsia="宋体" w:hint="default"/>
                            <w:sz w:val="18"/>
                            <w:szCs w:val="18"/>
                          </w:rPr>
                          <w:t>决议刊登的 信息披露报纸</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309" w:right="308" w:firstLine="90"/>
                          <w:jc w:val="left"/>
                          <w:rPr>
                            <w:rFonts w:ascii="宋体" w:hAnsi="宋体" w:cs="宋体" w:eastAsia="宋体" w:hint="default"/>
                            <w:sz w:val="18"/>
                            <w:szCs w:val="18"/>
                          </w:rPr>
                        </w:pPr>
                        <w:r>
                          <w:rPr>
                            <w:rFonts w:ascii="宋体" w:hAnsi="宋体" w:cs="宋体" w:eastAsia="宋体" w:hint="default"/>
                            <w:sz w:val="18"/>
                            <w:szCs w:val="18"/>
                          </w:rPr>
                          <w:t>决议刊登的 信息披露日期</w:t>
                        </w:r>
                      </w:p>
                    </w:tc>
                  </w:tr>
                  <w:tr>
                    <w:trPr>
                      <w:trHeight w:val="63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五届二十三次</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2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54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97"/>
                          <w:jc w:val="center"/>
                          <w:rPr>
                            <w:rFonts w:ascii="宋体" w:hAnsi="宋体" w:cs="宋体" w:eastAsia="宋体" w:hint="default"/>
                            <w:sz w:val="18"/>
                            <w:szCs w:val="18"/>
                          </w:rPr>
                        </w:pPr>
                        <w:r>
                          <w:rPr>
                            <w:rFonts w:ascii="宋体" w:hAnsi="宋体" w:cs="宋体" w:eastAsia="宋体" w:hint="default"/>
                            <w:spacing w:val="14"/>
                            <w:sz w:val="18"/>
                            <w:szCs w:val="18"/>
                          </w:rPr>
                          <w:t>2011年1</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11</w:t>
                        </w:r>
                        <w:r>
                          <w:rPr>
                            <w:rFonts w:ascii="宋体" w:hAnsi="宋体" w:cs="宋体" w:eastAsia="宋体" w:hint="default"/>
                            <w:spacing w:val="-44"/>
                            <w:sz w:val="18"/>
                            <w:szCs w:val="18"/>
                          </w:rPr>
                          <w:t> </w:t>
                        </w:r>
                        <w:r>
                          <w:rPr>
                            <w:rFonts w:ascii="宋体" w:hAnsi="宋体" w:cs="宋体" w:eastAsia="宋体" w:hint="default"/>
                            <w:sz w:val="18"/>
                            <w:szCs w:val="18"/>
                          </w:rPr>
                          <w:t>日</w:t>
                        </w:r>
                      </w:p>
                    </w:tc>
                  </w:tr>
                  <w:tr>
                    <w:trPr>
                      <w:trHeight w:val="63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五届二十四次</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3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97"/>
                          <w:jc w:val="left"/>
                          <w:rPr>
                            <w:rFonts w:ascii="宋体" w:hAnsi="宋体" w:cs="宋体" w:eastAsia="宋体" w:hint="default"/>
                            <w:sz w:val="18"/>
                            <w:szCs w:val="18"/>
                          </w:rPr>
                        </w:pPr>
                        <w:r>
                          <w:rPr>
                            <w:rFonts w:ascii="宋体" w:hAnsi="宋体" w:cs="宋体" w:eastAsia="宋体" w:hint="default"/>
                            <w:spacing w:val="4"/>
                            <w:sz w:val="18"/>
                            <w:szCs w:val="18"/>
                          </w:rPr>
                          <w:t>关于制定《内部控制规范实施工作方案》</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的议案</w:t>
                        </w:r>
                      </w:p>
                    </w:tc>
                    <w:tc>
                      <w:tcPr>
                        <w:tcW w:w="1418"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五届二十五次</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3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54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97"/>
                          <w:jc w:val="center"/>
                          <w:rPr>
                            <w:rFonts w:ascii="宋体" w:hAnsi="宋体" w:cs="宋体" w:eastAsia="宋体" w:hint="default"/>
                            <w:sz w:val="18"/>
                            <w:szCs w:val="18"/>
                          </w:rPr>
                        </w:pPr>
                        <w:r>
                          <w:rPr>
                            <w:rFonts w:ascii="宋体" w:hAnsi="宋体" w:cs="宋体" w:eastAsia="宋体" w:hint="default"/>
                            <w:spacing w:val="14"/>
                            <w:sz w:val="18"/>
                            <w:szCs w:val="18"/>
                          </w:rPr>
                          <w:t>2011年4</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14</w:t>
                        </w:r>
                        <w:r>
                          <w:rPr>
                            <w:rFonts w:ascii="宋体" w:hAnsi="宋体" w:cs="宋体" w:eastAsia="宋体" w:hint="default"/>
                            <w:spacing w:val="-44"/>
                            <w:sz w:val="18"/>
                            <w:szCs w:val="18"/>
                          </w:rPr>
                          <w:t> </w:t>
                        </w:r>
                        <w:r>
                          <w:rPr>
                            <w:rFonts w:ascii="宋体" w:hAnsi="宋体" w:cs="宋体" w:eastAsia="宋体" w:hint="default"/>
                            <w:sz w:val="18"/>
                            <w:szCs w:val="18"/>
                          </w:rPr>
                          <w:t>日</w:t>
                        </w:r>
                      </w:p>
                    </w:tc>
                  </w:tr>
                  <w:tr>
                    <w:trPr>
                      <w:trHeight w:val="63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五届二十六次</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3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25</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54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97"/>
                          <w:jc w:val="center"/>
                          <w:rPr>
                            <w:rFonts w:ascii="宋体" w:hAnsi="宋体" w:cs="宋体" w:eastAsia="宋体" w:hint="default"/>
                            <w:sz w:val="18"/>
                            <w:szCs w:val="18"/>
                          </w:rPr>
                        </w:pPr>
                        <w:r>
                          <w:rPr>
                            <w:rFonts w:ascii="宋体" w:hAnsi="宋体" w:cs="宋体" w:eastAsia="宋体" w:hint="default"/>
                            <w:spacing w:val="14"/>
                            <w:sz w:val="18"/>
                            <w:szCs w:val="18"/>
                          </w:rPr>
                          <w:t>2011年4</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28</w:t>
                        </w:r>
                        <w:r>
                          <w:rPr>
                            <w:rFonts w:ascii="宋体" w:hAnsi="宋体" w:cs="宋体" w:eastAsia="宋体" w:hint="default"/>
                            <w:spacing w:val="-44"/>
                            <w:sz w:val="18"/>
                            <w:szCs w:val="18"/>
                          </w:rPr>
                          <w:t> </w:t>
                        </w:r>
                        <w:r>
                          <w:rPr>
                            <w:rFonts w:ascii="宋体" w:hAnsi="宋体" w:cs="宋体" w:eastAsia="宋体" w:hint="default"/>
                            <w:sz w:val="18"/>
                            <w:szCs w:val="18"/>
                          </w:rPr>
                          <w:t>日</w:t>
                        </w:r>
                      </w:p>
                    </w:tc>
                  </w:tr>
                  <w:tr>
                    <w:trPr>
                      <w:trHeight w:val="63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五届二十七次</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3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54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97"/>
                          <w:jc w:val="center"/>
                          <w:rPr>
                            <w:rFonts w:ascii="宋体" w:hAnsi="宋体" w:cs="宋体" w:eastAsia="宋体" w:hint="default"/>
                            <w:sz w:val="18"/>
                            <w:szCs w:val="18"/>
                          </w:rPr>
                        </w:pPr>
                        <w:r>
                          <w:rPr>
                            <w:rFonts w:ascii="宋体" w:hAnsi="宋体" w:cs="宋体" w:eastAsia="宋体" w:hint="default"/>
                            <w:spacing w:val="14"/>
                            <w:sz w:val="18"/>
                            <w:szCs w:val="18"/>
                          </w:rPr>
                          <w:t>2011年5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18</w:t>
                        </w:r>
                        <w:r>
                          <w:rPr>
                            <w:rFonts w:ascii="宋体" w:hAnsi="宋体" w:cs="宋体" w:eastAsia="宋体" w:hint="default"/>
                            <w:spacing w:val="-44"/>
                            <w:sz w:val="18"/>
                            <w:szCs w:val="18"/>
                          </w:rPr>
                          <w:t> </w:t>
                        </w:r>
                        <w:r>
                          <w:rPr>
                            <w:rFonts w:ascii="宋体" w:hAnsi="宋体" w:cs="宋体" w:eastAsia="宋体" w:hint="default"/>
                            <w:sz w:val="18"/>
                            <w:szCs w:val="18"/>
                          </w:rPr>
                          <w:t>日</w:t>
                        </w:r>
                      </w:p>
                    </w:tc>
                  </w:tr>
                  <w:tr>
                    <w:trPr>
                      <w:trHeight w:val="635"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六届一次</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3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25</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54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97"/>
                          <w:jc w:val="center"/>
                          <w:rPr>
                            <w:rFonts w:ascii="宋体" w:hAnsi="宋体" w:cs="宋体" w:eastAsia="宋体" w:hint="default"/>
                            <w:sz w:val="18"/>
                            <w:szCs w:val="18"/>
                          </w:rPr>
                        </w:pPr>
                        <w:r>
                          <w:rPr>
                            <w:rFonts w:ascii="宋体" w:hAnsi="宋体" w:cs="宋体" w:eastAsia="宋体" w:hint="default"/>
                            <w:spacing w:val="14"/>
                            <w:sz w:val="18"/>
                            <w:szCs w:val="18"/>
                          </w:rPr>
                          <w:t>2011年5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26</w:t>
                        </w:r>
                        <w:r>
                          <w:rPr>
                            <w:rFonts w:ascii="宋体" w:hAnsi="宋体" w:cs="宋体" w:eastAsia="宋体" w:hint="default"/>
                            <w:spacing w:val="-44"/>
                            <w:sz w:val="18"/>
                            <w:szCs w:val="18"/>
                          </w:rPr>
                          <w:t> </w:t>
                        </w:r>
                        <w:r>
                          <w:rPr>
                            <w:rFonts w:ascii="宋体" w:hAnsi="宋体" w:cs="宋体" w:eastAsia="宋体" w:hint="default"/>
                            <w:sz w:val="18"/>
                            <w:szCs w:val="18"/>
                          </w:rPr>
                          <w:t>日</w:t>
                        </w:r>
                      </w:p>
                    </w:tc>
                  </w:tr>
                  <w:tr>
                    <w:trPr>
                      <w:trHeight w:val="63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六届二次</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3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15</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54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97"/>
                          <w:jc w:val="center"/>
                          <w:rPr>
                            <w:rFonts w:ascii="宋体" w:hAnsi="宋体" w:cs="宋体" w:eastAsia="宋体" w:hint="default"/>
                            <w:sz w:val="18"/>
                            <w:szCs w:val="18"/>
                          </w:rPr>
                        </w:pPr>
                        <w:r>
                          <w:rPr>
                            <w:rFonts w:ascii="宋体" w:hAnsi="宋体" w:cs="宋体" w:eastAsia="宋体" w:hint="default"/>
                            <w:spacing w:val="14"/>
                            <w:sz w:val="18"/>
                            <w:szCs w:val="18"/>
                          </w:rPr>
                          <w:t>2011年7</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19</w:t>
                        </w:r>
                        <w:r>
                          <w:rPr>
                            <w:rFonts w:ascii="宋体" w:hAnsi="宋体" w:cs="宋体" w:eastAsia="宋体" w:hint="default"/>
                            <w:spacing w:val="-44"/>
                            <w:sz w:val="18"/>
                            <w:szCs w:val="18"/>
                          </w:rPr>
                          <w:t> </w:t>
                        </w:r>
                        <w:r>
                          <w:rPr>
                            <w:rFonts w:ascii="宋体" w:hAnsi="宋体" w:cs="宋体" w:eastAsia="宋体" w:hint="default"/>
                            <w:sz w:val="18"/>
                            <w:szCs w:val="18"/>
                          </w:rPr>
                          <w:t>日</w:t>
                        </w:r>
                      </w:p>
                    </w:tc>
                  </w:tr>
                  <w:tr>
                    <w:trPr>
                      <w:trHeight w:val="63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六届三次</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3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24</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54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97"/>
                          <w:jc w:val="center"/>
                          <w:rPr>
                            <w:rFonts w:ascii="宋体" w:hAnsi="宋体" w:cs="宋体" w:eastAsia="宋体" w:hint="default"/>
                            <w:sz w:val="18"/>
                            <w:szCs w:val="18"/>
                          </w:rPr>
                        </w:pPr>
                        <w:r>
                          <w:rPr>
                            <w:rFonts w:ascii="宋体" w:hAnsi="宋体" w:cs="宋体" w:eastAsia="宋体" w:hint="default"/>
                            <w:spacing w:val="14"/>
                            <w:sz w:val="18"/>
                            <w:szCs w:val="18"/>
                          </w:rPr>
                          <w:t>2011年8</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27</w:t>
                        </w:r>
                        <w:r>
                          <w:rPr>
                            <w:rFonts w:ascii="宋体" w:hAnsi="宋体" w:cs="宋体" w:eastAsia="宋体" w:hint="default"/>
                            <w:spacing w:val="-44"/>
                            <w:sz w:val="18"/>
                            <w:szCs w:val="18"/>
                          </w:rPr>
                          <w:t> </w:t>
                        </w:r>
                        <w:r>
                          <w:rPr>
                            <w:rFonts w:ascii="宋体" w:hAnsi="宋体" w:cs="宋体" w:eastAsia="宋体" w:hint="default"/>
                            <w:sz w:val="18"/>
                            <w:szCs w:val="18"/>
                          </w:rPr>
                          <w:t>日</w:t>
                        </w:r>
                      </w:p>
                    </w:tc>
                  </w:tr>
                  <w:tr>
                    <w:trPr>
                      <w:trHeight w:val="3755"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0"/>
                          <w:ind w:right="0"/>
                          <w:jc w:val="left"/>
                          <w:rPr>
                            <w:rFonts w:ascii="黑体" w:hAnsi="黑体" w:cs="黑体" w:eastAsia="黑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六届四次</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0"/>
                          <w:ind w:right="0"/>
                          <w:jc w:val="left"/>
                          <w:rPr>
                            <w:rFonts w:ascii="黑体" w:hAnsi="黑体" w:cs="黑体" w:eastAsia="黑体" w:hint="default"/>
                            <w:sz w:val="24"/>
                            <w:szCs w:val="24"/>
                          </w:rPr>
                        </w:pPr>
                      </w:p>
                      <w:p>
                        <w:pPr>
                          <w:pStyle w:val="TableParagraph"/>
                          <w:spacing w:line="240" w:lineRule="auto"/>
                          <w:ind w:right="3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14</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2" w:right="97"/>
                          <w:jc w:val="left"/>
                          <w:rPr>
                            <w:rFonts w:ascii="宋体" w:hAnsi="宋体" w:cs="宋体" w:eastAsia="宋体" w:hint="default"/>
                            <w:sz w:val="18"/>
                            <w:szCs w:val="18"/>
                          </w:rPr>
                        </w:pPr>
                        <w:r>
                          <w:rPr>
                            <w:rFonts w:ascii="宋体" w:hAnsi="宋体" w:cs="宋体" w:eastAsia="宋体" w:hint="default"/>
                            <w:sz w:val="18"/>
                            <w:szCs w:val="18"/>
                          </w:rPr>
                          <w:t>关于设立子公司的议案。 1、董事会同意由本公司间接控股子公司— </w:t>
                        </w:r>
                        <w:r>
                          <w:rPr>
                            <w:rFonts w:ascii="宋体" w:hAnsi="宋体" w:cs="宋体" w:eastAsia="宋体" w:hint="default"/>
                            <w:spacing w:val="24"/>
                            <w:sz w:val="18"/>
                            <w:szCs w:val="18"/>
                          </w:rPr>
                          <w:t>东软熙康健</w:t>
                        </w:r>
                        <w:r>
                          <w:rPr>
                            <w:rFonts w:ascii="宋体" w:hAnsi="宋体" w:cs="宋体" w:eastAsia="宋体" w:hint="default"/>
                            <w:spacing w:val="-62"/>
                            <w:sz w:val="18"/>
                            <w:szCs w:val="18"/>
                          </w:rPr>
                          <w:t> </w:t>
                        </w:r>
                        <w:r>
                          <w:rPr>
                            <w:rFonts w:ascii="宋体" w:hAnsi="宋体" w:cs="宋体" w:eastAsia="宋体" w:hint="default"/>
                            <w:spacing w:val="24"/>
                            <w:sz w:val="18"/>
                            <w:szCs w:val="18"/>
                          </w:rPr>
                          <w:t>康科技有限</w:t>
                        </w:r>
                        <w:r>
                          <w:rPr>
                            <w:rFonts w:ascii="宋体" w:hAnsi="宋体" w:cs="宋体" w:eastAsia="宋体" w:hint="default"/>
                            <w:spacing w:val="-62"/>
                            <w:sz w:val="18"/>
                            <w:szCs w:val="18"/>
                          </w:rPr>
                          <w:t> </w:t>
                        </w:r>
                        <w:r>
                          <w:rPr>
                            <w:rFonts w:ascii="宋体" w:hAnsi="宋体" w:cs="宋体" w:eastAsia="宋体" w:hint="default"/>
                            <w:spacing w:val="24"/>
                            <w:sz w:val="18"/>
                            <w:szCs w:val="18"/>
                          </w:rPr>
                          <w:t>公司现金出</w:t>
                        </w:r>
                        <w:r>
                          <w:rPr>
                            <w:rFonts w:ascii="宋体" w:hAnsi="宋体" w:cs="宋体" w:eastAsia="宋体" w:hint="default"/>
                            <w:spacing w:val="-62"/>
                            <w:sz w:val="18"/>
                            <w:szCs w:val="18"/>
                          </w:rPr>
                          <w:t> </w:t>
                        </w:r>
                        <w:r>
                          <w:rPr>
                            <w:rFonts w:ascii="宋体" w:hAnsi="宋体" w:cs="宋体" w:eastAsia="宋体" w:hint="default"/>
                            <w:sz w:val="18"/>
                            <w:szCs w:val="18"/>
                          </w:rPr>
                          <w:t>资</w:t>
                        </w:r>
                        <w:r>
                          <w:rPr>
                            <w:rFonts w:ascii="宋体" w:hAnsi="宋体" w:cs="宋体" w:eastAsia="宋体" w:hint="default"/>
                            <w:sz w:val="18"/>
                            <w:szCs w:val="18"/>
                          </w:rPr>
                          <w:t> 3,000</w:t>
                        </w:r>
                        <w:r>
                          <w:rPr>
                            <w:rFonts w:ascii="宋体" w:hAnsi="宋体" w:cs="宋体" w:eastAsia="宋体" w:hint="default"/>
                            <w:spacing w:val="-46"/>
                            <w:sz w:val="18"/>
                            <w:szCs w:val="18"/>
                          </w:rPr>
                          <w:t> </w:t>
                        </w:r>
                        <w:r>
                          <w:rPr>
                            <w:rFonts w:ascii="宋体" w:hAnsi="宋体" w:cs="宋体" w:eastAsia="宋体" w:hint="default"/>
                            <w:spacing w:val="-3"/>
                            <w:sz w:val="18"/>
                            <w:szCs w:val="18"/>
                          </w:rPr>
                          <w:t>万元人民币，设立全资子公司“辽宁</w:t>
                        </w:r>
                        <w:r>
                          <w:rPr>
                            <w:rFonts w:ascii="宋体" w:hAnsi="宋体" w:cs="宋体" w:eastAsia="宋体" w:hint="default"/>
                            <w:sz w:val="18"/>
                            <w:szCs w:val="18"/>
                          </w:rPr>
                          <w:t> </w:t>
                        </w:r>
                        <w:r>
                          <w:rPr>
                            <w:rFonts w:ascii="宋体" w:hAnsi="宋体" w:cs="宋体" w:eastAsia="宋体" w:hint="default"/>
                            <w:spacing w:val="-5"/>
                            <w:sz w:val="18"/>
                            <w:szCs w:val="18"/>
                          </w:rPr>
                          <w:t>东软熙康健康管理有限公司”（简称“辽宁</w:t>
                        </w:r>
                        <w:r>
                          <w:rPr>
                            <w:rFonts w:ascii="宋体" w:hAnsi="宋体" w:cs="宋体" w:eastAsia="宋体" w:hint="default"/>
                            <w:sz w:val="18"/>
                            <w:szCs w:val="18"/>
                          </w:rPr>
                          <w:t> </w:t>
                        </w:r>
                        <w:r>
                          <w:rPr>
                            <w:rFonts w:ascii="宋体" w:hAnsi="宋体" w:cs="宋体" w:eastAsia="宋体" w:hint="default"/>
                            <w:spacing w:val="-26"/>
                            <w:sz w:val="18"/>
                            <w:szCs w:val="18"/>
                          </w:rPr>
                          <w:t>东软熙康”）。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2、董事会同意由辽宁东软熙康与中国医科</w:t>
                        </w:r>
                        <w:r>
                          <w:rPr>
                            <w:rFonts w:ascii="宋体" w:hAnsi="宋体" w:cs="宋体" w:eastAsia="宋体" w:hint="default"/>
                            <w:sz w:val="18"/>
                            <w:szCs w:val="18"/>
                          </w:rPr>
                          <w:t> </w:t>
                        </w:r>
                        <w:r>
                          <w:rPr>
                            <w:rFonts w:ascii="宋体" w:hAnsi="宋体" w:cs="宋体" w:eastAsia="宋体" w:hint="default"/>
                            <w:spacing w:val="4"/>
                            <w:sz w:val="18"/>
                            <w:szCs w:val="18"/>
                          </w:rPr>
                          <w:t>大学附属盛京医院共同现金出资设立“辽</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5"/>
                            <w:sz w:val="18"/>
                            <w:szCs w:val="18"/>
                          </w:rPr>
                          <w:t>宁盛京熙康健康产业投资有限公司”。该公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司注册资本为</w:t>
                        </w:r>
                        <w:r>
                          <w:rPr>
                            <w:rFonts w:ascii="宋体" w:hAnsi="宋体" w:cs="宋体" w:eastAsia="宋体" w:hint="default"/>
                            <w:spacing w:val="-46"/>
                            <w:sz w:val="18"/>
                            <w:szCs w:val="18"/>
                          </w:rPr>
                          <w:t> </w:t>
                        </w:r>
                        <w:r>
                          <w:rPr>
                            <w:rFonts w:ascii="宋体" w:hAnsi="宋体" w:cs="宋体" w:eastAsia="宋体" w:hint="default"/>
                            <w:sz w:val="18"/>
                            <w:szCs w:val="18"/>
                          </w:rPr>
                          <w:t>10,000</w:t>
                        </w:r>
                        <w:r>
                          <w:rPr>
                            <w:rFonts w:ascii="宋体" w:hAnsi="宋体" w:cs="宋体" w:eastAsia="宋体" w:hint="default"/>
                            <w:spacing w:val="-46"/>
                            <w:sz w:val="18"/>
                            <w:szCs w:val="18"/>
                          </w:rPr>
                          <w:t> </w:t>
                        </w:r>
                        <w:r>
                          <w:rPr>
                            <w:rFonts w:ascii="宋体" w:hAnsi="宋体" w:cs="宋体" w:eastAsia="宋体" w:hint="default"/>
                            <w:sz w:val="18"/>
                            <w:szCs w:val="18"/>
                          </w:rPr>
                          <w:t>万元人民币，其中，</w:t>
                        </w:r>
                      </w:p>
                      <w:p>
                        <w:pPr>
                          <w:pStyle w:val="TableParagraph"/>
                          <w:spacing w:line="316" w:lineRule="auto" w:before="19"/>
                          <w:ind w:left="102" w:right="102"/>
                          <w:jc w:val="left"/>
                          <w:rPr>
                            <w:rFonts w:ascii="宋体" w:hAnsi="宋体" w:cs="宋体" w:eastAsia="宋体" w:hint="default"/>
                            <w:sz w:val="18"/>
                            <w:szCs w:val="18"/>
                          </w:rPr>
                        </w:pPr>
                        <w:r>
                          <w:rPr>
                            <w:rFonts w:ascii="宋体" w:hAnsi="宋体" w:cs="宋体" w:eastAsia="宋体" w:hint="default"/>
                            <w:sz w:val="18"/>
                            <w:szCs w:val="18"/>
                          </w:rPr>
                          <w:t>辽宁东软熙康出资 7,500</w:t>
                        </w:r>
                        <w:r>
                          <w:rPr>
                            <w:rFonts w:ascii="宋体" w:hAnsi="宋体" w:cs="宋体" w:eastAsia="宋体" w:hint="default"/>
                            <w:spacing w:val="-6"/>
                            <w:sz w:val="18"/>
                            <w:szCs w:val="18"/>
                          </w:rPr>
                          <w:t> </w:t>
                        </w:r>
                        <w:r>
                          <w:rPr>
                            <w:rFonts w:ascii="宋体" w:hAnsi="宋体" w:cs="宋体" w:eastAsia="宋体" w:hint="default"/>
                            <w:sz w:val="18"/>
                            <w:szCs w:val="18"/>
                          </w:rPr>
                          <w:t>万元人民币，占</w:t>
                        </w:r>
                        <w:r>
                          <w:rPr>
                            <w:rFonts w:ascii="宋体" w:hAnsi="宋体" w:cs="宋体" w:eastAsia="宋体" w:hint="default"/>
                            <w:sz w:val="18"/>
                            <w:szCs w:val="18"/>
                          </w:rPr>
                          <w:t> 注册资本的</w:t>
                        </w:r>
                        <w:r>
                          <w:rPr>
                            <w:rFonts w:ascii="宋体" w:hAnsi="宋体" w:cs="宋体" w:eastAsia="宋体" w:hint="default"/>
                            <w:spacing w:val="-46"/>
                            <w:sz w:val="18"/>
                            <w:szCs w:val="18"/>
                          </w:rPr>
                          <w:t> </w:t>
                        </w:r>
                        <w:r>
                          <w:rPr>
                            <w:rFonts w:ascii="宋体" w:hAnsi="宋体" w:cs="宋体" w:eastAsia="宋体" w:hint="default"/>
                            <w:sz w:val="18"/>
                            <w:szCs w:val="18"/>
                          </w:rPr>
                          <w:t>75%。</w:t>
                        </w:r>
                      </w:p>
                    </w:tc>
                    <w:tc>
                      <w:tcPr>
                        <w:tcW w:w="1418"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六届五次</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57"/>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10</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27</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354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6"/>
                            <w:sz w:val="18"/>
                            <w:szCs w:val="18"/>
                          </w:rPr>
                          <w:t> </w:t>
                        </w:r>
                        <w:r>
                          <w:rPr>
                            <w:rFonts w:ascii="宋体" w:hAnsi="宋体" w:cs="宋体" w:eastAsia="宋体" w:hint="default"/>
                            <w:sz w:val="18"/>
                            <w:szCs w:val="18"/>
                          </w:rPr>
                          <w:t>日</w:t>
                        </w:r>
                      </w:p>
                    </w:tc>
                  </w:tr>
                </w:tbl>
                <w:p>
                  <w:pPr/>
                </w:p>
              </w:txbxContent>
            </v:textbox>
            <w10:wrap type="none"/>
          </v:shape>
        </w:pict>
      </w:r>
      <w:r>
        <w:rPr>
          <w:rFonts w:ascii="宋体" w:hAnsi="宋体" w:cs="宋体" w:eastAsia="宋体" w:hint="default"/>
          <w:b/>
          <w:bCs/>
          <w:sz w:val="24"/>
          <w:szCs w:val="24"/>
        </w:rPr>
        <w:t>（七）董事会日常工作情况</w:t>
      </w:r>
      <w:r>
        <w:rPr>
          <w:rFonts w:ascii="宋体" w:hAnsi="宋体" w:cs="宋体" w:eastAsia="宋体" w:hint="default"/>
          <w:b/>
          <w:bCs/>
          <w:spacing w:val="1"/>
          <w:w w:val="99"/>
          <w:sz w:val="24"/>
          <w:szCs w:val="24"/>
        </w:rPr>
        <w:t> </w:t>
      </w:r>
      <w:r>
        <w:rPr>
          <w:rFonts w:ascii="宋体" w:hAnsi="宋体" w:cs="宋体" w:eastAsia="宋体" w:hint="default"/>
          <w:sz w:val="24"/>
          <w:szCs w:val="24"/>
        </w:rPr>
        <w:t>1、董事会会议情况及决议内容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240" w:lineRule="auto"/>
        <w:ind w:left="438" w:right="2017"/>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980" w:right="980"/>
        </w:sectPr>
      </w:pPr>
    </w:p>
    <w:p>
      <w:pPr>
        <w:spacing w:line="240" w:lineRule="auto" w:before="6"/>
        <w:rPr>
          <w:rFonts w:ascii="黑体" w:hAnsi="黑体" w:cs="黑体" w:eastAsia="黑体" w:hint="default"/>
          <w:sz w:val="20"/>
          <w:szCs w:val="20"/>
        </w:rPr>
      </w:pPr>
    </w:p>
    <w:tbl>
      <w:tblPr>
        <w:tblW w:w="0" w:type="auto"/>
        <w:jc w:val="left"/>
        <w:tblInd w:w="107" w:type="dxa"/>
        <w:tblLayout w:type="fixed"/>
        <w:tblCellMar>
          <w:top w:w="0" w:type="dxa"/>
          <w:left w:w="0" w:type="dxa"/>
          <w:bottom w:w="0" w:type="dxa"/>
          <w:right w:w="0" w:type="dxa"/>
        </w:tblCellMar>
        <w:tblLook w:val="01E0"/>
      </w:tblPr>
      <w:tblGrid>
        <w:gridCol w:w="1404"/>
        <w:gridCol w:w="1648"/>
        <w:gridCol w:w="3542"/>
        <w:gridCol w:w="1418"/>
        <w:gridCol w:w="1710"/>
      </w:tblGrid>
      <w:tr>
        <w:trPr>
          <w:trHeight w:val="63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337"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决议内容</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64" w:right="162" w:firstLine="90"/>
              <w:jc w:val="left"/>
              <w:rPr>
                <w:rFonts w:ascii="宋体" w:hAnsi="宋体" w:cs="宋体" w:eastAsia="宋体" w:hint="default"/>
                <w:sz w:val="18"/>
                <w:szCs w:val="18"/>
              </w:rPr>
            </w:pPr>
            <w:r>
              <w:rPr>
                <w:rFonts w:ascii="宋体" w:hAnsi="宋体" w:cs="宋体" w:eastAsia="宋体" w:hint="default"/>
                <w:sz w:val="18"/>
                <w:szCs w:val="18"/>
              </w:rPr>
              <w:t>决议刊登的 信息披露报纸</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309" w:right="308" w:firstLine="90"/>
              <w:jc w:val="left"/>
              <w:rPr>
                <w:rFonts w:ascii="宋体" w:hAnsi="宋体" w:cs="宋体" w:eastAsia="宋体" w:hint="default"/>
                <w:sz w:val="18"/>
                <w:szCs w:val="18"/>
              </w:rPr>
            </w:pPr>
            <w:r>
              <w:rPr>
                <w:rFonts w:ascii="宋体" w:hAnsi="宋体" w:cs="宋体" w:eastAsia="宋体" w:hint="default"/>
                <w:sz w:val="18"/>
                <w:szCs w:val="18"/>
              </w:rPr>
              <w:t>决议刊登的 信息披露日期</w:t>
            </w:r>
          </w:p>
        </w:tc>
      </w:tr>
      <w:tr>
        <w:trPr>
          <w:trHeight w:val="635"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六届六次</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35"/>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354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pacing w:val="15"/>
                <w:sz w:val="18"/>
                <w:szCs w:val="18"/>
              </w:rPr>
              <w:t>12月</w:t>
            </w:r>
            <w:r>
              <w:rPr>
                <w:rFonts w:ascii="宋体" w:hAnsi="宋体" w:cs="宋体" w:eastAsia="宋体" w:hint="default"/>
                <w:spacing w:val="-46"/>
                <w:sz w:val="18"/>
                <w:szCs w:val="18"/>
              </w:rPr>
              <w:t> </w:t>
            </w:r>
            <w:r>
              <w:rPr>
                <w:rFonts w:ascii="宋体" w:hAnsi="宋体" w:cs="宋体" w:eastAsia="宋体" w:hint="default"/>
                <w:spacing w:val="22"/>
                <w:sz w:val="18"/>
                <w:szCs w:val="18"/>
              </w:rPr>
              <w:t>7日</w:t>
            </w:r>
            <w:r>
              <w:rPr>
                <w:rFonts w:ascii="宋体" w:hAnsi="宋体" w:cs="宋体" w:eastAsia="宋体" w:hint="default"/>
                <w:spacing w:val="-45"/>
                <w:sz w:val="18"/>
                <w:szCs w:val="18"/>
              </w:rPr>
              <w:t> </w:t>
            </w:r>
            <w:r>
              <w:rPr>
                <w:rFonts w:ascii="宋体" w:hAnsi="宋体" w:cs="宋体" w:eastAsia="宋体" w:hint="default"/>
                <w:sz w:val="18"/>
                <w:szCs w:val="18"/>
              </w:rPr>
            </w:r>
          </w:p>
        </w:tc>
      </w:tr>
      <w:tr>
        <w:trPr>
          <w:trHeight w:val="63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六届七次</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57"/>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12</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21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3542"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《中国证券报》</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《上海证券报》</w:t>
            </w:r>
          </w:p>
        </w:tc>
        <w:tc>
          <w:tcPr>
            <w:tcW w:w="1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日</w:t>
            </w:r>
          </w:p>
        </w:tc>
      </w:tr>
    </w:tbl>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17"/>
          <w:szCs w:val="17"/>
        </w:rPr>
      </w:pPr>
    </w:p>
    <w:p>
      <w:pPr>
        <w:pStyle w:val="Heading5"/>
        <w:spacing w:line="237" w:lineRule="auto" w:before="28"/>
        <w:ind w:left="918" w:right="418" w:hanging="480"/>
        <w:jc w:val="left"/>
      </w:pPr>
      <w:r>
        <w:rPr/>
        <w:t>2、董事会对股东大会决议的执行情况 董事会严格按照股东大会的授权，认真执行股东大会通过的各项决议。 报告期内，公司根据 2010</w:t>
      </w:r>
      <w:r>
        <w:rPr>
          <w:spacing w:val="-52"/>
        </w:rPr>
        <w:t> </w:t>
      </w:r>
      <w:r>
        <w:rPr/>
        <w:t>年度股东大会审议通过的《关于发行短期融资券、中期</w:t>
      </w:r>
    </w:p>
    <w:p>
      <w:pPr>
        <w:spacing w:line="312" w:lineRule="exact" w:before="29"/>
        <w:ind w:left="438" w:right="433" w:firstLine="0"/>
        <w:jc w:val="both"/>
        <w:rPr>
          <w:rFonts w:ascii="宋体" w:hAnsi="宋体" w:cs="宋体" w:eastAsia="宋体" w:hint="default"/>
          <w:sz w:val="24"/>
          <w:szCs w:val="24"/>
        </w:rPr>
      </w:pPr>
      <w:r>
        <w:rPr>
          <w:rFonts w:ascii="宋体" w:hAnsi="宋体" w:cs="宋体" w:eastAsia="宋体" w:hint="default"/>
          <w:spacing w:val="-19"/>
          <w:sz w:val="24"/>
          <w:szCs w:val="24"/>
        </w:rPr>
        <w:t>票据的议案》，于</w:t>
      </w:r>
      <w:r>
        <w:rPr>
          <w:rFonts w:ascii="宋体" w:hAnsi="宋体" w:cs="宋体" w:eastAsia="宋体" w:hint="default"/>
          <w:spacing w:val="-56"/>
          <w:sz w:val="24"/>
          <w:szCs w:val="24"/>
        </w:rPr>
        <w:t> </w:t>
      </w:r>
      <w:r>
        <w:rPr>
          <w:rFonts w:ascii="宋体" w:hAnsi="宋体" w:cs="宋体" w:eastAsia="宋体" w:hint="default"/>
          <w:sz w:val="24"/>
          <w:szCs w:val="24"/>
        </w:rPr>
        <w:t>2011</w:t>
      </w:r>
      <w:r>
        <w:rPr>
          <w:rFonts w:ascii="宋体" w:hAnsi="宋体" w:cs="宋体" w:eastAsia="宋体" w:hint="default"/>
          <w:spacing w:val="-56"/>
          <w:sz w:val="24"/>
          <w:szCs w:val="24"/>
        </w:rPr>
        <w:t> </w:t>
      </w:r>
      <w:r>
        <w:rPr>
          <w:rFonts w:ascii="宋体" w:hAnsi="宋体" w:cs="宋体" w:eastAsia="宋体" w:hint="default"/>
          <w:sz w:val="24"/>
          <w:szCs w:val="24"/>
        </w:rPr>
        <w:t>年</w:t>
      </w:r>
      <w:r>
        <w:rPr>
          <w:rFonts w:ascii="宋体" w:hAnsi="宋体" w:cs="宋体" w:eastAsia="宋体" w:hint="default"/>
          <w:spacing w:val="-56"/>
          <w:sz w:val="24"/>
          <w:szCs w:val="24"/>
        </w:rPr>
        <w:t> </w:t>
      </w:r>
      <w:r>
        <w:rPr>
          <w:rFonts w:ascii="宋体" w:hAnsi="宋体" w:cs="宋体" w:eastAsia="宋体" w:hint="default"/>
          <w:sz w:val="24"/>
          <w:szCs w:val="24"/>
        </w:rPr>
        <w:t>11</w:t>
      </w:r>
      <w:r>
        <w:rPr>
          <w:rFonts w:ascii="宋体" w:hAnsi="宋体" w:cs="宋体" w:eastAsia="宋体" w:hint="default"/>
          <w:spacing w:val="-56"/>
          <w:sz w:val="24"/>
          <w:szCs w:val="24"/>
        </w:rPr>
        <w:t> </w:t>
      </w:r>
      <w:r>
        <w:rPr>
          <w:rFonts w:ascii="宋体" w:hAnsi="宋体" w:cs="宋体" w:eastAsia="宋体" w:hint="default"/>
          <w:sz w:val="24"/>
          <w:szCs w:val="24"/>
        </w:rPr>
        <w:t>月</w:t>
      </w:r>
      <w:r>
        <w:rPr>
          <w:rFonts w:ascii="宋体" w:hAnsi="宋体" w:cs="宋体" w:eastAsia="宋体" w:hint="default"/>
          <w:spacing w:val="-56"/>
          <w:sz w:val="24"/>
          <w:szCs w:val="24"/>
        </w:rPr>
        <w:t> </w:t>
      </w:r>
      <w:r>
        <w:rPr>
          <w:rFonts w:ascii="宋体" w:hAnsi="宋体" w:cs="宋体" w:eastAsia="宋体" w:hint="default"/>
          <w:sz w:val="24"/>
          <w:szCs w:val="24"/>
        </w:rPr>
        <w:t>11</w:t>
      </w:r>
      <w:r>
        <w:rPr>
          <w:rFonts w:ascii="宋体" w:hAnsi="宋体" w:cs="宋体" w:eastAsia="宋体" w:hint="default"/>
          <w:spacing w:val="-56"/>
          <w:sz w:val="24"/>
          <w:szCs w:val="24"/>
        </w:rPr>
        <w:t> </w:t>
      </w:r>
      <w:r>
        <w:rPr>
          <w:rFonts w:ascii="宋体" w:hAnsi="宋体" w:cs="宋体" w:eastAsia="宋体" w:hint="default"/>
          <w:spacing w:val="-2"/>
          <w:sz w:val="24"/>
          <w:szCs w:val="24"/>
        </w:rPr>
        <w:t>日通过簿记建档、集中配售的方式在全国银行间债券</w:t>
      </w:r>
      <w:r>
        <w:rPr>
          <w:rFonts w:ascii="宋体" w:hAnsi="宋体" w:cs="宋体" w:eastAsia="宋体" w:hint="default"/>
          <w:sz w:val="24"/>
          <w:szCs w:val="24"/>
        </w:rPr>
        <w:t> </w:t>
      </w:r>
      <w:r>
        <w:rPr>
          <w:rFonts w:ascii="宋体" w:hAnsi="宋体" w:cs="宋体" w:eastAsia="宋体" w:hint="default"/>
          <w:spacing w:val="-1"/>
          <w:sz w:val="24"/>
          <w:szCs w:val="24"/>
        </w:rPr>
        <w:t>市场公开发行了</w:t>
      </w:r>
      <w:r>
        <w:rPr>
          <w:rFonts w:ascii="宋体" w:hAnsi="宋体" w:cs="宋体" w:eastAsia="宋体" w:hint="default"/>
          <w:spacing w:val="-56"/>
          <w:sz w:val="24"/>
          <w:szCs w:val="24"/>
        </w:rPr>
        <w:t> </w:t>
      </w:r>
      <w:r>
        <w:rPr>
          <w:rFonts w:ascii="宋体" w:hAnsi="宋体" w:cs="宋体" w:eastAsia="宋体" w:hint="default"/>
          <w:spacing w:val="-1"/>
          <w:sz w:val="24"/>
          <w:szCs w:val="24"/>
        </w:rPr>
        <w:t>2011</w:t>
      </w:r>
      <w:r>
        <w:rPr>
          <w:rFonts w:ascii="宋体" w:hAnsi="宋体" w:cs="宋体" w:eastAsia="宋体" w:hint="default"/>
          <w:spacing w:val="-56"/>
          <w:sz w:val="24"/>
          <w:szCs w:val="24"/>
        </w:rPr>
        <w:t> </w:t>
      </w:r>
      <w:r>
        <w:rPr>
          <w:rFonts w:ascii="宋体" w:hAnsi="宋体" w:cs="宋体" w:eastAsia="宋体" w:hint="default"/>
          <w:spacing w:val="-3"/>
          <w:sz w:val="24"/>
          <w:szCs w:val="24"/>
        </w:rPr>
        <w:t>年度第一期中期票据（简称：11</w:t>
      </w:r>
      <w:r>
        <w:rPr>
          <w:rFonts w:ascii="宋体" w:hAnsi="宋体" w:cs="宋体" w:eastAsia="宋体" w:hint="default"/>
          <w:spacing w:val="-56"/>
          <w:sz w:val="24"/>
          <w:szCs w:val="24"/>
        </w:rPr>
        <w:t> </w:t>
      </w:r>
      <w:r>
        <w:rPr>
          <w:rFonts w:ascii="宋体" w:hAnsi="宋体" w:cs="宋体" w:eastAsia="宋体" w:hint="default"/>
          <w:spacing w:val="-1"/>
          <w:sz w:val="24"/>
          <w:szCs w:val="24"/>
        </w:rPr>
        <w:t>东软</w:t>
      </w:r>
      <w:r>
        <w:rPr>
          <w:rFonts w:ascii="宋体" w:hAnsi="宋体" w:cs="宋体" w:eastAsia="宋体" w:hint="default"/>
          <w:spacing w:val="-56"/>
          <w:sz w:val="24"/>
          <w:szCs w:val="24"/>
        </w:rPr>
        <w:t> </w:t>
      </w:r>
      <w:r>
        <w:rPr>
          <w:rFonts w:ascii="宋体" w:hAnsi="宋体" w:cs="宋体" w:eastAsia="宋体" w:hint="default"/>
          <w:spacing w:val="-10"/>
          <w:sz w:val="24"/>
          <w:szCs w:val="24"/>
        </w:rPr>
        <w:t>MTN1，代码：1182321）。本</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z w:val="24"/>
          <w:szCs w:val="24"/>
        </w:rPr>
        <w:t>次发行的主承销商为兴业银行股份有限公司，实际发行总额为</w:t>
      </w:r>
      <w:r>
        <w:rPr>
          <w:rFonts w:ascii="宋体" w:hAnsi="宋体" w:cs="宋体" w:eastAsia="宋体" w:hint="default"/>
          <w:spacing w:val="-57"/>
          <w:sz w:val="24"/>
          <w:szCs w:val="24"/>
        </w:rPr>
        <w:t> </w:t>
      </w:r>
      <w:r>
        <w:rPr>
          <w:rFonts w:ascii="宋体" w:hAnsi="宋体" w:cs="宋体" w:eastAsia="宋体" w:hint="default"/>
          <w:sz w:val="24"/>
          <w:szCs w:val="24"/>
        </w:rPr>
        <w:t>4</w:t>
      </w:r>
      <w:r>
        <w:rPr>
          <w:rFonts w:ascii="宋体" w:hAnsi="宋体" w:cs="宋体" w:eastAsia="宋体" w:hint="default"/>
          <w:spacing w:val="-57"/>
          <w:sz w:val="24"/>
          <w:szCs w:val="24"/>
        </w:rPr>
        <w:t> </w:t>
      </w:r>
      <w:r>
        <w:rPr>
          <w:rFonts w:ascii="宋体" w:hAnsi="宋体" w:cs="宋体" w:eastAsia="宋体" w:hint="default"/>
          <w:sz w:val="24"/>
          <w:szCs w:val="24"/>
        </w:rPr>
        <w:t>亿元人民币，期限为</w:t>
      </w:r>
      <w:r>
        <w:rPr>
          <w:rFonts w:ascii="宋体" w:hAnsi="宋体" w:cs="宋体" w:eastAsia="宋体" w:hint="default"/>
          <w:spacing w:val="-57"/>
          <w:sz w:val="24"/>
          <w:szCs w:val="24"/>
        </w:rPr>
        <w:t> </w:t>
      </w:r>
      <w:r>
        <w:rPr>
          <w:rFonts w:ascii="宋体" w:hAnsi="宋体" w:cs="宋体" w:eastAsia="宋体" w:hint="default"/>
          <w:sz w:val="24"/>
          <w:szCs w:val="24"/>
        </w:rPr>
        <w:t>3</w:t>
      </w:r>
    </w:p>
    <w:p>
      <w:pPr>
        <w:spacing w:line="282" w:lineRule="exact" w:before="0"/>
        <w:ind w:left="438" w:right="418" w:firstLine="0"/>
        <w:jc w:val="left"/>
        <w:rPr>
          <w:rFonts w:ascii="宋体" w:hAnsi="宋体" w:cs="宋体" w:eastAsia="宋体" w:hint="default"/>
          <w:sz w:val="24"/>
          <w:szCs w:val="24"/>
        </w:rPr>
      </w:pPr>
      <w:r>
        <w:rPr>
          <w:rFonts w:ascii="宋体" w:hAnsi="宋体" w:cs="宋体" w:eastAsia="宋体" w:hint="default"/>
          <w:spacing w:val="-3"/>
          <w:sz w:val="24"/>
          <w:szCs w:val="24"/>
        </w:rPr>
        <w:t>年，面值为每张</w:t>
      </w:r>
      <w:r>
        <w:rPr>
          <w:rFonts w:ascii="宋体" w:hAnsi="宋体" w:cs="宋体" w:eastAsia="宋体" w:hint="default"/>
          <w:spacing w:val="-63"/>
          <w:sz w:val="24"/>
          <w:szCs w:val="24"/>
        </w:rPr>
        <w:t> </w:t>
      </w:r>
      <w:r>
        <w:rPr>
          <w:rFonts w:ascii="宋体" w:hAnsi="宋体" w:cs="宋体" w:eastAsia="宋体" w:hint="default"/>
          <w:sz w:val="24"/>
          <w:szCs w:val="24"/>
        </w:rPr>
        <w:t>100</w:t>
      </w:r>
      <w:r>
        <w:rPr>
          <w:rFonts w:ascii="宋体" w:hAnsi="宋体" w:cs="宋体" w:eastAsia="宋体" w:hint="default"/>
          <w:spacing w:val="-63"/>
          <w:sz w:val="24"/>
          <w:szCs w:val="24"/>
        </w:rPr>
        <w:t> </w:t>
      </w:r>
      <w:r>
        <w:rPr>
          <w:rFonts w:ascii="宋体" w:hAnsi="宋体" w:cs="宋体" w:eastAsia="宋体" w:hint="default"/>
          <w:spacing w:val="-3"/>
          <w:sz w:val="24"/>
          <w:szCs w:val="24"/>
        </w:rPr>
        <w:t>元，计息方式为附息固定，票面利率为</w:t>
      </w:r>
      <w:r>
        <w:rPr>
          <w:rFonts w:ascii="宋体" w:hAnsi="宋体" w:cs="宋体" w:eastAsia="宋体" w:hint="default"/>
          <w:spacing w:val="-63"/>
          <w:sz w:val="24"/>
          <w:szCs w:val="24"/>
        </w:rPr>
        <w:t> </w:t>
      </w:r>
      <w:r>
        <w:rPr>
          <w:rFonts w:ascii="宋体" w:hAnsi="宋体" w:cs="宋体" w:eastAsia="宋体" w:hint="default"/>
          <w:sz w:val="24"/>
          <w:szCs w:val="24"/>
        </w:rPr>
        <w:t>6.86%。募集资金已于</w:t>
      </w:r>
      <w:r>
        <w:rPr>
          <w:rFonts w:ascii="宋体" w:hAnsi="宋体" w:cs="宋体" w:eastAsia="宋体" w:hint="default"/>
          <w:spacing w:val="-63"/>
          <w:sz w:val="24"/>
          <w:szCs w:val="24"/>
        </w:rPr>
        <w:t> </w:t>
      </w:r>
      <w:r>
        <w:rPr>
          <w:rFonts w:ascii="宋体" w:hAnsi="宋体" w:cs="宋体" w:eastAsia="宋体" w:hint="default"/>
          <w:sz w:val="24"/>
          <w:szCs w:val="24"/>
        </w:rPr>
        <w:t>2011</w:t>
      </w:r>
    </w:p>
    <w:p>
      <w:pPr>
        <w:spacing w:line="312" w:lineRule="exact" w:before="0"/>
        <w:ind w:left="438" w:right="2017" w:firstLine="0"/>
        <w:jc w:val="left"/>
        <w:rPr>
          <w:rFonts w:ascii="宋体" w:hAnsi="宋体" w:cs="宋体" w:eastAsia="宋体" w:hint="default"/>
          <w:sz w:val="24"/>
          <w:szCs w:val="24"/>
        </w:rPr>
      </w:pP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11</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14</w:t>
      </w:r>
      <w:r>
        <w:rPr>
          <w:rFonts w:ascii="宋体" w:hAnsi="宋体" w:cs="宋体" w:eastAsia="宋体" w:hint="default"/>
          <w:spacing w:val="-60"/>
          <w:sz w:val="24"/>
          <w:szCs w:val="24"/>
        </w:rPr>
        <w:t> </w:t>
      </w:r>
      <w:r>
        <w:rPr>
          <w:rFonts w:ascii="宋体" w:hAnsi="宋体" w:cs="宋体" w:eastAsia="宋体" w:hint="default"/>
          <w:sz w:val="24"/>
          <w:szCs w:val="24"/>
        </w:rPr>
        <w:t>日全额到账。</w:t>
      </w:r>
    </w:p>
    <w:p>
      <w:pPr>
        <w:spacing w:line="312" w:lineRule="exact" w:before="29"/>
        <w:ind w:left="438" w:right="429" w:firstLine="480"/>
        <w:jc w:val="both"/>
        <w:rPr>
          <w:rFonts w:ascii="宋体" w:hAnsi="宋体" w:cs="宋体" w:eastAsia="宋体" w:hint="default"/>
          <w:sz w:val="24"/>
          <w:szCs w:val="24"/>
        </w:rPr>
      </w:pPr>
      <w:r>
        <w:rPr>
          <w:rFonts w:ascii="宋体" w:hAnsi="宋体" w:cs="宋体" w:eastAsia="宋体" w:hint="default"/>
          <w:sz w:val="24"/>
          <w:szCs w:val="24"/>
        </w:rPr>
        <w:t>本次中期票据发行的相关文件详见中国货币网 </w:t>
      </w:r>
      <w:hyperlink r:id="rId14">
        <w:r>
          <w:rPr>
            <w:rFonts w:ascii="宋体" w:hAnsi="宋体" w:cs="宋体" w:eastAsia="宋体" w:hint="default"/>
            <w:sz w:val="24"/>
            <w:szCs w:val="24"/>
          </w:rPr>
          <w:t>http://www.chinamoney.com.cn</w:t>
        </w:r>
      </w:hyperlink>
      <w:r>
        <w:rPr>
          <w:rFonts w:ascii="宋体" w:hAnsi="宋体" w:cs="宋体" w:eastAsia="宋体" w:hint="default"/>
          <w:spacing w:val="-52"/>
          <w:sz w:val="24"/>
          <w:szCs w:val="24"/>
        </w:rPr>
        <w:t> </w:t>
      </w:r>
      <w:r>
        <w:rPr>
          <w:rFonts w:ascii="宋体" w:hAnsi="宋体" w:cs="宋体" w:eastAsia="宋体" w:hint="default"/>
          <w:sz w:val="24"/>
          <w:szCs w:val="24"/>
        </w:rPr>
        <w:t>或</w:t>
      </w:r>
      <w:r>
        <w:rPr>
          <w:rFonts w:ascii="宋体" w:hAnsi="宋体" w:cs="宋体" w:eastAsia="宋体" w:hint="default"/>
          <w:sz w:val="24"/>
          <w:szCs w:val="24"/>
        </w:rPr>
        <w:t> 中国债券信息网</w:t>
      </w:r>
      <w:r>
        <w:rPr>
          <w:rFonts w:ascii="宋体" w:hAnsi="宋体" w:cs="宋体" w:eastAsia="宋体" w:hint="default"/>
          <w:spacing w:val="-60"/>
          <w:sz w:val="24"/>
          <w:szCs w:val="24"/>
        </w:rPr>
        <w:t> </w:t>
      </w:r>
      <w:hyperlink r:id="rId15">
        <w:r>
          <w:rPr>
            <w:rFonts w:ascii="宋体" w:hAnsi="宋体" w:cs="宋体" w:eastAsia="宋体" w:hint="default"/>
            <w:sz w:val="24"/>
            <w:szCs w:val="24"/>
          </w:rPr>
          <w:t>http://www.chinabond.com.cn。</w:t>
        </w:r>
      </w:hyperlink>
    </w:p>
    <w:p>
      <w:pPr>
        <w:spacing w:line="310" w:lineRule="exact" w:before="126"/>
        <w:ind w:left="438" w:right="429" w:firstLine="0"/>
        <w:jc w:val="both"/>
        <w:rPr>
          <w:rFonts w:ascii="宋体" w:hAnsi="宋体" w:cs="宋体" w:eastAsia="宋体" w:hint="default"/>
          <w:sz w:val="24"/>
          <w:szCs w:val="24"/>
        </w:rPr>
      </w:pPr>
      <w:r>
        <w:rPr>
          <w:rFonts w:ascii="宋体" w:hAnsi="宋体" w:cs="宋体" w:eastAsia="宋体" w:hint="default"/>
          <w:sz w:val="24"/>
          <w:szCs w:val="24"/>
        </w:rPr>
        <w:t>3、董事会下设的审计委员会相关工作制度的建立健全情况、主要内容以及履职情况汇</w:t>
      </w:r>
      <w:r>
        <w:rPr>
          <w:rFonts w:ascii="宋体" w:hAnsi="宋体" w:cs="宋体" w:eastAsia="宋体" w:hint="default"/>
          <w:spacing w:val="-49"/>
          <w:sz w:val="24"/>
          <w:szCs w:val="24"/>
        </w:rPr>
        <w:t> </w:t>
      </w:r>
      <w:r>
        <w:rPr>
          <w:rFonts w:ascii="宋体" w:hAnsi="宋体" w:cs="宋体" w:eastAsia="宋体" w:hint="default"/>
          <w:spacing w:val="-49"/>
          <w:sz w:val="24"/>
          <w:szCs w:val="24"/>
        </w:rPr>
      </w:r>
      <w:r>
        <w:rPr>
          <w:rFonts w:ascii="宋体" w:hAnsi="宋体" w:cs="宋体" w:eastAsia="宋体" w:hint="default"/>
          <w:sz w:val="24"/>
          <w:szCs w:val="24"/>
        </w:rPr>
        <w:t>总报告</w:t>
      </w:r>
    </w:p>
    <w:p>
      <w:pPr>
        <w:spacing w:line="312" w:lineRule="exact" w:before="0"/>
        <w:ind w:left="438" w:right="434" w:firstLine="480"/>
        <w:jc w:val="both"/>
        <w:rPr>
          <w:rFonts w:ascii="宋体" w:hAnsi="宋体" w:cs="宋体" w:eastAsia="宋体" w:hint="default"/>
          <w:sz w:val="24"/>
          <w:szCs w:val="24"/>
        </w:rPr>
      </w:pPr>
      <w:r>
        <w:rPr>
          <w:rFonts w:ascii="宋体" w:hAnsi="宋体" w:cs="宋体" w:eastAsia="宋体" w:hint="default"/>
          <w:sz w:val="24"/>
          <w:szCs w:val="24"/>
        </w:rPr>
        <w:t>公司董事会审计委员会由</w:t>
      </w:r>
      <w:r>
        <w:rPr>
          <w:rFonts w:ascii="宋体" w:hAnsi="宋体" w:cs="宋体" w:eastAsia="宋体" w:hint="default"/>
          <w:spacing w:val="-51"/>
          <w:sz w:val="24"/>
          <w:szCs w:val="24"/>
        </w:rPr>
        <w:t> </w:t>
      </w:r>
      <w:r>
        <w:rPr>
          <w:rFonts w:ascii="宋体" w:hAnsi="宋体" w:cs="宋体" w:eastAsia="宋体" w:hint="default"/>
          <w:sz w:val="24"/>
          <w:szCs w:val="24"/>
        </w:rPr>
        <w:t>4</w:t>
      </w:r>
      <w:r>
        <w:rPr>
          <w:rFonts w:ascii="宋体" w:hAnsi="宋体" w:cs="宋体" w:eastAsia="宋体" w:hint="default"/>
          <w:spacing w:val="-51"/>
          <w:sz w:val="24"/>
          <w:szCs w:val="24"/>
        </w:rPr>
        <w:t> </w:t>
      </w:r>
      <w:r>
        <w:rPr>
          <w:rFonts w:ascii="宋体" w:hAnsi="宋体" w:cs="宋体" w:eastAsia="宋体" w:hint="default"/>
          <w:spacing w:val="-3"/>
          <w:sz w:val="24"/>
          <w:szCs w:val="24"/>
        </w:rPr>
        <w:t>人组成，其中独立董事占大多数（其中有一名是会计专</w:t>
      </w:r>
      <w:r>
        <w:rPr>
          <w:rFonts w:ascii="宋体" w:hAnsi="宋体" w:cs="宋体" w:eastAsia="宋体" w:hint="default"/>
          <w:sz w:val="24"/>
          <w:szCs w:val="24"/>
        </w:rPr>
        <w:t> </w:t>
      </w:r>
      <w:r>
        <w:rPr>
          <w:rFonts w:ascii="宋体" w:hAnsi="宋体" w:cs="宋体" w:eastAsia="宋体" w:hint="default"/>
          <w:spacing w:val="-8"/>
          <w:sz w:val="24"/>
          <w:szCs w:val="24"/>
        </w:rPr>
        <w:t>业人士），并由独立董事担任主任。</w:t>
      </w:r>
    </w:p>
    <w:p>
      <w:pPr>
        <w:spacing w:line="312" w:lineRule="exact" w:before="0"/>
        <w:ind w:left="438" w:right="432" w:firstLine="480"/>
        <w:jc w:val="both"/>
        <w:rPr>
          <w:rFonts w:ascii="宋体" w:hAnsi="宋体" w:cs="宋体" w:eastAsia="宋体" w:hint="default"/>
          <w:sz w:val="24"/>
          <w:szCs w:val="24"/>
        </w:rPr>
      </w:pPr>
      <w:r>
        <w:rPr>
          <w:rFonts w:ascii="宋体" w:hAnsi="宋体" w:cs="宋体" w:eastAsia="宋体" w:hint="default"/>
          <w:spacing w:val="-3"/>
          <w:sz w:val="24"/>
          <w:szCs w:val="24"/>
        </w:rPr>
        <w:t>报告期内，审计委员会本着勤勉尽责的原则，积极履职，完成了本职工作。在公司</w:t>
      </w:r>
      <w:r>
        <w:rPr>
          <w:rFonts w:ascii="宋体" w:hAnsi="宋体" w:cs="宋体" w:eastAsia="宋体" w:hint="default"/>
          <w:spacing w:val="-1"/>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年度报告审计工作中，审计委员会主要履行了以下工作职责：</w:t>
      </w:r>
    </w:p>
    <w:p>
      <w:pPr>
        <w:spacing w:line="312" w:lineRule="exact" w:before="0"/>
        <w:ind w:left="438" w:right="433" w:firstLine="480"/>
        <w:jc w:val="both"/>
        <w:rPr>
          <w:rFonts w:ascii="宋体" w:hAnsi="宋体" w:cs="宋体" w:eastAsia="宋体" w:hint="default"/>
          <w:sz w:val="24"/>
          <w:szCs w:val="24"/>
        </w:rPr>
      </w:pPr>
      <w:r>
        <w:rPr>
          <w:rFonts w:ascii="宋体" w:hAnsi="宋体" w:cs="宋体" w:eastAsia="宋体" w:hint="default"/>
          <w:sz w:val="24"/>
          <w:szCs w:val="24"/>
        </w:rPr>
        <w:t>（1）在负责公司年度审计工作的立信会计师事务所（特殊普通合伙）会计师进场</w:t>
      </w:r>
      <w:r>
        <w:rPr>
          <w:rFonts w:ascii="宋体" w:hAnsi="宋体" w:cs="宋体" w:eastAsia="宋体" w:hint="default"/>
          <w:spacing w:val="1"/>
          <w:sz w:val="24"/>
          <w:szCs w:val="24"/>
        </w:rPr>
        <w:t> </w:t>
      </w:r>
      <w:r>
        <w:rPr>
          <w:rFonts w:ascii="宋体" w:hAnsi="宋体" w:cs="宋体" w:eastAsia="宋体" w:hint="default"/>
          <w:spacing w:val="-2"/>
          <w:sz w:val="24"/>
          <w:szCs w:val="24"/>
        </w:rPr>
        <w:t>前，审计委员会审阅了公司编制的财务会计报表，并形成了决议，认为财务会计报表能</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够反映公司的财务状况和经营成果，并请会计师对此进行审计。</w:t>
      </w:r>
    </w:p>
    <w:p>
      <w:pPr>
        <w:spacing w:line="312" w:lineRule="exact" w:before="0"/>
        <w:ind w:left="438" w:right="385" w:firstLine="480"/>
        <w:jc w:val="both"/>
        <w:rPr>
          <w:rFonts w:ascii="宋体" w:hAnsi="宋体" w:cs="宋体" w:eastAsia="宋体" w:hint="default"/>
          <w:sz w:val="24"/>
          <w:szCs w:val="24"/>
        </w:rPr>
      </w:pPr>
      <w:r>
        <w:rPr>
          <w:rFonts w:ascii="宋体" w:hAnsi="宋体" w:cs="宋体" w:eastAsia="宋体" w:hint="default"/>
          <w:sz w:val="24"/>
          <w:szCs w:val="24"/>
        </w:rPr>
        <w:t>（2）在会计师进场后，审计委员会加强与会计师的沟通，在会计师出具初步审计</w:t>
      </w:r>
      <w:r>
        <w:rPr>
          <w:rFonts w:ascii="宋体" w:hAnsi="宋体" w:cs="宋体" w:eastAsia="宋体" w:hint="default"/>
          <w:spacing w:val="1"/>
          <w:sz w:val="24"/>
          <w:szCs w:val="24"/>
        </w:rPr>
        <w:t> </w:t>
      </w:r>
      <w:r>
        <w:rPr>
          <w:rFonts w:ascii="宋体" w:hAnsi="宋体" w:cs="宋体" w:eastAsia="宋体" w:hint="default"/>
          <w:sz w:val="24"/>
          <w:szCs w:val="24"/>
        </w:rPr>
        <w:t>意见后再一次审阅了公司财务会计报表，并形成了决议，认为公司财务会计报表真实、</w:t>
      </w:r>
      <w:r>
        <w:rPr>
          <w:rFonts w:ascii="宋体" w:hAnsi="宋体" w:cs="宋体" w:eastAsia="宋体" w:hint="default"/>
          <w:sz w:val="24"/>
          <w:szCs w:val="24"/>
        </w:rPr>
        <w:t> 准确、完整地反映了公司的整体情况，并督促会计师按时完成审计工作。</w:t>
      </w:r>
    </w:p>
    <w:p>
      <w:pPr>
        <w:spacing w:line="312" w:lineRule="exact" w:before="0"/>
        <w:ind w:left="438" w:right="0" w:firstLine="480"/>
        <w:jc w:val="left"/>
        <w:rPr>
          <w:rFonts w:ascii="宋体" w:hAnsi="宋体" w:cs="宋体" w:eastAsia="宋体" w:hint="default"/>
          <w:sz w:val="24"/>
          <w:szCs w:val="24"/>
        </w:rPr>
      </w:pPr>
      <w:r>
        <w:rPr>
          <w:rFonts w:ascii="宋体" w:hAnsi="宋体" w:cs="宋体" w:eastAsia="宋体" w:hint="default"/>
          <w:sz w:val="24"/>
          <w:szCs w:val="24"/>
        </w:rPr>
        <w:t>（3）在年度董事会召开之前，审计委员会对年度财务会计报告进行了表决，并在</w:t>
      </w:r>
      <w:r>
        <w:rPr>
          <w:rFonts w:ascii="宋体" w:hAnsi="宋体" w:cs="宋体" w:eastAsia="宋体" w:hint="default"/>
          <w:spacing w:val="1"/>
          <w:sz w:val="24"/>
          <w:szCs w:val="24"/>
        </w:rPr>
        <w:t> </w:t>
      </w:r>
      <w:r>
        <w:rPr>
          <w:rFonts w:ascii="宋体" w:hAnsi="宋体" w:cs="宋体" w:eastAsia="宋体" w:hint="default"/>
          <w:sz w:val="24"/>
          <w:szCs w:val="24"/>
        </w:rPr>
        <w:t>形成了相关决议后提交董事会审核；同时，审计委员会向董事会提交了会计师事务所从</w:t>
      </w:r>
      <w:r>
        <w:rPr>
          <w:rFonts w:ascii="宋体" w:hAnsi="宋体" w:cs="宋体" w:eastAsia="宋体" w:hint="default"/>
          <w:sz w:val="24"/>
          <w:szCs w:val="24"/>
        </w:rPr>
        <w:t> </w:t>
      </w:r>
      <w:r>
        <w:rPr>
          <w:rFonts w:ascii="宋体" w:hAnsi="宋体" w:cs="宋体" w:eastAsia="宋体" w:hint="default"/>
          <w:spacing w:val="-5"/>
          <w:sz w:val="24"/>
          <w:szCs w:val="24"/>
        </w:rPr>
        <w:t>事本年度公司审计工作的总结报告，认为公司聘请的立信会计师事务所（特殊普通合伙）</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在为公司提供的 2011</w:t>
      </w:r>
      <w:r>
        <w:rPr>
          <w:rFonts w:ascii="宋体" w:hAnsi="宋体" w:cs="宋体" w:eastAsia="宋体" w:hint="default"/>
          <w:spacing w:val="-52"/>
          <w:sz w:val="24"/>
          <w:szCs w:val="24"/>
        </w:rPr>
        <w:t> </w:t>
      </w:r>
      <w:r>
        <w:rPr>
          <w:rFonts w:ascii="宋体" w:hAnsi="宋体" w:cs="宋体" w:eastAsia="宋体" w:hint="default"/>
          <w:sz w:val="24"/>
          <w:szCs w:val="24"/>
        </w:rPr>
        <w:t>年度审计服务工作中，遵循独立、客观、公正的执业准则，按时</w:t>
      </w:r>
      <w:r>
        <w:rPr>
          <w:rFonts w:ascii="宋体" w:hAnsi="宋体" w:cs="宋体" w:eastAsia="宋体" w:hint="default"/>
          <w:sz w:val="24"/>
          <w:szCs w:val="24"/>
        </w:rPr>
        <w:t> 完成了审计工作，同意其所提交的审计报告。</w:t>
      </w:r>
    </w:p>
    <w:p>
      <w:pPr>
        <w:spacing w:line="313" w:lineRule="exact" w:before="94"/>
        <w:ind w:left="438" w:right="2017" w:firstLine="0"/>
        <w:jc w:val="left"/>
        <w:rPr>
          <w:rFonts w:ascii="宋体" w:hAnsi="宋体" w:cs="宋体" w:eastAsia="宋体" w:hint="default"/>
          <w:sz w:val="24"/>
          <w:szCs w:val="24"/>
        </w:rPr>
      </w:pPr>
      <w:r>
        <w:rPr>
          <w:rFonts w:ascii="宋体" w:hAnsi="宋体" w:cs="宋体" w:eastAsia="宋体" w:hint="default"/>
          <w:sz w:val="24"/>
          <w:szCs w:val="24"/>
        </w:rPr>
        <w:t>4、董事会下设的薪酬委员会的履职情况汇总报告</w:t>
      </w:r>
    </w:p>
    <w:p>
      <w:pPr>
        <w:spacing w:line="312" w:lineRule="exact" w:before="29"/>
        <w:ind w:left="438" w:right="433" w:firstLine="480"/>
        <w:jc w:val="both"/>
        <w:rPr>
          <w:rFonts w:ascii="宋体" w:hAnsi="宋体" w:cs="宋体" w:eastAsia="宋体" w:hint="default"/>
          <w:sz w:val="24"/>
          <w:szCs w:val="24"/>
        </w:rPr>
      </w:pPr>
      <w:r>
        <w:rPr>
          <w:rFonts w:ascii="宋体" w:hAnsi="宋体" w:cs="宋体" w:eastAsia="宋体" w:hint="default"/>
          <w:sz w:val="24"/>
          <w:szCs w:val="24"/>
        </w:rPr>
        <w:t>公司董事会薪酬与考核委员会由</w:t>
      </w:r>
      <w:r>
        <w:rPr>
          <w:rFonts w:ascii="宋体" w:hAnsi="宋体" w:cs="宋体" w:eastAsia="宋体" w:hint="default"/>
          <w:spacing w:val="-55"/>
          <w:sz w:val="24"/>
          <w:szCs w:val="24"/>
        </w:rPr>
        <w:t> </w:t>
      </w:r>
      <w:r>
        <w:rPr>
          <w:rFonts w:ascii="宋体" w:hAnsi="宋体" w:cs="宋体" w:eastAsia="宋体" w:hint="default"/>
          <w:sz w:val="24"/>
          <w:szCs w:val="24"/>
        </w:rPr>
        <w:t>3</w:t>
      </w:r>
      <w:r>
        <w:rPr>
          <w:rFonts w:ascii="宋体" w:hAnsi="宋体" w:cs="宋体" w:eastAsia="宋体" w:hint="default"/>
          <w:spacing w:val="-55"/>
          <w:sz w:val="24"/>
          <w:szCs w:val="24"/>
        </w:rPr>
        <w:t> </w:t>
      </w:r>
      <w:r>
        <w:rPr>
          <w:rFonts w:ascii="宋体" w:hAnsi="宋体" w:cs="宋体" w:eastAsia="宋体" w:hint="default"/>
          <w:spacing w:val="-3"/>
          <w:sz w:val="24"/>
          <w:szCs w:val="24"/>
        </w:rPr>
        <w:t>人组成，其中独立董事占二分之一以上，并由独</w:t>
      </w:r>
      <w:r>
        <w:rPr>
          <w:rFonts w:ascii="宋体" w:hAnsi="宋体" w:cs="宋体" w:eastAsia="宋体" w:hint="default"/>
          <w:sz w:val="24"/>
          <w:szCs w:val="24"/>
        </w:rPr>
        <w:t> 立董事担任主任。2011</w:t>
      </w:r>
      <w:r>
        <w:rPr>
          <w:rFonts w:ascii="宋体" w:hAnsi="宋体" w:cs="宋体" w:eastAsia="宋体" w:hint="default"/>
          <w:spacing w:val="-57"/>
          <w:sz w:val="24"/>
          <w:szCs w:val="24"/>
        </w:rPr>
        <w:t> </w:t>
      </w:r>
      <w:r>
        <w:rPr>
          <w:rFonts w:ascii="宋体" w:hAnsi="宋体" w:cs="宋体" w:eastAsia="宋体" w:hint="default"/>
          <w:sz w:val="24"/>
          <w:szCs w:val="24"/>
        </w:rPr>
        <w:t>年，薪酬与考核委员会积极履职，审查了公司</w:t>
      </w:r>
      <w:r>
        <w:rPr>
          <w:rFonts w:ascii="宋体" w:hAnsi="宋体" w:cs="宋体" w:eastAsia="宋体" w:hint="default"/>
          <w:spacing w:val="-57"/>
          <w:sz w:val="24"/>
          <w:szCs w:val="24"/>
        </w:rPr>
        <w:t> </w:t>
      </w:r>
      <w:r>
        <w:rPr>
          <w:rFonts w:ascii="宋体" w:hAnsi="宋体" w:cs="宋体" w:eastAsia="宋体" w:hint="default"/>
          <w:sz w:val="24"/>
          <w:szCs w:val="24"/>
        </w:rPr>
        <w:t>2011</w:t>
      </w:r>
      <w:r>
        <w:rPr>
          <w:rFonts w:ascii="宋体" w:hAnsi="宋体" w:cs="宋体" w:eastAsia="宋体" w:hint="default"/>
          <w:spacing w:val="-57"/>
          <w:sz w:val="24"/>
          <w:szCs w:val="24"/>
        </w:rPr>
        <w:t> </w:t>
      </w:r>
      <w:r>
        <w:rPr>
          <w:rFonts w:ascii="宋体" w:hAnsi="宋体" w:cs="宋体" w:eastAsia="宋体" w:hint="default"/>
          <w:sz w:val="24"/>
          <w:szCs w:val="24"/>
        </w:rPr>
        <w:t>年度的薪酬</w:t>
      </w:r>
      <w:r>
        <w:rPr>
          <w:rFonts w:ascii="宋体" w:hAnsi="宋体" w:cs="宋体" w:eastAsia="宋体" w:hint="default"/>
          <w:sz w:val="24"/>
          <w:szCs w:val="24"/>
        </w:rPr>
        <w:t> 制度以及公司高级管理人员的薪酬，完成了本职工作。</w:t>
      </w:r>
    </w:p>
    <w:p>
      <w:pPr>
        <w:spacing w:line="310" w:lineRule="exact" w:before="126"/>
        <w:ind w:left="918" w:right="418" w:hanging="480"/>
        <w:jc w:val="left"/>
        <w:rPr>
          <w:rFonts w:ascii="宋体" w:hAnsi="宋体" w:cs="宋体" w:eastAsia="宋体" w:hint="default"/>
          <w:sz w:val="24"/>
          <w:szCs w:val="24"/>
        </w:rPr>
      </w:pPr>
      <w:r>
        <w:rPr>
          <w:rFonts w:ascii="宋体" w:hAnsi="宋体" w:cs="宋体" w:eastAsia="宋体" w:hint="default"/>
          <w:sz w:val="24"/>
          <w:szCs w:val="24"/>
        </w:rPr>
        <w:t>5、公司对外部信息使用人管理制度的建立健全情况 </w:t>
      </w:r>
      <w:r>
        <w:rPr>
          <w:rFonts w:ascii="宋体" w:hAnsi="宋体" w:cs="宋体" w:eastAsia="宋体" w:hint="default"/>
          <w:spacing w:val="-2"/>
          <w:sz w:val="24"/>
          <w:szCs w:val="24"/>
        </w:rPr>
        <w:t>公司建立了《外部信息使用人管理制度》，明确了在公司定期报告及重大事项在编</w:t>
      </w:r>
      <w:r>
        <w:rPr>
          <w:rFonts w:ascii="宋体" w:hAnsi="宋体" w:cs="宋体" w:eastAsia="宋体" w:hint="default"/>
          <w:sz w:val="24"/>
          <w:szCs w:val="24"/>
        </w:rPr>
      </w:r>
    </w:p>
    <w:p>
      <w:pPr>
        <w:spacing w:line="284" w:lineRule="exact" w:before="0"/>
        <w:ind w:left="438" w:right="2017" w:firstLine="0"/>
        <w:jc w:val="left"/>
        <w:rPr>
          <w:rFonts w:ascii="宋体" w:hAnsi="宋体" w:cs="宋体" w:eastAsia="宋体" w:hint="default"/>
          <w:sz w:val="24"/>
          <w:szCs w:val="24"/>
        </w:rPr>
      </w:pPr>
      <w:r>
        <w:rPr>
          <w:rFonts w:ascii="宋体" w:hAnsi="宋体" w:cs="宋体" w:eastAsia="宋体" w:hint="default"/>
          <w:sz w:val="24"/>
          <w:szCs w:val="24"/>
        </w:rPr>
        <w:t>制、审议和披露期间，公司外部信息报送和使用规范。</w:t>
      </w:r>
    </w:p>
    <w:p>
      <w:pPr>
        <w:spacing w:line="240" w:lineRule="auto" w:before="0"/>
        <w:rPr>
          <w:rFonts w:ascii="宋体" w:hAnsi="宋体" w:cs="宋体" w:eastAsia="宋体" w:hint="default"/>
          <w:sz w:val="20"/>
          <w:szCs w:val="20"/>
        </w:rPr>
      </w:pPr>
    </w:p>
    <w:p>
      <w:pPr>
        <w:pStyle w:val="BodyText"/>
        <w:spacing w:line="240" w:lineRule="auto" w:before="178"/>
        <w:ind w:left="438" w:right="2017"/>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980" w:right="980"/>
        </w:sectPr>
      </w:pPr>
    </w:p>
    <w:p>
      <w:pPr>
        <w:spacing w:line="240" w:lineRule="auto" w:before="7"/>
        <w:rPr>
          <w:rFonts w:ascii="黑体" w:hAnsi="黑体" w:cs="黑体" w:eastAsia="黑体" w:hint="default"/>
          <w:sz w:val="15"/>
          <w:szCs w:val="15"/>
        </w:rPr>
      </w:pPr>
    </w:p>
    <w:p>
      <w:pPr>
        <w:pStyle w:val="Heading5"/>
        <w:spacing w:line="310" w:lineRule="exact" w:before="58"/>
        <w:ind w:left="598" w:right="766" w:hanging="480"/>
        <w:jc w:val="left"/>
      </w:pPr>
      <w:r>
        <w:rPr/>
        <w:t>6、董事会对于内部控制责任的声明 </w:t>
      </w:r>
      <w:r>
        <w:rPr>
          <w:spacing w:val="-2"/>
        </w:rPr>
        <w:t>建立健全并有效实施内部控制是公司董事会的责任；监事会对董事会建立与实施内</w:t>
      </w:r>
    </w:p>
    <w:p>
      <w:pPr>
        <w:spacing w:line="312" w:lineRule="exact" w:before="0"/>
        <w:ind w:left="118" w:right="834" w:firstLine="0"/>
        <w:jc w:val="both"/>
        <w:rPr>
          <w:rFonts w:ascii="宋体" w:hAnsi="宋体" w:cs="宋体" w:eastAsia="宋体" w:hint="default"/>
          <w:sz w:val="24"/>
          <w:szCs w:val="24"/>
        </w:rPr>
      </w:pPr>
      <w:r>
        <w:rPr>
          <w:rFonts w:ascii="宋体" w:hAnsi="宋体" w:cs="宋体" w:eastAsia="宋体" w:hint="default"/>
          <w:spacing w:val="-2"/>
          <w:sz w:val="24"/>
          <w:szCs w:val="24"/>
        </w:rPr>
        <w:t>部控制进行监督；管理层负责组织领导公司内部控制的日常运行。公司按照相关法律法</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pacing w:val="-2"/>
          <w:sz w:val="24"/>
          <w:szCs w:val="24"/>
        </w:rPr>
        <w:t>规的要求，建立了较为健全有效的内部控制制度，保证了公司经营管理合法合规、资产</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安全、财务报告及所披露信息真实、准确、完整。</w:t>
      </w:r>
    </w:p>
    <w:p>
      <w:pPr>
        <w:spacing w:line="310" w:lineRule="exact" w:before="126"/>
        <w:ind w:left="598" w:right="766" w:hanging="480"/>
        <w:jc w:val="left"/>
        <w:rPr>
          <w:rFonts w:ascii="宋体" w:hAnsi="宋体" w:cs="宋体" w:eastAsia="宋体" w:hint="default"/>
          <w:sz w:val="24"/>
          <w:szCs w:val="24"/>
        </w:rPr>
      </w:pPr>
      <w:r>
        <w:rPr>
          <w:rFonts w:ascii="宋体" w:hAnsi="宋体" w:cs="宋体" w:eastAsia="宋体" w:hint="default"/>
          <w:sz w:val="24"/>
          <w:szCs w:val="24"/>
        </w:rPr>
        <w:t>7、内幕信息知情人登记管理制度的建立和执行情况 </w:t>
      </w:r>
      <w:r>
        <w:rPr>
          <w:rFonts w:ascii="宋体" w:hAnsi="宋体" w:cs="宋体" w:eastAsia="宋体" w:hint="default"/>
          <w:spacing w:val="-2"/>
          <w:sz w:val="24"/>
          <w:szCs w:val="24"/>
        </w:rPr>
        <w:t>公司建立了《内幕信息知情人管理制度》，明确了内幕信息及知情人的范围、内幕</w:t>
      </w:r>
      <w:r>
        <w:rPr>
          <w:rFonts w:ascii="宋体" w:hAnsi="宋体" w:cs="宋体" w:eastAsia="宋体" w:hint="default"/>
          <w:sz w:val="24"/>
          <w:szCs w:val="24"/>
        </w:rPr>
      </w:r>
    </w:p>
    <w:p>
      <w:pPr>
        <w:spacing w:line="312" w:lineRule="exact" w:before="0"/>
        <w:ind w:left="598" w:right="766" w:hanging="480"/>
        <w:jc w:val="left"/>
        <w:rPr>
          <w:rFonts w:ascii="宋体" w:hAnsi="宋体" w:cs="宋体" w:eastAsia="宋体" w:hint="default"/>
          <w:sz w:val="24"/>
          <w:szCs w:val="24"/>
        </w:rPr>
      </w:pPr>
      <w:r>
        <w:rPr>
          <w:rFonts w:ascii="宋体" w:hAnsi="宋体" w:cs="宋体" w:eastAsia="宋体" w:hint="default"/>
          <w:sz w:val="24"/>
          <w:szCs w:val="24"/>
        </w:rPr>
        <w:t>信息知情人登记备案、保密及责任追究等。 </w:t>
      </w:r>
      <w:r>
        <w:rPr>
          <w:rFonts w:ascii="宋体" w:hAnsi="宋体" w:cs="宋体" w:eastAsia="宋体" w:hint="default"/>
          <w:spacing w:val="-2"/>
          <w:sz w:val="24"/>
          <w:szCs w:val="24"/>
        </w:rPr>
        <w:t>报告期内，本公司内幕信息知情人未发生在影响公司股价的重大敏感信息披露前利</w:t>
      </w:r>
    </w:p>
    <w:p>
      <w:pPr>
        <w:spacing w:line="283" w:lineRule="exact" w:before="0"/>
        <w:ind w:left="118" w:right="766" w:firstLine="0"/>
        <w:jc w:val="left"/>
        <w:rPr>
          <w:rFonts w:ascii="宋体" w:hAnsi="宋体" w:cs="宋体" w:eastAsia="宋体" w:hint="default"/>
          <w:sz w:val="24"/>
          <w:szCs w:val="24"/>
        </w:rPr>
      </w:pPr>
      <w:r>
        <w:rPr>
          <w:rFonts w:ascii="宋体" w:hAnsi="宋体" w:cs="宋体" w:eastAsia="宋体" w:hint="default"/>
          <w:sz w:val="24"/>
          <w:szCs w:val="24"/>
        </w:rPr>
        <w:t>用内幕信息买卖公司股份的情况。</w:t>
      </w:r>
    </w:p>
    <w:p>
      <w:pPr>
        <w:spacing w:line="312" w:lineRule="exact" w:before="153"/>
        <w:ind w:left="598" w:right="2686" w:hanging="480"/>
        <w:jc w:val="left"/>
        <w:rPr>
          <w:rFonts w:ascii="宋体" w:hAnsi="宋体" w:cs="宋体" w:eastAsia="宋体" w:hint="default"/>
          <w:sz w:val="24"/>
          <w:szCs w:val="24"/>
        </w:rPr>
      </w:pPr>
      <w:r>
        <w:rPr>
          <w:rFonts w:ascii="宋体" w:hAnsi="宋体" w:cs="宋体" w:eastAsia="宋体" w:hint="default"/>
          <w:sz w:val="24"/>
          <w:szCs w:val="24"/>
        </w:rPr>
        <w:t>8、公司及其子公司未被列入环保部门公布的污染严重企业名单。 公司不存在重大环保问题。公司不存在其他重大社会安全问题。</w:t>
      </w:r>
    </w:p>
    <w:p>
      <w:pPr>
        <w:spacing w:before="157"/>
        <w:ind w:left="118" w:right="766" w:firstLine="0"/>
        <w:jc w:val="left"/>
        <w:rPr>
          <w:rFonts w:ascii="宋体" w:hAnsi="宋体" w:cs="宋体" w:eastAsia="宋体" w:hint="default"/>
          <w:sz w:val="24"/>
          <w:szCs w:val="24"/>
        </w:rPr>
      </w:pPr>
      <w:r>
        <w:rPr>
          <w:rFonts w:ascii="宋体" w:hAnsi="宋体" w:cs="宋体" w:eastAsia="宋体" w:hint="default"/>
          <w:b/>
          <w:bCs/>
          <w:sz w:val="24"/>
          <w:szCs w:val="24"/>
        </w:rPr>
        <w:t>（八）现金分红政策的制定及执行情况</w:t>
      </w:r>
      <w:r>
        <w:rPr>
          <w:rFonts w:ascii="宋体" w:hAnsi="宋体" w:cs="宋体" w:eastAsia="宋体" w:hint="default"/>
          <w:sz w:val="24"/>
          <w:szCs w:val="24"/>
        </w:rPr>
      </w:r>
    </w:p>
    <w:p>
      <w:pPr>
        <w:spacing w:line="312" w:lineRule="exact" w:before="151"/>
        <w:ind w:left="118" w:right="766" w:firstLine="480"/>
        <w:jc w:val="left"/>
        <w:rPr>
          <w:rFonts w:ascii="宋体" w:hAnsi="宋体" w:cs="宋体" w:eastAsia="宋体" w:hint="default"/>
          <w:sz w:val="24"/>
          <w:szCs w:val="24"/>
        </w:rPr>
      </w:pPr>
      <w:r>
        <w:rPr>
          <w:rFonts w:ascii="宋体" w:hAnsi="宋体" w:cs="宋体" w:eastAsia="宋体" w:hint="default"/>
          <w:spacing w:val="-2"/>
          <w:sz w:val="24"/>
          <w:szCs w:val="24"/>
        </w:rPr>
        <w:t>《公司章程》对现金分红政策规定如下：“公司可以采取派发现金或者股票方式分</w:t>
      </w:r>
      <w:r>
        <w:rPr>
          <w:rFonts w:ascii="宋体" w:hAnsi="宋体" w:cs="宋体" w:eastAsia="宋体" w:hint="default"/>
          <w:spacing w:val="1"/>
          <w:sz w:val="24"/>
          <w:szCs w:val="24"/>
        </w:rPr>
        <w:t> </w:t>
      </w:r>
      <w:r>
        <w:rPr>
          <w:rFonts w:ascii="宋体" w:hAnsi="宋体" w:cs="宋体" w:eastAsia="宋体" w:hint="default"/>
          <w:sz w:val="24"/>
          <w:szCs w:val="24"/>
        </w:rPr>
        <w:t>配股利。公司应重视对投资者的合理投资回报，利润分配政策应保持连续性和稳定性。</w:t>
      </w:r>
    </w:p>
    <w:p>
      <w:pPr>
        <w:spacing w:line="312" w:lineRule="exact" w:before="0"/>
        <w:ind w:left="598" w:right="766" w:firstLine="0"/>
        <w:jc w:val="left"/>
        <w:rPr>
          <w:rFonts w:ascii="宋体" w:hAnsi="宋体" w:cs="宋体" w:eastAsia="宋体" w:hint="default"/>
          <w:sz w:val="24"/>
          <w:szCs w:val="24"/>
        </w:rPr>
      </w:pPr>
      <w:r>
        <w:rPr>
          <w:rFonts w:ascii="宋体" w:hAnsi="宋体" w:cs="宋体" w:eastAsia="宋体" w:hint="default"/>
          <w:sz w:val="24"/>
          <w:szCs w:val="24"/>
        </w:rPr>
        <w:t>公司具体分配方案由董事会根据公司经营状况拟定，由股东大会审议决定。 </w:t>
      </w:r>
      <w:r>
        <w:rPr>
          <w:rFonts w:ascii="宋体" w:hAnsi="宋体" w:cs="宋体" w:eastAsia="宋体" w:hint="default"/>
          <w:spacing w:val="-2"/>
          <w:sz w:val="24"/>
          <w:szCs w:val="24"/>
        </w:rPr>
        <w:t>公司盈利但未提出现金利润分配预案的，应详细说明未分红的原因、未用于分红的</w:t>
      </w:r>
    </w:p>
    <w:p>
      <w:pPr>
        <w:spacing w:line="312" w:lineRule="exact" w:before="0"/>
        <w:ind w:left="598" w:right="5566" w:hanging="480"/>
        <w:jc w:val="left"/>
        <w:rPr>
          <w:rFonts w:ascii="宋体" w:hAnsi="宋体" w:cs="宋体" w:eastAsia="宋体" w:hint="default"/>
          <w:sz w:val="24"/>
          <w:szCs w:val="24"/>
        </w:rPr>
      </w:pPr>
      <w:r>
        <w:rPr>
          <w:rFonts w:ascii="宋体" w:hAnsi="宋体" w:cs="宋体" w:eastAsia="宋体" w:hint="default"/>
          <w:spacing w:val="-11"/>
          <w:sz w:val="24"/>
          <w:szCs w:val="24"/>
        </w:rPr>
        <w:t>资金留存公司的用途”。</w:t>
      </w:r>
      <w:r>
        <w:rPr>
          <w:rFonts w:ascii="宋体" w:hAnsi="宋体" w:cs="宋体" w:eastAsia="宋体" w:hint="default"/>
          <w:sz w:val="24"/>
          <w:szCs w:val="24"/>
        </w:rPr>
        <w:t> 报告期内，本公司未进行现金分红。</w:t>
      </w:r>
    </w:p>
    <w:p>
      <w:pPr>
        <w:spacing w:line="331" w:lineRule="auto" w:before="157"/>
        <w:ind w:left="598" w:right="818" w:hanging="480"/>
        <w:jc w:val="left"/>
        <w:rPr>
          <w:rFonts w:ascii="宋体" w:hAnsi="宋体" w:cs="宋体" w:eastAsia="宋体" w:hint="default"/>
          <w:sz w:val="24"/>
          <w:szCs w:val="24"/>
        </w:rPr>
      </w:pPr>
      <w:r>
        <w:rPr>
          <w:rFonts w:ascii="宋体" w:hAnsi="宋体" w:cs="宋体" w:eastAsia="宋体" w:hint="default"/>
          <w:b/>
          <w:bCs/>
          <w:sz w:val="24"/>
          <w:szCs w:val="24"/>
        </w:rPr>
        <w:t>（九）利润分配或资本公积金转增股本预案</w:t>
      </w:r>
      <w:r>
        <w:rPr>
          <w:rFonts w:ascii="宋体" w:hAnsi="宋体" w:cs="宋体" w:eastAsia="宋体" w:hint="default"/>
          <w:b/>
          <w:bCs/>
          <w:w w:val="99"/>
          <w:sz w:val="24"/>
          <w:szCs w:val="24"/>
        </w:rPr>
        <w:t> </w:t>
      </w:r>
      <w:r>
        <w:rPr>
          <w:rFonts w:ascii="宋体" w:hAnsi="宋体" w:cs="宋体" w:eastAsia="宋体" w:hint="default"/>
          <w:sz w:val="24"/>
          <w:szCs w:val="24"/>
        </w:rPr>
        <w:t>根据立信会计师事务所（特殊普通合伙）对公司 2011</w:t>
      </w:r>
      <w:r>
        <w:rPr>
          <w:rFonts w:ascii="宋体" w:hAnsi="宋体" w:cs="宋体" w:eastAsia="宋体" w:hint="default"/>
          <w:spacing w:val="-52"/>
          <w:sz w:val="24"/>
          <w:szCs w:val="24"/>
        </w:rPr>
        <w:t> </w:t>
      </w:r>
      <w:r>
        <w:rPr>
          <w:rFonts w:ascii="宋体" w:hAnsi="宋体" w:cs="宋体" w:eastAsia="宋体" w:hint="default"/>
          <w:sz w:val="24"/>
          <w:szCs w:val="24"/>
        </w:rPr>
        <w:t>年度财务审计的结果，2011</w:t>
      </w:r>
    </w:p>
    <w:p>
      <w:pPr>
        <w:pStyle w:val="Heading5"/>
        <w:spacing w:line="220" w:lineRule="exact"/>
        <w:ind w:right="766"/>
        <w:jc w:val="left"/>
      </w:pPr>
      <w:r>
        <w:rPr/>
        <w:t>年度，公司母公司实现净利润</w:t>
      </w:r>
      <w:r>
        <w:rPr>
          <w:spacing w:val="-86"/>
        </w:rPr>
        <w:t> </w:t>
      </w:r>
      <w:r>
        <w:rPr/>
        <w:t>347,932,350</w:t>
      </w:r>
      <w:r>
        <w:rPr>
          <w:spacing w:val="-86"/>
        </w:rPr>
        <w:t> </w:t>
      </w:r>
      <w:r>
        <w:rPr/>
        <w:t>元。根据公司法和公司章程的规定，公司提</w:t>
      </w:r>
    </w:p>
    <w:p>
      <w:pPr>
        <w:spacing w:line="312" w:lineRule="exact" w:before="29"/>
        <w:ind w:left="118" w:right="784" w:firstLine="0"/>
        <w:jc w:val="both"/>
        <w:rPr>
          <w:rFonts w:ascii="宋体" w:hAnsi="宋体" w:cs="宋体" w:eastAsia="宋体" w:hint="default"/>
          <w:sz w:val="24"/>
          <w:szCs w:val="24"/>
        </w:rPr>
      </w:pPr>
      <w:r>
        <w:rPr>
          <w:rFonts w:ascii="宋体" w:hAnsi="宋体" w:cs="宋体" w:eastAsia="宋体" w:hint="default"/>
          <w:sz w:val="24"/>
          <w:szCs w:val="24"/>
        </w:rPr>
        <w:t>取</w:t>
      </w:r>
      <w:r>
        <w:rPr>
          <w:rFonts w:ascii="宋体" w:hAnsi="宋体" w:cs="宋体" w:eastAsia="宋体" w:hint="default"/>
          <w:spacing w:val="-60"/>
          <w:sz w:val="24"/>
          <w:szCs w:val="24"/>
        </w:rPr>
        <w:t> </w:t>
      </w:r>
      <w:r>
        <w:rPr>
          <w:rFonts w:ascii="宋体" w:hAnsi="宋体" w:cs="宋体" w:eastAsia="宋体" w:hint="default"/>
          <w:sz w:val="24"/>
          <w:szCs w:val="24"/>
        </w:rPr>
        <w:t>10%的法定盈余公积金</w:t>
      </w:r>
      <w:r>
        <w:rPr>
          <w:rFonts w:ascii="宋体" w:hAnsi="宋体" w:cs="宋体" w:eastAsia="宋体" w:hint="default"/>
          <w:spacing w:val="-60"/>
          <w:sz w:val="24"/>
          <w:szCs w:val="24"/>
        </w:rPr>
        <w:t> </w:t>
      </w:r>
      <w:r>
        <w:rPr>
          <w:rFonts w:ascii="宋体" w:hAnsi="宋体" w:cs="宋体" w:eastAsia="宋体" w:hint="default"/>
          <w:sz w:val="24"/>
          <w:szCs w:val="24"/>
        </w:rPr>
        <w:t>34,793,235</w:t>
      </w:r>
      <w:r>
        <w:rPr>
          <w:rFonts w:ascii="宋体" w:hAnsi="宋体" w:cs="宋体" w:eastAsia="宋体" w:hint="default"/>
          <w:spacing w:val="-60"/>
          <w:sz w:val="24"/>
          <w:szCs w:val="24"/>
        </w:rPr>
        <w:t> </w:t>
      </w:r>
      <w:r>
        <w:rPr>
          <w:rFonts w:ascii="宋体" w:hAnsi="宋体" w:cs="宋体" w:eastAsia="宋体" w:hint="default"/>
          <w:spacing w:val="-7"/>
          <w:sz w:val="24"/>
          <w:szCs w:val="24"/>
        </w:rPr>
        <w:t>元，提取</w:t>
      </w:r>
      <w:r>
        <w:rPr>
          <w:rFonts w:ascii="宋体" w:hAnsi="宋体" w:cs="宋体" w:eastAsia="宋体" w:hint="default"/>
          <w:spacing w:val="-60"/>
          <w:sz w:val="24"/>
          <w:szCs w:val="24"/>
        </w:rPr>
        <w:t> </w:t>
      </w:r>
      <w:r>
        <w:rPr>
          <w:rFonts w:ascii="宋体" w:hAnsi="宋体" w:cs="宋体" w:eastAsia="宋体" w:hint="default"/>
          <w:sz w:val="24"/>
          <w:szCs w:val="24"/>
        </w:rPr>
        <w:t>5%的任意盈余公积金</w:t>
      </w:r>
      <w:r>
        <w:rPr>
          <w:rFonts w:ascii="宋体" w:hAnsi="宋体" w:cs="宋体" w:eastAsia="宋体" w:hint="default"/>
          <w:spacing w:val="-60"/>
          <w:sz w:val="24"/>
          <w:szCs w:val="24"/>
        </w:rPr>
        <w:t> </w:t>
      </w:r>
      <w:r>
        <w:rPr>
          <w:rFonts w:ascii="宋体" w:hAnsi="宋体" w:cs="宋体" w:eastAsia="宋体" w:hint="default"/>
          <w:sz w:val="24"/>
          <w:szCs w:val="24"/>
        </w:rPr>
        <w:t>17,396,618</w:t>
      </w:r>
      <w:r>
        <w:rPr>
          <w:rFonts w:ascii="宋体" w:hAnsi="宋体" w:cs="宋体" w:eastAsia="宋体" w:hint="default"/>
          <w:spacing w:val="-60"/>
          <w:sz w:val="24"/>
          <w:szCs w:val="24"/>
        </w:rPr>
        <w:t> </w:t>
      </w:r>
      <w:r>
        <w:rPr>
          <w:rFonts w:ascii="宋体" w:hAnsi="宋体" w:cs="宋体" w:eastAsia="宋体" w:hint="default"/>
          <w:spacing w:val="-9"/>
          <w:sz w:val="24"/>
          <w:szCs w:val="24"/>
        </w:rPr>
        <w:t>元，本</w:t>
      </w:r>
      <w:r>
        <w:rPr>
          <w:rFonts w:ascii="宋体" w:hAnsi="宋体" w:cs="宋体" w:eastAsia="宋体" w:hint="default"/>
          <w:sz w:val="24"/>
          <w:szCs w:val="24"/>
        </w:rPr>
        <w:t> </w:t>
      </w:r>
      <w:r>
        <w:rPr>
          <w:rFonts w:ascii="宋体" w:hAnsi="宋体" w:cs="宋体" w:eastAsia="宋体" w:hint="default"/>
          <w:spacing w:val="44"/>
          <w:sz w:val="24"/>
          <w:szCs w:val="24"/>
        </w:rPr>
        <w:t>年度可供股东分配的利润为 </w:t>
      </w:r>
      <w:r>
        <w:rPr>
          <w:rFonts w:ascii="宋体" w:hAnsi="宋体" w:cs="宋体" w:eastAsia="宋体" w:hint="default"/>
          <w:sz w:val="24"/>
          <w:szCs w:val="24"/>
        </w:rPr>
        <w:t>295,742,497 元</w:t>
      </w:r>
      <w:r>
        <w:rPr>
          <w:rFonts w:ascii="宋体" w:hAnsi="宋体" w:cs="宋体" w:eastAsia="宋体" w:hint="default"/>
          <w:spacing w:val="-15"/>
          <w:sz w:val="24"/>
          <w:szCs w:val="24"/>
        </w:rPr>
        <w:t> </w:t>
      </w:r>
      <w:r>
        <w:rPr>
          <w:rFonts w:ascii="宋体" w:hAnsi="宋体" w:cs="宋体" w:eastAsia="宋体" w:hint="default"/>
          <w:spacing w:val="44"/>
          <w:sz w:val="24"/>
          <w:szCs w:val="24"/>
        </w:rPr>
        <w:t>，加上以前年度尚未分配利润</w:t>
      </w:r>
      <w:r>
        <w:rPr>
          <w:rFonts w:ascii="宋体" w:hAnsi="宋体" w:cs="宋体" w:eastAsia="宋体" w:hint="default"/>
          <w:spacing w:val="-72"/>
          <w:sz w:val="24"/>
          <w:szCs w:val="24"/>
        </w:rPr>
        <w:t> </w:t>
      </w:r>
      <w:r>
        <w:rPr>
          <w:rFonts w:ascii="宋体" w:hAnsi="宋体" w:cs="宋体" w:eastAsia="宋体" w:hint="default"/>
          <w:sz w:val="24"/>
          <w:szCs w:val="24"/>
        </w:rPr>
        <w:t>1,306,861,484</w:t>
      </w:r>
      <w:r>
        <w:rPr>
          <w:rFonts w:ascii="宋体" w:hAnsi="宋体" w:cs="宋体" w:eastAsia="宋体" w:hint="default"/>
          <w:spacing w:val="-60"/>
          <w:sz w:val="24"/>
          <w:szCs w:val="24"/>
        </w:rPr>
        <w:t> </w:t>
      </w:r>
      <w:r>
        <w:rPr>
          <w:rFonts w:ascii="宋体" w:hAnsi="宋体" w:cs="宋体" w:eastAsia="宋体" w:hint="default"/>
          <w:sz w:val="24"/>
          <w:szCs w:val="24"/>
        </w:rPr>
        <w:t>元，期末未分配利润为</w:t>
      </w:r>
      <w:r>
        <w:rPr>
          <w:rFonts w:ascii="宋体" w:hAnsi="宋体" w:cs="宋体" w:eastAsia="宋体" w:hint="default"/>
          <w:spacing w:val="-60"/>
          <w:sz w:val="24"/>
          <w:szCs w:val="24"/>
        </w:rPr>
        <w:t> </w:t>
      </w:r>
      <w:r>
        <w:rPr>
          <w:rFonts w:ascii="宋体" w:hAnsi="宋体" w:cs="宋体" w:eastAsia="宋体" w:hint="default"/>
          <w:sz w:val="24"/>
          <w:szCs w:val="24"/>
        </w:rPr>
        <w:t>1,602,603,981</w:t>
      </w:r>
      <w:r>
        <w:rPr>
          <w:rFonts w:ascii="宋体" w:hAnsi="宋体" w:cs="宋体" w:eastAsia="宋体" w:hint="default"/>
          <w:spacing w:val="-60"/>
          <w:sz w:val="24"/>
          <w:szCs w:val="24"/>
        </w:rPr>
        <w:t> </w:t>
      </w:r>
      <w:r>
        <w:rPr>
          <w:rFonts w:ascii="宋体" w:hAnsi="宋体" w:cs="宋体" w:eastAsia="宋体" w:hint="default"/>
          <w:sz w:val="24"/>
          <w:szCs w:val="24"/>
        </w:rPr>
        <w:t>元。</w:t>
      </w:r>
    </w:p>
    <w:p>
      <w:pPr>
        <w:spacing w:line="282" w:lineRule="exact" w:before="0"/>
        <w:ind w:left="598" w:right="766" w:firstLine="0"/>
        <w:jc w:val="left"/>
        <w:rPr>
          <w:rFonts w:ascii="宋体" w:hAnsi="宋体" w:cs="宋体" w:eastAsia="宋体" w:hint="default"/>
          <w:sz w:val="24"/>
          <w:szCs w:val="24"/>
        </w:rPr>
      </w:pPr>
      <w:r>
        <w:rPr>
          <w:rFonts w:ascii="宋体" w:hAnsi="宋体" w:cs="宋体" w:eastAsia="宋体" w:hint="default"/>
          <w:sz w:val="24"/>
          <w:szCs w:val="24"/>
        </w:rPr>
        <w:t>根据公司未来发展规划，董事会同意 2011</w:t>
      </w:r>
      <w:r>
        <w:rPr>
          <w:rFonts w:ascii="宋体" w:hAnsi="宋体" w:cs="宋体" w:eastAsia="宋体" w:hint="default"/>
          <w:spacing w:val="-52"/>
          <w:sz w:val="24"/>
          <w:szCs w:val="24"/>
        </w:rPr>
        <w:t> </w:t>
      </w:r>
      <w:r>
        <w:rPr>
          <w:rFonts w:ascii="宋体" w:hAnsi="宋体" w:cs="宋体" w:eastAsia="宋体" w:hint="default"/>
          <w:sz w:val="24"/>
          <w:szCs w:val="24"/>
        </w:rPr>
        <w:t>年度不向股东分配股利，也不进行资本</w:t>
      </w:r>
    </w:p>
    <w:p>
      <w:pPr>
        <w:spacing w:line="312" w:lineRule="exact" w:before="29"/>
        <w:ind w:left="118" w:right="834" w:firstLine="0"/>
        <w:jc w:val="both"/>
        <w:rPr>
          <w:rFonts w:ascii="宋体" w:hAnsi="宋体" w:cs="宋体" w:eastAsia="宋体" w:hint="default"/>
          <w:sz w:val="24"/>
          <w:szCs w:val="24"/>
        </w:rPr>
      </w:pPr>
      <w:r>
        <w:rPr>
          <w:rFonts w:ascii="宋体" w:hAnsi="宋体" w:cs="宋体" w:eastAsia="宋体" w:hint="default"/>
          <w:sz w:val="24"/>
          <w:szCs w:val="24"/>
        </w:rPr>
        <w:t>公积金转增股本。未分配利润用于公司 2012</w:t>
      </w:r>
      <w:r>
        <w:rPr>
          <w:rFonts w:ascii="宋体" w:hAnsi="宋体" w:cs="宋体" w:eastAsia="宋体" w:hint="default"/>
          <w:spacing w:val="-52"/>
          <w:sz w:val="24"/>
          <w:szCs w:val="24"/>
        </w:rPr>
        <w:t> </w:t>
      </w:r>
      <w:r>
        <w:rPr>
          <w:rFonts w:ascii="宋体" w:hAnsi="宋体" w:cs="宋体" w:eastAsia="宋体" w:hint="default"/>
          <w:sz w:val="24"/>
          <w:szCs w:val="24"/>
        </w:rPr>
        <w:t>年度研发投入、熙康业务的拓展所需的资</w:t>
      </w:r>
      <w:r>
        <w:rPr>
          <w:rFonts w:ascii="宋体" w:hAnsi="宋体" w:cs="宋体" w:eastAsia="宋体" w:hint="default"/>
          <w:sz w:val="24"/>
          <w:szCs w:val="24"/>
        </w:rPr>
        <w:t> 金。</w:t>
      </w:r>
    </w:p>
    <w:p>
      <w:pPr>
        <w:spacing w:line="283" w:lineRule="exact" w:before="0"/>
        <w:ind w:left="598" w:right="766" w:firstLine="0"/>
        <w:jc w:val="left"/>
        <w:rPr>
          <w:rFonts w:ascii="宋体" w:hAnsi="宋体" w:cs="宋体" w:eastAsia="宋体" w:hint="default"/>
          <w:sz w:val="24"/>
          <w:szCs w:val="24"/>
        </w:rPr>
      </w:pPr>
      <w:r>
        <w:rPr>
          <w:rFonts w:ascii="宋体" w:hAnsi="宋体" w:cs="宋体" w:eastAsia="宋体" w:hint="default"/>
          <w:sz w:val="24"/>
          <w:szCs w:val="24"/>
        </w:rPr>
        <w:t>以上议案，需公司股东大会批准。</w:t>
      </w:r>
    </w:p>
    <w:p>
      <w:pPr>
        <w:spacing w:line="240" w:lineRule="auto" w:before="3"/>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pgSz w:w="11910" w:h="16840"/>
          <w:pgMar w:header="1012" w:footer="480" w:top="1360" w:bottom="660" w:left="1300" w:right="580"/>
        </w:sectPr>
      </w:pPr>
    </w:p>
    <w:p>
      <w:pPr>
        <w:spacing w:before="26"/>
        <w:ind w:left="118" w:right="0" w:firstLine="0"/>
        <w:jc w:val="left"/>
        <w:rPr>
          <w:rFonts w:ascii="宋体" w:hAnsi="宋体" w:cs="宋体" w:eastAsia="宋体" w:hint="default"/>
          <w:sz w:val="24"/>
          <w:szCs w:val="24"/>
        </w:rPr>
      </w:pPr>
      <w:r>
        <w:rPr>
          <w:rFonts w:ascii="宋体" w:hAnsi="宋体" w:cs="宋体" w:eastAsia="宋体" w:hint="default"/>
          <w:b/>
          <w:bCs/>
          <w:w w:val="95"/>
          <w:sz w:val="24"/>
          <w:szCs w:val="24"/>
        </w:rPr>
        <w:t>（十）公司前三年股利分配情况或资本公积转增股本和分红情况</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17"/>
          <w:szCs w:val="17"/>
        </w:rPr>
      </w:pPr>
    </w:p>
    <w:p>
      <w:pPr>
        <w:pStyle w:val="BodyText"/>
        <w:spacing w:line="240" w:lineRule="auto" w:before="0"/>
        <w:ind w:left="78" w:right="0"/>
        <w:jc w:val="left"/>
        <w:rPr>
          <w:rFonts w:ascii="宋体" w:hAnsi="宋体" w:cs="宋体" w:eastAsia="宋体" w:hint="default"/>
        </w:rPr>
      </w:pPr>
      <w:r>
        <w:rPr>
          <w:rFonts w:ascii="宋体" w:hAnsi="宋体" w:cs="宋体" w:eastAsia="宋体" w:hint="default"/>
        </w:rPr>
        <w:t>单位：元</w:t>
      </w:r>
      <w:r>
        <w:rPr>
          <w:rFonts w:ascii="宋体" w:hAnsi="宋体" w:cs="宋体" w:eastAsia="宋体" w:hint="default"/>
          <w:spacing w:val="-2"/>
        </w:rPr>
        <w:t> </w:t>
      </w:r>
      <w:r>
        <w:rPr>
          <w:rFonts w:ascii="宋体" w:hAnsi="宋体" w:cs="宋体" w:eastAsia="宋体" w:hint="default"/>
        </w:rPr>
        <w:t>币种：人民币</w:t>
      </w:r>
    </w:p>
    <w:p>
      <w:pPr>
        <w:spacing w:after="0" w:line="240" w:lineRule="auto"/>
        <w:jc w:val="left"/>
        <w:rPr>
          <w:rFonts w:ascii="宋体" w:hAnsi="宋体" w:cs="宋体" w:eastAsia="宋体" w:hint="default"/>
        </w:rPr>
        <w:sectPr>
          <w:type w:val="continuous"/>
          <w:pgSz w:w="11910" w:h="16840"/>
          <w:pgMar w:top="1600" w:bottom="280" w:left="1300" w:right="580"/>
          <w:cols w:num="2" w:equalWidth="0">
            <w:col w:w="6865" w:space="40"/>
            <w:col w:w="3125"/>
          </w:cols>
        </w:sectPr>
      </w:pPr>
    </w:p>
    <w:p>
      <w:pPr>
        <w:spacing w:line="240" w:lineRule="auto" w:before="13"/>
        <w:rPr>
          <w:rFonts w:ascii="宋体" w:hAnsi="宋体" w:cs="宋体" w:eastAsia="宋体" w:hint="default"/>
          <w:sz w:val="3"/>
          <w:szCs w:val="3"/>
        </w:rPr>
      </w:pPr>
    </w:p>
    <w:tbl>
      <w:tblPr>
        <w:tblW w:w="0" w:type="auto"/>
        <w:jc w:val="left"/>
        <w:tblInd w:w="102" w:type="dxa"/>
        <w:tblLayout w:type="fixed"/>
        <w:tblCellMar>
          <w:top w:w="0" w:type="dxa"/>
          <w:left w:w="0" w:type="dxa"/>
          <w:bottom w:w="0" w:type="dxa"/>
          <w:right w:w="0" w:type="dxa"/>
        </w:tblCellMar>
        <w:tblLook w:val="01E0"/>
      </w:tblPr>
      <w:tblGrid>
        <w:gridCol w:w="1328"/>
        <w:gridCol w:w="1332"/>
        <w:gridCol w:w="1331"/>
        <w:gridCol w:w="1331"/>
        <w:gridCol w:w="1330"/>
        <w:gridCol w:w="1584"/>
        <w:gridCol w:w="1554"/>
      </w:tblGrid>
      <w:tr>
        <w:trPr>
          <w:trHeight w:val="1264" w:hRule="exact"/>
        </w:trPr>
        <w:tc>
          <w:tcPr>
            <w:tcW w:w="13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236" w:right="0"/>
              <w:jc w:val="left"/>
              <w:rPr>
                <w:rFonts w:ascii="宋体" w:hAnsi="宋体" w:cs="宋体" w:eastAsia="宋体" w:hint="default"/>
                <w:sz w:val="21"/>
                <w:szCs w:val="21"/>
              </w:rPr>
            </w:pPr>
            <w:r>
              <w:rPr>
                <w:rFonts w:ascii="宋体" w:hAnsi="宋体" w:cs="宋体" w:eastAsia="宋体" w:hint="default"/>
                <w:sz w:val="21"/>
                <w:szCs w:val="21"/>
              </w:rPr>
              <w:t>分红年度</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133" w:right="97" w:hanging="33"/>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73"/>
                <w:sz w:val="21"/>
                <w:szCs w:val="21"/>
              </w:rPr>
              <w:t> </w:t>
            </w:r>
            <w:r>
              <w:rPr>
                <w:rFonts w:ascii="宋体" w:hAnsi="宋体" w:cs="宋体" w:eastAsia="宋体" w:hint="default"/>
                <w:sz w:val="21"/>
                <w:szCs w:val="21"/>
              </w:rPr>
              <w:t>10</w:t>
            </w:r>
            <w:r>
              <w:rPr>
                <w:rFonts w:ascii="宋体" w:hAnsi="宋体" w:cs="宋体" w:eastAsia="宋体" w:hint="default"/>
                <w:spacing w:val="-71"/>
                <w:sz w:val="21"/>
                <w:szCs w:val="21"/>
              </w:rPr>
              <w:t> </w:t>
            </w:r>
            <w:r>
              <w:rPr>
                <w:rFonts w:ascii="宋体" w:hAnsi="宋体" w:cs="宋体" w:eastAsia="宋体" w:hint="default"/>
                <w:sz w:val="21"/>
                <w:szCs w:val="21"/>
              </w:rPr>
              <w:t>股送红</w:t>
            </w:r>
            <w:r>
              <w:rPr>
                <w:rFonts w:ascii="宋体" w:hAnsi="宋体" w:cs="宋体" w:eastAsia="宋体" w:hint="default"/>
                <w:sz w:val="21"/>
                <w:szCs w:val="21"/>
              </w:rPr>
              <w:t> 股数（股）</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2"/>
              <w:ind w:left="100" w:right="97"/>
              <w:jc w:val="center"/>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73"/>
                <w:sz w:val="21"/>
                <w:szCs w:val="21"/>
              </w:rPr>
              <w:t> </w:t>
            </w:r>
            <w:r>
              <w:rPr>
                <w:rFonts w:ascii="宋体" w:hAnsi="宋体" w:cs="宋体" w:eastAsia="宋体" w:hint="default"/>
                <w:sz w:val="21"/>
                <w:szCs w:val="21"/>
              </w:rPr>
              <w:t>10</w:t>
            </w:r>
            <w:r>
              <w:rPr>
                <w:rFonts w:ascii="宋体" w:hAnsi="宋体" w:cs="宋体" w:eastAsia="宋体" w:hint="default"/>
                <w:spacing w:val="-72"/>
                <w:sz w:val="21"/>
                <w:szCs w:val="21"/>
              </w:rPr>
              <w:t> </w:t>
            </w:r>
            <w:r>
              <w:rPr>
                <w:rFonts w:ascii="宋体" w:hAnsi="宋体" w:cs="宋体" w:eastAsia="宋体" w:hint="default"/>
                <w:sz w:val="21"/>
                <w:szCs w:val="21"/>
              </w:rPr>
              <w:t>股派息</w:t>
            </w:r>
            <w:r>
              <w:rPr>
                <w:rFonts w:ascii="宋体" w:hAnsi="宋体" w:cs="宋体" w:eastAsia="宋体" w:hint="default"/>
                <w:sz w:val="21"/>
                <w:szCs w:val="21"/>
              </w:rPr>
              <w:t> 数(元)（含 税）</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237" w:right="97" w:hanging="137"/>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73"/>
                <w:sz w:val="21"/>
                <w:szCs w:val="21"/>
              </w:rPr>
              <w:t> </w:t>
            </w:r>
            <w:r>
              <w:rPr>
                <w:rFonts w:ascii="宋体" w:hAnsi="宋体" w:cs="宋体" w:eastAsia="宋体" w:hint="default"/>
                <w:sz w:val="21"/>
                <w:szCs w:val="21"/>
              </w:rPr>
              <w:t>10</w:t>
            </w:r>
            <w:r>
              <w:rPr>
                <w:rFonts w:ascii="宋体" w:hAnsi="宋体" w:cs="宋体" w:eastAsia="宋体" w:hint="default"/>
                <w:spacing w:val="-72"/>
                <w:sz w:val="21"/>
                <w:szCs w:val="21"/>
              </w:rPr>
              <w:t> </w:t>
            </w:r>
            <w:r>
              <w:rPr>
                <w:rFonts w:ascii="宋体" w:hAnsi="宋体" w:cs="宋体" w:eastAsia="宋体" w:hint="default"/>
                <w:sz w:val="21"/>
                <w:szCs w:val="21"/>
              </w:rPr>
              <w:t>股转增</w:t>
            </w:r>
            <w:r>
              <w:rPr>
                <w:rFonts w:ascii="宋体" w:hAnsi="宋体" w:cs="宋体" w:eastAsia="宋体" w:hint="default"/>
                <w:sz w:val="21"/>
                <w:szCs w:val="21"/>
              </w:rPr>
              <w:t> 数（股）</w:t>
            </w:r>
          </w:p>
        </w:tc>
        <w:tc>
          <w:tcPr>
            <w:tcW w:w="13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100" w:right="-4" w:firstLine="31"/>
              <w:jc w:val="left"/>
              <w:rPr>
                <w:rFonts w:ascii="宋体" w:hAnsi="宋体" w:cs="宋体" w:eastAsia="宋体" w:hint="default"/>
                <w:sz w:val="21"/>
                <w:szCs w:val="21"/>
              </w:rPr>
            </w:pPr>
            <w:r>
              <w:rPr>
                <w:rFonts w:ascii="宋体" w:hAnsi="宋体" w:cs="宋体" w:eastAsia="宋体" w:hint="default"/>
                <w:sz w:val="21"/>
                <w:szCs w:val="21"/>
              </w:rPr>
              <w:t>现金分红的 </w:t>
            </w:r>
            <w:r>
              <w:rPr>
                <w:rFonts w:ascii="宋体" w:hAnsi="宋体" w:cs="宋体" w:eastAsia="宋体" w:hint="default"/>
                <w:spacing w:val="-7"/>
                <w:sz w:val="21"/>
                <w:szCs w:val="21"/>
              </w:rPr>
              <w:t>数额（含税）</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分红年度合并</w:t>
            </w:r>
          </w:p>
          <w:p>
            <w:pPr>
              <w:pStyle w:val="TableParagraph"/>
              <w:spacing w:line="273" w:lineRule="auto" w:before="37"/>
              <w:ind w:left="153" w:right="155"/>
              <w:jc w:val="center"/>
              <w:rPr>
                <w:rFonts w:ascii="宋体" w:hAnsi="宋体" w:cs="宋体" w:eastAsia="宋体" w:hint="default"/>
                <w:sz w:val="21"/>
                <w:szCs w:val="21"/>
              </w:rPr>
            </w:pPr>
            <w:r>
              <w:rPr>
                <w:rFonts w:ascii="宋体" w:hAnsi="宋体" w:cs="宋体" w:eastAsia="宋体" w:hint="default"/>
                <w:sz w:val="21"/>
                <w:szCs w:val="21"/>
              </w:rPr>
              <w:t>报表中归属于 上市公司股东 的净利润</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39" w:right="0"/>
              <w:jc w:val="both"/>
              <w:rPr>
                <w:rFonts w:ascii="宋体" w:hAnsi="宋体" w:cs="宋体" w:eastAsia="宋体" w:hint="default"/>
                <w:sz w:val="21"/>
                <w:szCs w:val="21"/>
              </w:rPr>
            </w:pPr>
            <w:r>
              <w:rPr>
                <w:rFonts w:ascii="宋体" w:hAnsi="宋体" w:cs="宋体" w:eastAsia="宋体" w:hint="default"/>
                <w:sz w:val="21"/>
                <w:szCs w:val="21"/>
              </w:rPr>
              <w:t>占合并报表中</w:t>
            </w:r>
          </w:p>
          <w:p>
            <w:pPr>
              <w:pStyle w:val="TableParagraph"/>
              <w:spacing w:line="273" w:lineRule="auto" w:before="37"/>
              <w:ind w:left="139" w:right="138"/>
              <w:jc w:val="both"/>
              <w:rPr>
                <w:rFonts w:ascii="宋体" w:hAnsi="宋体" w:cs="宋体" w:eastAsia="宋体" w:hint="default"/>
                <w:sz w:val="21"/>
                <w:szCs w:val="21"/>
              </w:rPr>
            </w:pPr>
            <w:r>
              <w:rPr>
                <w:rFonts w:ascii="宋体" w:hAnsi="宋体" w:cs="宋体" w:eastAsia="宋体" w:hint="default"/>
                <w:sz w:val="21"/>
                <w:szCs w:val="21"/>
              </w:rPr>
              <w:t>归属于上市公 司股东的净利 润的比率(%)</w:t>
            </w:r>
          </w:p>
        </w:tc>
      </w:tr>
      <w:tr>
        <w:trPr>
          <w:trHeight w:val="326" w:hRule="exact"/>
        </w:trPr>
        <w:tc>
          <w:tcPr>
            <w:tcW w:w="1328"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2.00</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0.25</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6.00</w:t>
            </w:r>
          </w:p>
        </w:tc>
        <w:tc>
          <w:tcPr>
            <w:tcW w:w="13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13,115,323</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490,778,900</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2.67</w:t>
            </w:r>
          </w:p>
        </w:tc>
      </w:tr>
      <w:tr>
        <w:trPr>
          <w:trHeight w:val="328" w:hRule="exact"/>
        </w:trPr>
        <w:tc>
          <w:tcPr>
            <w:tcW w:w="132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5"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0</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2.00</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3</w:t>
            </w:r>
          </w:p>
        </w:tc>
        <w:tc>
          <w:tcPr>
            <w:tcW w:w="13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00"/>
              <w:jc w:val="right"/>
              <w:rPr>
                <w:rFonts w:ascii="宋体" w:hAnsi="宋体" w:cs="宋体" w:eastAsia="宋体" w:hint="default"/>
                <w:sz w:val="18"/>
                <w:szCs w:val="18"/>
              </w:rPr>
            </w:pPr>
            <w:r>
              <w:rPr>
                <w:rFonts w:ascii="宋体"/>
                <w:sz w:val="18"/>
              </w:rPr>
              <w:t>188,860,653</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100"/>
              <w:jc w:val="right"/>
              <w:rPr>
                <w:rFonts w:ascii="宋体" w:hAnsi="宋体" w:cs="宋体" w:eastAsia="宋体" w:hint="default"/>
                <w:sz w:val="18"/>
                <w:szCs w:val="18"/>
              </w:rPr>
            </w:pPr>
            <w:r>
              <w:rPr>
                <w:rFonts w:ascii="宋体"/>
                <w:sz w:val="18"/>
              </w:rPr>
              <w:t>640,590,492</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18"/>
                <w:szCs w:val="18"/>
              </w:rPr>
            </w:pPr>
            <w:r>
              <w:rPr>
                <w:rFonts w:ascii="宋体"/>
                <w:sz w:val="18"/>
              </w:rPr>
              <w:t>29.48</w:t>
            </w:r>
          </w:p>
        </w:tc>
      </w:tr>
      <w:tr>
        <w:trPr>
          <w:trHeight w:val="328" w:hRule="exact"/>
        </w:trPr>
        <w:tc>
          <w:tcPr>
            <w:tcW w:w="1328"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5"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13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0</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宋体" w:hAnsi="宋体" w:cs="宋体" w:eastAsia="宋体" w:hint="default"/>
                <w:sz w:val="18"/>
                <w:szCs w:val="18"/>
              </w:rPr>
            </w:pPr>
            <w:r>
              <w:rPr>
                <w:rFonts w:ascii="宋体"/>
                <w:sz w:val="18"/>
              </w:rPr>
              <w:t>484,675,178</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4"/>
          <w:szCs w:val="14"/>
        </w:rPr>
      </w:pPr>
    </w:p>
    <w:p>
      <w:pPr>
        <w:pStyle w:val="BodyText"/>
        <w:spacing w:line="240" w:lineRule="auto"/>
        <w:ind w:left="118" w:right="766"/>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type w:val="continuous"/>
          <w:pgSz w:w="11910" w:h="16840"/>
          <w:pgMar w:top="1600" w:bottom="280" w:left="1300" w:right="580"/>
        </w:sectPr>
      </w:pPr>
    </w:p>
    <w:p>
      <w:pPr>
        <w:spacing w:line="240" w:lineRule="auto" w:before="7"/>
        <w:rPr>
          <w:rFonts w:ascii="黑体" w:hAnsi="黑体" w:cs="黑体" w:eastAsia="黑体" w:hint="default"/>
          <w:sz w:val="15"/>
          <w:szCs w:val="15"/>
        </w:rPr>
      </w:pPr>
    </w:p>
    <w:p>
      <w:pPr>
        <w:spacing w:line="331" w:lineRule="auto" w:before="26"/>
        <w:ind w:left="598" w:right="112" w:hanging="480"/>
        <w:jc w:val="left"/>
        <w:rPr>
          <w:rFonts w:ascii="宋体" w:hAnsi="宋体" w:cs="宋体" w:eastAsia="宋体" w:hint="default"/>
          <w:sz w:val="24"/>
          <w:szCs w:val="24"/>
        </w:rPr>
      </w:pPr>
      <w:r>
        <w:rPr>
          <w:rFonts w:ascii="宋体" w:hAnsi="宋体" w:cs="宋体" w:eastAsia="宋体" w:hint="default"/>
          <w:b/>
          <w:bCs/>
          <w:sz w:val="24"/>
          <w:szCs w:val="24"/>
        </w:rPr>
        <w:t>（十一）独立董事关于公司对外担保情况的专项说明和独立意见</w:t>
      </w:r>
      <w:r>
        <w:rPr>
          <w:rFonts w:ascii="宋体" w:hAnsi="宋体" w:cs="宋体" w:eastAsia="宋体" w:hint="default"/>
          <w:b/>
          <w:bCs/>
          <w:w w:val="99"/>
          <w:sz w:val="24"/>
          <w:szCs w:val="24"/>
        </w:rPr>
        <w:t> </w:t>
      </w:r>
      <w:r>
        <w:rPr>
          <w:rFonts w:ascii="宋体" w:hAnsi="宋体" w:cs="宋体" w:eastAsia="宋体" w:hint="default"/>
          <w:spacing w:val="-2"/>
          <w:sz w:val="24"/>
          <w:szCs w:val="24"/>
        </w:rPr>
        <w:t>根据中国证监会对上市公司对外担保行为的相关规定，独立董事对公司对外担保情</w:t>
      </w:r>
    </w:p>
    <w:p>
      <w:pPr>
        <w:pStyle w:val="Heading5"/>
        <w:spacing w:line="220" w:lineRule="exact"/>
        <w:ind w:right="0"/>
        <w:jc w:val="left"/>
      </w:pPr>
      <w:r>
        <w:rPr/>
        <w:t>况进行了专项审查。2011</w:t>
      </w:r>
      <w:r>
        <w:rPr>
          <w:spacing w:val="-57"/>
        </w:rPr>
        <w:t> </w:t>
      </w:r>
      <w:r>
        <w:rPr/>
        <w:t>年度及累计至</w:t>
      </w:r>
      <w:r>
        <w:rPr>
          <w:spacing w:val="-57"/>
        </w:rPr>
        <w:t> </w:t>
      </w:r>
      <w:r>
        <w:rPr/>
        <w:t>2011</w:t>
      </w:r>
      <w:r>
        <w:rPr>
          <w:spacing w:val="-57"/>
        </w:rPr>
        <w:t> </w:t>
      </w:r>
      <w:r>
        <w:rPr/>
        <w:t>年度，公司的对外担保的决策程序符合相</w:t>
      </w:r>
    </w:p>
    <w:p>
      <w:pPr>
        <w:spacing w:line="312" w:lineRule="exact" w:before="29"/>
        <w:ind w:left="598" w:right="2686" w:hanging="480"/>
        <w:jc w:val="left"/>
        <w:rPr>
          <w:rFonts w:ascii="宋体" w:hAnsi="宋体" w:cs="宋体" w:eastAsia="宋体" w:hint="default"/>
          <w:sz w:val="24"/>
          <w:szCs w:val="24"/>
        </w:rPr>
      </w:pPr>
      <w:r>
        <w:rPr>
          <w:rFonts w:ascii="宋体" w:hAnsi="宋体" w:cs="宋体" w:eastAsia="宋体" w:hint="default"/>
          <w:sz w:val="24"/>
          <w:szCs w:val="24"/>
        </w:rPr>
        <w:t>关法律法规和规章以及公司章程的规定，信息披露充分完整。 独立董事：方红星、薛澜、高文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8"/>
          <w:szCs w:val="28"/>
        </w:rPr>
      </w:pPr>
    </w:p>
    <w:p>
      <w:pPr>
        <w:pStyle w:val="BodyText"/>
        <w:spacing w:line="240" w:lineRule="auto"/>
        <w:ind w:left="118" w:right="112"/>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300"/>
        </w:sect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20"/>
          <w:szCs w:val="20"/>
        </w:rPr>
      </w:pPr>
    </w:p>
    <w:p>
      <w:pPr>
        <w:pStyle w:val="Heading2"/>
        <w:spacing w:line="240" w:lineRule="auto"/>
        <w:ind w:right="100"/>
        <w:jc w:val="left"/>
        <w:rPr>
          <w:b w:val="0"/>
          <w:bCs w:val="0"/>
        </w:rPr>
      </w:pPr>
      <w:bookmarkStart w:name="_TOC_250003" w:id="10"/>
      <w:r>
        <w:rPr/>
        <w:t>九、监事会报告</w:t>
      </w:r>
      <w:bookmarkEnd w:id="10"/>
      <w:r>
        <w:rPr>
          <w:b w:val="0"/>
          <w:bCs w:val="0"/>
        </w:rPr>
      </w:r>
    </w:p>
    <w:p>
      <w:pPr>
        <w:pStyle w:val="Heading4"/>
        <w:spacing w:line="240" w:lineRule="auto" w:before="197"/>
        <w:ind w:right="100"/>
        <w:jc w:val="left"/>
        <w:rPr>
          <w:b w:val="0"/>
          <w:bCs w:val="0"/>
        </w:rPr>
      </w:pPr>
      <w:r>
        <w:rPr/>
        <w:t>（一）监事会的工作情况</w:t>
      </w:r>
      <w:r>
        <w:rPr>
          <w:b w:val="0"/>
          <w:bCs w:val="0"/>
        </w:rPr>
      </w:r>
    </w:p>
    <w:p>
      <w:pPr>
        <w:pStyle w:val="Heading5"/>
        <w:spacing w:line="312" w:lineRule="exact" w:before="151"/>
        <w:ind w:right="2448" w:firstLine="480"/>
        <w:jc w:val="left"/>
      </w:pPr>
      <w:r>
        <w:rPr/>
        <w:t>报告期内，监事会共召开</w:t>
      </w:r>
      <w:r>
        <w:rPr>
          <w:spacing w:val="-60"/>
        </w:rPr>
        <w:t> </w:t>
      </w:r>
      <w:r>
        <w:rPr/>
        <w:t>4</w:t>
      </w:r>
      <w:r>
        <w:rPr>
          <w:spacing w:val="-60"/>
        </w:rPr>
        <w:t> </w:t>
      </w:r>
      <w:r>
        <w:rPr/>
        <w:t>次会议，具体会议情况如下：</w:t>
      </w:r>
      <w:r>
        <w:rPr/>
        <w:t> 1、于</w:t>
      </w:r>
      <w:r>
        <w:rPr>
          <w:spacing w:val="-59"/>
        </w:rPr>
        <w:t> </w:t>
      </w:r>
      <w:r>
        <w:rPr>
          <w:spacing w:val="25"/>
        </w:rPr>
        <w:t>2011年4月</w:t>
      </w:r>
      <w:r>
        <w:rPr>
          <w:spacing w:val="-59"/>
        </w:rPr>
        <w:t> </w:t>
      </w:r>
      <w:r>
        <w:rPr/>
        <w:t>25</w:t>
      </w:r>
      <w:r>
        <w:rPr>
          <w:spacing w:val="-59"/>
        </w:rPr>
        <w:t> </w:t>
      </w:r>
      <w:r>
        <w:rPr/>
        <w:t>日召开的五届十六次监事会，审议通过了：</w:t>
      </w:r>
    </w:p>
    <w:p>
      <w:pPr>
        <w:spacing w:line="282" w:lineRule="exact" w:before="0"/>
        <w:ind w:left="598" w:right="100" w:firstLine="0"/>
        <w:jc w:val="left"/>
        <w:rPr>
          <w:rFonts w:ascii="宋体" w:hAnsi="宋体" w:cs="宋体" w:eastAsia="宋体" w:hint="default"/>
          <w:sz w:val="24"/>
          <w:szCs w:val="24"/>
        </w:rPr>
      </w:pPr>
      <w:r>
        <w:rPr>
          <w:rFonts w:ascii="宋体" w:hAnsi="宋体" w:cs="宋体" w:eastAsia="宋体" w:hint="default"/>
          <w:sz w:val="24"/>
          <w:szCs w:val="24"/>
        </w:rPr>
        <w:t>（1）2010</w:t>
      </w:r>
      <w:r>
        <w:rPr>
          <w:rFonts w:ascii="宋体" w:hAnsi="宋体" w:cs="宋体" w:eastAsia="宋体" w:hint="default"/>
          <w:spacing w:val="-60"/>
          <w:sz w:val="24"/>
          <w:szCs w:val="24"/>
        </w:rPr>
        <w:t> </w:t>
      </w:r>
      <w:r>
        <w:rPr>
          <w:rFonts w:ascii="宋体" w:hAnsi="宋体" w:cs="宋体" w:eastAsia="宋体" w:hint="default"/>
          <w:sz w:val="24"/>
          <w:szCs w:val="24"/>
        </w:rPr>
        <w:t>年度监事会报告；</w:t>
      </w:r>
    </w:p>
    <w:p>
      <w:pPr>
        <w:spacing w:line="312" w:lineRule="exact" w:before="0"/>
        <w:ind w:left="598" w:right="100" w:firstLine="0"/>
        <w:jc w:val="left"/>
        <w:rPr>
          <w:rFonts w:ascii="宋体" w:hAnsi="宋体" w:cs="宋体" w:eastAsia="宋体" w:hint="default"/>
          <w:sz w:val="24"/>
          <w:szCs w:val="24"/>
        </w:rPr>
      </w:pPr>
      <w:r>
        <w:rPr>
          <w:rFonts w:ascii="宋体" w:hAnsi="宋体" w:cs="宋体" w:eastAsia="宋体" w:hint="default"/>
          <w:sz w:val="24"/>
          <w:szCs w:val="24"/>
        </w:rPr>
        <w:t>（2）关于监事会换届选举的议案；</w:t>
      </w:r>
    </w:p>
    <w:p>
      <w:pPr>
        <w:spacing w:line="312" w:lineRule="exact" w:before="0"/>
        <w:ind w:left="598" w:right="100" w:firstLine="0"/>
        <w:jc w:val="left"/>
        <w:rPr>
          <w:rFonts w:ascii="宋体" w:hAnsi="宋体" w:cs="宋体" w:eastAsia="宋体" w:hint="default"/>
          <w:sz w:val="24"/>
          <w:szCs w:val="24"/>
        </w:rPr>
      </w:pPr>
      <w:r>
        <w:rPr>
          <w:rFonts w:ascii="宋体" w:hAnsi="宋体" w:cs="宋体" w:eastAsia="宋体" w:hint="default"/>
          <w:sz w:val="24"/>
          <w:szCs w:val="24"/>
        </w:rPr>
        <w:t>（3）2010</w:t>
      </w:r>
      <w:r>
        <w:rPr>
          <w:rFonts w:ascii="宋体" w:hAnsi="宋体" w:cs="宋体" w:eastAsia="宋体" w:hint="default"/>
          <w:spacing w:val="-60"/>
          <w:sz w:val="24"/>
          <w:szCs w:val="24"/>
        </w:rPr>
        <w:t> </w:t>
      </w:r>
      <w:r>
        <w:rPr>
          <w:rFonts w:ascii="宋体" w:hAnsi="宋体" w:cs="宋体" w:eastAsia="宋体" w:hint="default"/>
          <w:sz w:val="24"/>
          <w:szCs w:val="24"/>
        </w:rPr>
        <w:t>年度报告全文及其摘要；</w:t>
      </w:r>
    </w:p>
    <w:p>
      <w:pPr>
        <w:spacing w:line="312" w:lineRule="exact" w:before="0"/>
        <w:ind w:left="598" w:right="100" w:firstLine="0"/>
        <w:jc w:val="left"/>
        <w:rPr>
          <w:rFonts w:ascii="宋体" w:hAnsi="宋体" w:cs="宋体" w:eastAsia="宋体" w:hint="default"/>
          <w:sz w:val="24"/>
          <w:szCs w:val="24"/>
        </w:rPr>
      </w:pPr>
      <w:r>
        <w:rPr>
          <w:rFonts w:ascii="宋体" w:hAnsi="宋体" w:cs="宋体" w:eastAsia="宋体" w:hint="default"/>
          <w:sz w:val="24"/>
          <w:szCs w:val="24"/>
        </w:rPr>
        <w:t>（4）2011</w:t>
      </w:r>
      <w:r>
        <w:rPr>
          <w:rFonts w:ascii="宋体" w:hAnsi="宋体" w:cs="宋体" w:eastAsia="宋体" w:hint="default"/>
          <w:spacing w:val="-60"/>
          <w:sz w:val="24"/>
          <w:szCs w:val="24"/>
        </w:rPr>
        <w:t> </w:t>
      </w:r>
      <w:r>
        <w:rPr>
          <w:rFonts w:ascii="宋体" w:hAnsi="宋体" w:cs="宋体" w:eastAsia="宋体" w:hint="default"/>
          <w:sz w:val="24"/>
          <w:szCs w:val="24"/>
        </w:rPr>
        <w:t>年第一季度报告；</w:t>
      </w:r>
    </w:p>
    <w:p>
      <w:pPr>
        <w:spacing w:line="312" w:lineRule="exact" w:before="0"/>
        <w:ind w:left="598" w:right="100" w:firstLine="0"/>
        <w:jc w:val="left"/>
        <w:rPr>
          <w:rFonts w:ascii="宋体" w:hAnsi="宋体" w:cs="宋体" w:eastAsia="宋体" w:hint="default"/>
          <w:sz w:val="24"/>
          <w:szCs w:val="24"/>
        </w:rPr>
      </w:pPr>
      <w:r>
        <w:rPr>
          <w:rFonts w:ascii="宋体" w:hAnsi="宋体" w:cs="宋体" w:eastAsia="宋体" w:hint="default"/>
          <w:sz w:val="24"/>
          <w:szCs w:val="24"/>
        </w:rPr>
        <w:t>（5）2010</w:t>
      </w:r>
      <w:r>
        <w:rPr>
          <w:rFonts w:ascii="宋体" w:hAnsi="宋体" w:cs="宋体" w:eastAsia="宋体" w:hint="default"/>
          <w:spacing w:val="-60"/>
          <w:sz w:val="24"/>
          <w:szCs w:val="24"/>
        </w:rPr>
        <w:t> </w:t>
      </w:r>
      <w:r>
        <w:rPr>
          <w:rFonts w:ascii="宋体" w:hAnsi="宋体" w:cs="宋体" w:eastAsia="宋体" w:hint="default"/>
          <w:sz w:val="24"/>
          <w:szCs w:val="24"/>
        </w:rPr>
        <w:t>年度财务决算报告；</w:t>
      </w:r>
    </w:p>
    <w:p>
      <w:pPr>
        <w:spacing w:line="312" w:lineRule="exact" w:before="0"/>
        <w:ind w:left="598" w:right="100" w:firstLine="0"/>
        <w:jc w:val="left"/>
        <w:rPr>
          <w:rFonts w:ascii="宋体" w:hAnsi="宋体" w:cs="宋体" w:eastAsia="宋体" w:hint="default"/>
          <w:sz w:val="24"/>
          <w:szCs w:val="24"/>
        </w:rPr>
      </w:pPr>
      <w:r>
        <w:rPr>
          <w:rFonts w:ascii="宋体" w:hAnsi="宋体" w:cs="宋体" w:eastAsia="宋体" w:hint="default"/>
          <w:sz w:val="24"/>
          <w:szCs w:val="24"/>
        </w:rPr>
        <w:t>（6）关于</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年度利润分配的议案；</w:t>
      </w:r>
    </w:p>
    <w:p>
      <w:pPr>
        <w:spacing w:line="312" w:lineRule="exact" w:before="0"/>
        <w:ind w:left="598" w:right="100" w:firstLine="0"/>
        <w:jc w:val="left"/>
        <w:rPr>
          <w:rFonts w:ascii="宋体" w:hAnsi="宋体" w:cs="宋体" w:eastAsia="宋体" w:hint="default"/>
          <w:sz w:val="24"/>
          <w:szCs w:val="24"/>
        </w:rPr>
      </w:pPr>
      <w:r>
        <w:rPr>
          <w:rFonts w:ascii="宋体" w:hAnsi="宋体" w:cs="宋体" w:eastAsia="宋体" w:hint="default"/>
          <w:sz w:val="24"/>
          <w:szCs w:val="24"/>
        </w:rPr>
        <w:t>（7）关于聘请</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年度财务审计机构的议案；</w:t>
      </w:r>
    </w:p>
    <w:p>
      <w:pPr>
        <w:spacing w:line="312" w:lineRule="exact" w:before="0"/>
        <w:ind w:left="598" w:right="100" w:firstLine="0"/>
        <w:jc w:val="left"/>
        <w:rPr>
          <w:rFonts w:ascii="宋体" w:hAnsi="宋体" w:cs="宋体" w:eastAsia="宋体" w:hint="default"/>
          <w:sz w:val="24"/>
          <w:szCs w:val="24"/>
        </w:rPr>
      </w:pPr>
      <w:r>
        <w:rPr>
          <w:rFonts w:ascii="宋体" w:hAnsi="宋体" w:cs="宋体" w:eastAsia="宋体" w:hint="default"/>
          <w:sz w:val="24"/>
          <w:szCs w:val="24"/>
        </w:rPr>
        <w:t>（8）关于</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年度日常关联交易执行情况的议案；</w:t>
      </w:r>
    </w:p>
    <w:p>
      <w:pPr>
        <w:spacing w:line="312" w:lineRule="exact" w:before="0"/>
        <w:ind w:left="598" w:right="100" w:firstLine="0"/>
        <w:jc w:val="left"/>
        <w:rPr>
          <w:rFonts w:ascii="宋体" w:hAnsi="宋体" w:cs="宋体" w:eastAsia="宋体" w:hint="default"/>
          <w:sz w:val="24"/>
          <w:szCs w:val="24"/>
        </w:rPr>
      </w:pPr>
      <w:r>
        <w:rPr>
          <w:rFonts w:ascii="宋体" w:hAnsi="宋体" w:cs="宋体" w:eastAsia="宋体" w:hint="default"/>
          <w:sz w:val="24"/>
          <w:szCs w:val="24"/>
        </w:rPr>
        <w:t>（9）关于</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年度日常关联交易预计情况的议案；</w:t>
      </w:r>
    </w:p>
    <w:p>
      <w:pPr>
        <w:spacing w:line="312" w:lineRule="exact" w:before="0"/>
        <w:ind w:left="598" w:right="100" w:firstLine="0"/>
        <w:jc w:val="left"/>
        <w:rPr>
          <w:rFonts w:ascii="宋体" w:hAnsi="宋体" w:cs="宋体" w:eastAsia="宋体" w:hint="default"/>
          <w:sz w:val="24"/>
          <w:szCs w:val="24"/>
        </w:rPr>
      </w:pPr>
      <w:r>
        <w:rPr>
          <w:rFonts w:ascii="宋体" w:hAnsi="宋体" w:cs="宋体" w:eastAsia="宋体" w:hint="default"/>
          <w:sz w:val="24"/>
          <w:szCs w:val="24"/>
        </w:rPr>
        <w:t>（10）关于发行短期融资券、中期票据的议案；</w:t>
      </w:r>
    </w:p>
    <w:p>
      <w:pPr>
        <w:spacing w:line="312" w:lineRule="exact" w:before="0"/>
        <w:ind w:left="598" w:right="100" w:firstLine="0"/>
        <w:jc w:val="left"/>
        <w:rPr>
          <w:rFonts w:ascii="宋体" w:hAnsi="宋体" w:cs="宋体" w:eastAsia="宋体" w:hint="default"/>
          <w:sz w:val="24"/>
          <w:szCs w:val="24"/>
        </w:rPr>
      </w:pPr>
      <w:r>
        <w:rPr>
          <w:rFonts w:ascii="宋体" w:hAnsi="宋体" w:cs="宋体" w:eastAsia="宋体" w:hint="default"/>
          <w:sz w:val="24"/>
          <w:szCs w:val="24"/>
        </w:rPr>
        <w:t>（11）关于购买银行理财产品的议案。</w:t>
      </w:r>
    </w:p>
    <w:p>
      <w:pPr>
        <w:spacing w:line="312" w:lineRule="exact" w:before="0"/>
        <w:ind w:left="118" w:right="100" w:firstLine="0"/>
        <w:jc w:val="left"/>
        <w:rPr>
          <w:rFonts w:ascii="宋体" w:hAnsi="宋体" w:cs="宋体" w:eastAsia="宋体" w:hint="default"/>
          <w:sz w:val="24"/>
          <w:szCs w:val="24"/>
        </w:rPr>
      </w:pPr>
      <w:r>
        <w:rPr>
          <w:rFonts w:ascii="宋体" w:hAnsi="宋体" w:cs="宋体" w:eastAsia="宋体" w:hint="default"/>
          <w:sz w:val="24"/>
          <w:szCs w:val="24"/>
        </w:rPr>
        <w:t>2、于</w:t>
      </w:r>
      <w:r>
        <w:rPr>
          <w:rFonts w:ascii="宋体" w:hAnsi="宋体" w:cs="宋体" w:eastAsia="宋体" w:hint="default"/>
          <w:spacing w:val="-59"/>
          <w:sz w:val="24"/>
          <w:szCs w:val="24"/>
        </w:rPr>
        <w:t> </w:t>
      </w:r>
      <w:r>
        <w:rPr>
          <w:rFonts w:ascii="宋体" w:hAnsi="宋体" w:cs="宋体" w:eastAsia="宋体" w:hint="default"/>
          <w:spacing w:val="25"/>
          <w:sz w:val="24"/>
          <w:szCs w:val="24"/>
        </w:rPr>
        <w:t>2011年5月</w:t>
      </w:r>
      <w:r>
        <w:rPr>
          <w:rFonts w:ascii="宋体" w:hAnsi="宋体" w:cs="宋体" w:eastAsia="宋体" w:hint="default"/>
          <w:spacing w:val="-59"/>
          <w:sz w:val="24"/>
          <w:szCs w:val="24"/>
        </w:rPr>
        <w:t> </w:t>
      </w:r>
      <w:r>
        <w:rPr>
          <w:rFonts w:ascii="宋体" w:hAnsi="宋体" w:cs="宋体" w:eastAsia="宋体" w:hint="default"/>
          <w:sz w:val="24"/>
          <w:szCs w:val="24"/>
        </w:rPr>
        <w:t>25</w:t>
      </w:r>
      <w:r>
        <w:rPr>
          <w:rFonts w:ascii="宋体" w:hAnsi="宋体" w:cs="宋体" w:eastAsia="宋体" w:hint="default"/>
          <w:spacing w:val="-59"/>
          <w:sz w:val="24"/>
          <w:szCs w:val="24"/>
        </w:rPr>
        <w:t> </w:t>
      </w:r>
      <w:r>
        <w:rPr>
          <w:rFonts w:ascii="宋体" w:hAnsi="宋体" w:cs="宋体" w:eastAsia="宋体" w:hint="default"/>
          <w:sz w:val="24"/>
          <w:szCs w:val="24"/>
        </w:rPr>
        <w:t>日召开的六届一次监事会，审议通过了：</w:t>
      </w:r>
    </w:p>
    <w:p>
      <w:pPr>
        <w:spacing w:line="312" w:lineRule="exact" w:before="0"/>
        <w:ind w:left="598" w:right="100" w:firstLine="0"/>
        <w:jc w:val="left"/>
        <w:rPr>
          <w:rFonts w:ascii="宋体" w:hAnsi="宋体" w:cs="宋体" w:eastAsia="宋体" w:hint="default"/>
          <w:sz w:val="24"/>
          <w:szCs w:val="24"/>
        </w:rPr>
      </w:pPr>
      <w:r>
        <w:rPr>
          <w:rFonts w:ascii="宋体" w:hAnsi="宋体" w:cs="宋体" w:eastAsia="宋体" w:hint="default"/>
          <w:sz w:val="24"/>
          <w:szCs w:val="24"/>
        </w:rPr>
        <w:t>（1）关于选举监事长的议案；</w:t>
      </w:r>
    </w:p>
    <w:p>
      <w:pPr>
        <w:spacing w:line="312" w:lineRule="exact" w:before="0"/>
        <w:ind w:left="598" w:right="100" w:firstLine="0"/>
        <w:jc w:val="left"/>
        <w:rPr>
          <w:rFonts w:ascii="宋体" w:hAnsi="宋体" w:cs="宋体" w:eastAsia="宋体" w:hint="default"/>
          <w:sz w:val="24"/>
          <w:szCs w:val="24"/>
        </w:rPr>
      </w:pPr>
      <w:r>
        <w:rPr>
          <w:rFonts w:ascii="宋体" w:hAnsi="宋体" w:cs="宋体" w:eastAsia="宋体" w:hint="default"/>
          <w:sz w:val="24"/>
          <w:szCs w:val="24"/>
        </w:rPr>
        <w:t>（2）关于职工代表监事的说明。</w:t>
      </w:r>
    </w:p>
    <w:p>
      <w:pPr>
        <w:spacing w:line="312" w:lineRule="exact" w:before="29"/>
        <w:ind w:left="118" w:right="220" w:firstLine="0"/>
        <w:jc w:val="left"/>
        <w:rPr>
          <w:rFonts w:ascii="宋体" w:hAnsi="宋体" w:cs="宋体" w:eastAsia="宋体" w:hint="default"/>
          <w:sz w:val="24"/>
          <w:szCs w:val="24"/>
        </w:rPr>
      </w:pPr>
      <w:r>
        <w:rPr>
          <w:rFonts w:ascii="宋体" w:hAnsi="宋体" w:cs="宋体" w:eastAsia="宋体" w:hint="default"/>
          <w:sz w:val="24"/>
          <w:szCs w:val="24"/>
        </w:rPr>
        <w:t>3、于</w:t>
      </w:r>
      <w:r>
        <w:rPr>
          <w:rFonts w:ascii="宋体" w:hAnsi="宋体" w:cs="宋体" w:eastAsia="宋体" w:hint="default"/>
          <w:spacing w:val="-59"/>
          <w:sz w:val="24"/>
          <w:szCs w:val="24"/>
        </w:rPr>
        <w:t> </w:t>
      </w:r>
      <w:r>
        <w:rPr>
          <w:rFonts w:ascii="宋体" w:hAnsi="宋体" w:cs="宋体" w:eastAsia="宋体" w:hint="default"/>
          <w:spacing w:val="26"/>
          <w:sz w:val="24"/>
          <w:szCs w:val="24"/>
        </w:rPr>
        <w:t>2011年8月</w:t>
      </w:r>
      <w:r>
        <w:rPr>
          <w:rFonts w:ascii="宋体" w:hAnsi="宋体" w:cs="宋体" w:eastAsia="宋体" w:hint="default"/>
          <w:spacing w:val="-59"/>
          <w:sz w:val="24"/>
          <w:szCs w:val="24"/>
        </w:rPr>
        <w:t> </w:t>
      </w:r>
      <w:r>
        <w:rPr>
          <w:rFonts w:ascii="宋体" w:hAnsi="宋体" w:cs="宋体" w:eastAsia="宋体" w:hint="default"/>
          <w:sz w:val="24"/>
          <w:szCs w:val="24"/>
        </w:rPr>
        <w:t>24</w:t>
      </w:r>
      <w:r>
        <w:rPr>
          <w:rFonts w:ascii="宋体" w:hAnsi="宋体" w:cs="宋体" w:eastAsia="宋体" w:hint="default"/>
          <w:spacing w:val="-59"/>
          <w:sz w:val="24"/>
          <w:szCs w:val="24"/>
        </w:rPr>
        <w:t> </w:t>
      </w:r>
      <w:r>
        <w:rPr>
          <w:rFonts w:ascii="宋体" w:hAnsi="宋体" w:cs="宋体" w:eastAsia="宋体" w:hint="default"/>
          <w:sz w:val="24"/>
          <w:szCs w:val="24"/>
        </w:rPr>
        <w:t>日召开的六届二次监事会，审议通过了《2011</w:t>
      </w:r>
      <w:r>
        <w:rPr>
          <w:rFonts w:ascii="宋体" w:hAnsi="宋体" w:cs="宋体" w:eastAsia="宋体" w:hint="default"/>
          <w:spacing w:val="-59"/>
          <w:sz w:val="24"/>
          <w:szCs w:val="24"/>
        </w:rPr>
        <w:t> </w:t>
      </w:r>
      <w:r>
        <w:rPr>
          <w:rFonts w:ascii="宋体" w:hAnsi="宋体" w:cs="宋体" w:eastAsia="宋体" w:hint="default"/>
          <w:sz w:val="24"/>
          <w:szCs w:val="24"/>
        </w:rPr>
        <w:t>年半年度报告全文</w:t>
      </w:r>
      <w:r>
        <w:rPr>
          <w:rFonts w:ascii="宋体" w:hAnsi="宋体" w:cs="宋体" w:eastAsia="宋体" w:hint="default"/>
          <w:sz w:val="24"/>
          <w:szCs w:val="24"/>
        </w:rPr>
        <w:t> </w:t>
      </w:r>
      <w:r>
        <w:rPr>
          <w:rFonts w:ascii="宋体" w:hAnsi="宋体" w:cs="宋体" w:eastAsia="宋体" w:hint="default"/>
          <w:spacing w:val="-20"/>
          <w:sz w:val="24"/>
          <w:szCs w:val="24"/>
        </w:rPr>
        <w:t>及其摘要》。</w:t>
      </w:r>
    </w:p>
    <w:p>
      <w:pPr>
        <w:spacing w:line="283" w:lineRule="exact" w:before="0"/>
        <w:ind w:left="118" w:right="0" w:firstLine="0"/>
        <w:jc w:val="left"/>
        <w:rPr>
          <w:rFonts w:ascii="宋体" w:hAnsi="宋体" w:cs="宋体" w:eastAsia="宋体" w:hint="default"/>
          <w:sz w:val="24"/>
          <w:szCs w:val="24"/>
        </w:rPr>
      </w:pPr>
      <w:r>
        <w:rPr>
          <w:rFonts w:ascii="宋体" w:hAnsi="宋体" w:cs="宋体" w:eastAsia="宋体" w:hint="default"/>
          <w:sz w:val="24"/>
          <w:szCs w:val="24"/>
        </w:rPr>
        <w:t>4</w:t>
      </w:r>
      <w:r>
        <w:rPr>
          <w:rFonts w:ascii="宋体" w:hAnsi="宋体" w:cs="宋体" w:eastAsia="宋体" w:hint="default"/>
          <w:spacing w:val="-38"/>
          <w:sz w:val="24"/>
          <w:szCs w:val="24"/>
        </w:rPr>
        <w:t>、</w:t>
      </w:r>
      <w:r>
        <w:rPr>
          <w:rFonts w:ascii="宋体" w:hAnsi="宋体" w:cs="宋体" w:eastAsia="宋体" w:hint="default"/>
          <w:sz w:val="24"/>
          <w:szCs w:val="24"/>
        </w:rPr>
        <w:t>于</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10</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27</w:t>
      </w:r>
      <w:r>
        <w:rPr>
          <w:rFonts w:ascii="宋体" w:hAnsi="宋体" w:cs="宋体" w:eastAsia="宋体" w:hint="default"/>
          <w:spacing w:val="-60"/>
          <w:sz w:val="24"/>
          <w:szCs w:val="24"/>
        </w:rPr>
        <w:t> </w:t>
      </w:r>
      <w:r>
        <w:rPr>
          <w:rFonts w:ascii="宋体" w:hAnsi="宋体" w:cs="宋体" w:eastAsia="宋体" w:hint="default"/>
          <w:sz w:val="24"/>
          <w:szCs w:val="24"/>
        </w:rPr>
        <w:t>日召开的六届三次监事会</w:t>
      </w:r>
      <w:r>
        <w:rPr>
          <w:rFonts w:ascii="宋体" w:hAnsi="宋体" w:cs="宋体" w:eastAsia="宋体" w:hint="default"/>
          <w:spacing w:val="-38"/>
          <w:sz w:val="24"/>
          <w:szCs w:val="24"/>
        </w:rPr>
        <w:t>，</w:t>
      </w:r>
      <w:r>
        <w:rPr>
          <w:rFonts w:ascii="宋体" w:hAnsi="宋体" w:cs="宋体" w:eastAsia="宋体" w:hint="default"/>
          <w:sz w:val="24"/>
          <w:szCs w:val="24"/>
        </w:rPr>
        <w:t>审议通过</w:t>
      </w:r>
      <w:r>
        <w:rPr>
          <w:rFonts w:ascii="宋体" w:hAnsi="宋体" w:cs="宋体" w:eastAsia="宋体" w:hint="default"/>
          <w:spacing w:val="-38"/>
          <w:sz w:val="24"/>
          <w:szCs w:val="24"/>
        </w:rPr>
        <w:t>了</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年第三季度报告</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before="186"/>
        <w:ind w:left="118" w:right="100" w:firstLine="0"/>
        <w:jc w:val="left"/>
        <w:rPr>
          <w:rFonts w:ascii="宋体" w:hAnsi="宋体" w:cs="宋体" w:eastAsia="宋体" w:hint="default"/>
          <w:sz w:val="24"/>
          <w:szCs w:val="24"/>
        </w:rPr>
      </w:pPr>
      <w:r>
        <w:rPr>
          <w:rFonts w:ascii="宋体" w:hAnsi="宋体" w:cs="宋体" w:eastAsia="宋体" w:hint="default"/>
          <w:b/>
          <w:bCs/>
          <w:sz w:val="24"/>
          <w:szCs w:val="24"/>
        </w:rPr>
        <w:t>（二）监事会对公司依法运作情况的独立意见</w:t>
      </w:r>
      <w:r>
        <w:rPr>
          <w:rFonts w:ascii="宋体" w:hAnsi="宋体" w:cs="宋体" w:eastAsia="宋体" w:hint="default"/>
          <w:sz w:val="24"/>
          <w:szCs w:val="24"/>
        </w:rPr>
      </w:r>
    </w:p>
    <w:p>
      <w:pPr>
        <w:spacing w:line="312" w:lineRule="exact" w:before="152"/>
        <w:ind w:left="118" w:right="100" w:firstLine="480"/>
        <w:jc w:val="left"/>
        <w:rPr>
          <w:rFonts w:ascii="宋体" w:hAnsi="宋体" w:cs="宋体" w:eastAsia="宋体" w:hint="default"/>
          <w:sz w:val="24"/>
          <w:szCs w:val="24"/>
        </w:rPr>
      </w:pPr>
      <w:r>
        <w:rPr>
          <w:rFonts w:ascii="宋体" w:hAnsi="宋体" w:cs="宋体" w:eastAsia="宋体" w:hint="default"/>
          <w:sz w:val="24"/>
          <w:szCs w:val="24"/>
        </w:rPr>
        <w:t>公司在 2011</w:t>
      </w:r>
      <w:r>
        <w:rPr>
          <w:rFonts w:ascii="宋体" w:hAnsi="宋体" w:cs="宋体" w:eastAsia="宋体" w:hint="default"/>
          <w:spacing w:val="-52"/>
          <w:sz w:val="24"/>
          <w:szCs w:val="24"/>
        </w:rPr>
        <w:t> </w:t>
      </w:r>
      <w:r>
        <w:rPr>
          <w:rFonts w:ascii="宋体" w:hAnsi="宋体" w:cs="宋体" w:eastAsia="宋体" w:hint="default"/>
          <w:sz w:val="24"/>
          <w:szCs w:val="24"/>
        </w:rPr>
        <w:t>年能够依法规范运作，决策程序合法，公司建立了完善的内控制度，</w:t>
      </w:r>
      <w:r>
        <w:rPr>
          <w:rFonts w:ascii="宋体" w:hAnsi="宋体" w:cs="宋体" w:eastAsia="宋体" w:hint="default"/>
          <w:sz w:val="24"/>
          <w:szCs w:val="24"/>
        </w:rPr>
        <w:t> </w:t>
      </w:r>
      <w:r>
        <w:rPr>
          <w:rFonts w:ascii="宋体" w:hAnsi="宋体" w:cs="宋体" w:eastAsia="宋体" w:hint="default"/>
          <w:spacing w:val="-5"/>
          <w:sz w:val="24"/>
          <w:szCs w:val="24"/>
        </w:rPr>
        <w:t>公司董事及高级管理人员能够守法经营，认真执行股东大会决议，具有很强的进取精神，</w:t>
      </w:r>
      <w:r>
        <w:rPr>
          <w:rFonts w:ascii="宋体" w:hAnsi="宋体" w:cs="宋体" w:eastAsia="宋体" w:hint="default"/>
          <w:spacing w:val="-97"/>
          <w:sz w:val="24"/>
          <w:szCs w:val="24"/>
        </w:rPr>
        <w:t> </w:t>
      </w:r>
      <w:r>
        <w:rPr>
          <w:rFonts w:ascii="宋体" w:hAnsi="宋体" w:cs="宋体" w:eastAsia="宋体" w:hint="default"/>
          <w:spacing w:val="-97"/>
          <w:sz w:val="24"/>
          <w:szCs w:val="24"/>
        </w:rPr>
      </w:r>
      <w:r>
        <w:rPr>
          <w:rFonts w:ascii="宋体" w:hAnsi="宋体" w:cs="宋体" w:eastAsia="宋体" w:hint="default"/>
          <w:sz w:val="24"/>
          <w:szCs w:val="24"/>
        </w:rPr>
        <w:t>未见违反法规、公司章程及损害股东、员工利益的行为。</w:t>
      </w:r>
    </w:p>
    <w:p>
      <w:pPr>
        <w:spacing w:line="331" w:lineRule="auto" w:before="157"/>
        <w:ind w:left="598" w:right="218" w:hanging="480"/>
        <w:jc w:val="left"/>
        <w:rPr>
          <w:rFonts w:ascii="宋体" w:hAnsi="宋体" w:cs="宋体" w:eastAsia="宋体" w:hint="default"/>
          <w:sz w:val="24"/>
          <w:szCs w:val="24"/>
        </w:rPr>
      </w:pPr>
      <w:r>
        <w:rPr>
          <w:rFonts w:ascii="宋体" w:hAnsi="宋体" w:cs="宋体" w:eastAsia="宋体" w:hint="default"/>
          <w:b/>
          <w:bCs/>
          <w:sz w:val="24"/>
          <w:szCs w:val="24"/>
        </w:rPr>
        <w:t>（三）监事会对检查公司财务情况的独立意见</w:t>
      </w:r>
      <w:r>
        <w:rPr>
          <w:rFonts w:ascii="宋体" w:hAnsi="宋体" w:cs="宋体" w:eastAsia="宋体" w:hint="default"/>
          <w:b/>
          <w:bCs/>
          <w:w w:val="99"/>
          <w:sz w:val="24"/>
          <w:szCs w:val="24"/>
        </w:rPr>
        <w:t> </w:t>
      </w:r>
      <w:r>
        <w:rPr>
          <w:rFonts w:ascii="宋体" w:hAnsi="宋体" w:cs="宋体" w:eastAsia="宋体" w:hint="default"/>
          <w:sz w:val="24"/>
          <w:szCs w:val="24"/>
        </w:rPr>
        <w:t>经立信会计师事务所（特殊普通合伙）审定的公司 2011</w:t>
      </w:r>
      <w:r>
        <w:rPr>
          <w:rFonts w:ascii="宋体" w:hAnsi="宋体" w:cs="宋体" w:eastAsia="宋体" w:hint="default"/>
          <w:spacing w:val="-52"/>
          <w:sz w:val="24"/>
          <w:szCs w:val="24"/>
        </w:rPr>
        <w:t> </w:t>
      </w:r>
      <w:r>
        <w:rPr>
          <w:rFonts w:ascii="宋体" w:hAnsi="宋体" w:cs="宋体" w:eastAsia="宋体" w:hint="default"/>
          <w:sz w:val="24"/>
          <w:szCs w:val="24"/>
        </w:rPr>
        <w:t>年度财务报告是客观公正</w:t>
      </w:r>
    </w:p>
    <w:p>
      <w:pPr>
        <w:pStyle w:val="Heading5"/>
        <w:spacing w:line="221" w:lineRule="exact"/>
        <w:ind w:right="100"/>
        <w:jc w:val="left"/>
      </w:pPr>
      <w:r>
        <w:rPr/>
        <w:t>的，真实反映了公司的财务状况和经营成果。</w:t>
      </w:r>
    </w:p>
    <w:p>
      <w:pPr>
        <w:spacing w:line="331" w:lineRule="auto" w:before="186"/>
        <w:ind w:left="598" w:right="100" w:hanging="480"/>
        <w:jc w:val="left"/>
        <w:rPr>
          <w:rFonts w:ascii="宋体" w:hAnsi="宋体" w:cs="宋体" w:eastAsia="宋体" w:hint="default"/>
          <w:sz w:val="24"/>
          <w:szCs w:val="24"/>
        </w:rPr>
      </w:pPr>
      <w:r>
        <w:rPr>
          <w:rFonts w:ascii="宋体" w:hAnsi="宋体" w:cs="宋体" w:eastAsia="宋体" w:hint="default"/>
          <w:b/>
          <w:bCs/>
          <w:sz w:val="24"/>
          <w:szCs w:val="24"/>
        </w:rPr>
        <w:t>（四）监事会对公司最近一次募集资金实际投入情况的独立意见</w:t>
      </w:r>
      <w:r>
        <w:rPr>
          <w:rFonts w:ascii="宋体" w:hAnsi="宋体" w:cs="宋体" w:eastAsia="宋体" w:hint="default"/>
          <w:b/>
          <w:bCs/>
          <w:w w:val="99"/>
          <w:sz w:val="24"/>
          <w:szCs w:val="24"/>
        </w:rPr>
        <w:t> </w:t>
      </w:r>
      <w:r>
        <w:rPr>
          <w:rFonts w:ascii="宋体" w:hAnsi="宋体" w:cs="宋体" w:eastAsia="宋体" w:hint="default"/>
          <w:spacing w:val="-2"/>
          <w:sz w:val="24"/>
          <w:szCs w:val="24"/>
        </w:rPr>
        <w:t>公司最近一次募集资金实际投入项目与承诺投入项目一致，募集资金的投入对公司</w:t>
      </w:r>
    </w:p>
    <w:p>
      <w:pPr>
        <w:pStyle w:val="Heading5"/>
        <w:spacing w:line="221" w:lineRule="exact"/>
        <w:ind w:right="100"/>
        <w:jc w:val="left"/>
      </w:pPr>
      <w:r>
        <w:rPr/>
        <w:t>发展起到了重要的作用。</w:t>
      </w:r>
    </w:p>
    <w:p>
      <w:pPr>
        <w:spacing w:line="331" w:lineRule="auto" w:before="186"/>
        <w:ind w:left="598" w:right="100" w:hanging="480"/>
        <w:jc w:val="left"/>
        <w:rPr>
          <w:rFonts w:ascii="宋体" w:hAnsi="宋体" w:cs="宋体" w:eastAsia="宋体" w:hint="default"/>
          <w:sz w:val="24"/>
          <w:szCs w:val="24"/>
        </w:rPr>
      </w:pPr>
      <w:r>
        <w:rPr>
          <w:rFonts w:ascii="宋体" w:hAnsi="宋体" w:cs="宋体" w:eastAsia="宋体" w:hint="default"/>
          <w:b/>
          <w:bCs/>
          <w:sz w:val="24"/>
          <w:szCs w:val="24"/>
        </w:rPr>
        <w:t>（五）监事会对公司收购、出售资产情况的独立意见</w:t>
      </w:r>
      <w:r>
        <w:rPr>
          <w:rFonts w:ascii="宋体" w:hAnsi="宋体" w:cs="宋体" w:eastAsia="宋体" w:hint="default"/>
          <w:b/>
          <w:bCs/>
          <w:w w:val="99"/>
          <w:sz w:val="24"/>
          <w:szCs w:val="24"/>
        </w:rPr>
        <w:t> </w:t>
      </w:r>
      <w:r>
        <w:rPr>
          <w:rFonts w:ascii="宋体" w:hAnsi="宋体" w:cs="宋体" w:eastAsia="宋体" w:hint="default"/>
          <w:spacing w:val="-2"/>
          <w:sz w:val="24"/>
          <w:szCs w:val="24"/>
        </w:rPr>
        <w:t>公司收购、出售资产交易价格合理，未发现内幕交易，未有损害股东的权益或造成</w:t>
      </w:r>
    </w:p>
    <w:p>
      <w:pPr>
        <w:pStyle w:val="Heading5"/>
        <w:spacing w:line="221" w:lineRule="exact"/>
        <w:ind w:right="100"/>
        <w:jc w:val="left"/>
      </w:pPr>
      <w:r>
        <w:rPr/>
        <w:t>公司资产流失的情况发生。</w:t>
      </w:r>
    </w:p>
    <w:p>
      <w:pPr>
        <w:spacing w:before="186"/>
        <w:ind w:left="118" w:right="100" w:firstLine="0"/>
        <w:jc w:val="left"/>
        <w:rPr>
          <w:rFonts w:ascii="宋体" w:hAnsi="宋体" w:cs="宋体" w:eastAsia="宋体" w:hint="default"/>
          <w:sz w:val="24"/>
          <w:szCs w:val="24"/>
        </w:rPr>
      </w:pPr>
      <w:r>
        <w:rPr>
          <w:rFonts w:ascii="宋体" w:hAnsi="宋体" w:cs="宋体" w:eastAsia="宋体" w:hint="default"/>
          <w:b/>
          <w:bCs/>
          <w:sz w:val="24"/>
          <w:szCs w:val="24"/>
        </w:rPr>
        <w:t>（六）监事会对公司关联交易情况的独立意见</w:t>
      </w:r>
      <w:r>
        <w:rPr>
          <w:rFonts w:ascii="宋体" w:hAnsi="宋体" w:cs="宋体" w:eastAsia="宋体" w:hint="default"/>
          <w:sz w:val="24"/>
          <w:szCs w:val="24"/>
        </w:rPr>
      </w:r>
    </w:p>
    <w:p>
      <w:pPr>
        <w:spacing w:before="120"/>
        <w:ind w:left="598" w:right="100" w:firstLine="0"/>
        <w:jc w:val="left"/>
        <w:rPr>
          <w:rFonts w:ascii="宋体" w:hAnsi="宋体" w:cs="宋体" w:eastAsia="宋体" w:hint="default"/>
          <w:sz w:val="24"/>
          <w:szCs w:val="24"/>
        </w:rPr>
      </w:pPr>
      <w:r>
        <w:rPr>
          <w:rFonts w:ascii="宋体" w:hAnsi="宋体" w:cs="宋体" w:eastAsia="宋体" w:hint="default"/>
          <w:sz w:val="24"/>
          <w:szCs w:val="24"/>
        </w:rPr>
        <w:t>公司</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年进行的关联交易均以公允的价格进行，并未损害公司利益。</w:t>
      </w:r>
    </w:p>
    <w:p>
      <w:pPr>
        <w:spacing w:line="240" w:lineRule="auto" w:before="2"/>
        <w:rPr>
          <w:rFonts w:ascii="宋体" w:hAnsi="宋体" w:cs="宋体" w:eastAsia="宋体" w:hint="default"/>
          <w:sz w:val="29"/>
          <w:szCs w:val="29"/>
        </w:rPr>
      </w:pPr>
    </w:p>
    <w:p>
      <w:pPr>
        <w:pStyle w:val="BodyText"/>
        <w:spacing w:line="240" w:lineRule="auto"/>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7"/>
        <w:rPr>
          <w:rFonts w:ascii="黑体" w:hAnsi="黑体" w:cs="黑体" w:eastAsia="黑体" w:hint="default"/>
          <w:sz w:val="15"/>
          <w:szCs w:val="15"/>
        </w:rPr>
      </w:pPr>
    </w:p>
    <w:p>
      <w:pPr>
        <w:spacing w:line="331" w:lineRule="auto" w:before="26"/>
        <w:ind w:left="598" w:right="100" w:hanging="480"/>
        <w:jc w:val="left"/>
        <w:rPr>
          <w:rFonts w:ascii="宋体" w:hAnsi="宋体" w:cs="宋体" w:eastAsia="宋体" w:hint="default"/>
          <w:sz w:val="24"/>
          <w:szCs w:val="24"/>
        </w:rPr>
      </w:pPr>
      <w:r>
        <w:rPr>
          <w:rFonts w:ascii="宋体" w:hAnsi="宋体" w:cs="宋体" w:eastAsia="宋体" w:hint="default"/>
          <w:b/>
          <w:bCs/>
          <w:sz w:val="24"/>
          <w:szCs w:val="24"/>
        </w:rPr>
        <w:t>（七）监事会对内部控制自我评价报告的审阅情况及意见</w:t>
      </w:r>
      <w:r>
        <w:rPr>
          <w:rFonts w:ascii="宋体" w:hAnsi="宋体" w:cs="宋体" w:eastAsia="宋体" w:hint="default"/>
          <w:b/>
          <w:bCs/>
          <w:w w:val="99"/>
          <w:sz w:val="24"/>
          <w:szCs w:val="24"/>
        </w:rPr>
        <w:t> </w:t>
      </w:r>
      <w:r>
        <w:rPr>
          <w:rFonts w:ascii="宋体" w:hAnsi="宋体" w:cs="宋体" w:eastAsia="宋体" w:hint="default"/>
          <w:spacing w:val="-2"/>
          <w:sz w:val="24"/>
          <w:szCs w:val="24"/>
        </w:rPr>
        <w:t>监事会审阅并同意《公司内部控制的自我评价报告》。公司建立健全行之有效的内</w:t>
      </w:r>
      <w:r>
        <w:rPr>
          <w:rFonts w:ascii="宋体" w:hAnsi="宋体" w:cs="宋体" w:eastAsia="宋体" w:hint="default"/>
          <w:sz w:val="24"/>
          <w:szCs w:val="24"/>
        </w:rPr>
      </w:r>
    </w:p>
    <w:p>
      <w:pPr>
        <w:pStyle w:val="Heading5"/>
        <w:spacing w:line="220" w:lineRule="exact"/>
        <w:ind w:right="100"/>
        <w:jc w:val="left"/>
      </w:pPr>
      <w:r>
        <w:rPr>
          <w:spacing w:val="-6"/>
        </w:rPr>
        <w:t>部控制体系，形成了科学的决策机制、执行机制和监督机制，保证公司规范、安全运行。</w:t>
      </w:r>
      <w:r>
        <w:rPr/>
      </w:r>
    </w:p>
    <w:p>
      <w:pPr>
        <w:spacing w:line="313" w:lineRule="exact" w:before="0"/>
        <w:ind w:left="118" w:right="100" w:firstLine="0"/>
        <w:jc w:val="left"/>
        <w:rPr>
          <w:rFonts w:ascii="宋体" w:hAnsi="宋体" w:cs="宋体" w:eastAsia="宋体" w:hint="default"/>
          <w:sz w:val="24"/>
          <w:szCs w:val="24"/>
        </w:rPr>
      </w:pPr>
      <w:r>
        <w:rPr>
          <w:rFonts w:ascii="宋体" w:hAnsi="宋体" w:cs="宋体" w:eastAsia="宋体" w:hint="default"/>
          <w:sz w:val="24"/>
          <w:szCs w:val="24"/>
        </w:rPr>
        <w:t>该报告全面、真实、准确地反映了公司内部控制的实际情况。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spacing w:line="240" w:lineRule="auto"/>
        <w:ind w:left="118" w:right="10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180"/>
        </w:sectPr>
      </w:pPr>
    </w:p>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20"/>
          <w:szCs w:val="20"/>
        </w:rPr>
      </w:pPr>
    </w:p>
    <w:p>
      <w:pPr>
        <w:pStyle w:val="Heading2"/>
        <w:spacing w:line="240" w:lineRule="auto"/>
        <w:ind w:left="1018" w:right="5766"/>
        <w:jc w:val="left"/>
        <w:rPr>
          <w:b w:val="0"/>
          <w:bCs w:val="0"/>
        </w:rPr>
      </w:pPr>
      <w:bookmarkStart w:name="_TOC_250002" w:id="11"/>
      <w:r>
        <w:rPr/>
        <w:t>十、重要事项</w:t>
      </w:r>
      <w:bookmarkEnd w:id="11"/>
      <w:r>
        <w:rPr>
          <w:b w:val="0"/>
          <w:bCs w:val="0"/>
        </w:rPr>
      </w:r>
    </w:p>
    <w:p>
      <w:pPr>
        <w:spacing w:line="331" w:lineRule="auto" w:before="197"/>
        <w:ind w:left="1498" w:right="5766" w:hanging="480"/>
        <w:jc w:val="left"/>
        <w:rPr>
          <w:rFonts w:ascii="宋体" w:hAnsi="宋体" w:cs="宋体" w:eastAsia="宋体" w:hint="default"/>
          <w:sz w:val="24"/>
          <w:szCs w:val="24"/>
        </w:rPr>
      </w:pPr>
      <w:r>
        <w:rPr>
          <w:rFonts w:ascii="宋体" w:hAnsi="宋体" w:cs="宋体" w:eastAsia="宋体" w:hint="default"/>
          <w:b/>
          <w:bCs/>
          <w:sz w:val="24"/>
          <w:szCs w:val="24"/>
        </w:rPr>
        <w:t>（一）重大诉讼仲裁事项</w:t>
      </w:r>
      <w:r>
        <w:rPr>
          <w:rFonts w:ascii="宋体" w:hAnsi="宋体" w:cs="宋体" w:eastAsia="宋体" w:hint="default"/>
          <w:b/>
          <w:bCs/>
          <w:spacing w:val="1"/>
          <w:w w:val="99"/>
          <w:sz w:val="24"/>
          <w:szCs w:val="24"/>
        </w:rPr>
        <w:t> </w:t>
      </w:r>
      <w:r>
        <w:rPr>
          <w:rFonts w:ascii="宋体" w:hAnsi="宋体" w:cs="宋体" w:eastAsia="宋体" w:hint="default"/>
          <w:sz w:val="24"/>
          <w:szCs w:val="24"/>
        </w:rPr>
        <w:t>本年度公司无重大诉讼、仲裁事项。</w:t>
      </w:r>
    </w:p>
    <w:p>
      <w:pPr>
        <w:spacing w:line="333" w:lineRule="auto" w:before="95"/>
        <w:ind w:left="1498" w:right="2646" w:hanging="480"/>
        <w:jc w:val="left"/>
        <w:rPr>
          <w:rFonts w:ascii="宋体" w:hAnsi="宋体" w:cs="宋体" w:eastAsia="宋体" w:hint="default"/>
          <w:sz w:val="24"/>
          <w:szCs w:val="24"/>
        </w:rPr>
      </w:pPr>
      <w:r>
        <w:rPr>
          <w:rFonts w:ascii="宋体" w:hAnsi="宋体" w:cs="宋体" w:eastAsia="宋体" w:hint="default"/>
          <w:b/>
          <w:bCs/>
          <w:w w:val="95"/>
          <w:sz w:val="24"/>
          <w:szCs w:val="24"/>
        </w:rPr>
        <w:t>（二）破产重整相关事项及暂停上市或终止上市情况</w:t>
      </w:r>
      <w:r>
        <w:rPr>
          <w:rFonts w:ascii="宋体" w:hAnsi="宋体" w:cs="宋体" w:eastAsia="宋体" w:hint="default"/>
          <w:b/>
          <w:bCs/>
          <w:spacing w:val="25"/>
          <w:w w:val="95"/>
          <w:sz w:val="24"/>
          <w:szCs w:val="24"/>
        </w:rPr>
        <w:t> </w:t>
      </w:r>
      <w:r>
        <w:rPr>
          <w:rFonts w:ascii="宋体" w:hAnsi="宋体" w:cs="宋体" w:eastAsia="宋体" w:hint="default"/>
          <w:sz w:val="24"/>
          <w:szCs w:val="24"/>
        </w:rPr>
        <w:t>本年度公司无破产重整相关事项。</w:t>
      </w:r>
    </w:p>
    <w:p>
      <w:pPr>
        <w:spacing w:line="331" w:lineRule="auto" w:before="92"/>
        <w:ind w:left="1498" w:right="2646" w:hanging="480"/>
        <w:jc w:val="left"/>
        <w:rPr>
          <w:rFonts w:ascii="宋体" w:hAnsi="宋体" w:cs="宋体" w:eastAsia="宋体" w:hint="default"/>
          <w:sz w:val="24"/>
          <w:szCs w:val="24"/>
        </w:rPr>
      </w:pPr>
      <w:r>
        <w:rPr>
          <w:rFonts w:ascii="宋体" w:hAnsi="宋体" w:cs="宋体" w:eastAsia="宋体" w:hint="default"/>
          <w:b/>
          <w:bCs/>
          <w:sz w:val="24"/>
          <w:szCs w:val="24"/>
        </w:rPr>
        <w:t>（三）公司持有其他上市公司股权、参股金融企业股权情况</w:t>
      </w:r>
      <w:r>
        <w:rPr>
          <w:rFonts w:ascii="宋体" w:hAnsi="宋体" w:cs="宋体" w:eastAsia="宋体" w:hint="default"/>
          <w:b/>
          <w:bCs/>
          <w:spacing w:val="1"/>
          <w:w w:val="99"/>
          <w:sz w:val="24"/>
          <w:szCs w:val="24"/>
        </w:rPr>
        <w:t> </w:t>
      </w:r>
      <w:r>
        <w:rPr>
          <w:rFonts w:ascii="宋体" w:hAnsi="宋体" w:cs="宋体" w:eastAsia="宋体" w:hint="default"/>
          <w:sz w:val="24"/>
          <w:szCs w:val="24"/>
        </w:rPr>
        <w:t>本年度公司无持有其他上市公司股权、参股金融企业股权的情况。</w:t>
      </w:r>
    </w:p>
    <w:p>
      <w:pPr>
        <w:spacing w:after="0" w:line="331" w:lineRule="auto"/>
        <w:jc w:val="left"/>
        <w:rPr>
          <w:rFonts w:ascii="宋体" w:hAnsi="宋体" w:cs="宋体" w:eastAsia="宋体" w:hint="default"/>
          <w:sz w:val="24"/>
          <w:szCs w:val="24"/>
        </w:rPr>
        <w:sectPr>
          <w:pgSz w:w="11910" w:h="16840"/>
          <w:pgMar w:header="1012" w:footer="480" w:top="1360" w:bottom="660" w:left="400" w:right="380"/>
        </w:sectPr>
      </w:pPr>
    </w:p>
    <w:p>
      <w:pPr>
        <w:pStyle w:val="Heading4"/>
        <w:spacing w:line="331" w:lineRule="auto" w:before="95"/>
        <w:ind w:left="1018" w:right="0"/>
        <w:jc w:val="left"/>
        <w:rPr>
          <w:b w:val="0"/>
          <w:bCs w:val="0"/>
        </w:rPr>
      </w:pPr>
      <w:r>
        <w:rPr>
          <w:w w:val="95"/>
        </w:rPr>
        <w:t>（四）资产交易事项</w:t>
      </w:r>
      <w:r>
        <w:rPr>
          <w:spacing w:val="-15"/>
          <w:w w:val="95"/>
        </w:rPr>
        <w:t> </w:t>
      </w:r>
      <w:r>
        <w:rPr/>
        <w:t>1、收购资产情况</w:t>
      </w:r>
      <w:r>
        <w:rPr>
          <w:b w:val="0"/>
          <w:bCs w:val="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6"/>
          <w:szCs w:val="26"/>
        </w:rPr>
      </w:pPr>
    </w:p>
    <w:p>
      <w:pPr>
        <w:pStyle w:val="BodyText"/>
        <w:spacing w:line="240" w:lineRule="auto" w:before="0"/>
        <w:ind w:left="1018" w:right="0"/>
        <w:jc w:val="left"/>
        <w:rPr>
          <w:rFonts w:ascii="宋体" w:hAnsi="宋体" w:cs="宋体" w:eastAsia="宋体" w:hint="default"/>
        </w:rPr>
      </w:pPr>
      <w:r>
        <w:rPr>
          <w:rFonts w:ascii="宋体" w:hAnsi="宋体" w:cs="宋体" w:eastAsia="宋体" w:hint="default"/>
        </w:rPr>
        <w:t>单位：元</w:t>
      </w:r>
      <w:r>
        <w:rPr>
          <w:rFonts w:ascii="宋体" w:hAnsi="宋体" w:cs="宋体" w:eastAsia="宋体" w:hint="default"/>
          <w:spacing w:val="-2"/>
        </w:rPr>
        <w:t> </w:t>
      </w:r>
      <w:r>
        <w:rPr>
          <w:rFonts w:ascii="宋体" w:hAnsi="宋体" w:cs="宋体" w:eastAsia="宋体" w:hint="default"/>
        </w:rPr>
        <w:t>币种：人民币</w:t>
      </w:r>
    </w:p>
    <w:p>
      <w:pPr>
        <w:spacing w:after="0" w:line="240" w:lineRule="auto"/>
        <w:jc w:val="left"/>
        <w:rPr>
          <w:rFonts w:ascii="宋体" w:hAnsi="宋体" w:cs="宋体" w:eastAsia="宋体" w:hint="default"/>
        </w:rPr>
        <w:sectPr>
          <w:type w:val="continuous"/>
          <w:pgSz w:w="11910" w:h="16840"/>
          <w:pgMar w:top="1600" w:bottom="280" w:left="400" w:right="380"/>
          <w:cols w:num="2" w:equalWidth="0">
            <w:col w:w="3187" w:space="3678"/>
            <w:col w:w="4265"/>
          </w:cols>
        </w:sectPr>
      </w:pPr>
    </w:p>
    <w:p>
      <w:pPr>
        <w:spacing w:line="240" w:lineRule="auto" w:before="13"/>
        <w:rPr>
          <w:rFonts w:ascii="宋体" w:hAnsi="宋体" w:cs="宋体" w:eastAsia="宋体" w:hint="default"/>
          <w:sz w:val="3"/>
          <w:szCs w:val="3"/>
        </w:rPr>
      </w:pPr>
    </w:p>
    <w:tbl>
      <w:tblPr>
        <w:tblW w:w="0" w:type="auto"/>
        <w:jc w:val="left"/>
        <w:tblInd w:w="101" w:type="dxa"/>
        <w:tblLayout w:type="fixed"/>
        <w:tblCellMar>
          <w:top w:w="0" w:type="dxa"/>
          <w:left w:w="0" w:type="dxa"/>
          <w:bottom w:w="0" w:type="dxa"/>
          <w:right w:w="0" w:type="dxa"/>
        </w:tblCellMar>
        <w:tblLook w:val="01E0"/>
      </w:tblPr>
      <w:tblGrid>
        <w:gridCol w:w="1018"/>
        <w:gridCol w:w="1694"/>
        <w:gridCol w:w="576"/>
        <w:gridCol w:w="1291"/>
        <w:gridCol w:w="1116"/>
        <w:gridCol w:w="1020"/>
        <w:gridCol w:w="576"/>
        <w:gridCol w:w="870"/>
        <w:gridCol w:w="954"/>
        <w:gridCol w:w="602"/>
        <w:gridCol w:w="776"/>
        <w:gridCol w:w="396"/>
      </w:tblGrid>
      <w:tr>
        <w:trPr>
          <w:trHeight w:val="2414" w:hRule="exact"/>
        </w:trPr>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44" w:lineRule="auto"/>
              <w:ind w:left="140" w:right="140"/>
              <w:jc w:val="center"/>
              <w:rPr>
                <w:rFonts w:ascii="宋体" w:hAnsi="宋体" w:cs="宋体" w:eastAsia="宋体" w:hint="default"/>
                <w:sz w:val="18"/>
                <w:szCs w:val="18"/>
              </w:rPr>
            </w:pPr>
            <w:r>
              <w:rPr>
                <w:rFonts w:ascii="宋体" w:hAnsi="宋体" w:cs="宋体" w:eastAsia="宋体" w:hint="default"/>
                <w:sz w:val="18"/>
                <w:szCs w:val="18"/>
              </w:rPr>
              <w:t>交易对方 或最终控 制方</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left="390" w:right="0"/>
              <w:jc w:val="left"/>
              <w:rPr>
                <w:rFonts w:ascii="宋体" w:hAnsi="宋体" w:cs="宋体" w:eastAsia="宋体" w:hint="default"/>
                <w:sz w:val="18"/>
                <w:szCs w:val="18"/>
              </w:rPr>
            </w:pPr>
            <w:r>
              <w:rPr>
                <w:rFonts w:ascii="宋体" w:hAnsi="宋体" w:cs="宋体" w:eastAsia="宋体" w:hint="default"/>
                <w:sz w:val="18"/>
                <w:szCs w:val="18"/>
              </w:rPr>
              <w:t>被收购资产</w:t>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7"/>
                <w:szCs w:val="17"/>
              </w:rPr>
            </w:pPr>
          </w:p>
          <w:p>
            <w:pPr>
              <w:pStyle w:val="TableParagraph"/>
              <w:spacing w:line="244" w:lineRule="auto"/>
              <w:ind w:left="189" w:right="101" w:hanging="90"/>
              <w:jc w:val="left"/>
              <w:rPr>
                <w:rFonts w:ascii="宋体" w:hAnsi="宋体" w:cs="宋体" w:eastAsia="宋体" w:hint="default"/>
                <w:sz w:val="18"/>
                <w:szCs w:val="18"/>
              </w:rPr>
            </w:pPr>
            <w:r>
              <w:rPr>
                <w:rFonts w:ascii="宋体" w:hAnsi="宋体" w:cs="宋体" w:eastAsia="宋体" w:hint="default"/>
                <w:sz w:val="18"/>
                <w:szCs w:val="18"/>
              </w:rPr>
              <w:t>购买 日</w:t>
            </w:r>
          </w:p>
        </w:tc>
        <w:tc>
          <w:tcPr>
            <w:tcW w:w="12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7"/>
                <w:szCs w:val="17"/>
              </w:rPr>
            </w:pPr>
          </w:p>
          <w:p>
            <w:pPr>
              <w:pStyle w:val="TableParagraph"/>
              <w:spacing w:line="244" w:lineRule="auto"/>
              <w:ind w:left="457" w:right="277" w:hanging="180"/>
              <w:jc w:val="left"/>
              <w:rPr>
                <w:rFonts w:ascii="宋体" w:hAnsi="宋体" w:cs="宋体" w:eastAsia="宋体" w:hint="default"/>
                <w:sz w:val="18"/>
                <w:szCs w:val="18"/>
              </w:rPr>
            </w:pPr>
            <w:r>
              <w:rPr>
                <w:rFonts w:ascii="宋体" w:hAnsi="宋体" w:cs="宋体" w:eastAsia="宋体" w:hint="default"/>
                <w:sz w:val="18"/>
                <w:szCs w:val="18"/>
              </w:rPr>
              <w:t>资产收购 价格</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4" w:lineRule="auto"/>
              <w:ind w:left="99" w:right="101"/>
              <w:jc w:val="both"/>
              <w:rPr>
                <w:rFonts w:ascii="宋体" w:hAnsi="宋体" w:cs="宋体" w:eastAsia="宋体" w:hint="default"/>
                <w:sz w:val="18"/>
                <w:szCs w:val="18"/>
              </w:rPr>
            </w:pPr>
            <w:r>
              <w:rPr>
                <w:rFonts w:ascii="宋体" w:hAnsi="宋体" w:cs="宋体" w:eastAsia="宋体" w:hint="default"/>
                <w:sz w:val="18"/>
                <w:szCs w:val="18"/>
              </w:rPr>
              <w:t>自收购日起 至本年末为 上市公司贡 献的净利润</w:t>
            </w:r>
          </w:p>
        </w:tc>
        <w:tc>
          <w:tcPr>
            <w:tcW w:w="1020"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101"/>
              <w:ind w:left="141" w:right="143"/>
              <w:jc w:val="both"/>
              <w:rPr>
                <w:rFonts w:ascii="宋体" w:hAnsi="宋体" w:cs="宋体" w:eastAsia="宋体" w:hint="default"/>
                <w:sz w:val="18"/>
                <w:szCs w:val="18"/>
              </w:rPr>
            </w:pPr>
            <w:r>
              <w:rPr>
                <w:rFonts w:ascii="宋体" w:hAnsi="宋体" w:cs="宋体" w:eastAsia="宋体" w:hint="default"/>
                <w:sz w:val="18"/>
                <w:szCs w:val="18"/>
              </w:rPr>
              <w:t>自本年初 至本年末 为上市公 司贡献的 净利润</w:t>
            </w:r>
          </w:p>
          <w:p>
            <w:pPr>
              <w:pStyle w:val="TableParagraph"/>
              <w:spacing w:line="244" w:lineRule="auto" w:before="1"/>
              <w:ind w:left="141" w:right="143"/>
              <w:jc w:val="both"/>
              <w:rPr>
                <w:rFonts w:ascii="宋体" w:hAnsi="宋体" w:cs="宋体" w:eastAsia="宋体" w:hint="default"/>
                <w:sz w:val="18"/>
                <w:szCs w:val="18"/>
              </w:rPr>
            </w:pPr>
            <w:r>
              <w:rPr>
                <w:rFonts w:ascii="宋体" w:hAnsi="宋体" w:cs="宋体" w:eastAsia="宋体" w:hint="default"/>
                <w:sz w:val="18"/>
                <w:szCs w:val="18"/>
              </w:rPr>
              <w:t>（适用于 同一控制 下的企业 合并）</w:t>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98"/>
              <w:jc w:val="both"/>
              <w:rPr>
                <w:rFonts w:ascii="宋体" w:hAnsi="宋体" w:cs="宋体" w:eastAsia="宋体" w:hint="default"/>
                <w:sz w:val="18"/>
                <w:szCs w:val="18"/>
              </w:rPr>
            </w:pPr>
            <w:r>
              <w:rPr>
                <w:rFonts w:ascii="宋体" w:hAnsi="宋体" w:cs="宋体" w:eastAsia="宋体" w:hint="default"/>
                <w:sz w:val="18"/>
                <w:szCs w:val="18"/>
              </w:rPr>
              <w:t>是否 为关 联交 易</w:t>
            </w:r>
          </w:p>
          <w:p>
            <w:pPr>
              <w:pStyle w:val="TableParagraph"/>
              <w:spacing w:line="240" w:lineRule="exact"/>
              <w:ind w:left="100" w:right="98"/>
              <w:jc w:val="center"/>
              <w:rPr>
                <w:rFonts w:ascii="宋体" w:hAnsi="宋体" w:cs="宋体" w:eastAsia="宋体" w:hint="default"/>
                <w:sz w:val="18"/>
                <w:szCs w:val="18"/>
              </w:rPr>
            </w:pPr>
            <w:r>
              <w:rPr>
                <w:rFonts w:ascii="宋体" w:hAnsi="宋体" w:cs="宋体" w:eastAsia="宋体" w:hint="default"/>
                <w:sz w:val="18"/>
                <w:szCs w:val="18"/>
              </w:rPr>
              <w:t>（如 是， 说明 定价 原 则）</w:t>
            </w: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44" w:lineRule="auto"/>
              <w:ind w:left="157" w:right="156"/>
              <w:jc w:val="both"/>
              <w:rPr>
                <w:rFonts w:ascii="宋体" w:hAnsi="宋体" w:cs="宋体" w:eastAsia="宋体" w:hint="default"/>
                <w:sz w:val="18"/>
                <w:szCs w:val="18"/>
              </w:rPr>
            </w:pPr>
            <w:r>
              <w:rPr>
                <w:rFonts w:ascii="宋体" w:hAnsi="宋体" w:cs="宋体" w:eastAsia="宋体" w:hint="default"/>
                <w:sz w:val="18"/>
                <w:szCs w:val="18"/>
              </w:rPr>
              <w:t>资产收 购定价 原则</w:t>
            </w:r>
          </w:p>
        </w:tc>
        <w:tc>
          <w:tcPr>
            <w:tcW w:w="9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4" w:lineRule="auto"/>
              <w:ind w:left="107" w:right="109"/>
              <w:jc w:val="both"/>
              <w:rPr>
                <w:rFonts w:ascii="宋体" w:hAnsi="宋体" w:cs="宋体" w:eastAsia="宋体" w:hint="default"/>
                <w:sz w:val="18"/>
                <w:szCs w:val="18"/>
              </w:rPr>
            </w:pPr>
            <w:r>
              <w:rPr>
                <w:rFonts w:ascii="宋体" w:hAnsi="宋体" w:cs="宋体" w:eastAsia="宋体" w:hint="default"/>
                <w:sz w:val="18"/>
                <w:szCs w:val="18"/>
              </w:rPr>
              <w:t>所涉及的 资产产权 是否已全 部过户</w:t>
            </w:r>
          </w:p>
        </w:tc>
        <w:tc>
          <w:tcPr>
            <w:tcW w:w="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4" w:lineRule="auto"/>
              <w:ind w:left="112" w:right="113"/>
              <w:jc w:val="both"/>
              <w:rPr>
                <w:rFonts w:ascii="宋体" w:hAnsi="宋体" w:cs="宋体" w:eastAsia="宋体" w:hint="default"/>
                <w:sz w:val="18"/>
                <w:szCs w:val="18"/>
              </w:rPr>
            </w:pPr>
            <w:r>
              <w:rPr>
                <w:rFonts w:ascii="宋体" w:hAnsi="宋体" w:cs="宋体" w:eastAsia="宋体" w:hint="default"/>
                <w:sz w:val="18"/>
                <w:szCs w:val="18"/>
              </w:rPr>
              <w:t>所涉 及的 债权 债务 是否 已全 部转 移</w:t>
            </w:r>
          </w:p>
        </w:tc>
        <w:tc>
          <w:tcPr>
            <w:tcW w:w="7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4" w:lineRule="auto"/>
              <w:ind w:left="110" w:right="109"/>
              <w:jc w:val="center"/>
              <w:rPr>
                <w:rFonts w:ascii="宋体" w:hAnsi="宋体" w:cs="宋体" w:eastAsia="宋体" w:hint="default"/>
                <w:sz w:val="18"/>
                <w:szCs w:val="18"/>
              </w:rPr>
            </w:pPr>
            <w:r>
              <w:rPr>
                <w:rFonts w:ascii="宋体" w:hAnsi="宋体" w:cs="宋体" w:eastAsia="宋体" w:hint="default"/>
                <w:sz w:val="18"/>
                <w:szCs w:val="18"/>
              </w:rPr>
              <w:t>该资产 贡献的 净利润 占上市 公司净 利润的 比例 (%)</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4" w:lineRule="auto"/>
              <w:ind w:left="99" w:right="100"/>
              <w:jc w:val="both"/>
              <w:rPr>
                <w:rFonts w:ascii="宋体" w:hAnsi="宋体" w:cs="宋体" w:eastAsia="宋体" w:hint="default"/>
                <w:sz w:val="18"/>
                <w:szCs w:val="18"/>
              </w:rPr>
            </w:pPr>
            <w:r>
              <w:rPr>
                <w:rFonts w:ascii="宋体" w:hAnsi="宋体" w:cs="宋体" w:eastAsia="宋体" w:hint="default"/>
                <w:sz w:val="18"/>
                <w:szCs w:val="18"/>
              </w:rPr>
              <w:t>关 联 关 系</w:t>
            </w:r>
          </w:p>
        </w:tc>
      </w:tr>
      <w:tr>
        <w:trPr>
          <w:trHeight w:val="2416" w:hRule="exact"/>
        </w:trPr>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99" w:right="10"/>
              <w:jc w:val="left"/>
              <w:rPr>
                <w:rFonts w:ascii="宋体" w:hAnsi="宋体" w:cs="宋体" w:eastAsia="宋体" w:hint="default"/>
                <w:sz w:val="18"/>
                <w:szCs w:val="18"/>
              </w:rPr>
            </w:pPr>
            <w:r>
              <w:rPr>
                <w:rFonts w:ascii="宋体" w:hAnsi="宋体" w:cs="宋体" w:eastAsia="宋体" w:hint="default"/>
                <w:sz w:val="18"/>
                <w:szCs w:val="18"/>
              </w:rPr>
              <w:t>望海科技 有限公 司、英特 尔（中国） 有限公 司、自然 人郭学 文、段成 惠、张伟</w:t>
            </w:r>
          </w:p>
          <w:p>
            <w:pPr>
              <w:pStyle w:val="TableParagraph"/>
              <w:spacing w:line="217" w:lineRule="exact"/>
              <w:ind w:left="99" w:right="0"/>
              <w:jc w:val="left"/>
              <w:rPr>
                <w:rFonts w:ascii="宋体" w:hAnsi="宋体" w:cs="宋体" w:eastAsia="宋体" w:hint="default"/>
                <w:sz w:val="18"/>
                <w:szCs w:val="18"/>
              </w:rPr>
            </w:pPr>
            <w:r>
              <w:rPr>
                <w:rFonts w:ascii="宋体" w:hAnsi="宋体" w:cs="宋体" w:eastAsia="宋体" w:hint="default"/>
                <w:sz w:val="18"/>
                <w:szCs w:val="18"/>
              </w:rPr>
              <w:t>（注）</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4" w:lineRule="auto"/>
              <w:ind w:left="100" w:right="137"/>
              <w:jc w:val="both"/>
              <w:rPr>
                <w:rFonts w:ascii="宋体" w:hAnsi="宋体" w:cs="宋体" w:eastAsia="宋体" w:hint="default"/>
                <w:sz w:val="18"/>
                <w:szCs w:val="18"/>
              </w:rPr>
            </w:pPr>
            <w:r>
              <w:rPr>
                <w:rFonts w:ascii="宋体" w:hAnsi="宋体" w:cs="宋体" w:eastAsia="宋体" w:hint="default"/>
                <w:sz w:val="18"/>
                <w:szCs w:val="18"/>
              </w:rPr>
              <w:t>北京望海康信科技 有限公司（收购后 更名为北京东软望 海科技有限公司） 73.14%股权</w:t>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99" w:right="0"/>
              <w:jc w:val="left"/>
              <w:rPr>
                <w:rFonts w:ascii="宋体" w:hAnsi="宋体" w:cs="宋体" w:eastAsia="宋体" w:hint="default"/>
                <w:sz w:val="18"/>
                <w:szCs w:val="18"/>
              </w:rPr>
            </w:pPr>
            <w:r>
              <w:rPr>
                <w:rFonts w:ascii="宋体"/>
                <w:sz w:val="18"/>
              </w:rPr>
              <w:t>2011</w:t>
            </w:r>
          </w:p>
          <w:p>
            <w:pPr>
              <w:pStyle w:val="TableParagraph"/>
              <w:spacing w:line="244" w:lineRule="auto" w:before="4"/>
              <w:ind w:left="99" w:right="101"/>
              <w:jc w:val="left"/>
              <w:rPr>
                <w:rFonts w:ascii="宋体" w:hAnsi="宋体" w:cs="宋体" w:eastAsia="宋体" w:hint="default"/>
                <w:sz w:val="18"/>
                <w:szCs w:val="18"/>
              </w:rPr>
            </w:pPr>
            <w:r>
              <w:rPr>
                <w:rFonts w:ascii="宋体" w:hAnsi="宋体" w:cs="宋体" w:eastAsia="宋体" w:hint="default"/>
                <w:spacing w:val="22"/>
                <w:sz w:val="18"/>
                <w:szCs w:val="18"/>
              </w:rPr>
              <w:t>年8</w:t>
            </w:r>
            <w:r>
              <w:rPr>
                <w:rFonts w:ascii="宋体" w:hAnsi="宋体" w:cs="宋体" w:eastAsia="宋体" w:hint="default"/>
                <w:spacing w:val="-46"/>
                <w:sz w:val="18"/>
                <w:szCs w:val="18"/>
              </w:rPr>
              <w:t> </w:t>
            </w:r>
            <w:r>
              <w:rPr>
                <w:rFonts w:ascii="宋体" w:hAnsi="宋体" w:cs="宋体" w:eastAsia="宋体" w:hint="default"/>
                <w:sz w:val="18"/>
                <w:szCs w:val="18"/>
              </w:rPr>
              <w:t>月</w:t>
            </w:r>
          </w:p>
        </w:tc>
        <w:tc>
          <w:tcPr>
            <w:tcW w:w="12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244" w:lineRule="auto"/>
              <w:ind w:left="99" w:right="185"/>
              <w:jc w:val="left"/>
              <w:rPr>
                <w:rFonts w:ascii="宋体" w:hAnsi="宋体" w:cs="宋体" w:eastAsia="宋体" w:hint="default"/>
                <w:sz w:val="18"/>
                <w:szCs w:val="18"/>
              </w:rPr>
            </w:pPr>
            <w:r>
              <w:rPr>
                <w:rFonts w:ascii="宋体" w:hAnsi="宋体" w:cs="宋体" w:eastAsia="宋体" w:hint="default"/>
                <w:sz w:val="18"/>
                <w:szCs w:val="18"/>
              </w:rPr>
              <w:t>不超过 114,101,440</w:t>
            </w:r>
          </w:p>
          <w:p>
            <w:pPr>
              <w:pStyle w:val="TableParagraph"/>
              <w:spacing w:line="240" w:lineRule="auto" w:before="1"/>
              <w:ind w:left="99"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101"/>
              <w:jc w:val="right"/>
              <w:rPr>
                <w:rFonts w:ascii="宋体" w:hAnsi="宋体" w:cs="宋体" w:eastAsia="宋体" w:hint="default"/>
                <w:sz w:val="18"/>
                <w:szCs w:val="18"/>
              </w:rPr>
            </w:pPr>
            <w:r>
              <w:rPr>
                <w:rFonts w:ascii="宋体"/>
                <w:sz w:val="18"/>
              </w:rPr>
              <w:t>1,221,257</w:t>
            </w:r>
          </w:p>
        </w:tc>
        <w:tc>
          <w:tcPr>
            <w:tcW w:w="1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4" w:lineRule="auto"/>
              <w:ind w:left="100" w:right="212"/>
              <w:jc w:val="both"/>
              <w:rPr>
                <w:rFonts w:ascii="宋体" w:hAnsi="宋体" w:cs="宋体" w:eastAsia="宋体" w:hint="default"/>
                <w:sz w:val="18"/>
                <w:szCs w:val="18"/>
              </w:rPr>
            </w:pPr>
            <w:r>
              <w:rPr>
                <w:rFonts w:ascii="宋体" w:hAnsi="宋体" w:cs="宋体" w:eastAsia="宋体" w:hint="default"/>
                <w:sz w:val="18"/>
                <w:szCs w:val="18"/>
              </w:rPr>
              <w:t>根据市 场价格 以及双 方协商</w:t>
            </w:r>
          </w:p>
        </w:tc>
        <w:tc>
          <w:tcPr>
            <w:tcW w:w="9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right="98"/>
              <w:jc w:val="right"/>
              <w:rPr>
                <w:rFonts w:ascii="宋体" w:hAnsi="宋体" w:cs="宋体" w:eastAsia="宋体" w:hint="default"/>
                <w:sz w:val="18"/>
                <w:szCs w:val="18"/>
              </w:rPr>
            </w:pPr>
            <w:r>
              <w:rPr>
                <w:rFonts w:ascii="宋体"/>
                <w:sz w:val="18"/>
              </w:rPr>
              <w:t>0.29</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502" w:hRule="exact"/>
        </w:trPr>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30"/>
              <w:ind w:left="99" w:right="181"/>
              <w:jc w:val="both"/>
              <w:rPr>
                <w:rFonts w:ascii="宋体" w:hAnsi="宋体" w:cs="宋体" w:eastAsia="宋体" w:hint="default"/>
                <w:sz w:val="18"/>
                <w:szCs w:val="18"/>
              </w:rPr>
            </w:pPr>
            <w:r>
              <w:rPr>
                <w:rFonts w:ascii="宋体" w:hAnsi="宋体" w:cs="宋体" w:eastAsia="宋体" w:hint="default"/>
                <w:sz w:val="18"/>
                <w:szCs w:val="18"/>
              </w:rPr>
              <w:t>自然人乐 六平、尹 胜</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before="5"/>
              <w:ind w:left="100" w:right="137"/>
              <w:jc w:val="both"/>
              <w:rPr>
                <w:rFonts w:ascii="宋体" w:hAnsi="宋体" w:cs="宋体" w:eastAsia="宋体" w:hint="default"/>
                <w:sz w:val="18"/>
                <w:szCs w:val="18"/>
              </w:rPr>
            </w:pPr>
            <w:r>
              <w:rPr>
                <w:rFonts w:ascii="宋体" w:hAnsi="宋体" w:cs="宋体" w:eastAsia="宋体" w:hint="default"/>
                <w:sz w:val="18"/>
                <w:szCs w:val="18"/>
              </w:rPr>
              <w:t>收购深圳市乐之意 科技有限公司、深 圳市乐之源通讯有 限公司的现有全部 有形资产、无形资 产并接收部分员工</w:t>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99" w:right="0"/>
              <w:jc w:val="left"/>
              <w:rPr>
                <w:rFonts w:ascii="宋体" w:hAnsi="宋体" w:cs="宋体" w:eastAsia="宋体" w:hint="default"/>
                <w:sz w:val="18"/>
                <w:szCs w:val="18"/>
              </w:rPr>
            </w:pPr>
            <w:r>
              <w:rPr>
                <w:rFonts w:ascii="宋体"/>
                <w:sz w:val="18"/>
              </w:rPr>
              <w:t>2011</w:t>
            </w:r>
          </w:p>
          <w:p>
            <w:pPr>
              <w:pStyle w:val="TableParagraph"/>
              <w:spacing w:line="244" w:lineRule="auto" w:before="4"/>
              <w:ind w:left="99" w:right="101"/>
              <w:jc w:val="left"/>
              <w:rPr>
                <w:rFonts w:ascii="宋体" w:hAnsi="宋体" w:cs="宋体" w:eastAsia="宋体" w:hint="default"/>
                <w:sz w:val="18"/>
                <w:szCs w:val="18"/>
              </w:rPr>
            </w:pPr>
            <w:r>
              <w:rPr>
                <w:rFonts w:ascii="宋体" w:hAnsi="宋体" w:cs="宋体" w:eastAsia="宋体" w:hint="default"/>
                <w:spacing w:val="22"/>
                <w:sz w:val="18"/>
                <w:szCs w:val="18"/>
              </w:rPr>
              <w:t>年9</w:t>
            </w:r>
            <w:r>
              <w:rPr>
                <w:rFonts w:ascii="宋体" w:hAnsi="宋体" w:cs="宋体" w:eastAsia="宋体" w:hint="default"/>
                <w:spacing w:val="-46"/>
                <w:sz w:val="18"/>
                <w:szCs w:val="18"/>
              </w:rPr>
              <w:t> </w:t>
            </w:r>
            <w:r>
              <w:rPr>
                <w:rFonts w:ascii="宋体" w:hAnsi="宋体" w:cs="宋体" w:eastAsia="宋体" w:hint="default"/>
                <w:sz w:val="18"/>
                <w:szCs w:val="18"/>
              </w:rPr>
              <w:t>月</w:t>
            </w:r>
          </w:p>
        </w:tc>
        <w:tc>
          <w:tcPr>
            <w:tcW w:w="12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left="99" w:right="0"/>
              <w:jc w:val="left"/>
              <w:rPr>
                <w:rFonts w:ascii="宋体" w:hAnsi="宋体" w:cs="宋体" w:eastAsia="宋体" w:hint="default"/>
                <w:sz w:val="18"/>
                <w:szCs w:val="18"/>
              </w:rPr>
            </w:pPr>
            <w:r>
              <w:rPr>
                <w:rFonts w:ascii="宋体"/>
                <w:sz w:val="18"/>
              </w:rPr>
              <w:t>25,000,000</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-1,698,703</w:t>
            </w:r>
          </w:p>
        </w:tc>
        <w:tc>
          <w:tcPr>
            <w:tcW w:w="1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4" w:lineRule="auto"/>
              <w:ind w:left="100" w:right="212"/>
              <w:jc w:val="both"/>
              <w:rPr>
                <w:rFonts w:ascii="宋体" w:hAnsi="宋体" w:cs="宋体" w:eastAsia="宋体" w:hint="default"/>
                <w:sz w:val="18"/>
                <w:szCs w:val="18"/>
              </w:rPr>
            </w:pPr>
            <w:r>
              <w:rPr>
                <w:rFonts w:ascii="宋体" w:hAnsi="宋体" w:cs="宋体" w:eastAsia="宋体" w:hint="default"/>
                <w:sz w:val="18"/>
                <w:szCs w:val="18"/>
              </w:rPr>
              <w:t>根据市 场价格 以及双 方协商</w:t>
            </w:r>
          </w:p>
        </w:tc>
        <w:tc>
          <w:tcPr>
            <w:tcW w:w="9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right="98"/>
              <w:jc w:val="right"/>
              <w:rPr>
                <w:rFonts w:ascii="宋体" w:hAnsi="宋体" w:cs="宋体" w:eastAsia="宋体" w:hint="default"/>
                <w:sz w:val="18"/>
                <w:szCs w:val="18"/>
              </w:rPr>
            </w:pPr>
            <w:r>
              <w:rPr>
                <w:rFonts w:ascii="宋体"/>
                <w:sz w:val="18"/>
              </w:rPr>
              <w:t>-0.41</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456" w:hRule="exact"/>
        </w:trPr>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99" w:right="181"/>
              <w:jc w:val="left"/>
              <w:rPr>
                <w:rFonts w:ascii="宋体" w:hAnsi="宋体" w:cs="宋体" w:eastAsia="宋体" w:hint="default"/>
                <w:sz w:val="18"/>
                <w:szCs w:val="18"/>
              </w:rPr>
            </w:pPr>
            <w:r>
              <w:rPr>
                <w:rFonts w:ascii="宋体" w:hAnsi="宋体" w:cs="宋体" w:eastAsia="宋体" w:hint="default"/>
                <w:sz w:val="18"/>
                <w:szCs w:val="18"/>
              </w:rPr>
              <w:t>广州华南 资讯科技 有限公 司、渤海 国际信托 有限公司</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4" w:lineRule="auto"/>
              <w:ind w:left="100" w:right="65"/>
              <w:jc w:val="both"/>
              <w:rPr>
                <w:rFonts w:ascii="宋体" w:hAnsi="宋体" w:cs="宋体" w:eastAsia="宋体" w:hint="default"/>
                <w:sz w:val="18"/>
                <w:szCs w:val="18"/>
              </w:rPr>
            </w:pPr>
            <w:r>
              <w:rPr>
                <w:rFonts w:ascii="宋体" w:hAnsi="宋体" w:cs="宋体" w:eastAsia="宋体" w:hint="default"/>
                <w:spacing w:val="4"/>
                <w:sz w:val="18"/>
                <w:szCs w:val="18"/>
              </w:rPr>
              <w:t>北京利博赛社保信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8"/>
                <w:sz w:val="18"/>
                <w:szCs w:val="18"/>
              </w:rPr>
              <w:t>息技术有限</w:t>
            </w:r>
            <w:r>
              <w:rPr>
                <w:rFonts w:ascii="宋体" w:hAnsi="宋体" w:cs="宋体" w:eastAsia="宋体" w:hint="default"/>
                <w:spacing w:val="-52"/>
                <w:sz w:val="18"/>
                <w:szCs w:val="18"/>
              </w:rPr>
              <w:t> </w:t>
            </w:r>
            <w:r>
              <w:rPr>
                <w:rFonts w:ascii="宋体" w:hAnsi="宋体" w:cs="宋体" w:eastAsia="宋体" w:hint="default"/>
                <w:spacing w:val="18"/>
                <w:sz w:val="18"/>
                <w:szCs w:val="18"/>
              </w:rPr>
              <w:t>公司</w:t>
            </w:r>
            <w:r>
              <w:rPr>
                <w:rFonts w:ascii="宋体" w:hAnsi="宋体" w:cs="宋体" w:eastAsia="宋体" w:hint="default"/>
                <w:spacing w:val="-88"/>
                <w:sz w:val="18"/>
                <w:szCs w:val="18"/>
              </w:rPr>
              <w:t> </w:t>
            </w:r>
            <w:r>
              <w:rPr>
                <w:rFonts w:ascii="宋体" w:hAnsi="宋体" w:cs="宋体" w:eastAsia="宋体" w:hint="default"/>
                <w:sz w:val="18"/>
                <w:szCs w:val="18"/>
              </w:rPr>
              <w:t>28.33%股权</w:t>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99" w:right="0"/>
              <w:jc w:val="left"/>
              <w:rPr>
                <w:rFonts w:ascii="宋体" w:hAnsi="宋体" w:cs="宋体" w:eastAsia="宋体" w:hint="default"/>
                <w:sz w:val="18"/>
                <w:szCs w:val="18"/>
              </w:rPr>
            </w:pPr>
            <w:r>
              <w:rPr>
                <w:rFonts w:ascii="宋体"/>
                <w:sz w:val="18"/>
              </w:rPr>
              <w:t>2011</w:t>
            </w:r>
          </w:p>
          <w:p>
            <w:pPr>
              <w:pStyle w:val="TableParagraph"/>
              <w:spacing w:line="244" w:lineRule="auto" w:before="4"/>
              <w:ind w:left="99" w:right="11"/>
              <w:jc w:val="left"/>
              <w:rPr>
                <w:rFonts w:ascii="宋体" w:hAnsi="宋体" w:cs="宋体" w:eastAsia="宋体" w:hint="default"/>
                <w:sz w:val="18"/>
                <w:szCs w:val="18"/>
              </w:rPr>
            </w:pPr>
            <w:r>
              <w:rPr>
                <w:rFonts w:ascii="宋体" w:hAnsi="宋体" w:cs="宋体" w:eastAsia="宋体" w:hint="default"/>
                <w:sz w:val="18"/>
                <w:szCs w:val="18"/>
              </w:rPr>
              <w:t>年 8 月</w:t>
            </w:r>
          </w:p>
        </w:tc>
        <w:tc>
          <w:tcPr>
            <w:tcW w:w="12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364" w:right="0"/>
              <w:jc w:val="left"/>
              <w:rPr>
                <w:rFonts w:ascii="宋体" w:hAnsi="宋体" w:cs="宋体" w:eastAsia="宋体" w:hint="default"/>
                <w:sz w:val="18"/>
                <w:szCs w:val="18"/>
              </w:rPr>
            </w:pPr>
            <w:r>
              <w:rPr>
                <w:rFonts w:ascii="宋体"/>
                <w:sz w:val="18"/>
              </w:rPr>
              <w:t>5,390,275</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101"/>
              <w:jc w:val="right"/>
              <w:rPr>
                <w:rFonts w:ascii="宋体" w:hAnsi="宋体" w:cs="宋体" w:eastAsia="宋体" w:hint="default"/>
                <w:sz w:val="18"/>
                <w:szCs w:val="18"/>
              </w:rPr>
            </w:pPr>
            <w:r>
              <w:rPr>
                <w:rFonts w:ascii="宋体"/>
                <w:sz w:val="18"/>
              </w:rPr>
              <w:t>-641,235</w:t>
            </w:r>
          </w:p>
        </w:tc>
        <w:tc>
          <w:tcPr>
            <w:tcW w:w="1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4" w:lineRule="auto"/>
              <w:ind w:left="157" w:right="156"/>
              <w:jc w:val="both"/>
              <w:rPr>
                <w:rFonts w:ascii="宋体" w:hAnsi="宋体" w:cs="宋体" w:eastAsia="宋体" w:hint="default"/>
                <w:sz w:val="18"/>
                <w:szCs w:val="18"/>
              </w:rPr>
            </w:pPr>
            <w:r>
              <w:rPr>
                <w:rFonts w:ascii="宋体" w:hAnsi="宋体" w:cs="宋体" w:eastAsia="宋体" w:hint="default"/>
                <w:sz w:val="18"/>
                <w:szCs w:val="18"/>
              </w:rPr>
              <w:t>根据市 场价格 以及双 方协商</w:t>
            </w:r>
          </w:p>
        </w:tc>
        <w:tc>
          <w:tcPr>
            <w:tcW w:w="9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98"/>
              <w:jc w:val="right"/>
              <w:rPr>
                <w:rFonts w:ascii="宋体" w:hAnsi="宋体" w:cs="宋体" w:eastAsia="宋体" w:hint="default"/>
                <w:sz w:val="18"/>
                <w:szCs w:val="18"/>
              </w:rPr>
            </w:pPr>
            <w:r>
              <w:rPr>
                <w:rFonts w:ascii="宋体"/>
                <w:sz w:val="18"/>
              </w:rPr>
              <w:t>-0.15</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pStyle w:val="Heading5"/>
        <w:spacing w:line="274" w:lineRule="exact"/>
        <w:ind w:left="1498" w:right="0"/>
        <w:jc w:val="left"/>
      </w:pPr>
      <w:r>
        <w:rPr/>
        <w:t>注：相关内容详见本公司于2011年1月11日刊登在《中国证券报</w:t>
      </w:r>
      <w:r>
        <w:rPr>
          <w:spacing w:val="-120"/>
        </w:rPr>
        <w:t>》、</w:t>
      </w:r>
      <w:r>
        <w:rPr/>
        <w:t>《上海证券报》</w:t>
      </w:r>
    </w:p>
    <w:p>
      <w:pPr>
        <w:spacing w:line="313" w:lineRule="exact" w:before="0"/>
        <w:ind w:left="1018" w:right="2646" w:firstLine="0"/>
        <w:jc w:val="left"/>
        <w:rPr>
          <w:rFonts w:ascii="宋体" w:hAnsi="宋体" w:cs="宋体" w:eastAsia="宋体" w:hint="default"/>
          <w:sz w:val="24"/>
          <w:szCs w:val="24"/>
        </w:rPr>
      </w:pPr>
      <w:r>
        <w:rPr>
          <w:rFonts w:ascii="宋体" w:hAnsi="宋体" w:cs="宋体" w:eastAsia="宋体" w:hint="default"/>
          <w:sz w:val="24"/>
          <w:szCs w:val="24"/>
        </w:rPr>
        <w:t>的《关于收购北京望海康信科技有限公司股权的公告</w:t>
      </w:r>
      <w:r>
        <w:rPr>
          <w:rFonts w:ascii="宋体" w:hAnsi="宋体" w:cs="宋体" w:eastAsia="宋体" w:hint="default"/>
          <w:spacing w:val="-120"/>
          <w:sz w:val="24"/>
          <w:szCs w:val="24"/>
        </w:rPr>
        <w:t>》</w:t>
      </w:r>
      <w:r>
        <w:rPr>
          <w:rFonts w:ascii="宋体" w:hAnsi="宋体" w:cs="宋体" w:eastAsia="宋体" w:hint="default"/>
          <w:sz w:val="24"/>
          <w:szCs w:val="24"/>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pStyle w:val="BodyText"/>
        <w:spacing w:line="240" w:lineRule="auto" w:before="0"/>
        <w:ind w:left="1018" w:right="5766"/>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type w:val="continuous"/>
          <w:pgSz w:w="11910" w:h="16840"/>
          <w:pgMar w:top="1600" w:bottom="280" w:left="400" w:right="380"/>
        </w:sectPr>
      </w:pPr>
    </w:p>
    <w:p>
      <w:pPr>
        <w:spacing w:line="240" w:lineRule="auto" w:before="6"/>
        <w:rPr>
          <w:rFonts w:ascii="黑体" w:hAnsi="黑体" w:cs="黑体" w:eastAsia="黑体" w:hint="default"/>
          <w:sz w:val="15"/>
          <w:szCs w:val="15"/>
        </w:rPr>
      </w:pPr>
    </w:p>
    <w:p>
      <w:pPr>
        <w:pStyle w:val="Heading5"/>
        <w:spacing w:line="312" w:lineRule="exact" w:before="56"/>
        <w:ind w:left="778" w:right="773" w:firstLine="480"/>
        <w:jc w:val="both"/>
      </w:pPr>
      <w:r>
        <w:rPr>
          <w:spacing w:val="-2"/>
        </w:rPr>
        <w:t>于2011年10月27日召开的公司六届五次董事会审议通过《关于在天津购买资产的议</w:t>
      </w:r>
      <w:r>
        <w:rPr/>
        <w:t> </w:t>
      </w:r>
      <w:r>
        <w:rPr>
          <w:spacing w:val="-4"/>
        </w:rPr>
        <w:t>案》，董事会同意本公司全资子公司—东软集团（天津）有限公司向天津保税区投资有</w:t>
      </w:r>
      <w:r>
        <w:rPr>
          <w:spacing w:val="-88"/>
        </w:rPr>
        <w:t> </w:t>
      </w:r>
      <w:r>
        <w:rPr>
          <w:spacing w:val="-88"/>
        </w:rPr>
      </w:r>
      <w:r>
        <w:rPr>
          <w:spacing w:val="-2"/>
        </w:rPr>
        <w:t>限公司购置其位于天津市空港经济区的一宗面积为40,003平方米的土地使用权，以及该</w:t>
      </w:r>
      <w:r>
        <w:rPr>
          <w:spacing w:val="-89"/>
        </w:rPr>
        <w:t> </w:t>
      </w:r>
      <w:r>
        <w:rPr>
          <w:spacing w:val="-89"/>
        </w:rPr>
      </w:r>
      <w:r>
        <w:rPr>
          <w:spacing w:val="-2"/>
        </w:rPr>
        <w:t>宗土地上建筑面积为31,484平方米的一栋新建研发办公楼及其相关附属设施、设备的所</w:t>
      </w:r>
      <w:r>
        <w:rPr>
          <w:spacing w:val="-89"/>
        </w:rPr>
        <w:t> </w:t>
      </w:r>
      <w:r>
        <w:rPr>
          <w:spacing w:val="-89"/>
        </w:rPr>
      </w:r>
      <w:r>
        <w:rPr>
          <w:spacing w:val="-2"/>
        </w:rPr>
        <w:t>有权。经双方磋商，本次交易土地使用权定价以120元/平方米计算，地上建筑物定价参</w:t>
      </w:r>
      <w:r>
        <w:rPr>
          <w:spacing w:val="-91"/>
        </w:rPr>
        <w:t> </w:t>
      </w:r>
      <w:r>
        <w:rPr>
          <w:spacing w:val="-91"/>
        </w:rPr>
      </w:r>
      <w:r>
        <w:rPr/>
        <w:t>考工程概算金额，为此双方确定交易总价款不超过1.5亿元人民币。相关内容详见本公 </w:t>
      </w:r>
      <w:r>
        <w:rPr>
          <w:spacing w:val="-8"/>
        </w:rPr>
        <w:t>司于2011年10月29日刊登在《中国证券报》、《上海证券报》的《六届五次董事会决议公</w:t>
      </w:r>
      <w:r>
        <w:rPr>
          <w:spacing w:val="-81"/>
        </w:rPr>
        <w:t> </w:t>
      </w:r>
      <w:r>
        <w:rPr>
          <w:spacing w:val="-81"/>
        </w:rPr>
      </w:r>
      <w:r>
        <w:rPr>
          <w:spacing w:val="-4"/>
        </w:rPr>
        <w:t>告》。截至本报告期末，本次购买相关资产的产权证书正在办理中，尚没有完成交割手</w:t>
      </w:r>
      <w:r>
        <w:rPr>
          <w:spacing w:val="-88"/>
        </w:rPr>
        <w:t> </w:t>
      </w:r>
      <w:r>
        <w:rPr>
          <w:spacing w:val="-88"/>
        </w:rPr>
      </w:r>
      <w:r>
        <w:rPr/>
        <w:t>续。</w:t>
      </w:r>
    </w:p>
    <w:p>
      <w:pPr>
        <w:spacing w:before="94"/>
        <w:ind w:left="778" w:right="0" w:firstLine="0"/>
        <w:jc w:val="left"/>
        <w:rPr>
          <w:rFonts w:ascii="宋体" w:hAnsi="宋体" w:cs="宋体" w:eastAsia="宋体" w:hint="default"/>
          <w:sz w:val="24"/>
          <w:szCs w:val="24"/>
        </w:rPr>
      </w:pPr>
      <w:r>
        <w:rPr>
          <w:rFonts w:ascii="宋体" w:hAnsi="宋体" w:cs="宋体" w:eastAsia="宋体" w:hint="default"/>
          <w:b/>
          <w:bCs/>
          <w:sz w:val="24"/>
          <w:szCs w:val="24"/>
        </w:rPr>
        <w:t>2、出售资产情况</w:t>
      </w:r>
      <w:r>
        <w:rPr>
          <w:rFonts w:ascii="宋体" w:hAnsi="宋体" w:cs="宋体" w:eastAsia="宋体" w:hint="default"/>
          <w:sz w:val="24"/>
          <w:szCs w:val="24"/>
        </w:rPr>
      </w:r>
    </w:p>
    <w:p>
      <w:pPr>
        <w:pStyle w:val="BodyText"/>
        <w:spacing w:line="257" w:lineRule="exact" w:before="0"/>
        <w:ind w:left="0" w:right="774"/>
        <w:jc w:val="right"/>
        <w:rPr>
          <w:rFonts w:ascii="宋体" w:hAnsi="宋体" w:cs="宋体" w:eastAsia="宋体" w:hint="default"/>
        </w:rPr>
      </w:pPr>
      <w:r>
        <w:rPr>
          <w:rFonts w:ascii="宋体" w:hAnsi="宋体" w:cs="宋体" w:eastAsia="宋体" w:hint="default"/>
        </w:rPr>
        <w:t>单位：万元</w:t>
      </w:r>
      <w:r>
        <w:rPr>
          <w:rFonts w:ascii="宋体" w:hAnsi="宋体" w:cs="宋体" w:eastAsia="宋体" w:hint="default"/>
          <w:spacing w:val="-11"/>
        </w:rPr>
        <w:t> </w:t>
      </w:r>
      <w:r>
        <w:rPr>
          <w:rFonts w:ascii="宋体" w:hAnsi="宋体" w:cs="宋体" w:eastAsia="宋体" w:hint="default"/>
        </w:rPr>
        <w:t>币种：人民币</w:t>
      </w:r>
    </w:p>
    <w:tbl>
      <w:tblPr>
        <w:tblW w:w="0" w:type="auto"/>
        <w:jc w:val="left"/>
        <w:tblInd w:w="119" w:type="dxa"/>
        <w:tblLayout w:type="fixed"/>
        <w:tblCellMar>
          <w:top w:w="0" w:type="dxa"/>
          <w:left w:w="0" w:type="dxa"/>
          <w:bottom w:w="0" w:type="dxa"/>
          <w:right w:w="0" w:type="dxa"/>
        </w:tblCellMar>
        <w:tblLook w:val="01E0"/>
      </w:tblPr>
      <w:tblGrid>
        <w:gridCol w:w="1027"/>
        <w:gridCol w:w="2268"/>
        <w:gridCol w:w="708"/>
        <w:gridCol w:w="708"/>
        <w:gridCol w:w="852"/>
        <w:gridCol w:w="708"/>
        <w:gridCol w:w="844"/>
        <w:gridCol w:w="636"/>
        <w:gridCol w:w="709"/>
        <w:gridCol w:w="661"/>
        <w:gridCol w:w="898"/>
        <w:gridCol w:w="354"/>
      </w:tblGrid>
      <w:tr>
        <w:trPr>
          <w:trHeight w:val="1936"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4" w:lineRule="auto"/>
              <w:ind w:left="325" w:right="325"/>
              <w:jc w:val="left"/>
              <w:rPr>
                <w:rFonts w:ascii="宋体" w:hAnsi="宋体" w:cs="宋体" w:eastAsia="宋体" w:hint="default"/>
                <w:sz w:val="18"/>
                <w:szCs w:val="18"/>
              </w:rPr>
            </w:pPr>
            <w:r>
              <w:rPr>
                <w:rFonts w:ascii="宋体" w:hAnsi="宋体" w:cs="宋体" w:eastAsia="宋体" w:hint="default"/>
                <w:sz w:val="18"/>
                <w:szCs w:val="18"/>
              </w:rPr>
              <w:t>交易 对方</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675" w:right="0"/>
              <w:jc w:val="left"/>
              <w:rPr>
                <w:rFonts w:ascii="宋体" w:hAnsi="宋体" w:cs="宋体" w:eastAsia="宋体" w:hint="default"/>
                <w:sz w:val="18"/>
                <w:szCs w:val="18"/>
              </w:rPr>
            </w:pPr>
            <w:r>
              <w:rPr>
                <w:rFonts w:ascii="宋体" w:hAnsi="宋体" w:cs="宋体" w:eastAsia="宋体" w:hint="default"/>
                <w:sz w:val="18"/>
                <w:szCs w:val="18"/>
              </w:rPr>
              <w:t>被出售资产</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4" w:lineRule="auto"/>
              <w:ind w:left="255" w:right="167" w:hanging="90"/>
              <w:jc w:val="left"/>
              <w:rPr>
                <w:rFonts w:ascii="宋体" w:hAnsi="宋体" w:cs="宋体" w:eastAsia="宋体" w:hint="default"/>
                <w:sz w:val="18"/>
                <w:szCs w:val="18"/>
              </w:rPr>
            </w:pPr>
            <w:r>
              <w:rPr>
                <w:rFonts w:ascii="宋体" w:hAnsi="宋体" w:cs="宋体" w:eastAsia="宋体" w:hint="default"/>
                <w:sz w:val="18"/>
                <w:szCs w:val="18"/>
              </w:rPr>
              <w:t>出售 日</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4" w:lineRule="auto"/>
              <w:ind w:left="165" w:right="166"/>
              <w:jc w:val="left"/>
              <w:rPr>
                <w:rFonts w:ascii="宋体" w:hAnsi="宋体" w:cs="宋体" w:eastAsia="宋体" w:hint="default"/>
                <w:sz w:val="18"/>
                <w:szCs w:val="18"/>
              </w:rPr>
            </w:pPr>
            <w:r>
              <w:rPr>
                <w:rFonts w:ascii="宋体" w:hAnsi="宋体" w:cs="宋体" w:eastAsia="宋体" w:hint="default"/>
                <w:sz w:val="18"/>
                <w:szCs w:val="18"/>
              </w:rPr>
              <w:t>出售 价格</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47" w:right="148"/>
              <w:jc w:val="center"/>
              <w:rPr>
                <w:rFonts w:ascii="宋体" w:hAnsi="宋体" w:cs="宋体" w:eastAsia="宋体" w:hint="default"/>
                <w:sz w:val="18"/>
                <w:szCs w:val="18"/>
              </w:rPr>
            </w:pPr>
            <w:r>
              <w:rPr>
                <w:rFonts w:ascii="宋体" w:hAnsi="宋体" w:cs="宋体" w:eastAsia="宋体" w:hint="default"/>
                <w:sz w:val="18"/>
                <w:szCs w:val="18"/>
              </w:rPr>
              <w:t>本年初 起至出 售日该 资产为 上市公 司贡献 的净利 润</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4" w:lineRule="auto"/>
              <w:ind w:left="165" w:right="166"/>
              <w:jc w:val="both"/>
              <w:rPr>
                <w:rFonts w:ascii="宋体" w:hAnsi="宋体" w:cs="宋体" w:eastAsia="宋体" w:hint="default"/>
                <w:sz w:val="18"/>
                <w:szCs w:val="18"/>
              </w:rPr>
            </w:pPr>
            <w:r>
              <w:rPr>
                <w:rFonts w:ascii="宋体" w:hAnsi="宋体" w:cs="宋体" w:eastAsia="宋体" w:hint="default"/>
                <w:sz w:val="18"/>
                <w:szCs w:val="18"/>
              </w:rPr>
              <w:t>出售 产生 的损 益</w:t>
            </w:r>
          </w:p>
        </w:tc>
        <w:tc>
          <w:tcPr>
            <w:tcW w:w="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4" w:lineRule="auto"/>
              <w:ind w:left="142" w:right="144"/>
              <w:jc w:val="both"/>
              <w:rPr>
                <w:rFonts w:ascii="宋体" w:hAnsi="宋体" w:cs="宋体" w:eastAsia="宋体" w:hint="default"/>
                <w:sz w:val="18"/>
                <w:szCs w:val="18"/>
              </w:rPr>
            </w:pPr>
            <w:r>
              <w:rPr>
                <w:rFonts w:ascii="宋体" w:hAnsi="宋体" w:cs="宋体" w:eastAsia="宋体" w:hint="default"/>
                <w:sz w:val="18"/>
                <w:szCs w:val="18"/>
              </w:rPr>
              <w:t>是否为 关联交 易（如 是，说 明定价 原则）</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4" w:lineRule="auto"/>
              <w:ind w:left="129" w:right="130"/>
              <w:jc w:val="both"/>
              <w:rPr>
                <w:rFonts w:ascii="宋体" w:hAnsi="宋体" w:cs="宋体" w:eastAsia="宋体" w:hint="default"/>
                <w:sz w:val="18"/>
                <w:szCs w:val="18"/>
              </w:rPr>
            </w:pPr>
            <w:r>
              <w:rPr>
                <w:rFonts w:ascii="宋体" w:hAnsi="宋体" w:cs="宋体" w:eastAsia="宋体" w:hint="default"/>
                <w:sz w:val="18"/>
                <w:szCs w:val="18"/>
              </w:rPr>
              <w:t>资产 出售 定价 原则</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66" w:right="166"/>
              <w:jc w:val="both"/>
              <w:rPr>
                <w:rFonts w:ascii="宋体" w:hAnsi="宋体" w:cs="宋体" w:eastAsia="宋体" w:hint="default"/>
                <w:sz w:val="18"/>
                <w:szCs w:val="18"/>
              </w:rPr>
            </w:pPr>
            <w:r>
              <w:rPr>
                <w:rFonts w:ascii="宋体" w:hAnsi="宋体" w:cs="宋体" w:eastAsia="宋体" w:hint="default"/>
                <w:sz w:val="18"/>
                <w:szCs w:val="18"/>
              </w:rPr>
              <w:t>所涉 及的 资产 产权 是否 已全 部过 户</w:t>
            </w:r>
          </w:p>
        </w:tc>
        <w:tc>
          <w:tcPr>
            <w:tcW w:w="66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41" w:right="143"/>
              <w:jc w:val="both"/>
              <w:rPr>
                <w:rFonts w:ascii="宋体" w:hAnsi="宋体" w:cs="宋体" w:eastAsia="宋体" w:hint="default"/>
                <w:sz w:val="18"/>
                <w:szCs w:val="18"/>
              </w:rPr>
            </w:pPr>
            <w:r>
              <w:rPr>
                <w:rFonts w:ascii="宋体" w:hAnsi="宋体" w:cs="宋体" w:eastAsia="宋体" w:hint="default"/>
                <w:sz w:val="18"/>
                <w:szCs w:val="18"/>
              </w:rPr>
              <w:t>所涉 及的 债权 债务 是否 已全 部转 移</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before="1"/>
              <w:ind w:left="170" w:right="170"/>
              <w:jc w:val="both"/>
              <w:rPr>
                <w:rFonts w:ascii="宋体" w:hAnsi="宋体" w:cs="宋体" w:eastAsia="宋体" w:hint="default"/>
                <w:sz w:val="18"/>
                <w:szCs w:val="18"/>
              </w:rPr>
            </w:pPr>
            <w:r>
              <w:rPr>
                <w:rFonts w:ascii="宋体" w:hAnsi="宋体" w:cs="宋体" w:eastAsia="宋体" w:hint="default"/>
                <w:sz w:val="18"/>
                <w:szCs w:val="18"/>
              </w:rPr>
              <w:t>该资产 出售贡 献的净 利润占 上市公 司净利 润的比 例(%)</w:t>
            </w:r>
          </w:p>
        </w:tc>
        <w:tc>
          <w:tcPr>
            <w:tcW w:w="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4" w:lineRule="auto"/>
              <w:ind w:left="100" w:right="56"/>
              <w:jc w:val="both"/>
              <w:rPr>
                <w:rFonts w:ascii="宋体" w:hAnsi="宋体" w:cs="宋体" w:eastAsia="宋体" w:hint="default"/>
                <w:sz w:val="18"/>
                <w:szCs w:val="18"/>
              </w:rPr>
            </w:pPr>
            <w:r>
              <w:rPr>
                <w:rFonts w:ascii="宋体" w:hAnsi="宋体" w:cs="宋体" w:eastAsia="宋体" w:hint="default"/>
                <w:sz w:val="18"/>
                <w:szCs w:val="18"/>
              </w:rPr>
              <w:t>关 联 关 系</w:t>
            </w:r>
          </w:p>
        </w:tc>
      </w:tr>
      <w:tr>
        <w:trPr>
          <w:trHeight w:val="3136" w:hRule="exact"/>
        </w:trPr>
        <w:tc>
          <w:tcPr>
            <w:tcW w:w="10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4" w:lineRule="auto" w:before="119"/>
              <w:ind w:left="100" w:right="191"/>
              <w:jc w:val="both"/>
              <w:rPr>
                <w:rFonts w:ascii="宋体" w:hAnsi="宋体" w:cs="宋体" w:eastAsia="宋体" w:hint="default"/>
                <w:sz w:val="18"/>
                <w:szCs w:val="18"/>
              </w:rPr>
            </w:pPr>
            <w:r>
              <w:rPr>
                <w:rFonts w:ascii="宋体" w:hAnsi="宋体" w:cs="宋体" w:eastAsia="宋体" w:hint="default"/>
                <w:sz w:val="18"/>
                <w:szCs w:val="18"/>
              </w:rPr>
              <w:t>南昌百特 生物高新 技术股份 有限公司</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8" w:right="71" w:hanging="57"/>
              <w:jc w:val="both"/>
              <w:rPr>
                <w:rFonts w:ascii="宋体" w:hAnsi="宋体" w:cs="宋体" w:eastAsia="宋体" w:hint="default"/>
                <w:sz w:val="18"/>
                <w:szCs w:val="18"/>
              </w:rPr>
            </w:pPr>
            <w:r>
              <w:rPr>
                <w:rFonts w:ascii="宋体" w:hAnsi="宋体" w:cs="宋体" w:eastAsia="宋体" w:hint="default"/>
                <w:spacing w:val="14"/>
                <w:sz w:val="18"/>
                <w:szCs w:val="18"/>
              </w:rPr>
              <w:t>本公司全资子公司</w:t>
            </w:r>
            <w:r>
              <w:rPr>
                <w:rFonts w:ascii="Times New Roman" w:hAnsi="Times New Roman" w:cs="Times New Roman" w:eastAsia="Times New Roman" w:hint="default"/>
                <w:spacing w:val="14"/>
                <w:sz w:val="18"/>
                <w:szCs w:val="18"/>
              </w:rPr>
              <w:t>—</w:t>
            </w:r>
            <w:r>
              <w:rPr>
                <w:rFonts w:ascii="宋体" w:hAnsi="宋体" w:cs="宋体" w:eastAsia="宋体" w:hint="default"/>
                <w:spacing w:val="14"/>
                <w:sz w:val="18"/>
                <w:szCs w:val="18"/>
              </w:rPr>
              <w:t>沈阳 </w:t>
            </w:r>
            <w:r>
              <w:rPr>
                <w:rFonts w:ascii="宋体" w:hAnsi="宋体" w:cs="宋体" w:eastAsia="宋体" w:hint="default"/>
                <w:spacing w:val="8"/>
                <w:sz w:val="18"/>
                <w:szCs w:val="18"/>
              </w:rPr>
              <w:t>东软医疗系统有限公司常</w:t>
            </w:r>
            <w:r>
              <w:rPr>
                <w:rFonts w:ascii="宋体" w:hAnsi="宋体" w:cs="宋体" w:eastAsia="宋体" w:hint="default"/>
                <w:spacing w:val="8"/>
                <w:sz w:val="18"/>
                <w:szCs w:val="18"/>
              </w:rPr>
              <w:t> </w:t>
            </w:r>
            <w:r>
              <w:rPr>
                <w:rFonts w:ascii="宋体" w:hAnsi="宋体" w:cs="宋体" w:eastAsia="宋体" w:hint="default"/>
                <w:sz w:val="18"/>
                <w:szCs w:val="18"/>
              </w:rPr>
              <w:t>规检验事业部（RES）现有</w:t>
            </w:r>
            <w:r>
              <w:rPr>
                <w:rFonts w:ascii="宋体" w:hAnsi="宋体" w:cs="宋体" w:eastAsia="宋体" w:hint="default"/>
                <w:sz w:val="18"/>
                <w:szCs w:val="18"/>
              </w:rPr>
              <w:t> </w:t>
            </w:r>
            <w:r>
              <w:rPr>
                <w:rFonts w:ascii="宋体" w:hAnsi="宋体" w:cs="宋体" w:eastAsia="宋体" w:hint="default"/>
                <w:spacing w:val="10"/>
                <w:sz w:val="18"/>
                <w:szCs w:val="18"/>
              </w:rPr>
              <w:t>的产品（包括</w:t>
            </w:r>
            <w:r>
              <w:rPr>
                <w:rFonts w:ascii="宋体" w:hAnsi="宋体" w:cs="宋体" w:eastAsia="宋体" w:hint="default"/>
                <w:spacing w:val="26"/>
                <w:sz w:val="18"/>
                <w:szCs w:val="18"/>
              </w:rPr>
              <w:t> </w:t>
            </w:r>
            <w:r>
              <w:rPr>
                <w:rFonts w:ascii="宋体" w:hAnsi="宋体" w:cs="宋体" w:eastAsia="宋体" w:hint="default"/>
                <w:sz w:val="18"/>
                <w:szCs w:val="18"/>
              </w:rPr>
              <w:t>NSA-240、</w:t>
            </w:r>
            <w:r>
              <w:rPr>
                <w:rFonts w:ascii="宋体" w:hAnsi="宋体" w:cs="宋体" w:eastAsia="宋体" w:hint="default"/>
                <w:sz w:val="18"/>
                <w:szCs w:val="18"/>
              </w:rPr>
              <w:t> NSA-300  、  NSA-400 、</w:t>
            </w:r>
          </w:p>
          <w:p>
            <w:pPr>
              <w:pStyle w:val="TableParagraph"/>
              <w:spacing w:line="240" w:lineRule="exact"/>
              <w:ind w:left="98" w:right="-5"/>
              <w:jc w:val="left"/>
              <w:rPr>
                <w:rFonts w:ascii="宋体" w:hAnsi="宋体" w:cs="宋体" w:eastAsia="宋体" w:hint="default"/>
                <w:sz w:val="18"/>
                <w:szCs w:val="18"/>
              </w:rPr>
            </w:pPr>
            <w:r>
              <w:rPr>
                <w:rFonts w:ascii="宋体" w:hAnsi="宋体" w:cs="宋体" w:eastAsia="宋体" w:hint="default"/>
                <w:sz w:val="18"/>
                <w:szCs w:val="18"/>
              </w:rPr>
              <w:t>NSA-800）范围内拥有的设 </w:t>
            </w:r>
            <w:r>
              <w:rPr>
                <w:rFonts w:ascii="宋体" w:hAnsi="宋体" w:cs="宋体" w:eastAsia="宋体" w:hint="default"/>
                <w:spacing w:val="-8"/>
                <w:sz w:val="18"/>
                <w:szCs w:val="18"/>
              </w:rPr>
              <w:t>计资料、工艺资料、专利技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术、非专利技术、注册证、 </w:t>
            </w:r>
            <w:r>
              <w:rPr>
                <w:rFonts w:ascii="宋体" w:hAnsi="宋体" w:cs="宋体" w:eastAsia="宋体" w:hint="default"/>
                <w:spacing w:val="-8"/>
                <w:sz w:val="18"/>
                <w:szCs w:val="18"/>
              </w:rPr>
              <w:t>软件和软件著作权（包括源</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8"/>
                <w:sz w:val="18"/>
                <w:szCs w:val="18"/>
              </w:rPr>
              <w:t>代码等）及生产文档资料等</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8"/>
                <w:sz w:val="18"/>
                <w:szCs w:val="18"/>
              </w:rPr>
              <w:t>全部无形资产，以及与产品</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8"/>
                <w:sz w:val="18"/>
                <w:szCs w:val="18"/>
              </w:rPr>
              <w:t>直接相关的工装模具、专用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设备等固定资产</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left="99" w:right="0"/>
              <w:jc w:val="both"/>
              <w:rPr>
                <w:rFonts w:ascii="宋体" w:hAnsi="宋体" w:cs="宋体" w:eastAsia="宋体" w:hint="default"/>
                <w:sz w:val="18"/>
                <w:szCs w:val="18"/>
              </w:rPr>
            </w:pPr>
            <w:r>
              <w:rPr>
                <w:rFonts w:ascii="宋体"/>
                <w:sz w:val="18"/>
              </w:rPr>
              <w:t>2011</w:t>
            </w:r>
          </w:p>
          <w:p>
            <w:pPr>
              <w:pStyle w:val="TableParagraph"/>
              <w:spacing w:line="244" w:lineRule="auto" w:before="4"/>
              <w:ind w:left="99" w:right="187"/>
              <w:jc w:val="both"/>
              <w:rPr>
                <w:rFonts w:ascii="宋体" w:hAnsi="宋体" w:cs="宋体" w:eastAsia="宋体" w:hint="default"/>
                <w:sz w:val="18"/>
                <w:szCs w:val="18"/>
              </w:rPr>
            </w:pPr>
            <w:r>
              <w:rPr>
                <w:rFonts w:ascii="宋体" w:hAnsi="宋体" w:cs="宋体" w:eastAsia="宋体" w:hint="default"/>
                <w:spacing w:val="22"/>
                <w:sz w:val="18"/>
                <w:szCs w:val="18"/>
              </w:rPr>
              <w:t>年5</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14</w:t>
            </w:r>
            <w:r>
              <w:rPr>
                <w:rFonts w:ascii="宋体" w:hAnsi="宋体" w:cs="宋体" w:eastAsia="宋体" w:hint="default"/>
                <w:sz w:val="18"/>
                <w:szCs w:val="18"/>
              </w:rPr>
              <w:t> 日</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42" w:right="0"/>
              <w:jc w:val="left"/>
              <w:rPr>
                <w:rFonts w:ascii="宋体" w:hAnsi="宋体" w:cs="宋体" w:eastAsia="宋体" w:hint="default"/>
                <w:sz w:val="18"/>
                <w:szCs w:val="18"/>
              </w:rPr>
            </w:pPr>
            <w:r>
              <w:rPr>
                <w:rFonts w:ascii="宋体"/>
                <w:sz w:val="18"/>
              </w:rPr>
              <w:t>2,000</w:t>
            </w:r>
          </w:p>
        </w:tc>
        <w:tc>
          <w:tcPr>
            <w:tcW w:w="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47"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41" w:right="0"/>
              <w:jc w:val="left"/>
              <w:rPr>
                <w:rFonts w:ascii="宋体" w:hAnsi="宋体" w:cs="宋体" w:eastAsia="宋体" w:hint="default"/>
                <w:sz w:val="18"/>
                <w:szCs w:val="18"/>
              </w:rPr>
            </w:pPr>
            <w:r>
              <w:rPr>
                <w:rFonts w:ascii="宋体"/>
                <w:sz w:val="18"/>
              </w:rPr>
              <w:t>1,966</w:t>
            </w:r>
          </w:p>
        </w:tc>
        <w:tc>
          <w:tcPr>
            <w:tcW w:w="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44" w:lineRule="auto"/>
              <w:ind w:left="129" w:right="131"/>
              <w:jc w:val="both"/>
              <w:rPr>
                <w:rFonts w:ascii="宋体" w:hAnsi="宋体" w:cs="宋体" w:eastAsia="宋体" w:hint="default"/>
                <w:sz w:val="18"/>
                <w:szCs w:val="18"/>
              </w:rPr>
            </w:pPr>
            <w:r>
              <w:rPr>
                <w:rFonts w:ascii="宋体" w:hAnsi="宋体" w:cs="宋体" w:eastAsia="宋体" w:hint="default"/>
                <w:sz w:val="18"/>
                <w:szCs w:val="18"/>
              </w:rPr>
              <w:t>根据 市场 价格 以及 双方 协商</w:t>
            </w:r>
          </w:p>
        </w:tc>
        <w:tc>
          <w:tcPr>
            <w:tcW w:w="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6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421" w:right="0"/>
              <w:jc w:val="left"/>
              <w:rPr>
                <w:rFonts w:ascii="宋体" w:hAnsi="宋体" w:cs="宋体" w:eastAsia="宋体" w:hint="default"/>
                <w:sz w:val="18"/>
                <w:szCs w:val="18"/>
              </w:rPr>
            </w:pPr>
            <w:r>
              <w:rPr>
                <w:rFonts w:ascii="宋体"/>
                <w:sz w:val="18"/>
              </w:rPr>
              <w:t>4.71</w:t>
            </w:r>
          </w:p>
        </w:tc>
        <w:tc>
          <w:tcPr>
            <w:tcW w:w="3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2"/>
          <w:szCs w:val="22"/>
        </w:rPr>
      </w:pPr>
    </w:p>
    <w:p>
      <w:pPr>
        <w:pStyle w:val="BodyText"/>
        <w:spacing w:line="240" w:lineRule="auto"/>
        <w:ind w:left="778" w:right="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640" w:right="640"/>
        </w:sectPr>
      </w:pPr>
    </w:p>
    <w:p>
      <w:pPr>
        <w:spacing w:line="240" w:lineRule="auto" w:before="4"/>
        <w:rPr>
          <w:rFonts w:ascii="黑体" w:hAnsi="黑体" w:cs="黑体" w:eastAsia="黑体" w:hint="default"/>
          <w:sz w:val="20"/>
          <w:szCs w:val="20"/>
        </w:rPr>
      </w:pPr>
    </w:p>
    <w:p>
      <w:pPr>
        <w:spacing w:after="0" w:line="240" w:lineRule="auto"/>
        <w:rPr>
          <w:rFonts w:ascii="黑体" w:hAnsi="黑体" w:cs="黑体" w:eastAsia="黑体" w:hint="default"/>
          <w:sz w:val="20"/>
          <w:szCs w:val="20"/>
        </w:rPr>
        <w:sectPr>
          <w:pgSz w:w="11910" w:h="16840"/>
          <w:pgMar w:header="1012" w:footer="480" w:top="1360" w:bottom="660" w:left="920" w:right="920"/>
        </w:sectPr>
      </w:pPr>
    </w:p>
    <w:p>
      <w:pPr>
        <w:spacing w:line="333" w:lineRule="auto" w:before="26"/>
        <w:ind w:left="498" w:right="-20" w:firstLine="0"/>
        <w:jc w:val="left"/>
        <w:rPr>
          <w:rFonts w:ascii="宋体" w:hAnsi="宋体" w:cs="宋体" w:eastAsia="宋体" w:hint="default"/>
          <w:sz w:val="24"/>
          <w:szCs w:val="24"/>
        </w:rPr>
      </w:pPr>
      <w:r>
        <w:rPr>
          <w:rFonts w:ascii="宋体" w:hAnsi="宋体" w:cs="宋体" w:eastAsia="宋体" w:hint="default"/>
          <w:b/>
          <w:bCs/>
          <w:sz w:val="24"/>
          <w:szCs w:val="24"/>
        </w:rPr>
        <w:t>（五）报告期内公司重大关联交易事项</w:t>
      </w:r>
      <w:r>
        <w:rPr>
          <w:rFonts w:ascii="宋体" w:hAnsi="宋体" w:cs="宋体" w:eastAsia="宋体" w:hint="default"/>
          <w:b/>
          <w:bCs/>
          <w:spacing w:val="1"/>
          <w:w w:val="99"/>
          <w:sz w:val="24"/>
          <w:szCs w:val="24"/>
        </w:rPr>
        <w:t> </w:t>
      </w:r>
      <w:r>
        <w:rPr>
          <w:rFonts w:ascii="宋体" w:hAnsi="宋体" w:cs="宋体" w:eastAsia="宋体" w:hint="default"/>
          <w:sz w:val="24"/>
          <w:szCs w:val="24"/>
        </w:rPr>
        <w:t>1、报告期内关于执行</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年度预计日常关联交易情况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0"/>
          <w:szCs w:val="20"/>
        </w:rPr>
      </w:pPr>
    </w:p>
    <w:p>
      <w:pPr>
        <w:pStyle w:val="BodyText"/>
        <w:spacing w:line="240" w:lineRule="auto" w:before="0"/>
        <w:ind w:left="498" w:right="0"/>
        <w:jc w:val="left"/>
        <w:rPr>
          <w:rFonts w:ascii="宋体" w:hAnsi="宋体" w:cs="宋体" w:eastAsia="宋体" w:hint="default"/>
        </w:rPr>
      </w:pPr>
      <w:r>
        <w:rPr>
          <w:rFonts w:ascii="宋体" w:hAnsi="宋体" w:cs="宋体" w:eastAsia="宋体" w:hint="default"/>
        </w:rPr>
        <w:t>单位：元</w:t>
      </w:r>
      <w:r>
        <w:rPr>
          <w:rFonts w:ascii="宋体" w:hAnsi="宋体" w:cs="宋体" w:eastAsia="宋体" w:hint="default"/>
          <w:spacing w:val="-2"/>
        </w:rPr>
        <w:t> </w:t>
      </w:r>
      <w:r>
        <w:rPr>
          <w:rFonts w:ascii="宋体" w:hAnsi="宋体" w:cs="宋体" w:eastAsia="宋体" w:hint="default"/>
        </w:rPr>
        <w:t>币种：人民币</w:t>
      </w:r>
    </w:p>
    <w:p>
      <w:pPr>
        <w:spacing w:after="0" w:line="240" w:lineRule="auto"/>
        <w:jc w:val="left"/>
        <w:rPr>
          <w:rFonts w:ascii="宋体" w:hAnsi="宋体" w:cs="宋体" w:eastAsia="宋体" w:hint="default"/>
        </w:rPr>
        <w:sectPr>
          <w:type w:val="continuous"/>
          <w:pgSz w:w="11910" w:h="16840"/>
          <w:pgMar w:top="1600" w:bottom="280" w:left="920" w:right="920"/>
          <w:cols w:num="2" w:equalWidth="0">
            <w:col w:w="6259" w:space="606"/>
            <w:col w:w="3205"/>
          </w:cols>
        </w:sectPr>
      </w:pPr>
    </w:p>
    <w:p>
      <w:pPr>
        <w:spacing w:line="240" w:lineRule="auto" w:before="13"/>
        <w:rPr>
          <w:rFonts w:ascii="宋体" w:hAnsi="宋体" w:cs="宋体" w:eastAsia="宋体" w:hint="default"/>
          <w:sz w:val="3"/>
          <w:szCs w:val="3"/>
        </w:rPr>
      </w:pPr>
    </w:p>
    <w:tbl>
      <w:tblPr>
        <w:tblW w:w="0" w:type="auto"/>
        <w:jc w:val="left"/>
        <w:tblInd w:w="442" w:type="dxa"/>
        <w:tblLayout w:type="fixed"/>
        <w:tblCellMar>
          <w:top w:w="0" w:type="dxa"/>
          <w:left w:w="0" w:type="dxa"/>
          <w:bottom w:w="0" w:type="dxa"/>
          <w:right w:w="0" w:type="dxa"/>
        </w:tblCellMar>
        <w:tblLook w:val="01E0"/>
      </w:tblPr>
      <w:tblGrid>
        <w:gridCol w:w="2274"/>
        <w:gridCol w:w="2258"/>
        <w:gridCol w:w="2300"/>
        <w:gridCol w:w="2340"/>
      </w:tblGrid>
      <w:tr>
        <w:trPr>
          <w:trHeight w:val="634"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497" w:right="0"/>
              <w:jc w:val="left"/>
              <w:rPr>
                <w:rFonts w:ascii="宋体" w:hAnsi="宋体" w:cs="宋体" w:eastAsia="宋体" w:hint="default"/>
                <w:sz w:val="21"/>
                <w:szCs w:val="21"/>
              </w:rPr>
            </w:pPr>
            <w:r>
              <w:rPr>
                <w:rFonts w:ascii="宋体" w:hAnsi="宋体" w:cs="宋体" w:eastAsia="宋体" w:hint="default"/>
                <w:b/>
                <w:bCs/>
                <w:sz w:val="21"/>
                <w:szCs w:val="21"/>
              </w:rPr>
              <w:t>关联交易类别</w:t>
            </w:r>
            <w:r>
              <w:rPr>
                <w:rFonts w:ascii="宋体" w:hAnsi="宋体" w:cs="宋体" w:eastAsia="宋体" w:hint="default"/>
                <w:sz w:val="21"/>
                <w:szCs w:val="21"/>
              </w:rPr>
            </w:r>
          </w:p>
        </w:tc>
        <w:tc>
          <w:tcPr>
            <w:tcW w:w="225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b/>
                <w:bCs/>
                <w:sz w:val="21"/>
                <w:szCs w:val="21"/>
              </w:rPr>
              <w:t>实际发生金额</w:t>
            </w:r>
            <w:r>
              <w:rPr>
                <w:rFonts w:ascii="宋体" w:hAnsi="宋体" w:cs="宋体" w:eastAsia="宋体" w:hint="default"/>
                <w:sz w:val="21"/>
                <w:szCs w:val="21"/>
              </w:rPr>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617" w:right="0" w:firstLine="78"/>
              <w:jc w:val="left"/>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37"/>
              <w:ind w:left="617" w:right="0"/>
              <w:jc w:val="left"/>
              <w:rPr>
                <w:rFonts w:ascii="宋体" w:hAnsi="宋体" w:cs="宋体" w:eastAsia="宋体" w:hint="default"/>
                <w:sz w:val="21"/>
                <w:szCs w:val="21"/>
              </w:rPr>
            </w:pPr>
            <w:r>
              <w:rPr>
                <w:rFonts w:ascii="宋体" w:hAnsi="宋体" w:cs="宋体" w:eastAsia="宋体" w:hint="default"/>
                <w:b/>
                <w:bCs/>
                <w:sz w:val="21"/>
                <w:szCs w:val="21"/>
              </w:rPr>
              <w:t>预计总金额</w:t>
            </w:r>
            <w:r>
              <w:rPr>
                <w:rFonts w:ascii="宋体" w:hAnsi="宋体" w:cs="宋体" w:eastAsia="宋体" w:hint="default"/>
                <w:sz w:val="21"/>
                <w:szCs w:val="21"/>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531" w:right="0" w:firstLine="51"/>
              <w:jc w:val="left"/>
              <w:rPr>
                <w:rFonts w:ascii="宋体" w:hAnsi="宋体" w:cs="宋体" w:eastAsia="宋体" w:hint="default"/>
                <w:sz w:val="21"/>
                <w:szCs w:val="21"/>
              </w:rPr>
            </w:pPr>
            <w:r>
              <w:rPr>
                <w:rFonts w:ascii="宋体" w:hAnsi="宋体" w:cs="宋体" w:eastAsia="宋体" w:hint="default"/>
                <w:b/>
                <w:bCs/>
                <w:sz w:val="21"/>
                <w:szCs w:val="21"/>
              </w:rPr>
              <w:t>占</w:t>
            </w:r>
            <w:r>
              <w:rPr>
                <w:rFonts w:ascii="宋体" w:hAnsi="宋体" w:cs="宋体" w:eastAsia="宋体" w:hint="default"/>
                <w:b/>
                <w:bCs/>
                <w:spacing w:val="-55"/>
                <w:sz w:val="21"/>
                <w:szCs w:val="21"/>
              </w:rPr>
              <w:t> </w:t>
            </w:r>
            <w:r>
              <w:rPr>
                <w:rFonts w:ascii="宋体" w:hAnsi="宋体" w:cs="宋体" w:eastAsia="宋体" w:hint="default"/>
                <w:b/>
                <w:bCs/>
                <w:sz w:val="21"/>
                <w:szCs w:val="21"/>
              </w:rPr>
              <w:t>2011</w:t>
            </w:r>
            <w:r>
              <w:rPr>
                <w:rFonts w:ascii="宋体" w:hAnsi="宋体" w:cs="宋体" w:eastAsia="宋体" w:hint="default"/>
                <w:b/>
                <w:bCs/>
                <w:spacing w:val="-55"/>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37"/>
              <w:ind w:left="531" w:right="0"/>
              <w:jc w:val="left"/>
              <w:rPr>
                <w:rFonts w:ascii="宋体" w:hAnsi="宋体" w:cs="宋体" w:eastAsia="宋体" w:hint="default"/>
                <w:sz w:val="21"/>
                <w:szCs w:val="21"/>
              </w:rPr>
            </w:pPr>
            <w:r>
              <w:rPr>
                <w:rFonts w:ascii="宋体" w:hAnsi="宋体" w:cs="宋体" w:eastAsia="宋体" w:hint="default"/>
                <w:b/>
                <w:bCs/>
                <w:sz w:val="21"/>
                <w:szCs w:val="21"/>
              </w:rPr>
              <w:t>预计金额比例</w:t>
            </w:r>
            <w:r>
              <w:rPr>
                <w:rFonts w:ascii="宋体" w:hAnsi="宋体" w:cs="宋体" w:eastAsia="宋体" w:hint="default"/>
                <w:sz w:val="21"/>
                <w:szCs w:val="21"/>
              </w:rPr>
            </w:r>
          </w:p>
        </w:tc>
      </w:tr>
      <w:tr>
        <w:trPr>
          <w:trHeight w:val="323"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采购原材料或产成品</w:t>
            </w:r>
          </w:p>
        </w:tc>
        <w:tc>
          <w:tcPr>
            <w:tcW w:w="2258"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01"/>
              <w:jc w:val="right"/>
              <w:rPr>
                <w:rFonts w:ascii="宋体" w:hAnsi="宋体" w:cs="宋体" w:eastAsia="宋体" w:hint="default"/>
                <w:sz w:val="20"/>
                <w:szCs w:val="20"/>
              </w:rPr>
            </w:pPr>
            <w:r>
              <w:rPr>
                <w:rFonts w:ascii="宋体"/>
                <w:spacing w:val="-1"/>
                <w:sz w:val="20"/>
              </w:rPr>
              <w:t>371,450,925</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00"/>
              <w:jc w:val="right"/>
              <w:rPr>
                <w:rFonts w:ascii="宋体" w:hAnsi="宋体" w:cs="宋体" w:eastAsia="宋体" w:hint="default"/>
                <w:sz w:val="20"/>
                <w:szCs w:val="20"/>
              </w:rPr>
            </w:pPr>
            <w:r>
              <w:rPr>
                <w:rFonts w:ascii="宋体"/>
                <w:spacing w:val="-1"/>
                <w:sz w:val="20"/>
              </w:rPr>
              <w:t>460,000,000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02"/>
              <w:jc w:val="right"/>
              <w:rPr>
                <w:rFonts w:ascii="宋体" w:hAnsi="宋体" w:cs="宋体" w:eastAsia="宋体" w:hint="default"/>
                <w:sz w:val="20"/>
                <w:szCs w:val="20"/>
              </w:rPr>
            </w:pPr>
            <w:r>
              <w:rPr>
                <w:rFonts w:ascii="宋体"/>
                <w:spacing w:val="-1"/>
                <w:sz w:val="20"/>
              </w:rPr>
              <w:t>80.75%</w:t>
            </w:r>
            <w:r>
              <w:rPr>
                <w:rFonts w:ascii="宋体"/>
                <w:sz w:val="20"/>
              </w:rPr>
            </w:r>
          </w:p>
        </w:tc>
      </w:tr>
      <w:tr>
        <w:trPr>
          <w:trHeight w:val="322"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销售产品或商品</w:t>
            </w:r>
          </w:p>
        </w:tc>
        <w:tc>
          <w:tcPr>
            <w:tcW w:w="225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1"/>
              <w:jc w:val="right"/>
              <w:rPr>
                <w:rFonts w:ascii="宋体" w:hAnsi="宋体" w:cs="宋体" w:eastAsia="宋体" w:hint="default"/>
                <w:sz w:val="20"/>
                <w:szCs w:val="20"/>
              </w:rPr>
            </w:pPr>
            <w:r>
              <w:rPr>
                <w:rFonts w:ascii="宋体"/>
                <w:spacing w:val="-1"/>
                <w:sz w:val="20"/>
              </w:rPr>
              <w:t>666,991,819</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0"/>
              <w:jc w:val="right"/>
              <w:rPr>
                <w:rFonts w:ascii="宋体" w:hAnsi="宋体" w:cs="宋体" w:eastAsia="宋体" w:hint="default"/>
                <w:sz w:val="20"/>
                <w:szCs w:val="20"/>
              </w:rPr>
            </w:pPr>
            <w:r>
              <w:rPr>
                <w:rFonts w:ascii="宋体"/>
                <w:spacing w:val="-1"/>
                <w:sz w:val="20"/>
              </w:rPr>
              <w:t>605,000,000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2"/>
              <w:jc w:val="right"/>
              <w:rPr>
                <w:rFonts w:ascii="宋体" w:hAnsi="宋体" w:cs="宋体" w:eastAsia="宋体" w:hint="default"/>
                <w:sz w:val="20"/>
                <w:szCs w:val="20"/>
              </w:rPr>
            </w:pPr>
            <w:r>
              <w:rPr>
                <w:rFonts w:ascii="宋体"/>
                <w:spacing w:val="-1"/>
                <w:sz w:val="20"/>
              </w:rPr>
              <w:t>110.25%</w:t>
            </w:r>
            <w:r>
              <w:rPr>
                <w:rFonts w:ascii="宋体"/>
                <w:sz w:val="20"/>
              </w:rPr>
            </w:r>
          </w:p>
        </w:tc>
      </w:tr>
      <w:tr>
        <w:trPr>
          <w:trHeight w:val="322"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z w:val="21"/>
                <w:szCs w:val="21"/>
              </w:rPr>
              <w:t>接受劳务</w:t>
            </w:r>
          </w:p>
        </w:tc>
        <w:tc>
          <w:tcPr>
            <w:tcW w:w="2258"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2"/>
              <w:jc w:val="right"/>
              <w:rPr>
                <w:rFonts w:ascii="宋体" w:hAnsi="宋体" w:cs="宋体" w:eastAsia="宋体" w:hint="default"/>
                <w:sz w:val="20"/>
                <w:szCs w:val="20"/>
              </w:rPr>
            </w:pPr>
            <w:r>
              <w:rPr>
                <w:rFonts w:ascii="宋体"/>
                <w:spacing w:val="-1"/>
                <w:sz w:val="20"/>
              </w:rPr>
              <w:t>5,210,855</w:t>
            </w:r>
            <w:r>
              <w:rPr>
                <w:rFonts w:ascii="宋体"/>
                <w:sz w:val="20"/>
              </w:rPr>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1"/>
              <w:jc w:val="right"/>
              <w:rPr>
                <w:rFonts w:ascii="宋体" w:hAnsi="宋体" w:cs="宋体" w:eastAsia="宋体" w:hint="default"/>
                <w:sz w:val="20"/>
                <w:szCs w:val="20"/>
              </w:rPr>
            </w:pPr>
            <w:r>
              <w:rPr>
                <w:rFonts w:ascii="宋体"/>
                <w:spacing w:val="-1"/>
                <w:sz w:val="20"/>
              </w:rPr>
              <w:t>2,000,000</w:t>
            </w:r>
            <w:r>
              <w:rPr>
                <w:rFonts w:ascii="宋体"/>
                <w:sz w:val="20"/>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56" w:lineRule="exact"/>
              <w:ind w:right="102"/>
              <w:jc w:val="right"/>
              <w:rPr>
                <w:rFonts w:ascii="宋体" w:hAnsi="宋体" w:cs="宋体" w:eastAsia="宋体" w:hint="default"/>
                <w:sz w:val="20"/>
                <w:szCs w:val="20"/>
              </w:rPr>
            </w:pPr>
            <w:r>
              <w:rPr>
                <w:rFonts w:ascii="宋体"/>
                <w:spacing w:val="-1"/>
                <w:sz w:val="20"/>
              </w:rPr>
              <w:t>260.54%</w:t>
            </w:r>
            <w:r>
              <w:rPr>
                <w:rFonts w:ascii="宋体"/>
                <w:sz w:val="20"/>
              </w:rPr>
            </w:r>
          </w:p>
        </w:tc>
      </w:tr>
      <w:tr>
        <w:trPr>
          <w:trHeight w:val="323" w:hRule="exact"/>
        </w:trPr>
        <w:tc>
          <w:tcPr>
            <w:tcW w:w="2274"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提供劳务</w:t>
            </w:r>
          </w:p>
        </w:tc>
        <w:tc>
          <w:tcPr>
            <w:tcW w:w="2258"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02"/>
              <w:jc w:val="right"/>
              <w:rPr>
                <w:rFonts w:ascii="宋体" w:hAnsi="宋体" w:cs="宋体" w:eastAsia="宋体" w:hint="default"/>
                <w:sz w:val="20"/>
                <w:szCs w:val="20"/>
              </w:rPr>
            </w:pPr>
            <w:r>
              <w:rPr>
                <w:rFonts w:ascii="宋体"/>
                <w:spacing w:val="-1"/>
                <w:sz w:val="20"/>
              </w:rPr>
              <w:t>45,136,950</w:t>
            </w:r>
            <w:r>
              <w:rPr>
                <w:rFonts w:ascii="宋体"/>
                <w:sz w:val="20"/>
              </w:rPr>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01"/>
              <w:jc w:val="right"/>
              <w:rPr>
                <w:rFonts w:ascii="宋体" w:hAnsi="宋体" w:cs="宋体" w:eastAsia="宋体" w:hint="default"/>
                <w:sz w:val="20"/>
                <w:szCs w:val="20"/>
              </w:rPr>
            </w:pPr>
            <w:r>
              <w:rPr>
                <w:rFonts w:ascii="宋体"/>
                <w:spacing w:val="-1"/>
                <w:sz w:val="20"/>
              </w:rPr>
              <w:t>47,000,000</w:t>
            </w:r>
            <w:r>
              <w:rPr>
                <w:rFonts w:ascii="宋体"/>
                <w:sz w:val="20"/>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right="102"/>
              <w:jc w:val="right"/>
              <w:rPr>
                <w:rFonts w:ascii="宋体" w:hAnsi="宋体" w:cs="宋体" w:eastAsia="宋体" w:hint="default"/>
                <w:sz w:val="20"/>
                <w:szCs w:val="20"/>
              </w:rPr>
            </w:pPr>
            <w:r>
              <w:rPr>
                <w:rFonts w:ascii="宋体"/>
                <w:spacing w:val="-1"/>
                <w:sz w:val="20"/>
              </w:rPr>
              <w:t>96.04%</w:t>
            </w:r>
            <w:r>
              <w:rPr>
                <w:rFonts w:ascii="宋体"/>
                <w:sz w:val="20"/>
              </w:rPr>
            </w:r>
          </w:p>
        </w:tc>
      </w:tr>
    </w:tbl>
    <w:p>
      <w:pPr>
        <w:spacing w:after="0" w:line="257" w:lineRule="exact"/>
        <w:jc w:val="right"/>
        <w:rPr>
          <w:rFonts w:ascii="宋体" w:hAnsi="宋体" w:cs="宋体" w:eastAsia="宋体" w:hint="default"/>
          <w:sz w:val="20"/>
          <w:szCs w:val="20"/>
        </w:rPr>
        <w:sectPr>
          <w:type w:val="continuous"/>
          <w:pgSz w:w="11910" w:h="16840"/>
          <w:pgMar w:top="1600" w:bottom="280" w:left="920" w:right="920"/>
        </w:sectPr>
      </w:pPr>
    </w:p>
    <w:p>
      <w:pPr>
        <w:pStyle w:val="Heading5"/>
        <w:spacing w:line="240" w:lineRule="auto" w:before="85"/>
        <w:ind w:left="498" w:right="-20"/>
        <w:jc w:val="left"/>
      </w:pPr>
      <w:r>
        <w:rPr/>
        <w:t>2、与日常经营相关的关联交易</w:t>
      </w:r>
    </w:p>
    <w:p>
      <w:pPr>
        <w:spacing w:line="240" w:lineRule="auto" w:before="0"/>
        <w:rPr>
          <w:rFonts w:ascii="宋体" w:hAnsi="宋体" w:cs="宋体" w:eastAsia="宋体" w:hint="default"/>
          <w:sz w:val="20"/>
          <w:szCs w:val="20"/>
        </w:rPr>
      </w:pPr>
      <w:r>
        <w:rPr/>
        <w:br w:type="column"/>
      </w:r>
      <w:r>
        <w:rPr>
          <w:rFonts w:ascii="宋体"/>
          <w:sz w:val="20"/>
        </w:rPr>
      </w:r>
    </w:p>
    <w:p>
      <w:pPr>
        <w:pStyle w:val="BodyText"/>
        <w:spacing w:line="240" w:lineRule="auto" w:before="159"/>
        <w:ind w:left="498" w:right="0"/>
        <w:jc w:val="left"/>
        <w:rPr>
          <w:rFonts w:ascii="宋体" w:hAnsi="宋体" w:cs="宋体" w:eastAsia="宋体" w:hint="default"/>
        </w:rPr>
      </w:pPr>
      <w:r>
        <w:rPr>
          <w:rFonts w:ascii="宋体" w:hAnsi="宋体" w:cs="宋体" w:eastAsia="宋体" w:hint="default"/>
        </w:rPr>
        <w:t>单位：元</w:t>
      </w:r>
      <w:r>
        <w:rPr>
          <w:rFonts w:ascii="宋体" w:hAnsi="宋体" w:cs="宋体" w:eastAsia="宋体" w:hint="default"/>
          <w:spacing w:val="-2"/>
        </w:rPr>
        <w:t> </w:t>
      </w:r>
      <w:r>
        <w:rPr>
          <w:rFonts w:ascii="宋体" w:hAnsi="宋体" w:cs="宋体" w:eastAsia="宋体" w:hint="default"/>
        </w:rPr>
        <w:t>币种：人民币</w:t>
      </w:r>
    </w:p>
    <w:p>
      <w:pPr>
        <w:spacing w:after="0" w:line="240" w:lineRule="auto"/>
        <w:jc w:val="left"/>
        <w:rPr>
          <w:rFonts w:ascii="宋体" w:hAnsi="宋体" w:cs="宋体" w:eastAsia="宋体" w:hint="default"/>
        </w:rPr>
        <w:sectPr>
          <w:type w:val="continuous"/>
          <w:pgSz w:w="11910" w:h="16840"/>
          <w:pgMar w:top="1600" w:bottom="280" w:left="920" w:right="920"/>
          <w:cols w:num="2" w:equalWidth="0">
            <w:col w:w="3739" w:space="3126"/>
            <w:col w:w="3205"/>
          </w:cols>
        </w:sectPr>
      </w:pPr>
    </w:p>
    <w:p>
      <w:pPr>
        <w:spacing w:line="240" w:lineRule="auto" w:before="13"/>
        <w:rPr>
          <w:rFonts w:ascii="宋体" w:hAnsi="宋体" w:cs="宋体" w:eastAsia="宋体" w:hint="default"/>
          <w:sz w:val="3"/>
          <w:szCs w:val="3"/>
        </w:rPr>
      </w:pPr>
    </w:p>
    <w:tbl>
      <w:tblPr>
        <w:tblW w:w="0" w:type="auto"/>
        <w:jc w:val="left"/>
        <w:tblInd w:w="110" w:type="dxa"/>
        <w:tblLayout w:type="fixed"/>
        <w:tblCellMar>
          <w:top w:w="0" w:type="dxa"/>
          <w:left w:w="0" w:type="dxa"/>
          <w:bottom w:w="0" w:type="dxa"/>
          <w:right w:w="0" w:type="dxa"/>
        </w:tblCellMar>
        <w:tblLook w:val="01E0"/>
      </w:tblPr>
      <w:tblGrid>
        <w:gridCol w:w="2038"/>
        <w:gridCol w:w="1243"/>
        <w:gridCol w:w="1129"/>
        <w:gridCol w:w="718"/>
        <w:gridCol w:w="1211"/>
        <w:gridCol w:w="850"/>
        <w:gridCol w:w="948"/>
        <w:gridCol w:w="722"/>
        <w:gridCol w:w="978"/>
      </w:tblGrid>
      <w:tr>
        <w:trPr>
          <w:trHeight w:val="1571" w:hRule="exact"/>
        </w:trPr>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关联交易方</w:t>
            </w:r>
            <w:r>
              <w:rPr>
                <w:rFonts w:ascii="宋体" w:hAnsi="宋体" w:cs="宋体" w:eastAsia="宋体" w:hint="default"/>
                <w:sz w:val="18"/>
                <w:szCs w:val="18"/>
              </w:rPr>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关联关系</w:t>
            </w:r>
            <w:r>
              <w:rPr>
                <w:rFonts w:ascii="宋体" w:hAnsi="宋体" w:cs="宋体" w:eastAsia="宋体" w:hint="default"/>
                <w:sz w:val="18"/>
                <w:szCs w:val="18"/>
              </w:rPr>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316" w:lineRule="auto"/>
              <w:ind w:left="379" w:right="197" w:hanging="182"/>
              <w:jc w:val="left"/>
              <w:rPr>
                <w:rFonts w:ascii="宋体" w:hAnsi="宋体" w:cs="宋体" w:eastAsia="宋体" w:hint="default"/>
                <w:sz w:val="18"/>
                <w:szCs w:val="18"/>
              </w:rPr>
            </w:pPr>
            <w:r>
              <w:rPr>
                <w:rFonts w:ascii="宋体" w:hAnsi="宋体" w:cs="宋体" w:eastAsia="宋体" w:hint="default"/>
                <w:b/>
                <w:bCs/>
                <w:sz w:val="18"/>
                <w:szCs w:val="18"/>
              </w:rPr>
              <w:t>关联交易</w:t>
            </w:r>
            <w:r>
              <w:rPr>
                <w:rFonts w:ascii="宋体" w:hAnsi="宋体" w:cs="宋体" w:eastAsia="宋体" w:hint="default"/>
                <w:b/>
                <w:bCs/>
                <w:w w:val="99"/>
                <w:sz w:val="18"/>
                <w:szCs w:val="18"/>
              </w:rPr>
              <w:t> </w:t>
            </w:r>
            <w:r>
              <w:rPr>
                <w:rFonts w:ascii="宋体" w:hAnsi="宋体" w:cs="宋体" w:eastAsia="宋体" w:hint="default"/>
                <w:b/>
                <w:bCs/>
                <w:sz w:val="18"/>
                <w:szCs w:val="18"/>
              </w:rPr>
              <w:t>内容</w:t>
            </w:r>
            <w:r>
              <w:rPr>
                <w:rFonts w:ascii="宋体" w:hAnsi="宋体" w:cs="宋体" w:eastAsia="宋体" w:hint="default"/>
                <w:sz w:val="18"/>
                <w:szCs w:val="18"/>
              </w:rPr>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171" w:right="173"/>
              <w:jc w:val="both"/>
              <w:rPr>
                <w:rFonts w:ascii="宋体" w:hAnsi="宋体" w:cs="宋体" w:eastAsia="宋体" w:hint="default"/>
                <w:sz w:val="18"/>
                <w:szCs w:val="18"/>
              </w:rPr>
            </w:pPr>
            <w:r>
              <w:rPr>
                <w:rFonts w:ascii="宋体" w:hAnsi="宋体" w:cs="宋体" w:eastAsia="宋体" w:hint="default"/>
                <w:b/>
                <w:bCs/>
                <w:sz w:val="18"/>
                <w:szCs w:val="18"/>
              </w:rPr>
              <w:t>关联</w:t>
            </w:r>
            <w:r>
              <w:rPr>
                <w:rFonts w:ascii="宋体" w:hAnsi="宋体" w:cs="宋体" w:eastAsia="宋体" w:hint="default"/>
                <w:b/>
                <w:bCs/>
                <w:spacing w:val="1"/>
                <w:w w:val="99"/>
                <w:sz w:val="18"/>
                <w:szCs w:val="18"/>
              </w:rPr>
              <w:t> </w:t>
            </w:r>
            <w:r>
              <w:rPr>
                <w:rFonts w:ascii="宋体" w:hAnsi="宋体" w:cs="宋体" w:eastAsia="宋体" w:hint="default"/>
                <w:b/>
                <w:bCs/>
                <w:sz w:val="18"/>
                <w:szCs w:val="18"/>
              </w:rPr>
              <w:t>交易</w:t>
            </w:r>
            <w:r>
              <w:rPr>
                <w:rFonts w:ascii="宋体" w:hAnsi="宋体" w:cs="宋体" w:eastAsia="宋体" w:hint="default"/>
                <w:b/>
                <w:bCs/>
                <w:spacing w:val="1"/>
                <w:w w:val="99"/>
                <w:sz w:val="18"/>
                <w:szCs w:val="18"/>
              </w:rPr>
              <w:t> </w:t>
            </w:r>
            <w:r>
              <w:rPr>
                <w:rFonts w:ascii="宋体" w:hAnsi="宋体" w:cs="宋体" w:eastAsia="宋体" w:hint="default"/>
                <w:b/>
                <w:bCs/>
                <w:sz w:val="18"/>
                <w:szCs w:val="18"/>
              </w:rPr>
              <w:t>定价</w:t>
            </w:r>
            <w:r>
              <w:rPr>
                <w:rFonts w:ascii="宋体" w:hAnsi="宋体" w:cs="宋体" w:eastAsia="宋体" w:hint="default"/>
                <w:b/>
                <w:bCs/>
                <w:spacing w:val="1"/>
                <w:w w:val="99"/>
                <w:sz w:val="18"/>
                <w:szCs w:val="18"/>
              </w:rPr>
              <w:t> </w:t>
            </w:r>
            <w:r>
              <w:rPr>
                <w:rFonts w:ascii="宋体" w:hAnsi="宋体" w:cs="宋体" w:eastAsia="宋体" w:hint="default"/>
                <w:b/>
                <w:bCs/>
                <w:sz w:val="18"/>
                <w:szCs w:val="18"/>
              </w:rPr>
              <w:t>原则</w:t>
            </w:r>
            <w:r>
              <w:rPr>
                <w:rFonts w:ascii="宋体" w:hAnsi="宋体" w:cs="宋体" w:eastAsia="宋体" w:hint="default"/>
                <w:sz w:val="18"/>
                <w:szCs w:val="18"/>
              </w:rPr>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316" w:lineRule="auto"/>
              <w:ind w:left="418" w:right="239" w:hanging="180"/>
              <w:jc w:val="left"/>
              <w:rPr>
                <w:rFonts w:ascii="宋体" w:hAnsi="宋体" w:cs="宋体" w:eastAsia="宋体" w:hint="default"/>
                <w:sz w:val="18"/>
                <w:szCs w:val="18"/>
              </w:rPr>
            </w:pPr>
            <w:r>
              <w:rPr>
                <w:rFonts w:ascii="宋体" w:hAnsi="宋体" w:cs="宋体" w:eastAsia="宋体" w:hint="default"/>
                <w:b/>
                <w:bCs/>
                <w:sz w:val="18"/>
                <w:szCs w:val="18"/>
              </w:rPr>
              <w:t>关联交易</w:t>
            </w:r>
            <w:r>
              <w:rPr>
                <w:rFonts w:ascii="宋体" w:hAnsi="宋体" w:cs="宋体" w:eastAsia="宋体" w:hint="default"/>
                <w:b/>
                <w:bCs/>
                <w:w w:val="99"/>
                <w:sz w:val="18"/>
                <w:szCs w:val="18"/>
              </w:rPr>
              <w:t> </w:t>
            </w:r>
            <w:r>
              <w:rPr>
                <w:rFonts w:ascii="宋体" w:hAnsi="宋体" w:cs="宋体" w:eastAsia="宋体" w:hint="default"/>
                <w:b/>
                <w:bCs/>
                <w:sz w:val="18"/>
                <w:szCs w:val="18"/>
              </w:rPr>
              <w:t>金额</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316" w:lineRule="auto"/>
              <w:ind w:left="147" w:right="146"/>
              <w:jc w:val="both"/>
              <w:rPr>
                <w:rFonts w:ascii="宋体" w:hAnsi="宋体" w:cs="宋体" w:eastAsia="宋体" w:hint="default"/>
                <w:sz w:val="18"/>
                <w:szCs w:val="18"/>
              </w:rPr>
            </w:pPr>
            <w:r>
              <w:rPr>
                <w:rFonts w:ascii="宋体" w:hAnsi="宋体" w:cs="宋体" w:eastAsia="宋体" w:hint="default"/>
                <w:b/>
                <w:bCs/>
                <w:sz w:val="18"/>
                <w:szCs w:val="18"/>
              </w:rPr>
              <w:t>比上年</w:t>
            </w:r>
            <w:r>
              <w:rPr>
                <w:rFonts w:ascii="宋体" w:hAnsi="宋体" w:cs="宋体" w:eastAsia="宋体" w:hint="default"/>
                <w:b/>
                <w:bCs/>
                <w:spacing w:val="1"/>
                <w:w w:val="99"/>
                <w:sz w:val="18"/>
                <w:szCs w:val="18"/>
              </w:rPr>
              <w:t> </w:t>
            </w:r>
            <w:r>
              <w:rPr>
                <w:rFonts w:ascii="宋体" w:hAnsi="宋体" w:cs="宋体" w:eastAsia="宋体" w:hint="default"/>
                <w:b/>
                <w:bCs/>
                <w:sz w:val="18"/>
                <w:szCs w:val="18"/>
              </w:rPr>
              <w:t>同期增</w:t>
            </w:r>
            <w:r>
              <w:rPr>
                <w:rFonts w:ascii="宋体" w:hAnsi="宋体" w:cs="宋体" w:eastAsia="宋体" w:hint="default"/>
                <w:b/>
                <w:bCs/>
                <w:spacing w:val="1"/>
                <w:w w:val="99"/>
                <w:sz w:val="18"/>
                <w:szCs w:val="18"/>
              </w:rPr>
              <w:t> </w:t>
            </w:r>
            <w:r>
              <w:rPr>
                <w:rFonts w:ascii="宋体" w:hAnsi="宋体" w:cs="宋体" w:eastAsia="宋体" w:hint="default"/>
                <w:b/>
                <w:bCs/>
                <w:sz w:val="18"/>
                <w:szCs w:val="18"/>
              </w:rPr>
              <w:t>减(%)</w:t>
            </w:r>
            <w:r>
              <w:rPr>
                <w:rFonts w:ascii="宋体" w:hAnsi="宋体" w:cs="宋体" w:eastAsia="宋体" w:hint="default"/>
                <w:sz w:val="18"/>
                <w:szCs w:val="18"/>
              </w:rPr>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316" w:lineRule="auto"/>
              <w:ind w:left="106" w:right="107"/>
              <w:jc w:val="both"/>
              <w:rPr>
                <w:rFonts w:ascii="宋体" w:hAnsi="宋体" w:cs="宋体" w:eastAsia="宋体" w:hint="default"/>
                <w:sz w:val="18"/>
                <w:szCs w:val="18"/>
              </w:rPr>
            </w:pPr>
            <w:r>
              <w:rPr>
                <w:rFonts w:ascii="宋体" w:hAnsi="宋体" w:cs="宋体" w:eastAsia="宋体" w:hint="default"/>
                <w:b/>
                <w:bCs/>
                <w:sz w:val="18"/>
                <w:szCs w:val="18"/>
              </w:rPr>
              <w:t>占同类交</w:t>
            </w:r>
            <w:r>
              <w:rPr>
                <w:rFonts w:ascii="宋体" w:hAnsi="宋体" w:cs="宋体" w:eastAsia="宋体" w:hint="default"/>
                <w:b/>
                <w:bCs/>
                <w:w w:val="99"/>
                <w:sz w:val="18"/>
                <w:szCs w:val="18"/>
              </w:rPr>
              <w:t> </w:t>
            </w:r>
            <w:r>
              <w:rPr>
                <w:rFonts w:ascii="宋体" w:hAnsi="宋体" w:cs="宋体" w:eastAsia="宋体" w:hint="default"/>
                <w:b/>
                <w:bCs/>
                <w:sz w:val="18"/>
                <w:szCs w:val="18"/>
              </w:rPr>
              <w:t>易金额的</w:t>
            </w:r>
            <w:r>
              <w:rPr>
                <w:rFonts w:ascii="宋体" w:hAnsi="宋体" w:cs="宋体" w:eastAsia="宋体" w:hint="default"/>
                <w:b/>
                <w:bCs/>
                <w:w w:val="99"/>
                <w:sz w:val="18"/>
                <w:szCs w:val="18"/>
              </w:rPr>
              <w:t> </w:t>
            </w:r>
            <w:r>
              <w:rPr>
                <w:rFonts w:ascii="宋体" w:hAnsi="宋体" w:cs="宋体" w:eastAsia="宋体" w:hint="default"/>
                <w:b/>
                <w:bCs/>
                <w:sz w:val="18"/>
                <w:szCs w:val="18"/>
              </w:rPr>
              <w:t>比例(%)</w:t>
            </w:r>
            <w:r>
              <w:rPr>
                <w:rFonts w:ascii="宋体" w:hAnsi="宋体" w:cs="宋体" w:eastAsia="宋体" w:hint="default"/>
                <w:sz w:val="18"/>
                <w:szCs w:val="18"/>
              </w:rPr>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174" w:right="174"/>
              <w:jc w:val="both"/>
              <w:rPr>
                <w:rFonts w:ascii="宋体" w:hAnsi="宋体" w:cs="宋体" w:eastAsia="宋体" w:hint="default"/>
                <w:sz w:val="18"/>
                <w:szCs w:val="18"/>
              </w:rPr>
            </w:pPr>
            <w:r>
              <w:rPr>
                <w:rFonts w:ascii="宋体" w:hAnsi="宋体" w:cs="宋体" w:eastAsia="宋体" w:hint="default"/>
                <w:b/>
                <w:bCs/>
                <w:sz w:val="18"/>
                <w:szCs w:val="18"/>
              </w:rPr>
              <w:t>关联</w:t>
            </w:r>
            <w:r>
              <w:rPr>
                <w:rFonts w:ascii="宋体" w:hAnsi="宋体" w:cs="宋体" w:eastAsia="宋体" w:hint="default"/>
                <w:b/>
                <w:bCs/>
                <w:spacing w:val="1"/>
                <w:w w:val="99"/>
                <w:sz w:val="18"/>
                <w:szCs w:val="18"/>
              </w:rPr>
              <w:t> </w:t>
            </w:r>
            <w:r>
              <w:rPr>
                <w:rFonts w:ascii="宋体" w:hAnsi="宋体" w:cs="宋体" w:eastAsia="宋体" w:hint="default"/>
                <w:b/>
                <w:bCs/>
                <w:sz w:val="18"/>
                <w:szCs w:val="18"/>
              </w:rPr>
              <w:t>交易</w:t>
            </w:r>
            <w:r>
              <w:rPr>
                <w:rFonts w:ascii="宋体" w:hAnsi="宋体" w:cs="宋体" w:eastAsia="宋体" w:hint="default"/>
                <w:b/>
                <w:bCs/>
                <w:spacing w:val="1"/>
                <w:w w:val="99"/>
                <w:sz w:val="18"/>
                <w:szCs w:val="18"/>
              </w:rPr>
              <w:t> </w:t>
            </w:r>
            <w:r>
              <w:rPr>
                <w:rFonts w:ascii="宋体" w:hAnsi="宋体" w:cs="宋体" w:eastAsia="宋体" w:hint="default"/>
                <w:b/>
                <w:bCs/>
                <w:sz w:val="18"/>
                <w:szCs w:val="18"/>
              </w:rPr>
              <w:t>结算</w:t>
            </w:r>
            <w:r>
              <w:rPr>
                <w:rFonts w:ascii="宋体" w:hAnsi="宋体" w:cs="宋体" w:eastAsia="宋体" w:hint="default"/>
                <w:b/>
                <w:bCs/>
                <w:spacing w:val="1"/>
                <w:w w:val="99"/>
                <w:sz w:val="18"/>
                <w:szCs w:val="18"/>
              </w:rPr>
              <w:t> </w:t>
            </w:r>
            <w:r>
              <w:rPr>
                <w:rFonts w:ascii="宋体" w:hAnsi="宋体" w:cs="宋体" w:eastAsia="宋体" w:hint="default"/>
                <w:b/>
                <w:bCs/>
                <w:sz w:val="18"/>
                <w:szCs w:val="18"/>
              </w:rPr>
              <w:t>方式</w:t>
            </w:r>
            <w:r>
              <w:rPr>
                <w:rFonts w:ascii="宋体" w:hAnsi="宋体" w:cs="宋体" w:eastAsia="宋体" w:hint="default"/>
                <w:sz w:val="18"/>
                <w:szCs w:val="18"/>
              </w:rPr>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21" w:right="122"/>
              <w:jc w:val="center"/>
              <w:rPr>
                <w:rFonts w:ascii="宋体" w:hAnsi="宋体" w:cs="宋体" w:eastAsia="宋体" w:hint="default"/>
                <w:sz w:val="18"/>
                <w:szCs w:val="18"/>
              </w:rPr>
            </w:pPr>
            <w:r>
              <w:rPr>
                <w:rFonts w:ascii="宋体" w:hAnsi="宋体" w:cs="宋体" w:eastAsia="宋体" w:hint="default"/>
                <w:b/>
                <w:bCs/>
                <w:sz w:val="18"/>
                <w:szCs w:val="18"/>
              </w:rPr>
              <w:t>交易价格</w:t>
            </w:r>
            <w:r>
              <w:rPr>
                <w:rFonts w:ascii="宋体" w:hAnsi="宋体" w:cs="宋体" w:eastAsia="宋体" w:hint="default"/>
                <w:b/>
                <w:bCs/>
                <w:w w:val="99"/>
                <w:sz w:val="18"/>
                <w:szCs w:val="18"/>
              </w:rPr>
              <w:t> </w:t>
            </w:r>
            <w:r>
              <w:rPr>
                <w:rFonts w:ascii="宋体" w:hAnsi="宋体" w:cs="宋体" w:eastAsia="宋体" w:hint="default"/>
                <w:b/>
                <w:bCs/>
                <w:sz w:val="18"/>
                <w:szCs w:val="18"/>
              </w:rPr>
              <w:t>与市场参</w:t>
            </w:r>
            <w:r>
              <w:rPr>
                <w:rFonts w:ascii="宋体" w:hAnsi="宋体" w:cs="宋体" w:eastAsia="宋体" w:hint="default"/>
                <w:b/>
                <w:bCs/>
                <w:w w:val="99"/>
                <w:sz w:val="18"/>
                <w:szCs w:val="18"/>
              </w:rPr>
              <w:t> </w:t>
            </w:r>
            <w:r>
              <w:rPr>
                <w:rFonts w:ascii="宋体" w:hAnsi="宋体" w:cs="宋体" w:eastAsia="宋体" w:hint="default"/>
                <w:b/>
                <w:bCs/>
                <w:sz w:val="18"/>
                <w:szCs w:val="18"/>
              </w:rPr>
              <w:t>考价格差</w:t>
            </w:r>
            <w:r>
              <w:rPr>
                <w:rFonts w:ascii="宋体" w:hAnsi="宋体" w:cs="宋体" w:eastAsia="宋体" w:hint="default"/>
                <w:b/>
                <w:bCs/>
                <w:w w:val="99"/>
                <w:sz w:val="18"/>
                <w:szCs w:val="18"/>
              </w:rPr>
              <w:t> </w:t>
            </w:r>
            <w:r>
              <w:rPr>
                <w:rFonts w:ascii="宋体" w:hAnsi="宋体" w:cs="宋体" w:eastAsia="宋体" w:hint="default"/>
                <w:b/>
                <w:bCs/>
                <w:sz w:val="18"/>
                <w:szCs w:val="18"/>
              </w:rPr>
              <w:t>异较大的</w:t>
            </w:r>
            <w:r>
              <w:rPr>
                <w:rFonts w:ascii="宋体" w:hAnsi="宋体" w:cs="宋体" w:eastAsia="宋体" w:hint="default"/>
                <w:b/>
                <w:bCs/>
                <w:w w:val="99"/>
                <w:sz w:val="18"/>
                <w:szCs w:val="18"/>
              </w:rPr>
              <w:t> </w:t>
            </w:r>
            <w:r>
              <w:rPr>
                <w:rFonts w:ascii="宋体" w:hAnsi="宋体" w:cs="宋体" w:eastAsia="宋体" w:hint="default"/>
                <w:b/>
                <w:bCs/>
                <w:sz w:val="18"/>
                <w:szCs w:val="18"/>
              </w:rPr>
              <w:t>原因</w:t>
            </w:r>
            <w:r>
              <w:rPr>
                <w:rFonts w:ascii="宋体" w:hAnsi="宋体" w:cs="宋体" w:eastAsia="宋体" w:hint="default"/>
                <w:sz w:val="18"/>
                <w:szCs w:val="18"/>
              </w:rPr>
            </w:r>
          </w:p>
        </w:tc>
      </w:tr>
      <w:tr>
        <w:trPr>
          <w:trHeight w:val="634" w:hRule="exact"/>
        </w:trPr>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25"/>
              <w:jc w:val="left"/>
              <w:rPr>
                <w:rFonts w:ascii="宋体" w:hAnsi="宋体" w:cs="宋体" w:eastAsia="宋体" w:hint="default"/>
                <w:sz w:val="18"/>
                <w:szCs w:val="18"/>
              </w:rPr>
            </w:pPr>
            <w:r>
              <w:rPr>
                <w:rFonts w:ascii="宋体" w:hAnsi="宋体" w:cs="宋体" w:eastAsia="宋体" w:hint="default"/>
                <w:sz w:val="18"/>
                <w:szCs w:val="18"/>
              </w:rPr>
              <w:t>阿尔派株式会社及其子 公司(合称“阿尔派”)</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0"/>
              <w:jc w:val="left"/>
              <w:rPr>
                <w:rFonts w:ascii="宋体" w:hAnsi="宋体" w:cs="宋体" w:eastAsia="宋体" w:hint="default"/>
                <w:sz w:val="18"/>
                <w:szCs w:val="18"/>
              </w:rPr>
            </w:pPr>
            <w:r>
              <w:rPr>
                <w:rFonts w:ascii="宋体" w:hAnsi="宋体" w:cs="宋体" w:eastAsia="宋体" w:hint="default"/>
                <w:spacing w:val="6"/>
                <w:sz w:val="18"/>
                <w:szCs w:val="18"/>
              </w:rPr>
              <w:t>持本公司</w:t>
            </w:r>
            <w:r>
              <w:rPr>
                <w:rFonts w:ascii="宋体" w:hAnsi="宋体" w:cs="宋体" w:eastAsia="宋体" w:hint="default"/>
                <w:spacing w:val="11"/>
                <w:sz w:val="18"/>
                <w:szCs w:val="18"/>
              </w:rPr>
              <w:t> </w:t>
            </w:r>
            <w:r>
              <w:rPr>
                <w:rFonts w:ascii="宋体" w:hAnsi="宋体" w:cs="宋体" w:eastAsia="宋体" w:hint="default"/>
                <w:sz w:val="18"/>
                <w:szCs w:val="18"/>
              </w:rPr>
              <w:t>5%</w:t>
            </w:r>
            <w:r>
              <w:rPr>
                <w:rFonts w:ascii="宋体" w:hAnsi="宋体" w:cs="宋体" w:eastAsia="宋体" w:hint="default"/>
                <w:sz w:val="18"/>
                <w:szCs w:val="18"/>
              </w:rPr>
              <w:t> 以上股权</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96"/>
              <w:jc w:val="left"/>
              <w:rPr>
                <w:rFonts w:ascii="宋体" w:hAnsi="宋体" w:cs="宋体" w:eastAsia="宋体" w:hint="default"/>
                <w:sz w:val="18"/>
                <w:szCs w:val="18"/>
              </w:rPr>
            </w:pPr>
            <w:r>
              <w:rPr>
                <w:rFonts w:ascii="宋体" w:hAnsi="宋体" w:cs="宋体" w:eastAsia="宋体" w:hint="default"/>
                <w:spacing w:val="3"/>
                <w:sz w:val="18"/>
                <w:szCs w:val="18"/>
              </w:rPr>
              <w:t>系统集成或 </w:t>
            </w:r>
            <w:r>
              <w:rPr>
                <w:rFonts w:ascii="宋体" w:hAnsi="宋体" w:cs="宋体" w:eastAsia="宋体" w:hint="default"/>
                <w:sz w:val="18"/>
                <w:szCs w:val="18"/>
              </w:rPr>
              <w:t>软件销售</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72" w:right="173"/>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 w:right="0"/>
              <w:jc w:val="center"/>
              <w:rPr>
                <w:rFonts w:ascii="宋体" w:hAnsi="宋体" w:cs="宋体" w:eastAsia="宋体" w:hint="default"/>
                <w:sz w:val="18"/>
                <w:szCs w:val="18"/>
              </w:rPr>
            </w:pPr>
            <w:r>
              <w:rPr>
                <w:rFonts w:ascii="宋体"/>
                <w:sz w:val="18"/>
              </w:rPr>
              <w:t>109,640,721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9.16</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2.27</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75" w:right="175"/>
              <w:jc w:val="left"/>
              <w:rPr>
                <w:rFonts w:ascii="宋体" w:hAnsi="宋体" w:cs="宋体" w:eastAsia="宋体" w:hint="default"/>
                <w:sz w:val="18"/>
                <w:szCs w:val="18"/>
              </w:rPr>
            </w:pPr>
            <w:r>
              <w:rPr>
                <w:rFonts w:ascii="宋体" w:hAnsi="宋体" w:cs="宋体" w:eastAsia="宋体" w:hint="default"/>
                <w:sz w:val="18"/>
                <w:szCs w:val="18"/>
              </w:rPr>
              <w:t>现金 结算</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1258" w:hRule="exact"/>
        </w:trPr>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35"/>
              <w:jc w:val="left"/>
              <w:rPr>
                <w:rFonts w:ascii="宋体" w:hAnsi="宋体" w:cs="宋体" w:eastAsia="宋体" w:hint="default"/>
                <w:sz w:val="18"/>
                <w:szCs w:val="18"/>
              </w:rPr>
            </w:pPr>
            <w:r>
              <w:rPr>
                <w:rFonts w:ascii="宋体" w:hAnsi="宋体" w:cs="宋体" w:eastAsia="宋体" w:hint="default"/>
                <w:sz w:val="18"/>
                <w:szCs w:val="18"/>
              </w:rPr>
              <w:t>Harman International Industries, Incorporated</w:t>
            </w:r>
            <w:r>
              <w:rPr>
                <w:rFonts w:ascii="宋体" w:hAnsi="宋体" w:cs="宋体" w:eastAsia="宋体" w:hint="default"/>
                <w:spacing w:val="-46"/>
                <w:sz w:val="18"/>
                <w:szCs w:val="18"/>
              </w:rPr>
              <w:t> </w:t>
            </w:r>
            <w:r>
              <w:rPr>
                <w:rFonts w:ascii="宋体" w:hAnsi="宋体" w:cs="宋体" w:eastAsia="宋体" w:hint="default"/>
                <w:sz w:val="18"/>
                <w:szCs w:val="18"/>
              </w:rPr>
              <w:t>及其子</w:t>
            </w:r>
            <w:r>
              <w:rPr>
                <w:rFonts w:ascii="宋体" w:hAnsi="宋体" w:cs="宋体" w:eastAsia="宋体" w:hint="default"/>
                <w:sz w:val="18"/>
                <w:szCs w:val="18"/>
              </w:rPr>
              <w:t> </w:t>
            </w:r>
            <w:r>
              <w:rPr>
                <w:rFonts w:ascii="宋体" w:hAnsi="宋体" w:cs="宋体" w:eastAsia="宋体" w:hint="default"/>
                <w:spacing w:val="-7"/>
                <w:sz w:val="18"/>
                <w:szCs w:val="18"/>
              </w:rPr>
              <w:t>公司（合称“Harman”）</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3" w:right="71"/>
              <w:jc w:val="both"/>
              <w:rPr>
                <w:rFonts w:ascii="宋体" w:hAnsi="宋体" w:cs="宋体" w:eastAsia="宋体" w:hint="default"/>
                <w:sz w:val="18"/>
                <w:szCs w:val="18"/>
              </w:rPr>
            </w:pPr>
            <w:r>
              <w:rPr>
                <w:rFonts w:ascii="宋体" w:hAnsi="宋体" w:cs="宋体" w:eastAsia="宋体" w:hint="default"/>
                <w:spacing w:val="20"/>
                <w:sz w:val="18"/>
                <w:szCs w:val="18"/>
              </w:rPr>
              <w:t>本公司</w:t>
            </w:r>
            <w:r>
              <w:rPr>
                <w:rFonts w:ascii="宋体" w:hAnsi="宋体" w:cs="宋体" w:eastAsia="宋体" w:hint="default"/>
                <w:spacing w:val="-57"/>
                <w:sz w:val="18"/>
                <w:szCs w:val="18"/>
              </w:rPr>
              <w:t> </w:t>
            </w:r>
            <w:r>
              <w:rPr>
                <w:rFonts w:ascii="宋体" w:hAnsi="宋体" w:cs="宋体" w:eastAsia="宋体" w:hint="default"/>
                <w:spacing w:val="15"/>
                <w:sz w:val="18"/>
                <w:szCs w:val="18"/>
              </w:rPr>
              <w:t>董事</w:t>
            </w:r>
            <w:r>
              <w:rPr>
                <w:rFonts w:ascii="宋体" w:hAnsi="宋体" w:cs="宋体" w:eastAsia="宋体" w:hint="default"/>
                <w:spacing w:val="-59"/>
                <w:sz w:val="18"/>
                <w:szCs w:val="18"/>
              </w:rPr>
              <w:t> </w:t>
            </w:r>
            <w:r>
              <w:rPr>
                <w:rFonts w:ascii="宋体" w:hAnsi="宋体" w:cs="宋体" w:eastAsia="宋体" w:hint="default"/>
                <w:spacing w:val="9"/>
                <w:sz w:val="18"/>
                <w:szCs w:val="18"/>
              </w:rPr>
              <w:t>长为</w:t>
            </w:r>
            <w:r>
              <w:rPr>
                <w:rFonts w:ascii="宋体" w:hAnsi="宋体" w:cs="宋体" w:eastAsia="宋体" w:hint="default"/>
                <w:spacing w:val="17"/>
                <w:sz w:val="18"/>
                <w:szCs w:val="18"/>
              </w:rPr>
              <w:t> </w:t>
            </w:r>
            <w:r>
              <w:rPr>
                <w:rFonts w:ascii="宋体" w:hAnsi="宋体" w:cs="宋体" w:eastAsia="宋体" w:hint="default"/>
                <w:sz w:val="18"/>
                <w:szCs w:val="18"/>
              </w:rPr>
              <w:t>Harman</w:t>
            </w:r>
            <w:r>
              <w:rPr>
                <w:rFonts w:ascii="宋体" w:hAnsi="宋体" w:cs="宋体" w:eastAsia="宋体" w:hint="default"/>
                <w:sz w:val="18"/>
                <w:szCs w:val="18"/>
              </w:rPr>
              <w:t> 董事</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03" w:right="96"/>
              <w:jc w:val="left"/>
              <w:rPr>
                <w:rFonts w:ascii="宋体" w:hAnsi="宋体" w:cs="宋体" w:eastAsia="宋体" w:hint="default"/>
                <w:sz w:val="18"/>
                <w:szCs w:val="18"/>
              </w:rPr>
            </w:pPr>
            <w:r>
              <w:rPr>
                <w:rFonts w:ascii="宋体" w:hAnsi="宋体" w:cs="宋体" w:eastAsia="宋体" w:hint="default"/>
                <w:spacing w:val="3"/>
                <w:sz w:val="18"/>
                <w:szCs w:val="18"/>
              </w:rPr>
              <w:t>系统集成或 </w:t>
            </w:r>
            <w:r>
              <w:rPr>
                <w:rFonts w:ascii="宋体" w:hAnsi="宋体" w:cs="宋体" w:eastAsia="宋体" w:hint="default"/>
                <w:sz w:val="18"/>
                <w:szCs w:val="18"/>
              </w:rPr>
              <w:t>软件销售</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72" w:right="173"/>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sz w:val="18"/>
              </w:rPr>
              <w:t>206,724,653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宋体" w:hAnsi="宋体" w:cs="宋体" w:eastAsia="宋体" w:hint="default"/>
                <w:sz w:val="18"/>
                <w:szCs w:val="18"/>
              </w:rPr>
            </w:pPr>
            <w:r>
              <w:rPr>
                <w:rFonts w:ascii="宋体"/>
                <w:sz w:val="18"/>
              </w:rPr>
              <w:t>116.78</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2"/>
              <w:jc w:val="right"/>
              <w:rPr>
                <w:rFonts w:ascii="宋体" w:hAnsi="宋体" w:cs="宋体" w:eastAsia="宋体" w:hint="default"/>
                <w:sz w:val="18"/>
                <w:szCs w:val="18"/>
              </w:rPr>
            </w:pPr>
            <w:r>
              <w:rPr>
                <w:rFonts w:ascii="宋体"/>
                <w:sz w:val="18"/>
              </w:rPr>
              <w:t>4.28</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75" w:right="175"/>
              <w:jc w:val="left"/>
              <w:rPr>
                <w:rFonts w:ascii="宋体" w:hAnsi="宋体" w:cs="宋体" w:eastAsia="宋体" w:hint="default"/>
                <w:sz w:val="18"/>
                <w:szCs w:val="18"/>
              </w:rPr>
            </w:pPr>
            <w:r>
              <w:rPr>
                <w:rFonts w:ascii="宋体" w:hAnsi="宋体" w:cs="宋体" w:eastAsia="宋体" w:hint="default"/>
                <w:sz w:val="18"/>
                <w:szCs w:val="18"/>
              </w:rPr>
              <w:t>现金 结算</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649" w:hRule="exact"/>
        </w:trPr>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9"/>
              <w:ind w:left="102" w:right="125"/>
              <w:jc w:val="left"/>
              <w:rPr>
                <w:rFonts w:ascii="宋体" w:hAnsi="宋体" w:cs="宋体" w:eastAsia="宋体" w:hint="default"/>
                <w:sz w:val="18"/>
                <w:szCs w:val="18"/>
              </w:rPr>
            </w:pPr>
            <w:r>
              <w:rPr>
                <w:rFonts w:ascii="宋体" w:hAnsi="宋体" w:cs="宋体" w:eastAsia="宋体" w:hint="default"/>
                <w:sz w:val="18"/>
                <w:szCs w:val="18"/>
              </w:rPr>
              <w:t>株式会社东芝及其子公 司（合称：东芝）</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9"/>
              <w:ind w:left="103" w:right="100"/>
              <w:jc w:val="left"/>
              <w:rPr>
                <w:rFonts w:ascii="宋体" w:hAnsi="宋体" w:cs="宋体" w:eastAsia="宋体" w:hint="default"/>
                <w:sz w:val="18"/>
                <w:szCs w:val="18"/>
              </w:rPr>
            </w:pPr>
            <w:r>
              <w:rPr>
                <w:rFonts w:ascii="宋体" w:hAnsi="宋体" w:cs="宋体" w:eastAsia="宋体" w:hint="default"/>
                <w:spacing w:val="6"/>
                <w:sz w:val="18"/>
                <w:szCs w:val="18"/>
              </w:rPr>
              <w:t>持本公司</w:t>
            </w:r>
            <w:r>
              <w:rPr>
                <w:rFonts w:ascii="宋体" w:hAnsi="宋体" w:cs="宋体" w:eastAsia="宋体" w:hint="default"/>
                <w:spacing w:val="11"/>
                <w:sz w:val="18"/>
                <w:szCs w:val="18"/>
              </w:rPr>
              <w:t> </w:t>
            </w:r>
            <w:r>
              <w:rPr>
                <w:rFonts w:ascii="宋体" w:hAnsi="宋体" w:cs="宋体" w:eastAsia="宋体" w:hint="default"/>
                <w:sz w:val="18"/>
                <w:szCs w:val="18"/>
              </w:rPr>
              <w:t>5%</w:t>
            </w:r>
            <w:r>
              <w:rPr>
                <w:rFonts w:ascii="宋体" w:hAnsi="宋体" w:cs="宋体" w:eastAsia="宋体" w:hint="default"/>
                <w:sz w:val="18"/>
                <w:szCs w:val="18"/>
              </w:rPr>
              <w:t> 以上股权</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9"/>
              <w:ind w:left="103" w:right="96"/>
              <w:jc w:val="left"/>
              <w:rPr>
                <w:rFonts w:ascii="宋体" w:hAnsi="宋体" w:cs="宋体" w:eastAsia="宋体" w:hint="default"/>
                <w:sz w:val="18"/>
                <w:szCs w:val="18"/>
              </w:rPr>
            </w:pPr>
            <w:r>
              <w:rPr>
                <w:rFonts w:ascii="宋体" w:hAnsi="宋体" w:cs="宋体" w:eastAsia="宋体" w:hint="default"/>
                <w:spacing w:val="3"/>
                <w:sz w:val="18"/>
                <w:szCs w:val="18"/>
              </w:rPr>
              <w:t>系统集成或 </w:t>
            </w:r>
            <w:r>
              <w:rPr>
                <w:rFonts w:ascii="宋体" w:hAnsi="宋体" w:cs="宋体" w:eastAsia="宋体" w:hint="default"/>
                <w:sz w:val="18"/>
                <w:szCs w:val="18"/>
              </w:rPr>
              <w:t>软件销售</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9"/>
              <w:ind w:left="172" w:right="173"/>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2" w:right="0"/>
              <w:jc w:val="center"/>
              <w:rPr>
                <w:rFonts w:ascii="宋体" w:hAnsi="宋体" w:cs="宋体" w:eastAsia="宋体" w:hint="default"/>
                <w:sz w:val="18"/>
                <w:szCs w:val="18"/>
              </w:rPr>
            </w:pPr>
            <w:r>
              <w:rPr>
                <w:rFonts w:ascii="宋体"/>
                <w:sz w:val="18"/>
              </w:rPr>
              <w:t>164,878,360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02"/>
              <w:jc w:val="right"/>
              <w:rPr>
                <w:rFonts w:ascii="宋体" w:hAnsi="宋体" w:cs="宋体" w:eastAsia="宋体" w:hint="default"/>
                <w:sz w:val="18"/>
                <w:szCs w:val="18"/>
              </w:rPr>
            </w:pPr>
            <w:r>
              <w:rPr>
                <w:rFonts w:ascii="宋体"/>
                <w:sz w:val="18"/>
              </w:rPr>
              <w:t>5.20</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02"/>
              <w:jc w:val="right"/>
              <w:rPr>
                <w:rFonts w:ascii="宋体" w:hAnsi="宋体" w:cs="宋体" w:eastAsia="宋体" w:hint="default"/>
                <w:sz w:val="18"/>
                <w:szCs w:val="18"/>
              </w:rPr>
            </w:pPr>
            <w:r>
              <w:rPr>
                <w:rFonts w:ascii="宋体"/>
                <w:sz w:val="18"/>
              </w:rPr>
              <w:t>3.41</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9"/>
              <w:ind w:left="175" w:right="175"/>
              <w:jc w:val="left"/>
              <w:rPr>
                <w:rFonts w:ascii="宋体" w:hAnsi="宋体" w:cs="宋体" w:eastAsia="宋体" w:hint="default"/>
                <w:sz w:val="18"/>
                <w:szCs w:val="18"/>
              </w:rPr>
            </w:pPr>
            <w:r>
              <w:rPr>
                <w:rFonts w:ascii="宋体" w:hAnsi="宋体" w:cs="宋体" w:eastAsia="宋体" w:hint="default"/>
                <w:sz w:val="18"/>
                <w:szCs w:val="18"/>
              </w:rPr>
              <w:t>现金 结算</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946" w:hRule="exact"/>
        </w:trPr>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102"/>
              <w:jc w:val="both"/>
              <w:rPr>
                <w:rFonts w:ascii="宋体" w:hAnsi="宋体" w:cs="宋体" w:eastAsia="宋体" w:hint="default"/>
                <w:sz w:val="18"/>
                <w:szCs w:val="18"/>
              </w:rPr>
            </w:pPr>
            <w:r>
              <w:rPr>
                <w:rFonts w:ascii="宋体" w:hAnsi="宋体" w:cs="宋体" w:eastAsia="宋体" w:hint="default"/>
                <w:sz w:val="18"/>
                <w:szCs w:val="18"/>
              </w:rPr>
              <w:t>诺基亚西门子东软通信 </w:t>
            </w:r>
            <w:r>
              <w:rPr>
                <w:rFonts w:ascii="宋体" w:hAnsi="宋体" w:cs="宋体" w:eastAsia="宋体" w:hint="default"/>
                <w:spacing w:val="-15"/>
                <w:sz w:val="18"/>
                <w:szCs w:val="18"/>
              </w:rPr>
              <w:t>技术有限公司（简称“诺</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8"/>
                <w:sz w:val="18"/>
                <w:szCs w:val="18"/>
              </w:rPr>
              <w:t>西东软”）</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71"/>
              <w:jc w:val="both"/>
              <w:rPr>
                <w:rFonts w:ascii="宋体" w:hAnsi="宋体" w:cs="宋体" w:eastAsia="宋体" w:hint="default"/>
                <w:sz w:val="18"/>
                <w:szCs w:val="18"/>
              </w:rPr>
            </w:pPr>
            <w:r>
              <w:rPr>
                <w:rFonts w:ascii="宋体" w:hAnsi="宋体" w:cs="宋体" w:eastAsia="宋体" w:hint="default"/>
                <w:spacing w:val="20"/>
                <w:sz w:val="18"/>
                <w:szCs w:val="18"/>
              </w:rPr>
              <w:t>本公司</w:t>
            </w:r>
            <w:r>
              <w:rPr>
                <w:rFonts w:ascii="宋体" w:hAnsi="宋体" w:cs="宋体" w:eastAsia="宋体" w:hint="default"/>
                <w:spacing w:val="-57"/>
                <w:sz w:val="18"/>
                <w:szCs w:val="18"/>
              </w:rPr>
              <w:t> </w:t>
            </w:r>
            <w:r>
              <w:rPr>
                <w:rFonts w:ascii="宋体" w:hAnsi="宋体" w:cs="宋体" w:eastAsia="宋体" w:hint="default"/>
                <w:spacing w:val="15"/>
                <w:sz w:val="18"/>
                <w:szCs w:val="18"/>
              </w:rPr>
              <w:t>董事</w:t>
            </w:r>
            <w:r>
              <w:rPr>
                <w:rFonts w:ascii="宋体" w:hAnsi="宋体" w:cs="宋体" w:eastAsia="宋体" w:hint="default"/>
                <w:spacing w:val="-59"/>
                <w:sz w:val="18"/>
                <w:szCs w:val="18"/>
              </w:rPr>
              <w:t> </w:t>
            </w:r>
            <w:r>
              <w:rPr>
                <w:rFonts w:ascii="宋体" w:hAnsi="宋体" w:cs="宋体" w:eastAsia="宋体" w:hint="default"/>
                <w:spacing w:val="20"/>
                <w:sz w:val="18"/>
                <w:szCs w:val="18"/>
              </w:rPr>
              <w:t>长为该</w:t>
            </w:r>
            <w:r>
              <w:rPr>
                <w:rFonts w:ascii="宋体" w:hAnsi="宋体" w:cs="宋体" w:eastAsia="宋体" w:hint="default"/>
                <w:spacing w:val="-57"/>
                <w:sz w:val="18"/>
                <w:szCs w:val="18"/>
              </w:rPr>
              <w:t> </w:t>
            </w:r>
            <w:r>
              <w:rPr>
                <w:rFonts w:ascii="宋体" w:hAnsi="宋体" w:cs="宋体" w:eastAsia="宋体" w:hint="default"/>
                <w:spacing w:val="15"/>
                <w:sz w:val="18"/>
                <w:szCs w:val="18"/>
              </w:rPr>
              <w:t>公司</w:t>
            </w:r>
            <w:r>
              <w:rPr>
                <w:rFonts w:ascii="宋体" w:hAnsi="宋体" w:cs="宋体" w:eastAsia="宋体" w:hint="default"/>
                <w:spacing w:val="-59"/>
                <w:sz w:val="18"/>
                <w:szCs w:val="18"/>
              </w:rPr>
              <w:t> </w:t>
            </w:r>
            <w:r>
              <w:rPr>
                <w:rFonts w:ascii="宋体" w:hAnsi="宋体" w:cs="宋体" w:eastAsia="宋体" w:hint="default"/>
                <w:sz w:val="18"/>
                <w:szCs w:val="18"/>
              </w:rPr>
              <w:t>副董事长</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3" w:right="96"/>
              <w:jc w:val="left"/>
              <w:rPr>
                <w:rFonts w:ascii="宋体" w:hAnsi="宋体" w:cs="宋体" w:eastAsia="宋体" w:hint="default"/>
                <w:sz w:val="18"/>
                <w:szCs w:val="18"/>
              </w:rPr>
            </w:pPr>
            <w:r>
              <w:rPr>
                <w:rFonts w:ascii="宋体" w:hAnsi="宋体" w:cs="宋体" w:eastAsia="宋体" w:hint="default"/>
                <w:spacing w:val="3"/>
                <w:sz w:val="18"/>
                <w:szCs w:val="18"/>
              </w:rPr>
              <w:t>系统集成或 </w:t>
            </w:r>
            <w:r>
              <w:rPr>
                <w:rFonts w:ascii="宋体" w:hAnsi="宋体" w:cs="宋体" w:eastAsia="宋体" w:hint="default"/>
                <w:sz w:val="18"/>
                <w:szCs w:val="18"/>
              </w:rPr>
              <w:t>软件销售</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72" w:right="173"/>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 w:right="0"/>
              <w:jc w:val="center"/>
              <w:rPr>
                <w:rFonts w:ascii="宋体" w:hAnsi="宋体" w:cs="宋体" w:eastAsia="宋体" w:hint="default"/>
                <w:sz w:val="18"/>
                <w:szCs w:val="18"/>
              </w:rPr>
            </w:pPr>
            <w:r>
              <w:rPr>
                <w:rFonts w:ascii="宋体"/>
                <w:sz w:val="18"/>
              </w:rPr>
              <w:t>132,531,471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02"/>
              <w:jc w:val="right"/>
              <w:rPr>
                <w:rFonts w:ascii="宋体" w:hAnsi="宋体" w:cs="宋体" w:eastAsia="宋体" w:hint="default"/>
                <w:sz w:val="18"/>
                <w:szCs w:val="18"/>
              </w:rPr>
            </w:pPr>
            <w:r>
              <w:rPr>
                <w:rFonts w:ascii="宋体"/>
                <w:sz w:val="18"/>
              </w:rPr>
              <w:t>13.19</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02"/>
              <w:jc w:val="right"/>
              <w:rPr>
                <w:rFonts w:ascii="宋体" w:hAnsi="宋体" w:cs="宋体" w:eastAsia="宋体" w:hint="default"/>
                <w:sz w:val="18"/>
                <w:szCs w:val="18"/>
              </w:rPr>
            </w:pPr>
            <w:r>
              <w:rPr>
                <w:rFonts w:ascii="宋体"/>
                <w:sz w:val="18"/>
              </w:rPr>
              <w:t>2.74</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75" w:right="175"/>
              <w:jc w:val="left"/>
              <w:rPr>
                <w:rFonts w:ascii="宋体" w:hAnsi="宋体" w:cs="宋体" w:eastAsia="宋体" w:hint="default"/>
                <w:sz w:val="18"/>
                <w:szCs w:val="18"/>
              </w:rPr>
            </w:pPr>
            <w:r>
              <w:rPr>
                <w:rFonts w:ascii="宋体" w:hAnsi="宋体" w:cs="宋体" w:eastAsia="宋体" w:hint="default"/>
                <w:sz w:val="18"/>
                <w:szCs w:val="18"/>
              </w:rPr>
              <w:t>现金 结算</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954" w:hRule="exact"/>
        </w:trPr>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5"/>
              <w:ind w:left="102" w:right="125"/>
              <w:jc w:val="both"/>
              <w:rPr>
                <w:rFonts w:ascii="宋体" w:hAnsi="宋体" w:cs="宋体" w:eastAsia="宋体" w:hint="default"/>
                <w:sz w:val="18"/>
                <w:szCs w:val="18"/>
              </w:rPr>
            </w:pPr>
            <w:r>
              <w:rPr>
                <w:rFonts w:ascii="宋体" w:hAnsi="宋体" w:cs="宋体" w:eastAsia="宋体" w:hint="default"/>
                <w:sz w:val="18"/>
                <w:szCs w:val="18"/>
              </w:rPr>
              <w:t>东软飞利浦医疗设备系 统有限责任公司（简称 </w:t>
            </w:r>
            <w:r>
              <w:rPr>
                <w:rFonts w:ascii="宋体" w:hAnsi="宋体" w:cs="宋体" w:eastAsia="宋体" w:hint="default"/>
                <w:spacing w:val="-12"/>
                <w:sz w:val="18"/>
                <w:szCs w:val="18"/>
              </w:rPr>
              <w:t>“东软飞利浦”）</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316" w:lineRule="auto"/>
              <w:ind w:left="103" w:right="71"/>
              <w:jc w:val="left"/>
              <w:rPr>
                <w:rFonts w:ascii="宋体" w:hAnsi="宋体" w:cs="宋体" w:eastAsia="宋体" w:hint="default"/>
                <w:sz w:val="18"/>
                <w:szCs w:val="18"/>
              </w:rPr>
            </w:pPr>
            <w:r>
              <w:rPr>
                <w:rFonts w:ascii="宋体" w:hAnsi="宋体" w:cs="宋体" w:eastAsia="宋体" w:hint="default"/>
                <w:spacing w:val="20"/>
                <w:sz w:val="18"/>
                <w:szCs w:val="18"/>
              </w:rPr>
              <w:t>与本公</w:t>
            </w:r>
            <w:r>
              <w:rPr>
                <w:rFonts w:ascii="宋体" w:hAnsi="宋体" w:cs="宋体" w:eastAsia="宋体" w:hint="default"/>
                <w:spacing w:val="-57"/>
                <w:sz w:val="18"/>
                <w:szCs w:val="18"/>
              </w:rPr>
              <w:t> </w:t>
            </w:r>
            <w:r>
              <w:rPr>
                <w:rFonts w:ascii="宋体" w:hAnsi="宋体" w:cs="宋体" w:eastAsia="宋体" w:hint="default"/>
                <w:spacing w:val="15"/>
                <w:sz w:val="18"/>
                <w:szCs w:val="18"/>
              </w:rPr>
              <w:t>司同</w:t>
            </w:r>
            <w:r>
              <w:rPr>
                <w:rFonts w:ascii="宋体" w:hAnsi="宋体" w:cs="宋体" w:eastAsia="宋体" w:hint="default"/>
                <w:spacing w:val="-59"/>
                <w:sz w:val="18"/>
                <w:szCs w:val="18"/>
              </w:rPr>
              <w:t> </w:t>
            </w:r>
            <w:r>
              <w:rPr>
                <w:rFonts w:ascii="宋体" w:hAnsi="宋体" w:cs="宋体" w:eastAsia="宋体" w:hint="default"/>
                <w:sz w:val="18"/>
                <w:szCs w:val="18"/>
              </w:rPr>
              <w:t>一董事长</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5"/>
              <w:ind w:left="103" w:right="96"/>
              <w:jc w:val="both"/>
              <w:rPr>
                <w:rFonts w:ascii="宋体" w:hAnsi="宋体" w:cs="宋体" w:eastAsia="宋体" w:hint="default"/>
                <w:sz w:val="18"/>
                <w:szCs w:val="18"/>
              </w:rPr>
            </w:pPr>
            <w:r>
              <w:rPr>
                <w:rFonts w:ascii="宋体" w:hAnsi="宋体" w:cs="宋体" w:eastAsia="宋体" w:hint="default"/>
                <w:spacing w:val="3"/>
                <w:sz w:val="18"/>
                <w:szCs w:val="18"/>
              </w:rPr>
              <w:t>购买原材料 或产成品及 </w:t>
            </w:r>
            <w:r>
              <w:rPr>
                <w:rFonts w:ascii="宋体" w:hAnsi="宋体" w:cs="宋体" w:eastAsia="宋体" w:hint="default"/>
                <w:sz w:val="18"/>
                <w:szCs w:val="18"/>
              </w:rPr>
              <w:t>服务</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316" w:lineRule="auto"/>
              <w:ind w:left="172" w:right="173"/>
              <w:jc w:val="left"/>
              <w:rPr>
                <w:rFonts w:ascii="宋体" w:hAnsi="宋体" w:cs="宋体" w:eastAsia="宋体" w:hint="default"/>
                <w:sz w:val="18"/>
                <w:szCs w:val="18"/>
              </w:rPr>
            </w:pPr>
            <w:r>
              <w:rPr>
                <w:rFonts w:ascii="宋体" w:hAnsi="宋体" w:cs="宋体" w:eastAsia="宋体" w:hint="default"/>
                <w:sz w:val="18"/>
                <w:szCs w:val="18"/>
              </w:rPr>
              <w:t>市场 价格</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宋体"/>
                <w:sz w:val="18"/>
              </w:rPr>
              <w:t>363,490,009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102"/>
              <w:jc w:val="right"/>
              <w:rPr>
                <w:rFonts w:ascii="宋体" w:hAnsi="宋体" w:cs="宋体" w:eastAsia="宋体" w:hint="default"/>
                <w:sz w:val="18"/>
                <w:szCs w:val="18"/>
              </w:rPr>
            </w:pPr>
            <w:r>
              <w:rPr>
                <w:rFonts w:ascii="宋体"/>
                <w:sz w:val="18"/>
              </w:rPr>
              <w:t>-18.61</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102"/>
              <w:jc w:val="right"/>
              <w:rPr>
                <w:rFonts w:ascii="宋体" w:hAnsi="宋体" w:cs="宋体" w:eastAsia="宋体" w:hint="default"/>
                <w:sz w:val="18"/>
                <w:szCs w:val="18"/>
              </w:rPr>
            </w:pPr>
            <w:r>
              <w:rPr>
                <w:rFonts w:ascii="宋体"/>
                <w:sz w:val="18"/>
              </w:rPr>
              <w:t>67.39</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316" w:lineRule="auto"/>
              <w:ind w:left="175" w:right="175"/>
              <w:jc w:val="left"/>
              <w:rPr>
                <w:rFonts w:ascii="宋体" w:hAnsi="宋体" w:cs="宋体" w:eastAsia="宋体" w:hint="default"/>
                <w:sz w:val="18"/>
                <w:szCs w:val="18"/>
              </w:rPr>
            </w:pPr>
            <w:r>
              <w:rPr>
                <w:rFonts w:ascii="宋体" w:hAnsi="宋体" w:cs="宋体" w:eastAsia="宋体" w:hint="default"/>
                <w:sz w:val="18"/>
                <w:szCs w:val="18"/>
              </w:rPr>
              <w:t>现金 结算</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60" w:hRule="exact"/>
        </w:trPr>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宋体" w:hAnsi="宋体" w:cs="宋体" w:eastAsia="宋体" w:hint="default"/>
                <w:sz w:val="18"/>
                <w:szCs w:val="18"/>
              </w:rPr>
            </w:pPr>
            <w:r>
              <w:rPr>
                <w:rFonts w:ascii="宋体" w:hAnsi="宋体" w:cs="宋体" w:eastAsia="宋体" w:hint="default"/>
                <w:sz w:val="18"/>
                <w:szCs w:val="18"/>
              </w:rPr>
              <w:t>—</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2" w:right="0"/>
              <w:jc w:val="center"/>
              <w:rPr>
                <w:rFonts w:ascii="宋体" w:hAnsi="宋体" w:cs="宋体" w:eastAsia="宋体" w:hint="default"/>
                <w:sz w:val="18"/>
                <w:szCs w:val="18"/>
              </w:rPr>
            </w:pPr>
            <w:r>
              <w:rPr>
                <w:rFonts w:ascii="宋体"/>
                <w:sz w:val="18"/>
              </w:rPr>
              <w:t>977,265,214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2"/>
              <w:jc w:val="right"/>
              <w:rPr>
                <w:rFonts w:ascii="宋体" w:hAnsi="宋体" w:cs="宋体" w:eastAsia="宋体" w:hint="default"/>
                <w:sz w:val="18"/>
                <w:szCs w:val="18"/>
              </w:rPr>
            </w:pPr>
            <w:r>
              <w:rPr>
                <w:rFonts w:ascii="宋体" w:hAnsi="宋体" w:cs="宋体" w:eastAsia="宋体" w:hint="default"/>
                <w:sz w:val="18"/>
                <w:szCs w:val="18"/>
              </w:rPr>
              <w:t>—</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2"/>
              <w:jc w:val="right"/>
              <w:rPr>
                <w:rFonts w:ascii="宋体" w:hAnsi="宋体" w:cs="宋体" w:eastAsia="宋体" w:hint="default"/>
                <w:sz w:val="18"/>
                <w:szCs w:val="18"/>
              </w:rPr>
            </w:pPr>
            <w:r>
              <w:rPr>
                <w:rFonts w:ascii="宋体" w:hAnsi="宋体" w:cs="宋体" w:eastAsia="宋体" w:hint="default"/>
                <w:sz w:val="18"/>
                <w:szCs w:val="18"/>
              </w:rPr>
              <w:t>—</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
              <w:jc w:val="center"/>
              <w:rPr>
                <w:rFonts w:ascii="宋体" w:hAnsi="宋体" w:cs="宋体" w:eastAsia="宋体" w:hint="default"/>
                <w:sz w:val="18"/>
                <w:szCs w:val="18"/>
              </w:rPr>
            </w:pPr>
            <w:r>
              <w:rPr>
                <w:rFonts w:ascii="宋体" w:hAnsi="宋体" w:cs="宋体" w:eastAsia="宋体" w:hint="default"/>
                <w:sz w:val="18"/>
                <w:szCs w:val="18"/>
              </w:rPr>
              <w:t>—</w:t>
            </w:r>
          </w:p>
        </w:tc>
      </w:tr>
    </w:tbl>
    <w:p>
      <w:pPr>
        <w:pStyle w:val="Heading5"/>
        <w:spacing w:line="312" w:lineRule="exact" w:before="116"/>
        <w:ind w:left="498" w:right="493" w:firstLine="480"/>
        <w:jc w:val="both"/>
      </w:pPr>
      <w:r>
        <w:rPr/>
        <w:t>公司与阿尔派、Harman、东芝、诺西东软的关联交易数额为 2011</w:t>
      </w:r>
      <w:r>
        <w:rPr>
          <w:spacing w:val="-52"/>
        </w:rPr>
        <w:t> </w:t>
      </w:r>
      <w:r>
        <w:rPr/>
        <w:t>年持续发生的同</w:t>
      </w:r>
      <w:r>
        <w:rPr/>
        <w:t> </w:t>
      </w:r>
      <w:r>
        <w:rPr>
          <w:spacing w:val="-2"/>
        </w:rPr>
        <w:t>类关联交易的累计金额，公司充分利用在软件开发方面的优势，在汽车音响、导航、行</w:t>
      </w:r>
      <w:r>
        <w:rPr>
          <w:spacing w:val="-94"/>
        </w:rPr>
        <w:t> </w:t>
      </w:r>
      <w:r>
        <w:rPr>
          <w:spacing w:val="-94"/>
        </w:rPr>
      </w:r>
      <w:r>
        <w:rPr>
          <w:spacing w:val="-2"/>
        </w:rPr>
        <w:t>业解决方案等领域为阿尔派、Harman、东芝、诺西东软提供软件产品，形成了良好、稳</w:t>
      </w:r>
      <w:r>
        <w:rPr>
          <w:spacing w:val="-89"/>
        </w:rPr>
        <w:t> </w:t>
      </w:r>
      <w:r>
        <w:rPr>
          <w:spacing w:val="-89"/>
        </w:rPr>
      </w:r>
      <w:r>
        <w:rPr>
          <w:spacing w:val="-2"/>
        </w:rPr>
        <w:t>定的合作关系，为公司提供了稳定的、持续的收入来源，保证和推动了公司国际软件业</w:t>
      </w:r>
      <w:r>
        <w:rPr>
          <w:spacing w:val="-95"/>
        </w:rPr>
        <w:t> </w:t>
      </w:r>
      <w:r>
        <w:rPr>
          <w:spacing w:val="-95"/>
        </w:rPr>
      </w:r>
      <w:r>
        <w:rPr/>
        <w:t>务的发展。</w:t>
      </w:r>
    </w:p>
    <w:p>
      <w:pPr>
        <w:spacing w:line="312" w:lineRule="exact" w:before="0"/>
        <w:ind w:left="498" w:right="493" w:firstLine="480"/>
        <w:jc w:val="both"/>
        <w:rPr>
          <w:rFonts w:ascii="宋体" w:hAnsi="宋体" w:cs="宋体" w:eastAsia="宋体" w:hint="default"/>
          <w:sz w:val="24"/>
          <w:szCs w:val="24"/>
        </w:rPr>
      </w:pPr>
      <w:r>
        <w:rPr>
          <w:rFonts w:ascii="宋体" w:hAnsi="宋体" w:cs="宋体" w:eastAsia="宋体" w:hint="default"/>
          <w:sz w:val="24"/>
          <w:szCs w:val="24"/>
        </w:rPr>
        <w:t>公司与东软飞利浦之间的关联交易数额为 2011</w:t>
      </w:r>
      <w:r>
        <w:rPr>
          <w:rFonts w:ascii="宋体" w:hAnsi="宋体" w:cs="宋体" w:eastAsia="宋体" w:hint="default"/>
          <w:spacing w:val="-52"/>
          <w:sz w:val="24"/>
          <w:szCs w:val="24"/>
        </w:rPr>
        <w:t> </w:t>
      </w:r>
      <w:r>
        <w:rPr>
          <w:rFonts w:ascii="宋体" w:hAnsi="宋体" w:cs="宋体" w:eastAsia="宋体" w:hint="default"/>
          <w:sz w:val="24"/>
          <w:szCs w:val="24"/>
        </w:rPr>
        <w:t>年持续发生的同类关联交易的累计</w:t>
      </w:r>
      <w:r>
        <w:rPr>
          <w:rFonts w:ascii="宋体" w:hAnsi="宋体" w:cs="宋体" w:eastAsia="宋体" w:hint="default"/>
          <w:sz w:val="24"/>
          <w:szCs w:val="24"/>
        </w:rPr>
        <w:t> 金额，主要是公司向东软飞利浦采购</w:t>
      </w:r>
      <w:r>
        <w:rPr>
          <w:rFonts w:ascii="宋体" w:hAnsi="宋体" w:cs="宋体" w:eastAsia="宋体" w:hint="default"/>
          <w:spacing w:val="-73"/>
          <w:sz w:val="24"/>
          <w:szCs w:val="24"/>
        </w:rPr>
        <w:t> </w:t>
      </w:r>
      <w:r>
        <w:rPr>
          <w:rFonts w:ascii="宋体" w:hAnsi="宋体" w:cs="宋体" w:eastAsia="宋体" w:hint="default"/>
          <w:spacing w:val="-6"/>
          <w:sz w:val="24"/>
          <w:szCs w:val="24"/>
        </w:rPr>
        <w:t>CT、MRI、X</w:t>
      </w:r>
      <w:r>
        <w:rPr>
          <w:rFonts w:ascii="宋体" w:hAnsi="宋体" w:cs="宋体" w:eastAsia="宋体" w:hint="default"/>
          <w:spacing w:val="-73"/>
          <w:sz w:val="24"/>
          <w:szCs w:val="24"/>
        </w:rPr>
        <w:t> </w:t>
      </w:r>
      <w:r>
        <w:rPr>
          <w:rFonts w:ascii="宋体" w:hAnsi="宋体" w:cs="宋体" w:eastAsia="宋体" w:hint="default"/>
          <w:spacing w:val="-6"/>
          <w:sz w:val="24"/>
          <w:szCs w:val="24"/>
        </w:rPr>
        <w:t>线机、B</w:t>
      </w:r>
      <w:r>
        <w:rPr>
          <w:rFonts w:ascii="宋体" w:hAnsi="宋体" w:cs="宋体" w:eastAsia="宋体" w:hint="default"/>
          <w:spacing w:val="-73"/>
          <w:sz w:val="24"/>
          <w:szCs w:val="24"/>
        </w:rPr>
        <w:t> </w:t>
      </w:r>
      <w:r>
        <w:rPr>
          <w:rFonts w:ascii="宋体" w:hAnsi="宋体" w:cs="宋体" w:eastAsia="宋体" w:hint="default"/>
          <w:sz w:val="24"/>
          <w:szCs w:val="24"/>
        </w:rPr>
        <w:t>超等四大医学影像设备。东软</w:t>
      </w:r>
      <w:r>
        <w:rPr>
          <w:rFonts w:ascii="宋体" w:hAnsi="宋体" w:cs="宋体" w:eastAsia="宋体" w:hint="default"/>
          <w:sz w:val="24"/>
          <w:szCs w:val="24"/>
        </w:rPr>
        <w:t> </w:t>
      </w:r>
      <w:r>
        <w:rPr>
          <w:rFonts w:ascii="宋体" w:hAnsi="宋体" w:cs="宋体" w:eastAsia="宋体" w:hint="default"/>
          <w:spacing w:val="-8"/>
          <w:sz w:val="24"/>
          <w:szCs w:val="24"/>
        </w:rPr>
        <w:t>飞利浦为公司上述四大医学影像设备的生产制造基地，公司通过自己的销售渠道，以“东</w:t>
      </w:r>
      <w:r>
        <w:rPr>
          <w:rFonts w:ascii="宋体" w:hAnsi="宋体" w:cs="宋体" w:eastAsia="宋体" w:hint="default"/>
          <w:spacing w:val="-102"/>
          <w:sz w:val="24"/>
          <w:szCs w:val="24"/>
        </w:rPr>
        <w:t> </w:t>
      </w:r>
      <w:r>
        <w:rPr>
          <w:rFonts w:ascii="宋体" w:hAnsi="宋体" w:cs="宋体" w:eastAsia="宋体" w:hint="default"/>
          <w:spacing w:val="-102"/>
          <w:sz w:val="24"/>
          <w:szCs w:val="24"/>
        </w:rPr>
      </w:r>
      <w:r>
        <w:rPr>
          <w:rFonts w:ascii="宋体" w:hAnsi="宋体" w:cs="宋体" w:eastAsia="宋体" w:hint="default"/>
          <w:spacing w:val="-2"/>
          <w:sz w:val="24"/>
          <w:szCs w:val="24"/>
        </w:rPr>
        <w:t>软/Neusoft”的品牌对客户销售上述产品，上述关联交易是公司医疗系统业务持续、规</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模化发展的有力保障。</w:t>
      </w:r>
    </w:p>
    <w:p>
      <w:pPr>
        <w:spacing w:line="240" w:lineRule="auto" w:before="12"/>
        <w:rPr>
          <w:rFonts w:ascii="宋体" w:hAnsi="宋体" w:cs="宋体" w:eastAsia="宋体" w:hint="default"/>
          <w:sz w:val="22"/>
          <w:szCs w:val="22"/>
        </w:rPr>
      </w:pPr>
    </w:p>
    <w:p>
      <w:pPr>
        <w:pStyle w:val="BodyText"/>
        <w:spacing w:line="240" w:lineRule="auto"/>
        <w:ind w:left="498" w:right="360"/>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type w:val="continuous"/>
          <w:pgSz w:w="11910" w:h="16840"/>
          <w:pgMar w:top="1600" w:bottom="280" w:left="920" w:right="920"/>
        </w:sectPr>
      </w:pPr>
    </w:p>
    <w:p>
      <w:pPr>
        <w:spacing w:line="240" w:lineRule="auto" w:before="7"/>
        <w:rPr>
          <w:rFonts w:ascii="黑体" w:hAnsi="黑体" w:cs="黑体" w:eastAsia="黑体" w:hint="default"/>
          <w:sz w:val="15"/>
          <w:szCs w:val="15"/>
        </w:rPr>
      </w:pPr>
    </w:p>
    <w:p>
      <w:pPr>
        <w:pStyle w:val="Heading5"/>
        <w:spacing w:line="312" w:lineRule="exact" w:before="26"/>
        <w:ind w:right="0"/>
        <w:jc w:val="both"/>
      </w:pPr>
      <w:r>
        <w:rPr/>
        <w:t>3、资产收购、出售发生的关联交易</w:t>
      </w:r>
    </w:p>
    <w:p>
      <w:pPr>
        <w:spacing w:line="237" w:lineRule="auto" w:before="1"/>
        <w:ind w:left="118" w:right="109" w:firstLine="480"/>
        <w:jc w:val="both"/>
        <w:rPr>
          <w:rFonts w:ascii="宋体" w:hAnsi="宋体" w:cs="宋体" w:eastAsia="宋体" w:hint="default"/>
          <w:sz w:val="24"/>
          <w:szCs w:val="24"/>
        </w:rPr>
      </w:pPr>
      <w:r>
        <w:rPr>
          <w:rFonts w:ascii="宋体" w:hAnsi="宋体" w:cs="宋体" w:eastAsia="宋体" w:hint="default"/>
          <w:sz w:val="24"/>
          <w:szCs w:val="24"/>
        </w:rPr>
        <w:t>于</w:t>
      </w:r>
      <w:r>
        <w:rPr>
          <w:rFonts w:ascii="宋体" w:hAnsi="宋体" w:cs="宋体" w:eastAsia="宋体" w:hint="default"/>
          <w:spacing w:val="-59"/>
          <w:sz w:val="24"/>
          <w:szCs w:val="24"/>
        </w:rPr>
        <w:t> </w:t>
      </w:r>
      <w:r>
        <w:rPr>
          <w:rFonts w:ascii="宋体" w:hAnsi="宋体" w:cs="宋体" w:eastAsia="宋体" w:hint="default"/>
          <w:sz w:val="24"/>
          <w:szCs w:val="24"/>
        </w:rPr>
        <w:t>2011</w:t>
      </w:r>
      <w:r>
        <w:rPr>
          <w:rFonts w:ascii="宋体" w:hAnsi="宋体" w:cs="宋体" w:eastAsia="宋体" w:hint="default"/>
          <w:spacing w:val="-59"/>
          <w:sz w:val="24"/>
          <w:szCs w:val="24"/>
        </w:rPr>
        <w:t> </w:t>
      </w:r>
      <w:r>
        <w:rPr>
          <w:rFonts w:ascii="宋体" w:hAnsi="宋体" w:cs="宋体" w:eastAsia="宋体" w:hint="default"/>
          <w:sz w:val="24"/>
          <w:szCs w:val="24"/>
        </w:rPr>
        <w:t>年</w:t>
      </w:r>
      <w:r>
        <w:rPr>
          <w:rFonts w:ascii="宋体" w:hAnsi="宋体" w:cs="宋体" w:eastAsia="宋体" w:hint="default"/>
          <w:spacing w:val="-59"/>
          <w:sz w:val="24"/>
          <w:szCs w:val="24"/>
        </w:rPr>
        <w:t> </w:t>
      </w:r>
      <w:r>
        <w:rPr>
          <w:rFonts w:ascii="宋体" w:hAnsi="宋体" w:cs="宋体" w:eastAsia="宋体" w:hint="default"/>
          <w:sz w:val="24"/>
          <w:szCs w:val="24"/>
        </w:rPr>
        <w:t>12</w:t>
      </w:r>
      <w:r>
        <w:rPr>
          <w:rFonts w:ascii="宋体" w:hAnsi="宋体" w:cs="宋体" w:eastAsia="宋体" w:hint="default"/>
          <w:spacing w:val="-59"/>
          <w:sz w:val="24"/>
          <w:szCs w:val="24"/>
        </w:rPr>
        <w:t> </w:t>
      </w:r>
      <w:r>
        <w:rPr>
          <w:rFonts w:ascii="宋体" w:hAnsi="宋体" w:cs="宋体" w:eastAsia="宋体" w:hint="default"/>
          <w:sz w:val="24"/>
          <w:szCs w:val="24"/>
        </w:rPr>
        <w:t>月</w:t>
      </w:r>
      <w:r>
        <w:rPr>
          <w:rFonts w:ascii="宋体" w:hAnsi="宋体" w:cs="宋体" w:eastAsia="宋体" w:hint="default"/>
          <w:spacing w:val="-59"/>
          <w:sz w:val="24"/>
          <w:szCs w:val="24"/>
        </w:rPr>
        <w:t> </w:t>
      </w:r>
      <w:r>
        <w:rPr>
          <w:rFonts w:ascii="宋体" w:hAnsi="宋体" w:cs="宋体" w:eastAsia="宋体" w:hint="default"/>
          <w:sz w:val="24"/>
          <w:szCs w:val="24"/>
        </w:rPr>
        <w:t>22</w:t>
      </w:r>
      <w:r>
        <w:rPr>
          <w:rFonts w:ascii="宋体" w:hAnsi="宋体" w:cs="宋体" w:eastAsia="宋体" w:hint="default"/>
          <w:spacing w:val="-59"/>
          <w:sz w:val="24"/>
          <w:szCs w:val="24"/>
        </w:rPr>
        <w:t> </w:t>
      </w:r>
      <w:r>
        <w:rPr>
          <w:rFonts w:ascii="宋体" w:hAnsi="宋体" w:cs="宋体" w:eastAsia="宋体" w:hint="default"/>
          <w:sz w:val="24"/>
          <w:szCs w:val="24"/>
        </w:rPr>
        <w:t>日召开的</w:t>
      </w:r>
      <w:r>
        <w:rPr>
          <w:rFonts w:ascii="宋体" w:hAnsi="宋体" w:cs="宋体" w:eastAsia="宋体" w:hint="default"/>
          <w:spacing w:val="-59"/>
          <w:sz w:val="24"/>
          <w:szCs w:val="24"/>
        </w:rPr>
        <w:t> </w:t>
      </w:r>
      <w:r>
        <w:rPr>
          <w:rFonts w:ascii="宋体" w:hAnsi="宋体" w:cs="宋体" w:eastAsia="宋体" w:hint="default"/>
          <w:sz w:val="24"/>
          <w:szCs w:val="24"/>
        </w:rPr>
        <w:t>2011</w:t>
      </w:r>
      <w:r>
        <w:rPr>
          <w:rFonts w:ascii="宋体" w:hAnsi="宋体" w:cs="宋体" w:eastAsia="宋体" w:hint="default"/>
          <w:spacing w:val="-59"/>
          <w:sz w:val="24"/>
          <w:szCs w:val="24"/>
        </w:rPr>
        <w:t> </w:t>
      </w:r>
      <w:r>
        <w:rPr>
          <w:rFonts w:ascii="宋体" w:hAnsi="宋体" w:cs="宋体" w:eastAsia="宋体" w:hint="default"/>
          <w:spacing w:val="-3"/>
          <w:sz w:val="24"/>
          <w:szCs w:val="24"/>
        </w:rPr>
        <w:t>年第一次临时股东大会审议通过《关于出售间接</w:t>
      </w:r>
      <w:r>
        <w:rPr>
          <w:rFonts w:ascii="宋体" w:hAnsi="宋体" w:cs="宋体" w:eastAsia="宋体" w:hint="default"/>
          <w:sz w:val="24"/>
          <w:szCs w:val="24"/>
        </w:rPr>
        <w:t> </w:t>
      </w:r>
      <w:r>
        <w:rPr>
          <w:rFonts w:ascii="宋体" w:hAnsi="宋体" w:cs="宋体" w:eastAsia="宋体" w:hint="default"/>
          <w:spacing w:val="-2"/>
          <w:sz w:val="24"/>
          <w:szCs w:val="24"/>
        </w:rPr>
        <w:t>控股子公司股权及其他相关教育资产的议案》，股东大会同意本公司、本公司全资子公</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5"/>
          <w:sz w:val="24"/>
          <w:szCs w:val="24"/>
        </w:rPr>
        <w:t>司—沈阳东软信息技术服务有限公司作为转让方与受让方大连东软控股有限公司签订</w:t>
      </w:r>
      <w:r>
        <w:rPr>
          <w:rFonts w:ascii="宋体" w:hAnsi="宋体" w:cs="宋体" w:eastAsia="宋体" w:hint="default"/>
          <w:sz w:val="24"/>
          <w:szCs w:val="24"/>
        </w:rPr>
      </w:r>
    </w:p>
    <w:p>
      <w:pPr>
        <w:spacing w:line="237" w:lineRule="auto" w:before="0"/>
        <w:ind w:left="118" w:right="109" w:firstLine="0"/>
        <w:jc w:val="both"/>
        <w:rPr>
          <w:rFonts w:ascii="宋体" w:hAnsi="宋体" w:cs="宋体" w:eastAsia="宋体" w:hint="default"/>
          <w:sz w:val="24"/>
          <w:szCs w:val="24"/>
        </w:rPr>
      </w:pPr>
      <w:r>
        <w:rPr>
          <w:rFonts w:ascii="宋体" w:hAnsi="宋体" w:cs="宋体" w:eastAsia="宋体" w:hint="default"/>
          <w:spacing w:val="-2"/>
          <w:sz w:val="24"/>
          <w:szCs w:val="24"/>
        </w:rPr>
        <w:t>《转让协议》。根据协议，沈阳东软信息技术服务有限公司将教育资产所涉及的控股子</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5"/>
          <w:sz w:val="24"/>
          <w:szCs w:val="24"/>
        </w:rPr>
        <w:t>公司股权，以及本公司将对成都东软学院、南海东软信息技术职业学院、大连东软信</w:t>
      </w:r>
      <w:r>
        <w:rPr>
          <w:rFonts w:ascii="宋体" w:hAnsi="宋体" w:cs="宋体" w:eastAsia="宋体" w:hint="default"/>
          <w:spacing w:val="5"/>
          <w:sz w:val="24"/>
          <w:szCs w:val="24"/>
        </w:rPr>
        <w:t> 息学院、大连东软信息技术职业学院的举办者出资全部转让给大连东软控股有限公司 或其指定的子公司。依据北京中企华资产评估有限责任公司出具的评估报告，上述股 </w:t>
      </w:r>
      <w:r>
        <w:rPr>
          <w:rFonts w:ascii="宋体" w:hAnsi="宋体" w:cs="宋体" w:eastAsia="宋体" w:hint="default"/>
          <w:sz w:val="24"/>
          <w:szCs w:val="24"/>
        </w:rPr>
        <w:t>权和举办者出资对应的评估总价值为</w:t>
      </w:r>
      <w:r>
        <w:rPr>
          <w:rFonts w:ascii="宋体" w:hAnsi="宋体" w:cs="宋体" w:eastAsia="宋体" w:hint="default"/>
          <w:spacing w:val="-86"/>
          <w:sz w:val="24"/>
          <w:szCs w:val="24"/>
        </w:rPr>
        <w:t> </w:t>
      </w:r>
      <w:r>
        <w:rPr>
          <w:rFonts w:ascii="宋体" w:hAnsi="宋体" w:cs="宋体" w:eastAsia="宋体" w:hint="default"/>
          <w:sz w:val="24"/>
          <w:szCs w:val="24"/>
        </w:rPr>
        <w:t>42,417.18</w:t>
      </w:r>
      <w:r>
        <w:rPr>
          <w:rFonts w:ascii="宋体" w:hAnsi="宋体" w:cs="宋体" w:eastAsia="宋体" w:hint="default"/>
          <w:spacing w:val="-86"/>
          <w:sz w:val="24"/>
          <w:szCs w:val="24"/>
        </w:rPr>
        <w:t> </w:t>
      </w:r>
      <w:r>
        <w:rPr>
          <w:rFonts w:ascii="宋体" w:hAnsi="宋体" w:cs="宋体" w:eastAsia="宋体" w:hint="default"/>
          <w:sz w:val="24"/>
          <w:szCs w:val="24"/>
        </w:rPr>
        <w:t>万元人民币。经协商，转让方与受让方</w:t>
      </w:r>
      <w:r>
        <w:rPr>
          <w:rFonts w:ascii="宋体" w:hAnsi="宋体" w:cs="宋体" w:eastAsia="宋体" w:hint="default"/>
          <w:sz w:val="24"/>
          <w:szCs w:val="24"/>
        </w:rPr>
        <w:t> 确定以上交易的交易总价款为</w:t>
      </w:r>
      <w:r>
        <w:rPr>
          <w:rFonts w:ascii="宋体" w:hAnsi="宋体" w:cs="宋体" w:eastAsia="宋体" w:hint="default"/>
          <w:spacing w:val="-57"/>
          <w:sz w:val="24"/>
          <w:szCs w:val="24"/>
        </w:rPr>
        <w:t> </w:t>
      </w:r>
      <w:r>
        <w:rPr>
          <w:rFonts w:ascii="宋体" w:hAnsi="宋体" w:cs="宋体" w:eastAsia="宋体" w:hint="default"/>
          <w:sz w:val="24"/>
          <w:szCs w:val="24"/>
        </w:rPr>
        <w:t>44,234.38</w:t>
      </w:r>
      <w:r>
        <w:rPr>
          <w:rFonts w:ascii="宋体" w:hAnsi="宋体" w:cs="宋体" w:eastAsia="宋体" w:hint="default"/>
          <w:spacing w:val="-57"/>
          <w:sz w:val="24"/>
          <w:szCs w:val="24"/>
        </w:rPr>
        <w:t> </w:t>
      </w:r>
      <w:r>
        <w:rPr>
          <w:rFonts w:ascii="宋体" w:hAnsi="宋体" w:cs="宋体" w:eastAsia="宋体" w:hint="default"/>
          <w:sz w:val="24"/>
          <w:szCs w:val="24"/>
        </w:rPr>
        <w:t>万元人民币，较评估总价值溢价</w:t>
      </w:r>
      <w:r>
        <w:rPr>
          <w:rFonts w:ascii="宋体" w:hAnsi="宋体" w:cs="宋体" w:eastAsia="宋体" w:hint="default"/>
          <w:spacing w:val="-57"/>
          <w:sz w:val="24"/>
          <w:szCs w:val="24"/>
        </w:rPr>
        <w:t> </w:t>
      </w:r>
      <w:r>
        <w:rPr>
          <w:rFonts w:ascii="宋体" w:hAnsi="宋体" w:cs="宋体" w:eastAsia="宋体" w:hint="default"/>
          <w:sz w:val="24"/>
          <w:szCs w:val="24"/>
        </w:rPr>
        <w:t>4.28%。相关</w:t>
      </w:r>
      <w:r>
        <w:rPr>
          <w:rFonts w:ascii="宋体" w:hAnsi="宋体" w:cs="宋体" w:eastAsia="宋体" w:hint="default"/>
          <w:sz w:val="24"/>
          <w:szCs w:val="24"/>
        </w:rPr>
        <w:t> 内容详见本公司于</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7</w:t>
      </w:r>
      <w:r>
        <w:rPr>
          <w:rFonts w:ascii="宋体" w:hAnsi="宋体" w:cs="宋体" w:eastAsia="宋体" w:hint="default"/>
          <w:spacing w:val="-60"/>
          <w:sz w:val="24"/>
          <w:szCs w:val="24"/>
        </w:rPr>
        <w:t> </w:t>
      </w:r>
      <w:r>
        <w:rPr>
          <w:rFonts w:ascii="宋体" w:hAnsi="宋体" w:cs="宋体" w:eastAsia="宋体" w:hint="default"/>
          <w:spacing w:val="-3"/>
          <w:sz w:val="24"/>
          <w:szCs w:val="24"/>
        </w:rPr>
        <w:t>日刊登在《中国证券报》、《上海证券报》的《关于</w:t>
      </w:r>
      <w:r>
        <w:rPr>
          <w:rFonts w:ascii="宋体" w:hAnsi="宋体" w:cs="宋体" w:eastAsia="宋体" w:hint="default"/>
          <w:sz w:val="24"/>
          <w:szCs w:val="24"/>
        </w:rPr>
      </w:r>
    </w:p>
    <w:p>
      <w:pPr>
        <w:spacing w:line="310" w:lineRule="exact" w:before="0"/>
        <w:ind w:left="118" w:right="0" w:firstLine="0"/>
        <w:jc w:val="both"/>
        <w:rPr>
          <w:rFonts w:ascii="宋体" w:hAnsi="宋体" w:cs="宋体" w:eastAsia="宋体" w:hint="default"/>
          <w:sz w:val="24"/>
          <w:szCs w:val="24"/>
        </w:rPr>
      </w:pPr>
      <w:r>
        <w:rPr>
          <w:rFonts w:ascii="宋体" w:hAnsi="宋体" w:cs="宋体" w:eastAsia="宋体" w:hint="default"/>
          <w:sz w:val="24"/>
          <w:szCs w:val="24"/>
        </w:rPr>
        <w:t>出售间接控股子公司股权及其他相关教育资产的关联交易公告》，以及本公司于</w:t>
      </w:r>
      <w:r>
        <w:rPr>
          <w:rFonts w:ascii="宋体" w:hAnsi="宋体" w:cs="宋体" w:eastAsia="宋体" w:hint="default"/>
          <w:spacing w:val="39"/>
          <w:sz w:val="24"/>
          <w:szCs w:val="24"/>
        </w:rPr>
        <w:t> </w:t>
      </w:r>
      <w:r>
        <w:rPr>
          <w:rFonts w:ascii="宋体" w:hAnsi="宋体" w:cs="宋体" w:eastAsia="宋体" w:hint="default"/>
          <w:sz w:val="24"/>
          <w:szCs w:val="24"/>
        </w:rPr>
        <w:t>2011</w:t>
      </w:r>
    </w:p>
    <w:p>
      <w:pPr>
        <w:spacing w:line="312" w:lineRule="exact" w:before="29"/>
        <w:ind w:left="118" w:right="112" w:firstLine="0"/>
        <w:jc w:val="left"/>
        <w:rPr>
          <w:rFonts w:ascii="宋体" w:hAnsi="宋体" w:cs="宋体" w:eastAsia="宋体" w:hint="default"/>
          <w:sz w:val="24"/>
          <w:szCs w:val="24"/>
        </w:rPr>
      </w:pPr>
      <w:r>
        <w:rPr>
          <w:rFonts w:ascii="宋体" w:hAnsi="宋体" w:cs="宋体" w:eastAsia="宋体" w:hint="default"/>
          <w:sz w:val="24"/>
          <w:szCs w:val="24"/>
        </w:rPr>
        <w:t>年</w:t>
      </w:r>
      <w:r>
        <w:rPr>
          <w:rFonts w:ascii="宋体" w:hAnsi="宋体" w:cs="宋体" w:eastAsia="宋体" w:hint="default"/>
          <w:spacing w:val="-58"/>
          <w:sz w:val="24"/>
          <w:szCs w:val="24"/>
        </w:rPr>
        <w:t> </w:t>
      </w:r>
      <w:r>
        <w:rPr>
          <w:rFonts w:ascii="宋体" w:hAnsi="宋体" w:cs="宋体" w:eastAsia="宋体" w:hint="default"/>
          <w:sz w:val="24"/>
          <w:szCs w:val="24"/>
        </w:rPr>
        <w:t>12</w:t>
      </w:r>
      <w:r>
        <w:rPr>
          <w:rFonts w:ascii="宋体" w:hAnsi="宋体" w:cs="宋体" w:eastAsia="宋体" w:hint="default"/>
          <w:spacing w:val="-58"/>
          <w:sz w:val="24"/>
          <w:szCs w:val="24"/>
        </w:rPr>
        <w:t> </w:t>
      </w:r>
      <w:r>
        <w:rPr>
          <w:rFonts w:ascii="宋体" w:hAnsi="宋体" w:cs="宋体" w:eastAsia="宋体" w:hint="default"/>
          <w:sz w:val="24"/>
          <w:szCs w:val="24"/>
        </w:rPr>
        <w:t>月</w:t>
      </w:r>
      <w:r>
        <w:rPr>
          <w:rFonts w:ascii="宋体" w:hAnsi="宋体" w:cs="宋体" w:eastAsia="宋体" w:hint="default"/>
          <w:spacing w:val="-58"/>
          <w:sz w:val="24"/>
          <w:szCs w:val="24"/>
        </w:rPr>
        <w:t> </w:t>
      </w:r>
      <w:r>
        <w:rPr>
          <w:rFonts w:ascii="宋体" w:hAnsi="宋体" w:cs="宋体" w:eastAsia="宋体" w:hint="default"/>
          <w:sz w:val="24"/>
          <w:szCs w:val="24"/>
        </w:rPr>
        <w:t>23</w:t>
      </w:r>
      <w:r>
        <w:rPr>
          <w:rFonts w:ascii="宋体" w:hAnsi="宋体" w:cs="宋体" w:eastAsia="宋体" w:hint="default"/>
          <w:spacing w:val="-58"/>
          <w:sz w:val="24"/>
          <w:szCs w:val="24"/>
        </w:rPr>
        <w:t> </w:t>
      </w:r>
      <w:r>
        <w:rPr>
          <w:rFonts w:ascii="宋体" w:hAnsi="宋体" w:cs="宋体" w:eastAsia="宋体" w:hint="default"/>
          <w:spacing w:val="-6"/>
          <w:sz w:val="24"/>
          <w:szCs w:val="24"/>
        </w:rPr>
        <w:t>日刊登在《中国证券报》、《上海证券报》的《2011</w:t>
      </w:r>
      <w:r>
        <w:rPr>
          <w:rFonts w:ascii="宋体" w:hAnsi="宋体" w:cs="宋体" w:eastAsia="宋体" w:hint="default"/>
          <w:spacing w:val="-58"/>
          <w:sz w:val="24"/>
          <w:szCs w:val="24"/>
        </w:rPr>
        <w:t> </w:t>
      </w:r>
      <w:r>
        <w:rPr>
          <w:rFonts w:ascii="宋体" w:hAnsi="宋体" w:cs="宋体" w:eastAsia="宋体" w:hint="default"/>
          <w:sz w:val="24"/>
          <w:szCs w:val="24"/>
        </w:rPr>
        <w:t>年第一次临时股东大会</w:t>
      </w:r>
      <w:r>
        <w:rPr>
          <w:rFonts w:ascii="宋体" w:hAnsi="宋体" w:cs="宋体" w:eastAsia="宋体" w:hint="default"/>
          <w:spacing w:val="-1"/>
          <w:sz w:val="24"/>
          <w:szCs w:val="24"/>
        </w:rPr>
        <w:t> </w:t>
      </w:r>
      <w:r>
        <w:rPr>
          <w:rFonts w:ascii="宋体" w:hAnsi="宋体" w:cs="宋体" w:eastAsia="宋体" w:hint="default"/>
          <w:sz w:val="24"/>
          <w:szCs w:val="24"/>
        </w:rPr>
        <w:t>决议公告》。截至本报告期末，本次出售资产事项尚没有完成交割手续。</w:t>
      </w:r>
    </w:p>
    <w:p>
      <w:pPr>
        <w:spacing w:before="156"/>
        <w:ind w:left="118" w:right="0" w:firstLine="0"/>
        <w:jc w:val="both"/>
        <w:rPr>
          <w:rFonts w:ascii="宋体" w:hAnsi="宋体" w:cs="宋体" w:eastAsia="宋体" w:hint="default"/>
          <w:sz w:val="24"/>
          <w:szCs w:val="24"/>
        </w:rPr>
      </w:pPr>
      <w:r>
        <w:rPr>
          <w:rFonts w:ascii="宋体" w:hAnsi="宋体" w:cs="宋体" w:eastAsia="宋体" w:hint="default"/>
          <w:b/>
          <w:bCs/>
          <w:sz w:val="24"/>
          <w:szCs w:val="24"/>
        </w:rPr>
        <w:t>（六）重大合同及其履行情况</w:t>
      </w:r>
      <w:r>
        <w:rPr>
          <w:rFonts w:ascii="宋体" w:hAnsi="宋体" w:cs="宋体" w:eastAsia="宋体" w:hint="default"/>
          <w:sz w:val="24"/>
          <w:szCs w:val="24"/>
        </w:rPr>
      </w:r>
    </w:p>
    <w:p>
      <w:pPr>
        <w:spacing w:line="312" w:lineRule="exact" w:before="151"/>
        <w:ind w:left="118" w:right="112" w:firstLine="0"/>
        <w:jc w:val="left"/>
        <w:rPr>
          <w:rFonts w:ascii="宋体" w:hAnsi="宋体" w:cs="宋体" w:eastAsia="宋体" w:hint="default"/>
          <w:sz w:val="24"/>
          <w:szCs w:val="24"/>
        </w:rPr>
      </w:pPr>
      <w:r>
        <w:rPr>
          <w:rFonts w:ascii="宋体" w:hAnsi="宋体" w:cs="宋体" w:eastAsia="宋体" w:hint="default"/>
          <w:sz w:val="24"/>
          <w:szCs w:val="24"/>
        </w:rPr>
        <w:t>1、为公司带来的利润达到公司本期利润总额</w:t>
      </w:r>
      <w:r>
        <w:rPr>
          <w:rFonts w:ascii="宋体" w:hAnsi="宋体" w:cs="宋体" w:eastAsia="宋体" w:hint="default"/>
          <w:spacing w:val="-64"/>
          <w:sz w:val="24"/>
          <w:szCs w:val="24"/>
        </w:rPr>
        <w:t> </w:t>
      </w:r>
      <w:r>
        <w:rPr>
          <w:rFonts w:ascii="宋体" w:hAnsi="宋体" w:cs="宋体" w:eastAsia="宋体" w:hint="default"/>
          <w:spacing w:val="-3"/>
          <w:sz w:val="24"/>
          <w:szCs w:val="24"/>
        </w:rPr>
        <w:t>10％以上（含</w:t>
      </w:r>
      <w:r>
        <w:rPr>
          <w:rFonts w:ascii="宋体" w:hAnsi="宋体" w:cs="宋体" w:eastAsia="宋体" w:hint="default"/>
          <w:spacing w:val="-64"/>
          <w:sz w:val="24"/>
          <w:szCs w:val="24"/>
        </w:rPr>
        <w:t> </w:t>
      </w:r>
      <w:r>
        <w:rPr>
          <w:rFonts w:ascii="宋体" w:hAnsi="宋体" w:cs="宋体" w:eastAsia="宋体" w:hint="default"/>
          <w:spacing w:val="-4"/>
          <w:sz w:val="24"/>
          <w:szCs w:val="24"/>
        </w:rPr>
        <w:t>10％）的托管、承包、租赁</w:t>
      </w:r>
      <w:r>
        <w:rPr>
          <w:rFonts w:ascii="宋体" w:hAnsi="宋体" w:cs="宋体" w:eastAsia="宋体" w:hint="default"/>
          <w:spacing w:val="-1"/>
          <w:sz w:val="24"/>
          <w:szCs w:val="24"/>
        </w:rPr>
        <w:t> </w:t>
      </w:r>
      <w:r>
        <w:rPr>
          <w:rFonts w:ascii="宋体" w:hAnsi="宋体" w:cs="宋体" w:eastAsia="宋体" w:hint="default"/>
          <w:sz w:val="24"/>
          <w:szCs w:val="24"/>
        </w:rPr>
        <w:t>事项</w:t>
      </w:r>
    </w:p>
    <w:p>
      <w:pPr>
        <w:spacing w:line="282" w:lineRule="exact" w:before="0"/>
        <w:ind w:left="118" w:right="0" w:firstLine="0"/>
        <w:jc w:val="both"/>
        <w:rPr>
          <w:rFonts w:ascii="宋体" w:hAnsi="宋体" w:cs="宋体" w:eastAsia="宋体" w:hint="default"/>
          <w:sz w:val="24"/>
          <w:szCs w:val="24"/>
        </w:rPr>
      </w:pPr>
      <w:r>
        <w:rPr>
          <w:rFonts w:ascii="宋体" w:hAnsi="宋体" w:cs="宋体" w:eastAsia="宋体" w:hint="default"/>
          <w:sz w:val="24"/>
          <w:szCs w:val="24"/>
        </w:rPr>
        <w:t>（1）托管情况</w:t>
      </w:r>
    </w:p>
    <w:p>
      <w:pPr>
        <w:spacing w:line="312" w:lineRule="exact" w:before="0"/>
        <w:ind w:left="579" w:right="6044" w:firstLine="0"/>
        <w:jc w:val="center"/>
        <w:rPr>
          <w:rFonts w:ascii="宋体" w:hAnsi="宋体" w:cs="宋体" w:eastAsia="宋体" w:hint="default"/>
          <w:sz w:val="24"/>
          <w:szCs w:val="24"/>
        </w:rPr>
      </w:pPr>
      <w:r>
        <w:rPr>
          <w:rFonts w:ascii="宋体" w:hAnsi="宋体" w:cs="宋体" w:eastAsia="宋体" w:hint="default"/>
          <w:sz w:val="24"/>
          <w:szCs w:val="24"/>
        </w:rPr>
        <w:t>本年度公司无托管事项。</w:t>
      </w:r>
    </w:p>
    <w:p>
      <w:pPr>
        <w:spacing w:line="312" w:lineRule="exact" w:before="0"/>
        <w:ind w:left="118" w:right="0" w:firstLine="0"/>
        <w:jc w:val="both"/>
        <w:rPr>
          <w:rFonts w:ascii="宋体" w:hAnsi="宋体" w:cs="宋体" w:eastAsia="宋体" w:hint="default"/>
          <w:sz w:val="24"/>
          <w:szCs w:val="24"/>
        </w:rPr>
      </w:pPr>
      <w:r>
        <w:rPr>
          <w:rFonts w:ascii="宋体" w:hAnsi="宋体" w:cs="宋体" w:eastAsia="宋体" w:hint="default"/>
          <w:sz w:val="24"/>
          <w:szCs w:val="24"/>
        </w:rPr>
        <w:t>（2）承包情况</w:t>
      </w:r>
    </w:p>
    <w:p>
      <w:pPr>
        <w:spacing w:line="312" w:lineRule="exact" w:before="0"/>
        <w:ind w:left="579" w:right="6044" w:firstLine="0"/>
        <w:jc w:val="center"/>
        <w:rPr>
          <w:rFonts w:ascii="宋体" w:hAnsi="宋体" w:cs="宋体" w:eastAsia="宋体" w:hint="default"/>
          <w:sz w:val="24"/>
          <w:szCs w:val="24"/>
        </w:rPr>
      </w:pPr>
      <w:r>
        <w:rPr>
          <w:rFonts w:ascii="宋体" w:hAnsi="宋体" w:cs="宋体" w:eastAsia="宋体" w:hint="default"/>
          <w:sz w:val="24"/>
          <w:szCs w:val="24"/>
        </w:rPr>
        <w:t>本年度公司无承包事项。</w:t>
      </w:r>
    </w:p>
    <w:p>
      <w:pPr>
        <w:spacing w:line="312" w:lineRule="exact" w:before="0"/>
        <w:ind w:left="118" w:right="0" w:firstLine="0"/>
        <w:jc w:val="both"/>
        <w:rPr>
          <w:rFonts w:ascii="宋体" w:hAnsi="宋体" w:cs="宋体" w:eastAsia="宋体" w:hint="default"/>
          <w:sz w:val="24"/>
          <w:szCs w:val="24"/>
        </w:rPr>
      </w:pPr>
      <w:r>
        <w:rPr>
          <w:rFonts w:ascii="宋体" w:hAnsi="宋体" w:cs="宋体" w:eastAsia="宋体" w:hint="default"/>
          <w:sz w:val="24"/>
          <w:szCs w:val="24"/>
        </w:rPr>
        <w:t>（3）租赁情况</w:t>
      </w:r>
    </w:p>
    <w:p>
      <w:pPr>
        <w:spacing w:line="313" w:lineRule="exact" w:before="0"/>
        <w:ind w:left="579" w:right="6044" w:firstLine="0"/>
        <w:jc w:val="center"/>
        <w:rPr>
          <w:rFonts w:ascii="宋体" w:hAnsi="宋体" w:cs="宋体" w:eastAsia="宋体" w:hint="default"/>
          <w:sz w:val="24"/>
          <w:szCs w:val="24"/>
        </w:rPr>
      </w:pPr>
      <w:r>
        <w:rPr>
          <w:rFonts w:ascii="宋体" w:hAnsi="宋体" w:cs="宋体" w:eastAsia="宋体" w:hint="default"/>
          <w:sz w:val="24"/>
          <w:szCs w:val="24"/>
        </w:rPr>
        <w:t>本年度公司无租赁事项。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pStyle w:val="BodyText"/>
        <w:spacing w:line="240" w:lineRule="auto"/>
        <w:ind w:left="118" w:right="112"/>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300"/>
        </w:sectPr>
      </w:pPr>
    </w:p>
    <w:p>
      <w:pPr>
        <w:spacing w:line="240" w:lineRule="auto" w:before="0"/>
        <w:rPr>
          <w:rFonts w:ascii="黑体" w:hAnsi="黑体" w:cs="黑体" w:eastAsia="黑体" w:hint="default"/>
          <w:sz w:val="25"/>
          <w:szCs w:val="25"/>
        </w:rPr>
      </w:pPr>
    </w:p>
    <w:p>
      <w:pPr>
        <w:spacing w:after="0" w:line="240" w:lineRule="auto"/>
        <w:rPr>
          <w:rFonts w:ascii="黑体" w:hAnsi="黑体" w:cs="黑体" w:eastAsia="黑体" w:hint="default"/>
          <w:sz w:val="25"/>
          <w:szCs w:val="25"/>
        </w:rPr>
        <w:sectPr>
          <w:pgSz w:w="11910" w:h="16840"/>
          <w:pgMar w:header="1012" w:footer="480" w:top="1360" w:bottom="660" w:left="340" w:right="340"/>
        </w:sectPr>
      </w:pPr>
    </w:p>
    <w:p>
      <w:pPr>
        <w:pStyle w:val="Heading5"/>
        <w:spacing w:line="240" w:lineRule="auto" w:before="26"/>
        <w:ind w:left="1078" w:right="-20"/>
        <w:jc w:val="left"/>
      </w:pPr>
      <w:r>
        <w:rPr/>
        <w:t>2、担保情况</w:t>
      </w:r>
    </w:p>
    <w:p>
      <w:pPr>
        <w:spacing w:line="240" w:lineRule="auto" w:before="8"/>
        <w:rPr>
          <w:rFonts w:ascii="宋体" w:hAnsi="宋体" w:cs="宋体" w:eastAsia="宋体" w:hint="default"/>
          <w:sz w:val="27"/>
          <w:szCs w:val="27"/>
        </w:rPr>
      </w:pPr>
      <w:r>
        <w:rPr/>
        <w:br w:type="column"/>
      </w:r>
      <w:r>
        <w:rPr>
          <w:rFonts w:ascii="宋体"/>
          <w:sz w:val="27"/>
        </w:rPr>
      </w:r>
    </w:p>
    <w:p>
      <w:pPr>
        <w:pStyle w:val="BodyText"/>
        <w:spacing w:line="240" w:lineRule="auto" w:before="0"/>
        <w:ind w:left="1078" w:right="0"/>
        <w:jc w:val="left"/>
        <w:rPr>
          <w:rFonts w:ascii="宋体" w:hAnsi="宋体" w:cs="宋体" w:eastAsia="宋体" w:hint="default"/>
        </w:rPr>
      </w:pPr>
      <w:r>
        <w:rPr>
          <w:rFonts w:ascii="宋体" w:hAnsi="宋体" w:cs="宋体" w:eastAsia="宋体" w:hint="default"/>
        </w:rPr>
        <w:t>单位:万元 币种:人民币</w:t>
      </w:r>
    </w:p>
    <w:p>
      <w:pPr>
        <w:spacing w:after="0" w:line="240" w:lineRule="auto"/>
        <w:jc w:val="left"/>
        <w:rPr>
          <w:rFonts w:ascii="宋体" w:hAnsi="宋体" w:cs="宋体" w:eastAsia="宋体" w:hint="default"/>
        </w:rPr>
        <w:sectPr>
          <w:type w:val="continuous"/>
          <w:pgSz w:w="11910" w:h="16840"/>
          <w:pgMar w:top="1600" w:bottom="280" w:left="340" w:right="340"/>
          <w:cols w:num="2" w:equalWidth="0">
            <w:col w:w="2399" w:space="4466"/>
            <w:col w:w="4365"/>
          </w:cols>
        </w:sectPr>
      </w:pPr>
    </w:p>
    <w:p>
      <w:pPr>
        <w:spacing w:line="240" w:lineRule="auto" w:before="13"/>
        <w:rPr>
          <w:rFonts w:ascii="宋体" w:hAnsi="宋体" w:cs="宋体" w:eastAsia="宋体"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1108"/>
        <w:gridCol w:w="764"/>
        <w:gridCol w:w="852"/>
        <w:gridCol w:w="712"/>
        <w:gridCol w:w="1133"/>
        <w:gridCol w:w="1036"/>
        <w:gridCol w:w="1127"/>
        <w:gridCol w:w="659"/>
        <w:gridCol w:w="666"/>
        <w:gridCol w:w="430"/>
        <w:gridCol w:w="420"/>
        <w:gridCol w:w="625"/>
        <w:gridCol w:w="893"/>
        <w:gridCol w:w="578"/>
      </w:tblGrid>
      <w:tr>
        <w:trPr>
          <w:trHeight w:val="323" w:hRule="exact"/>
        </w:trPr>
        <w:tc>
          <w:tcPr>
            <w:tcW w:w="11002" w:type="dxa"/>
            <w:gridSpan w:val="14"/>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3177" w:right="0"/>
              <w:jc w:val="left"/>
              <w:rPr>
                <w:rFonts w:ascii="宋体" w:hAnsi="宋体" w:cs="宋体" w:eastAsia="宋体" w:hint="default"/>
                <w:sz w:val="21"/>
                <w:szCs w:val="21"/>
              </w:rPr>
            </w:pPr>
            <w:r>
              <w:rPr>
                <w:rFonts w:ascii="宋体" w:hAnsi="宋体" w:cs="宋体" w:eastAsia="宋体" w:hint="default"/>
                <w:b/>
                <w:bCs/>
                <w:sz w:val="21"/>
                <w:szCs w:val="21"/>
              </w:rPr>
              <w:t>公司对外担保情况（不包括对控股子公司的担保）</w:t>
            </w:r>
            <w:r>
              <w:rPr>
                <w:rFonts w:ascii="宋体" w:hAnsi="宋体" w:cs="宋体" w:eastAsia="宋体" w:hint="default"/>
                <w:sz w:val="21"/>
                <w:szCs w:val="21"/>
              </w:rPr>
            </w:r>
          </w:p>
        </w:tc>
      </w:tr>
      <w:tr>
        <w:trPr>
          <w:trHeight w:val="1882" w:hRule="exact"/>
        </w:trPr>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277" w:right="0"/>
              <w:jc w:val="left"/>
              <w:rPr>
                <w:rFonts w:ascii="宋体" w:hAnsi="宋体" w:cs="宋体" w:eastAsia="宋体" w:hint="default"/>
                <w:sz w:val="18"/>
                <w:szCs w:val="18"/>
              </w:rPr>
            </w:pPr>
            <w:r>
              <w:rPr>
                <w:rFonts w:ascii="宋体" w:hAnsi="宋体" w:cs="宋体" w:eastAsia="宋体" w:hint="default"/>
                <w:b/>
                <w:bCs/>
                <w:sz w:val="18"/>
                <w:szCs w:val="18"/>
              </w:rPr>
              <w:t>担保方</w:t>
            </w:r>
            <w:r>
              <w:rPr>
                <w:rFonts w:ascii="宋体" w:hAnsi="宋体" w:cs="宋体" w:eastAsia="宋体" w:hint="default"/>
                <w:sz w:val="18"/>
                <w:szCs w:val="18"/>
              </w:rPr>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05" w:right="103"/>
              <w:jc w:val="both"/>
              <w:rPr>
                <w:rFonts w:ascii="宋体" w:hAnsi="宋体" w:cs="宋体" w:eastAsia="宋体" w:hint="default"/>
                <w:sz w:val="18"/>
                <w:szCs w:val="18"/>
              </w:rPr>
            </w:pPr>
            <w:r>
              <w:rPr>
                <w:rFonts w:ascii="宋体" w:hAnsi="宋体" w:cs="宋体" w:eastAsia="宋体" w:hint="default"/>
                <w:b/>
                <w:bCs/>
                <w:sz w:val="18"/>
                <w:szCs w:val="18"/>
              </w:rPr>
              <w:t>担保方</w:t>
            </w:r>
            <w:r>
              <w:rPr>
                <w:rFonts w:ascii="宋体" w:hAnsi="宋体" w:cs="宋体" w:eastAsia="宋体" w:hint="default"/>
                <w:b/>
                <w:bCs/>
                <w:spacing w:val="1"/>
                <w:w w:val="99"/>
                <w:sz w:val="18"/>
                <w:szCs w:val="18"/>
              </w:rPr>
              <w:t> </w:t>
            </w:r>
            <w:r>
              <w:rPr>
                <w:rFonts w:ascii="宋体" w:hAnsi="宋体" w:cs="宋体" w:eastAsia="宋体" w:hint="default"/>
                <w:b/>
                <w:bCs/>
                <w:sz w:val="18"/>
                <w:szCs w:val="18"/>
              </w:rPr>
              <w:t>与上市</w:t>
            </w:r>
            <w:r>
              <w:rPr>
                <w:rFonts w:ascii="宋体" w:hAnsi="宋体" w:cs="宋体" w:eastAsia="宋体" w:hint="default"/>
                <w:b/>
                <w:bCs/>
                <w:spacing w:val="1"/>
                <w:w w:val="99"/>
                <w:sz w:val="18"/>
                <w:szCs w:val="18"/>
              </w:rPr>
              <w:t> </w:t>
            </w:r>
            <w:r>
              <w:rPr>
                <w:rFonts w:ascii="宋体" w:hAnsi="宋体" w:cs="宋体" w:eastAsia="宋体" w:hint="default"/>
                <w:b/>
                <w:bCs/>
                <w:sz w:val="18"/>
                <w:szCs w:val="18"/>
              </w:rPr>
              <w:t>公司的</w:t>
            </w:r>
            <w:r>
              <w:rPr>
                <w:rFonts w:ascii="宋体" w:hAnsi="宋体" w:cs="宋体" w:eastAsia="宋体" w:hint="default"/>
                <w:b/>
                <w:bCs/>
                <w:spacing w:val="1"/>
                <w:w w:val="99"/>
                <w:sz w:val="18"/>
                <w:szCs w:val="18"/>
              </w:rPr>
              <w:t> </w:t>
            </w:r>
            <w:r>
              <w:rPr>
                <w:rFonts w:ascii="宋体" w:hAnsi="宋体" w:cs="宋体" w:eastAsia="宋体" w:hint="default"/>
                <w:b/>
                <w:bCs/>
                <w:sz w:val="18"/>
                <w:szCs w:val="18"/>
              </w:rPr>
              <w:t>关系</w:t>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316" w:lineRule="auto"/>
              <w:ind w:left="330" w:right="146" w:hanging="180"/>
              <w:jc w:val="left"/>
              <w:rPr>
                <w:rFonts w:ascii="宋体" w:hAnsi="宋体" w:cs="宋体" w:eastAsia="宋体" w:hint="default"/>
                <w:sz w:val="18"/>
                <w:szCs w:val="18"/>
              </w:rPr>
            </w:pPr>
            <w:r>
              <w:rPr>
                <w:rFonts w:ascii="宋体" w:hAnsi="宋体" w:cs="宋体" w:eastAsia="宋体" w:hint="default"/>
                <w:b/>
                <w:bCs/>
                <w:sz w:val="18"/>
                <w:szCs w:val="18"/>
              </w:rPr>
              <w:t>被担保</w:t>
            </w:r>
            <w:r>
              <w:rPr>
                <w:rFonts w:ascii="宋体" w:hAnsi="宋体" w:cs="宋体" w:eastAsia="宋体" w:hint="default"/>
                <w:b/>
                <w:bCs/>
                <w:spacing w:val="1"/>
                <w:w w:val="99"/>
                <w:sz w:val="18"/>
                <w:szCs w:val="18"/>
              </w:rPr>
              <w:t> </w:t>
            </w:r>
            <w:r>
              <w:rPr>
                <w:rFonts w:ascii="宋体" w:hAnsi="宋体" w:cs="宋体" w:eastAsia="宋体" w:hint="default"/>
                <w:b/>
                <w:bCs/>
                <w:sz w:val="18"/>
                <w:szCs w:val="18"/>
              </w:rPr>
              <w:t>方</w:t>
            </w:r>
            <w:r>
              <w:rPr>
                <w:rFonts w:ascii="宋体" w:hAnsi="宋体" w:cs="宋体" w:eastAsia="宋体" w:hint="default"/>
                <w:sz w:val="18"/>
                <w:szCs w:val="18"/>
              </w:rPr>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316" w:lineRule="auto"/>
              <w:ind w:left="170" w:right="167"/>
              <w:jc w:val="left"/>
              <w:rPr>
                <w:rFonts w:ascii="宋体" w:hAnsi="宋体" w:cs="宋体" w:eastAsia="宋体" w:hint="default"/>
                <w:sz w:val="18"/>
                <w:szCs w:val="18"/>
              </w:rPr>
            </w:pPr>
            <w:r>
              <w:rPr>
                <w:rFonts w:ascii="宋体" w:hAnsi="宋体" w:cs="宋体" w:eastAsia="宋体" w:hint="default"/>
                <w:b/>
                <w:bCs/>
                <w:sz w:val="18"/>
                <w:szCs w:val="18"/>
              </w:rPr>
              <w:t>担保</w:t>
            </w:r>
            <w:r>
              <w:rPr>
                <w:rFonts w:ascii="宋体" w:hAnsi="宋体" w:cs="宋体" w:eastAsia="宋体" w:hint="default"/>
                <w:b/>
                <w:bCs/>
                <w:spacing w:val="1"/>
                <w:w w:val="99"/>
                <w:sz w:val="18"/>
                <w:szCs w:val="18"/>
              </w:rPr>
              <w:t> </w:t>
            </w:r>
            <w:r>
              <w:rPr>
                <w:rFonts w:ascii="宋体" w:hAnsi="宋体" w:cs="宋体" w:eastAsia="宋体" w:hint="default"/>
                <w:b/>
                <w:bCs/>
                <w:sz w:val="18"/>
                <w:szCs w:val="18"/>
              </w:rPr>
              <w:t>金额</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108" w:right="108"/>
              <w:jc w:val="center"/>
              <w:rPr>
                <w:rFonts w:ascii="宋体" w:hAnsi="宋体" w:cs="宋体" w:eastAsia="宋体" w:hint="default"/>
                <w:sz w:val="18"/>
                <w:szCs w:val="18"/>
              </w:rPr>
            </w:pPr>
            <w:r>
              <w:rPr>
                <w:rFonts w:ascii="宋体" w:hAnsi="宋体" w:cs="宋体" w:eastAsia="宋体" w:hint="default"/>
                <w:b/>
                <w:bCs/>
                <w:sz w:val="18"/>
                <w:szCs w:val="18"/>
              </w:rPr>
              <w:t>担保发生日</w:t>
            </w:r>
            <w:r>
              <w:rPr>
                <w:rFonts w:ascii="宋体" w:hAnsi="宋体" w:cs="宋体" w:eastAsia="宋体" w:hint="default"/>
                <w:b/>
                <w:bCs/>
                <w:spacing w:val="1"/>
                <w:w w:val="99"/>
                <w:sz w:val="18"/>
                <w:szCs w:val="18"/>
              </w:rPr>
              <w:t> </w:t>
            </w:r>
            <w:r>
              <w:rPr>
                <w:rFonts w:ascii="宋体" w:hAnsi="宋体" w:cs="宋体" w:eastAsia="宋体" w:hint="default"/>
                <w:b/>
                <w:bCs/>
                <w:sz w:val="18"/>
                <w:szCs w:val="18"/>
              </w:rPr>
              <w:t>期（协议签</w:t>
            </w:r>
            <w:r>
              <w:rPr>
                <w:rFonts w:ascii="宋体" w:hAnsi="宋体" w:cs="宋体" w:eastAsia="宋体" w:hint="default"/>
                <w:b/>
                <w:bCs/>
                <w:spacing w:val="1"/>
                <w:w w:val="99"/>
                <w:sz w:val="18"/>
                <w:szCs w:val="18"/>
              </w:rPr>
              <w:t> </w:t>
            </w:r>
            <w:r>
              <w:rPr>
                <w:rFonts w:ascii="宋体" w:hAnsi="宋体" w:cs="宋体" w:eastAsia="宋体" w:hint="default"/>
                <w:b/>
                <w:bCs/>
                <w:sz w:val="18"/>
                <w:szCs w:val="18"/>
              </w:rPr>
              <w:t>署日）</w:t>
            </w:r>
            <w:r>
              <w:rPr>
                <w:rFonts w:ascii="宋体" w:hAnsi="宋体" w:cs="宋体" w:eastAsia="宋体" w:hint="default"/>
                <w:sz w:val="18"/>
                <w:szCs w:val="18"/>
              </w:rPr>
            </w:r>
          </w:p>
        </w:tc>
        <w:tc>
          <w:tcPr>
            <w:tcW w:w="1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316" w:lineRule="auto"/>
              <w:ind w:left="240" w:right="240" w:firstLine="91"/>
              <w:jc w:val="left"/>
              <w:rPr>
                <w:rFonts w:ascii="宋体" w:hAnsi="宋体" w:cs="宋体" w:eastAsia="宋体" w:hint="default"/>
                <w:sz w:val="18"/>
                <w:szCs w:val="18"/>
              </w:rPr>
            </w:pPr>
            <w:r>
              <w:rPr>
                <w:rFonts w:ascii="宋体" w:hAnsi="宋体" w:cs="宋体" w:eastAsia="宋体" w:hint="default"/>
                <w:b/>
                <w:bCs/>
                <w:sz w:val="18"/>
                <w:szCs w:val="18"/>
              </w:rPr>
              <w:t>担保</w:t>
            </w:r>
            <w:r>
              <w:rPr>
                <w:rFonts w:ascii="宋体" w:hAnsi="宋体" w:cs="宋体" w:eastAsia="宋体" w:hint="default"/>
                <w:b/>
                <w:bCs/>
                <w:spacing w:val="1"/>
                <w:w w:val="99"/>
                <w:sz w:val="18"/>
                <w:szCs w:val="18"/>
              </w:rPr>
              <w:t> </w:t>
            </w:r>
            <w:r>
              <w:rPr>
                <w:rFonts w:ascii="宋体" w:hAnsi="宋体" w:cs="宋体" w:eastAsia="宋体" w:hint="default"/>
                <w:b/>
                <w:bCs/>
                <w:sz w:val="18"/>
                <w:szCs w:val="18"/>
              </w:rPr>
              <w:t>起始日</w:t>
            </w:r>
            <w:r>
              <w:rPr>
                <w:rFonts w:ascii="宋体" w:hAnsi="宋体" w:cs="宋体" w:eastAsia="宋体" w:hint="default"/>
                <w:sz w:val="18"/>
                <w:szCs w:val="18"/>
              </w:rPr>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316" w:lineRule="auto"/>
              <w:ind w:left="286" w:right="284" w:firstLine="91"/>
              <w:jc w:val="left"/>
              <w:rPr>
                <w:rFonts w:ascii="宋体" w:hAnsi="宋体" w:cs="宋体" w:eastAsia="宋体" w:hint="default"/>
                <w:sz w:val="18"/>
                <w:szCs w:val="18"/>
              </w:rPr>
            </w:pPr>
            <w:r>
              <w:rPr>
                <w:rFonts w:ascii="宋体" w:hAnsi="宋体" w:cs="宋体" w:eastAsia="宋体" w:hint="default"/>
                <w:b/>
                <w:bCs/>
                <w:sz w:val="18"/>
                <w:szCs w:val="18"/>
              </w:rPr>
              <w:t>担保</w:t>
            </w:r>
            <w:r>
              <w:rPr>
                <w:rFonts w:ascii="宋体" w:hAnsi="宋体" w:cs="宋体" w:eastAsia="宋体" w:hint="default"/>
                <w:b/>
                <w:bCs/>
                <w:spacing w:val="1"/>
                <w:w w:val="99"/>
                <w:sz w:val="18"/>
                <w:szCs w:val="18"/>
              </w:rPr>
              <w:t> </w:t>
            </w:r>
            <w:r>
              <w:rPr>
                <w:rFonts w:ascii="宋体" w:hAnsi="宋体" w:cs="宋体" w:eastAsia="宋体" w:hint="default"/>
                <w:b/>
                <w:bCs/>
                <w:sz w:val="18"/>
                <w:szCs w:val="18"/>
              </w:rPr>
              <w:t>到期日</w:t>
            </w:r>
            <w:r>
              <w:rPr>
                <w:rFonts w:ascii="宋体" w:hAnsi="宋体" w:cs="宋体" w:eastAsia="宋体" w:hint="default"/>
                <w:sz w:val="18"/>
                <w:szCs w:val="18"/>
              </w:rPr>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316" w:lineRule="auto"/>
              <w:ind w:left="142" w:right="141"/>
              <w:jc w:val="left"/>
              <w:rPr>
                <w:rFonts w:ascii="宋体" w:hAnsi="宋体" w:cs="宋体" w:eastAsia="宋体" w:hint="default"/>
                <w:sz w:val="18"/>
                <w:szCs w:val="18"/>
              </w:rPr>
            </w:pPr>
            <w:r>
              <w:rPr>
                <w:rFonts w:ascii="宋体" w:hAnsi="宋体" w:cs="宋体" w:eastAsia="宋体" w:hint="default"/>
                <w:b/>
                <w:bCs/>
                <w:sz w:val="18"/>
                <w:szCs w:val="18"/>
              </w:rPr>
              <w:t>担保</w:t>
            </w:r>
            <w:r>
              <w:rPr>
                <w:rFonts w:ascii="宋体" w:hAnsi="宋体" w:cs="宋体" w:eastAsia="宋体" w:hint="default"/>
                <w:b/>
                <w:bCs/>
                <w:spacing w:val="1"/>
                <w:w w:val="99"/>
                <w:sz w:val="18"/>
                <w:szCs w:val="18"/>
              </w:rPr>
              <w:t> </w:t>
            </w:r>
            <w:r>
              <w:rPr>
                <w:rFonts w:ascii="宋体" w:hAnsi="宋体" w:cs="宋体" w:eastAsia="宋体" w:hint="default"/>
                <w:b/>
                <w:bCs/>
                <w:sz w:val="18"/>
                <w:szCs w:val="18"/>
              </w:rPr>
              <w:t>类型</w:t>
            </w:r>
            <w:r>
              <w:rPr>
                <w:rFonts w:ascii="宋体" w:hAnsi="宋体" w:cs="宋体" w:eastAsia="宋体" w:hint="default"/>
                <w:sz w:val="18"/>
                <w:szCs w:val="18"/>
              </w:rPr>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46" w:right="145"/>
              <w:jc w:val="both"/>
              <w:rPr>
                <w:rFonts w:ascii="宋体" w:hAnsi="宋体" w:cs="宋体" w:eastAsia="宋体" w:hint="default"/>
                <w:sz w:val="18"/>
                <w:szCs w:val="18"/>
              </w:rPr>
            </w:pPr>
            <w:r>
              <w:rPr>
                <w:rFonts w:ascii="宋体" w:hAnsi="宋体" w:cs="宋体" w:eastAsia="宋体" w:hint="default"/>
                <w:b/>
                <w:bCs/>
                <w:sz w:val="18"/>
                <w:szCs w:val="18"/>
              </w:rPr>
              <w:t>担保</w:t>
            </w:r>
            <w:r>
              <w:rPr>
                <w:rFonts w:ascii="宋体" w:hAnsi="宋体" w:cs="宋体" w:eastAsia="宋体" w:hint="default"/>
                <w:b/>
                <w:bCs/>
                <w:spacing w:val="1"/>
                <w:w w:val="99"/>
                <w:sz w:val="18"/>
                <w:szCs w:val="18"/>
              </w:rPr>
              <w:t> </w:t>
            </w:r>
            <w:r>
              <w:rPr>
                <w:rFonts w:ascii="宋体" w:hAnsi="宋体" w:cs="宋体" w:eastAsia="宋体" w:hint="default"/>
                <w:b/>
                <w:bCs/>
                <w:sz w:val="18"/>
                <w:szCs w:val="18"/>
              </w:rPr>
              <w:t>是否</w:t>
            </w:r>
            <w:r>
              <w:rPr>
                <w:rFonts w:ascii="宋体" w:hAnsi="宋体" w:cs="宋体" w:eastAsia="宋体" w:hint="default"/>
                <w:b/>
                <w:bCs/>
                <w:spacing w:val="1"/>
                <w:w w:val="99"/>
                <w:sz w:val="18"/>
                <w:szCs w:val="18"/>
              </w:rPr>
              <w:t> </w:t>
            </w:r>
            <w:r>
              <w:rPr>
                <w:rFonts w:ascii="宋体" w:hAnsi="宋体" w:cs="宋体" w:eastAsia="宋体" w:hint="default"/>
                <w:b/>
                <w:bCs/>
                <w:sz w:val="18"/>
                <w:szCs w:val="18"/>
              </w:rPr>
              <w:t>已经</w:t>
            </w:r>
            <w:r>
              <w:rPr>
                <w:rFonts w:ascii="宋体" w:hAnsi="宋体" w:cs="宋体" w:eastAsia="宋体" w:hint="default"/>
                <w:b/>
                <w:bCs/>
                <w:spacing w:val="1"/>
                <w:w w:val="99"/>
                <w:sz w:val="18"/>
                <w:szCs w:val="18"/>
              </w:rPr>
              <w:t> </w:t>
            </w:r>
            <w:r>
              <w:rPr>
                <w:rFonts w:ascii="宋体" w:hAnsi="宋体" w:cs="宋体" w:eastAsia="宋体" w:hint="default"/>
                <w:b/>
                <w:bCs/>
                <w:sz w:val="18"/>
                <w:szCs w:val="18"/>
              </w:rPr>
              <w:t>履行</w:t>
            </w:r>
            <w:r>
              <w:rPr>
                <w:rFonts w:ascii="宋体" w:hAnsi="宋体" w:cs="宋体" w:eastAsia="宋体" w:hint="default"/>
                <w:b/>
                <w:bCs/>
                <w:spacing w:val="1"/>
                <w:w w:val="99"/>
                <w:sz w:val="18"/>
                <w:szCs w:val="18"/>
              </w:rPr>
              <w:t> </w:t>
            </w:r>
            <w:r>
              <w:rPr>
                <w:rFonts w:ascii="宋体" w:hAnsi="宋体" w:cs="宋体" w:eastAsia="宋体" w:hint="default"/>
                <w:b/>
                <w:bCs/>
                <w:sz w:val="18"/>
                <w:szCs w:val="18"/>
              </w:rPr>
              <w:t>完毕</w:t>
            </w:r>
            <w:r>
              <w:rPr>
                <w:rFonts w:ascii="宋体" w:hAnsi="宋体" w:cs="宋体" w:eastAsia="宋体" w:hint="default"/>
                <w:sz w:val="18"/>
                <w:szCs w:val="18"/>
              </w:rPr>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18" w:right="119"/>
              <w:jc w:val="both"/>
              <w:rPr>
                <w:rFonts w:ascii="宋体" w:hAnsi="宋体" w:cs="宋体" w:eastAsia="宋体" w:hint="default"/>
                <w:sz w:val="18"/>
                <w:szCs w:val="18"/>
              </w:rPr>
            </w:pPr>
            <w:r>
              <w:rPr>
                <w:rFonts w:ascii="宋体" w:hAnsi="宋体" w:cs="宋体" w:eastAsia="宋体" w:hint="default"/>
                <w:b/>
                <w:bCs/>
                <w:sz w:val="18"/>
                <w:szCs w:val="18"/>
              </w:rPr>
              <w:t>担</w:t>
            </w:r>
            <w:r>
              <w:rPr>
                <w:rFonts w:ascii="宋体" w:hAnsi="宋体" w:cs="宋体" w:eastAsia="宋体" w:hint="default"/>
                <w:b/>
                <w:bCs/>
                <w:w w:val="99"/>
                <w:sz w:val="18"/>
                <w:szCs w:val="18"/>
              </w:rPr>
              <w:t> </w:t>
            </w:r>
            <w:r>
              <w:rPr>
                <w:rFonts w:ascii="宋体" w:hAnsi="宋体" w:cs="宋体" w:eastAsia="宋体" w:hint="default"/>
                <w:b/>
                <w:bCs/>
                <w:sz w:val="18"/>
                <w:szCs w:val="18"/>
              </w:rPr>
              <w:t>保</w:t>
            </w:r>
            <w:r>
              <w:rPr>
                <w:rFonts w:ascii="宋体" w:hAnsi="宋体" w:cs="宋体" w:eastAsia="宋体" w:hint="default"/>
                <w:b/>
                <w:bCs/>
                <w:w w:val="99"/>
                <w:sz w:val="18"/>
                <w:szCs w:val="18"/>
              </w:rPr>
              <w:t> </w:t>
            </w:r>
            <w:r>
              <w:rPr>
                <w:rFonts w:ascii="宋体" w:hAnsi="宋体" w:cs="宋体" w:eastAsia="宋体" w:hint="default"/>
                <w:b/>
                <w:bCs/>
                <w:sz w:val="18"/>
                <w:szCs w:val="18"/>
              </w:rPr>
              <w:t>是</w:t>
            </w:r>
            <w:r>
              <w:rPr>
                <w:rFonts w:ascii="宋体" w:hAnsi="宋体" w:cs="宋体" w:eastAsia="宋体" w:hint="default"/>
                <w:b/>
                <w:bCs/>
                <w:w w:val="99"/>
                <w:sz w:val="18"/>
                <w:szCs w:val="18"/>
              </w:rPr>
              <w:t> </w:t>
            </w:r>
            <w:r>
              <w:rPr>
                <w:rFonts w:ascii="宋体" w:hAnsi="宋体" w:cs="宋体" w:eastAsia="宋体" w:hint="default"/>
                <w:b/>
                <w:bCs/>
                <w:sz w:val="18"/>
                <w:szCs w:val="18"/>
              </w:rPr>
              <w:t>否</w:t>
            </w:r>
            <w:r>
              <w:rPr>
                <w:rFonts w:ascii="宋体" w:hAnsi="宋体" w:cs="宋体" w:eastAsia="宋体" w:hint="default"/>
                <w:b/>
                <w:bCs/>
                <w:w w:val="99"/>
                <w:sz w:val="18"/>
                <w:szCs w:val="18"/>
              </w:rPr>
              <w:t> </w:t>
            </w:r>
            <w:r>
              <w:rPr>
                <w:rFonts w:ascii="宋体" w:hAnsi="宋体" w:cs="宋体" w:eastAsia="宋体" w:hint="default"/>
                <w:b/>
                <w:bCs/>
                <w:sz w:val="18"/>
                <w:szCs w:val="18"/>
              </w:rPr>
              <w:t>逾</w:t>
            </w:r>
            <w:r>
              <w:rPr>
                <w:rFonts w:ascii="宋体" w:hAnsi="宋体" w:cs="宋体" w:eastAsia="宋体" w:hint="default"/>
                <w:b/>
                <w:bCs/>
                <w:w w:val="99"/>
                <w:sz w:val="18"/>
                <w:szCs w:val="18"/>
              </w:rPr>
              <w:t> </w:t>
            </w:r>
            <w:r>
              <w:rPr>
                <w:rFonts w:ascii="宋体" w:hAnsi="宋体" w:cs="宋体" w:eastAsia="宋体" w:hint="default"/>
                <w:b/>
                <w:bCs/>
                <w:sz w:val="18"/>
                <w:szCs w:val="18"/>
              </w:rPr>
              <w:t>期</w:t>
            </w:r>
            <w:r>
              <w:rPr>
                <w:rFonts w:ascii="宋体" w:hAnsi="宋体" w:cs="宋体" w:eastAsia="宋体" w:hint="default"/>
                <w:sz w:val="18"/>
                <w:szCs w:val="18"/>
              </w:rPr>
            </w:r>
          </w:p>
        </w:tc>
        <w:tc>
          <w:tcPr>
            <w:tcW w:w="4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12" w:right="115"/>
              <w:jc w:val="both"/>
              <w:rPr>
                <w:rFonts w:ascii="宋体" w:hAnsi="宋体" w:cs="宋体" w:eastAsia="宋体" w:hint="default"/>
                <w:sz w:val="18"/>
                <w:szCs w:val="18"/>
              </w:rPr>
            </w:pPr>
            <w:r>
              <w:rPr>
                <w:rFonts w:ascii="宋体" w:hAnsi="宋体" w:cs="宋体" w:eastAsia="宋体" w:hint="default"/>
                <w:b/>
                <w:bCs/>
                <w:sz w:val="18"/>
                <w:szCs w:val="18"/>
              </w:rPr>
              <w:t>担</w:t>
            </w:r>
            <w:r>
              <w:rPr>
                <w:rFonts w:ascii="宋体" w:hAnsi="宋体" w:cs="宋体" w:eastAsia="宋体" w:hint="default"/>
                <w:b/>
                <w:bCs/>
                <w:w w:val="99"/>
                <w:sz w:val="18"/>
                <w:szCs w:val="18"/>
              </w:rPr>
              <w:t> </w:t>
            </w:r>
            <w:r>
              <w:rPr>
                <w:rFonts w:ascii="宋体" w:hAnsi="宋体" w:cs="宋体" w:eastAsia="宋体" w:hint="default"/>
                <w:b/>
                <w:bCs/>
                <w:sz w:val="18"/>
                <w:szCs w:val="18"/>
              </w:rPr>
              <w:t>保</w:t>
            </w:r>
            <w:r>
              <w:rPr>
                <w:rFonts w:ascii="宋体" w:hAnsi="宋体" w:cs="宋体" w:eastAsia="宋体" w:hint="default"/>
                <w:b/>
                <w:bCs/>
                <w:w w:val="99"/>
                <w:sz w:val="18"/>
                <w:szCs w:val="18"/>
              </w:rPr>
              <w:t> </w:t>
            </w:r>
            <w:r>
              <w:rPr>
                <w:rFonts w:ascii="宋体" w:hAnsi="宋体" w:cs="宋体" w:eastAsia="宋体" w:hint="default"/>
                <w:b/>
                <w:bCs/>
                <w:sz w:val="18"/>
                <w:szCs w:val="18"/>
              </w:rPr>
              <w:t>逾</w:t>
            </w:r>
            <w:r>
              <w:rPr>
                <w:rFonts w:ascii="宋体" w:hAnsi="宋体" w:cs="宋体" w:eastAsia="宋体" w:hint="default"/>
                <w:b/>
                <w:bCs/>
                <w:w w:val="99"/>
                <w:sz w:val="18"/>
                <w:szCs w:val="18"/>
              </w:rPr>
              <w:t> </w:t>
            </w:r>
            <w:r>
              <w:rPr>
                <w:rFonts w:ascii="宋体" w:hAnsi="宋体" w:cs="宋体" w:eastAsia="宋体" w:hint="default"/>
                <w:b/>
                <w:bCs/>
                <w:sz w:val="18"/>
                <w:szCs w:val="18"/>
              </w:rPr>
              <w:t>期</w:t>
            </w:r>
            <w:r>
              <w:rPr>
                <w:rFonts w:ascii="宋体" w:hAnsi="宋体" w:cs="宋体" w:eastAsia="宋体" w:hint="default"/>
                <w:b/>
                <w:bCs/>
                <w:w w:val="99"/>
                <w:sz w:val="18"/>
                <w:szCs w:val="18"/>
              </w:rPr>
              <w:t> </w:t>
            </w:r>
            <w:r>
              <w:rPr>
                <w:rFonts w:ascii="宋体" w:hAnsi="宋体" w:cs="宋体" w:eastAsia="宋体" w:hint="default"/>
                <w:b/>
                <w:bCs/>
                <w:sz w:val="18"/>
                <w:szCs w:val="18"/>
              </w:rPr>
              <w:t>金</w:t>
            </w:r>
            <w:r>
              <w:rPr>
                <w:rFonts w:ascii="宋体" w:hAnsi="宋体" w:cs="宋体" w:eastAsia="宋体" w:hint="default"/>
                <w:b/>
                <w:bCs/>
                <w:w w:val="99"/>
                <w:sz w:val="18"/>
                <w:szCs w:val="18"/>
              </w:rPr>
              <w:t> </w:t>
            </w:r>
            <w:r>
              <w:rPr>
                <w:rFonts w:ascii="宋体" w:hAnsi="宋体" w:cs="宋体" w:eastAsia="宋体" w:hint="default"/>
                <w:b/>
                <w:bCs/>
                <w:sz w:val="18"/>
                <w:szCs w:val="18"/>
              </w:rPr>
              <w:t>额</w:t>
            </w:r>
            <w:r>
              <w:rPr>
                <w:rFonts w:ascii="宋体" w:hAnsi="宋体" w:cs="宋体" w:eastAsia="宋体" w:hint="default"/>
                <w:sz w:val="18"/>
                <w:szCs w:val="18"/>
              </w:rPr>
            </w:r>
          </w:p>
        </w:tc>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26" w:right="125"/>
              <w:jc w:val="both"/>
              <w:rPr>
                <w:rFonts w:ascii="宋体" w:hAnsi="宋体" w:cs="宋体" w:eastAsia="宋体" w:hint="default"/>
                <w:sz w:val="18"/>
                <w:szCs w:val="18"/>
              </w:rPr>
            </w:pPr>
            <w:r>
              <w:rPr>
                <w:rFonts w:ascii="宋体" w:hAnsi="宋体" w:cs="宋体" w:eastAsia="宋体" w:hint="default"/>
                <w:b/>
                <w:bCs/>
                <w:sz w:val="18"/>
                <w:szCs w:val="18"/>
              </w:rPr>
              <w:t>是否</w:t>
            </w:r>
            <w:r>
              <w:rPr>
                <w:rFonts w:ascii="宋体" w:hAnsi="宋体" w:cs="宋体" w:eastAsia="宋体" w:hint="default"/>
                <w:b/>
                <w:bCs/>
                <w:spacing w:val="1"/>
                <w:w w:val="99"/>
                <w:sz w:val="18"/>
                <w:szCs w:val="18"/>
              </w:rPr>
              <w:t> </w:t>
            </w:r>
            <w:r>
              <w:rPr>
                <w:rFonts w:ascii="宋体" w:hAnsi="宋体" w:cs="宋体" w:eastAsia="宋体" w:hint="default"/>
                <w:b/>
                <w:bCs/>
                <w:sz w:val="18"/>
                <w:szCs w:val="18"/>
              </w:rPr>
              <w:t>存在</w:t>
            </w:r>
            <w:r>
              <w:rPr>
                <w:rFonts w:ascii="宋体" w:hAnsi="宋体" w:cs="宋体" w:eastAsia="宋体" w:hint="default"/>
                <w:b/>
                <w:bCs/>
                <w:spacing w:val="1"/>
                <w:w w:val="99"/>
                <w:sz w:val="18"/>
                <w:szCs w:val="18"/>
              </w:rPr>
              <w:t> </w:t>
            </w:r>
            <w:r>
              <w:rPr>
                <w:rFonts w:ascii="宋体" w:hAnsi="宋体" w:cs="宋体" w:eastAsia="宋体" w:hint="default"/>
                <w:b/>
                <w:bCs/>
                <w:sz w:val="18"/>
                <w:szCs w:val="18"/>
              </w:rPr>
              <w:t>反担</w:t>
            </w:r>
            <w:r>
              <w:rPr>
                <w:rFonts w:ascii="宋体" w:hAnsi="宋体" w:cs="宋体" w:eastAsia="宋体" w:hint="default"/>
                <w:b/>
                <w:bCs/>
                <w:spacing w:val="1"/>
                <w:w w:val="99"/>
                <w:sz w:val="18"/>
                <w:szCs w:val="18"/>
              </w:rPr>
              <w:t> </w:t>
            </w:r>
            <w:r>
              <w:rPr>
                <w:rFonts w:ascii="宋体" w:hAnsi="宋体" w:cs="宋体" w:eastAsia="宋体" w:hint="default"/>
                <w:b/>
                <w:bCs/>
                <w:sz w:val="18"/>
                <w:szCs w:val="18"/>
              </w:rPr>
              <w:t>保</w:t>
            </w:r>
            <w:r>
              <w:rPr>
                <w:rFonts w:ascii="宋体" w:hAnsi="宋体" w:cs="宋体" w:eastAsia="宋体" w:hint="default"/>
                <w:sz w:val="18"/>
                <w:szCs w:val="18"/>
              </w:rPr>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169" w:right="168"/>
              <w:jc w:val="both"/>
              <w:rPr>
                <w:rFonts w:ascii="宋体" w:hAnsi="宋体" w:cs="宋体" w:eastAsia="宋体" w:hint="default"/>
                <w:sz w:val="18"/>
                <w:szCs w:val="18"/>
              </w:rPr>
            </w:pPr>
            <w:r>
              <w:rPr>
                <w:rFonts w:ascii="宋体" w:hAnsi="宋体" w:cs="宋体" w:eastAsia="宋体" w:hint="default"/>
                <w:b/>
                <w:bCs/>
                <w:sz w:val="18"/>
                <w:szCs w:val="18"/>
              </w:rPr>
              <w:t>是否为</w:t>
            </w:r>
            <w:r>
              <w:rPr>
                <w:rFonts w:ascii="宋体" w:hAnsi="宋体" w:cs="宋体" w:eastAsia="宋体" w:hint="default"/>
                <w:b/>
                <w:bCs/>
                <w:spacing w:val="1"/>
                <w:w w:val="99"/>
                <w:sz w:val="18"/>
                <w:szCs w:val="18"/>
              </w:rPr>
              <w:t> </w:t>
            </w:r>
            <w:r>
              <w:rPr>
                <w:rFonts w:ascii="宋体" w:hAnsi="宋体" w:cs="宋体" w:eastAsia="宋体" w:hint="default"/>
                <w:b/>
                <w:bCs/>
                <w:sz w:val="18"/>
                <w:szCs w:val="18"/>
              </w:rPr>
              <w:t>关联方</w:t>
            </w:r>
            <w:r>
              <w:rPr>
                <w:rFonts w:ascii="宋体" w:hAnsi="宋体" w:cs="宋体" w:eastAsia="宋体" w:hint="default"/>
                <w:b/>
                <w:bCs/>
                <w:spacing w:val="1"/>
                <w:w w:val="99"/>
                <w:sz w:val="18"/>
                <w:szCs w:val="18"/>
              </w:rPr>
              <w:t> </w:t>
            </w:r>
            <w:r>
              <w:rPr>
                <w:rFonts w:ascii="宋体" w:hAnsi="宋体" w:cs="宋体" w:eastAsia="宋体" w:hint="default"/>
                <w:b/>
                <w:bCs/>
                <w:sz w:val="18"/>
                <w:szCs w:val="18"/>
              </w:rPr>
              <w:t>担保</w:t>
            </w:r>
            <w:r>
              <w:rPr>
                <w:rFonts w:ascii="宋体" w:hAnsi="宋体" w:cs="宋体" w:eastAsia="宋体" w:hint="default"/>
                <w:sz w:val="18"/>
                <w:szCs w:val="18"/>
              </w:rPr>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316" w:lineRule="auto"/>
              <w:ind w:left="102" w:right="102"/>
              <w:jc w:val="left"/>
              <w:rPr>
                <w:rFonts w:ascii="宋体" w:hAnsi="宋体" w:cs="宋体" w:eastAsia="宋体" w:hint="default"/>
                <w:sz w:val="18"/>
                <w:szCs w:val="18"/>
              </w:rPr>
            </w:pPr>
            <w:r>
              <w:rPr>
                <w:rFonts w:ascii="宋体" w:hAnsi="宋体" w:cs="宋体" w:eastAsia="宋体" w:hint="default"/>
                <w:b/>
                <w:bCs/>
                <w:sz w:val="18"/>
                <w:szCs w:val="18"/>
              </w:rPr>
              <w:t>关联</w:t>
            </w:r>
            <w:r>
              <w:rPr>
                <w:rFonts w:ascii="宋体" w:hAnsi="宋体" w:cs="宋体" w:eastAsia="宋体" w:hint="default"/>
                <w:b/>
                <w:bCs/>
                <w:spacing w:val="1"/>
                <w:w w:val="99"/>
                <w:sz w:val="18"/>
                <w:szCs w:val="18"/>
              </w:rPr>
              <w:t> </w:t>
            </w:r>
            <w:r>
              <w:rPr>
                <w:rFonts w:ascii="宋体" w:hAnsi="宋体" w:cs="宋体" w:eastAsia="宋体" w:hint="default"/>
                <w:b/>
                <w:bCs/>
                <w:sz w:val="18"/>
                <w:szCs w:val="18"/>
              </w:rPr>
              <w:t>关系</w:t>
            </w:r>
            <w:r>
              <w:rPr>
                <w:rFonts w:ascii="宋体" w:hAnsi="宋体" w:cs="宋体" w:eastAsia="宋体" w:hint="default"/>
                <w:sz w:val="18"/>
                <w:szCs w:val="18"/>
              </w:rPr>
            </w:r>
          </w:p>
        </w:tc>
      </w:tr>
      <w:tr>
        <w:trPr>
          <w:trHeight w:val="1258" w:hRule="exact"/>
        </w:trPr>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3" w:right="272"/>
              <w:jc w:val="both"/>
              <w:rPr>
                <w:rFonts w:ascii="宋体" w:hAnsi="宋体" w:cs="宋体" w:eastAsia="宋体" w:hint="default"/>
                <w:sz w:val="18"/>
                <w:szCs w:val="18"/>
              </w:rPr>
            </w:pPr>
            <w:r>
              <w:rPr>
                <w:rFonts w:ascii="宋体" w:hAnsi="宋体" w:cs="宋体" w:eastAsia="宋体" w:hint="default"/>
                <w:sz w:val="18"/>
                <w:szCs w:val="18"/>
              </w:rPr>
              <w:t>东软集团 股份有限 公司</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96" w:right="196"/>
              <w:jc w:val="left"/>
              <w:rPr>
                <w:rFonts w:ascii="宋体" w:hAnsi="宋体" w:cs="宋体" w:eastAsia="宋体" w:hint="default"/>
                <w:sz w:val="18"/>
                <w:szCs w:val="18"/>
              </w:rPr>
            </w:pPr>
            <w:r>
              <w:rPr>
                <w:rFonts w:ascii="宋体" w:hAnsi="宋体" w:cs="宋体" w:eastAsia="宋体" w:hint="default"/>
                <w:sz w:val="18"/>
                <w:szCs w:val="18"/>
              </w:rPr>
              <w:t>公司 本部</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3" w:right="197"/>
              <w:jc w:val="both"/>
              <w:rPr>
                <w:rFonts w:ascii="宋体" w:hAnsi="宋体" w:cs="宋体" w:eastAsia="宋体" w:hint="default"/>
                <w:sz w:val="18"/>
                <w:szCs w:val="18"/>
              </w:rPr>
            </w:pPr>
            <w:r>
              <w:rPr>
                <w:rFonts w:ascii="宋体" w:hAnsi="宋体" w:cs="宋体" w:eastAsia="宋体" w:hint="default"/>
                <w:sz w:val="18"/>
                <w:szCs w:val="18"/>
              </w:rPr>
              <w:t>大连东 软信息 学院</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26" w:right="0"/>
              <w:jc w:val="left"/>
              <w:rPr>
                <w:rFonts w:ascii="宋体" w:hAnsi="宋体" w:cs="宋体" w:eastAsia="宋体" w:hint="default"/>
                <w:sz w:val="18"/>
                <w:szCs w:val="18"/>
              </w:rPr>
            </w:pPr>
            <w:r>
              <w:rPr>
                <w:rFonts w:ascii="宋体"/>
                <w:sz w:val="18"/>
              </w:rPr>
              <w:t>5,000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4"/>
              <w:jc w:val="center"/>
              <w:rPr>
                <w:rFonts w:ascii="宋体" w:hAnsi="宋体" w:cs="宋体" w:eastAsia="宋体" w:hint="default"/>
                <w:sz w:val="18"/>
                <w:szCs w:val="18"/>
              </w:rPr>
            </w:pPr>
            <w:r>
              <w:rPr>
                <w:rFonts w:ascii="宋体"/>
                <w:sz w:val="18"/>
              </w:rPr>
              <w:t>2011.10.19</w:t>
            </w:r>
          </w:p>
        </w:tc>
        <w:tc>
          <w:tcPr>
            <w:tcW w:w="1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80"/>
              <w:jc w:val="center"/>
              <w:rPr>
                <w:rFonts w:ascii="宋体" w:hAnsi="宋体" w:cs="宋体" w:eastAsia="宋体" w:hint="default"/>
                <w:sz w:val="18"/>
                <w:szCs w:val="18"/>
              </w:rPr>
            </w:pPr>
            <w:r>
              <w:rPr>
                <w:rFonts w:ascii="宋体"/>
                <w:sz w:val="18"/>
              </w:rPr>
              <w:t>2012.03.19</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14" w:right="0"/>
              <w:jc w:val="left"/>
              <w:rPr>
                <w:rFonts w:ascii="宋体" w:hAnsi="宋体" w:cs="宋体" w:eastAsia="宋体" w:hint="default"/>
                <w:sz w:val="18"/>
                <w:szCs w:val="18"/>
              </w:rPr>
            </w:pPr>
            <w:r>
              <w:rPr>
                <w:rFonts w:ascii="宋体"/>
                <w:sz w:val="18"/>
              </w:rPr>
              <w:t>2014.3.19</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44" w:right="143"/>
              <w:jc w:val="both"/>
              <w:rPr>
                <w:rFonts w:ascii="宋体" w:hAnsi="宋体" w:cs="宋体" w:eastAsia="宋体" w:hint="default"/>
                <w:sz w:val="18"/>
                <w:szCs w:val="18"/>
              </w:rPr>
            </w:pPr>
            <w:r>
              <w:rPr>
                <w:rFonts w:ascii="宋体" w:hAnsi="宋体" w:cs="宋体" w:eastAsia="宋体" w:hint="default"/>
                <w:sz w:val="18"/>
                <w:szCs w:val="18"/>
              </w:rPr>
              <w:t>连带 责任 担保</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35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4"/>
              <w:jc w:val="both"/>
              <w:rPr>
                <w:rFonts w:ascii="宋体" w:hAnsi="宋体" w:cs="宋体" w:eastAsia="宋体" w:hint="default"/>
                <w:sz w:val="18"/>
                <w:szCs w:val="18"/>
              </w:rPr>
            </w:pPr>
            <w:r>
              <w:rPr>
                <w:rFonts w:ascii="宋体" w:hAnsi="宋体" w:cs="宋体" w:eastAsia="宋体" w:hint="default"/>
                <w:sz w:val="18"/>
                <w:szCs w:val="18"/>
              </w:rPr>
              <w:t>与公 司同 一董 事长</w:t>
            </w:r>
          </w:p>
        </w:tc>
      </w:tr>
      <w:tr>
        <w:trPr>
          <w:trHeight w:val="1259" w:hRule="exact"/>
        </w:trPr>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103" w:right="272"/>
              <w:jc w:val="both"/>
              <w:rPr>
                <w:rFonts w:ascii="宋体" w:hAnsi="宋体" w:cs="宋体" w:eastAsia="宋体" w:hint="default"/>
                <w:sz w:val="18"/>
                <w:szCs w:val="18"/>
              </w:rPr>
            </w:pPr>
            <w:r>
              <w:rPr>
                <w:rFonts w:ascii="宋体" w:hAnsi="宋体" w:cs="宋体" w:eastAsia="宋体" w:hint="default"/>
                <w:sz w:val="18"/>
                <w:szCs w:val="18"/>
              </w:rPr>
              <w:t>东软集团 股份有限 公司</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316" w:lineRule="auto"/>
              <w:ind w:left="196" w:right="196"/>
              <w:jc w:val="left"/>
              <w:rPr>
                <w:rFonts w:ascii="宋体" w:hAnsi="宋体" w:cs="宋体" w:eastAsia="宋体" w:hint="default"/>
                <w:sz w:val="18"/>
                <w:szCs w:val="18"/>
              </w:rPr>
            </w:pPr>
            <w:r>
              <w:rPr>
                <w:rFonts w:ascii="宋体" w:hAnsi="宋体" w:cs="宋体" w:eastAsia="宋体" w:hint="default"/>
                <w:sz w:val="18"/>
                <w:szCs w:val="18"/>
              </w:rPr>
              <w:t>公司 本部</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103" w:right="197"/>
              <w:jc w:val="both"/>
              <w:rPr>
                <w:rFonts w:ascii="宋体" w:hAnsi="宋体" w:cs="宋体" w:eastAsia="宋体" w:hint="default"/>
                <w:sz w:val="18"/>
                <w:szCs w:val="18"/>
              </w:rPr>
            </w:pPr>
            <w:r>
              <w:rPr>
                <w:rFonts w:ascii="宋体" w:hAnsi="宋体" w:cs="宋体" w:eastAsia="宋体" w:hint="default"/>
                <w:sz w:val="18"/>
                <w:szCs w:val="18"/>
              </w:rPr>
              <w:t>大连东 软信息 学院</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26" w:right="0"/>
              <w:jc w:val="left"/>
              <w:rPr>
                <w:rFonts w:ascii="宋体" w:hAnsi="宋体" w:cs="宋体" w:eastAsia="宋体" w:hint="default"/>
                <w:sz w:val="18"/>
                <w:szCs w:val="18"/>
              </w:rPr>
            </w:pPr>
            <w:r>
              <w:rPr>
                <w:rFonts w:ascii="宋体"/>
                <w:sz w:val="18"/>
              </w:rPr>
              <w:t>5,000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4"/>
              <w:jc w:val="center"/>
              <w:rPr>
                <w:rFonts w:ascii="宋体" w:hAnsi="宋体" w:cs="宋体" w:eastAsia="宋体" w:hint="default"/>
                <w:sz w:val="18"/>
                <w:szCs w:val="18"/>
              </w:rPr>
            </w:pPr>
            <w:r>
              <w:rPr>
                <w:rFonts w:ascii="宋体"/>
                <w:sz w:val="18"/>
              </w:rPr>
              <w:t>2011.11.07</w:t>
            </w:r>
          </w:p>
        </w:tc>
        <w:tc>
          <w:tcPr>
            <w:tcW w:w="1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80"/>
              <w:jc w:val="center"/>
              <w:rPr>
                <w:rFonts w:ascii="宋体" w:hAnsi="宋体" w:cs="宋体" w:eastAsia="宋体" w:hint="default"/>
                <w:sz w:val="18"/>
                <w:szCs w:val="18"/>
              </w:rPr>
            </w:pPr>
            <w:r>
              <w:rPr>
                <w:rFonts w:ascii="宋体"/>
                <w:sz w:val="18"/>
              </w:rPr>
              <w:t>2012.11.07</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64" w:right="0"/>
              <w:jc w:val="left"/>
              <w:rPr>
                <w:rFonts w:ascii="宋体" w:hAnsi="宋体" w:cs="宋体" w:eastAsia="宋体" w:hint="default"/>
                <w:sz w:val="18"/>
                <w:szCs w:val="18"/>
              </w:rPr>
            </w:pPr>
            <w:r>
              <w:rPr>
                <w:rFonts w:ascii="宋体"/>
                <w:sz w:val="18"/>
              </w:rPr>
              <w:t>2014.04.20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144" w:right="143"/>
              <w:jc w:val="both"/>
              <w:rPr>
                <w:rFonts w:ascii="宋体" w:hAnsi="宋体" w:cs="宋体" w:eastAsia="宋体" w:hint="default"/>
                <w:sz w:val="18"/>
                <w:szCs w:val="18"/>
              </w:rPr>
            </w:pPr>
            <w:r>
              <w:rPr>
                <w:rFonts w:ascii="宋体" w:hAnsi="宋体" w:cs="宋体" w:eastAsia="宋体" w:hint="default"/>
                <w:sz w:val="18"/>
                <w:szCs w:val="18"/>
              </w:rPr>
              <w:t>连带 责任 担保</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5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2" w:right="104"/>
              <w:jc w:val="both"/>
              <w:rPr>
                <w:rFonts w:ascii="宋体" w:hAnsi="宋体" w:cs="宋体" w:eastAsia="宋体" w:hint="default"/>
                <w:sz w:val="18"/>
                <w:szCs w:val="18"/>
              </w:rPr>
            </w:pPr>
            <w:r>
              <w:rPr>
                <w:rFonts w:ascii="宋体" w:hAnsi="宋体" w:cs="宋体" w:eastAsia="宋体" w:hint="default"/>
                <w:sz w:val="18"/>
                <w:szCs w:val="18"/>
              </w:rPr>
              <w:t>与公 司同 一董 事长</w:t>
            </w:r>
          </w:p>
        </w:tc>
      </w:tr>
      <w:tr>
        <w:trPr>
          <w:trHeight w:val="1258" w:hRule="exact"/>
        </w:trPr>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3" w:right="272"/>
              <w:jc w:val="both"/>
              <w:rPr>
                <w:rFonts w:ascii="宋体" w:hAnsi="宋体" w:cs="宋体" w:eastAsia="宋体" w:hint="default"/>
                <w:sz w:val="18"/>
                <w:szCs w:val="18"/>
              </w:rPr>
            </w:pPr>
            <w:r>
              <w:rPr>
                <w:rFonts w:ascii="宋体" w:hAnsi="宋体" w:cs="宋体" w:eastAsia="宋体" w:hint="default"/>
                <w:sz w:val="18"/>
                <w:szCs w:val="18"/>
              </w:rPr>
              <w:t>东软集团 股份有限 公司</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96" w:right="196"/>
              <w:jc w:val="left"/>
              <w:rPr>
                <w:rFonts w:ascii="宋体" w:hAnsi="宋体" w:cs="宋体" w:eastAsia="宋体" w:hint="default"/>
                <w:sz w:val="18"/>
                <w:szCs w:val="18"/>
              </w:rPr>
            </w:pPr>
            <w:r>
              <w:rPr>
                <w:rFonts w:ascii="宋体" w:hAnsi="宋体" w:cs="宋体" w:eastAsia="宋体" w:hint="default"/>
                <w:sz w:val="18"/>
                <w:szCs w:val="18"/>
              </w:rPr>
              <w:t>公司 本部</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3" w:right="197"/>
              <w:jc w:val="both"/>
              <w:rPr>
                <w:rFonts w:ascii="宋体" w:hAnsi="宋体" w:cs="宋体" w:eastAsia="宋体" w:hint="default"/>
                <w:sz w:val="18"/>
                <w:szCs w:val="18"/>
              </w:rPr>
            </w:pPr>
            <w:r>
              <w:rPr>
                <w:rFonts w:ascii="宋体" w:hAnsi="宋体" w:cs="宋体" w:eastAsia="宋体" w:hint="default"/>
                <w:sz w:val="18"/>
                <w:szCs w:val="18"/>
              </w:rPr>
              <w:t>大连东 软信息 学院</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26" w:right="0"/>
              <w:jc w:val="left"/>
              <w:rPr>
                <w:rFonts w:ascii="宋体" w:hAnsi="宋体" w:cs="宋体" w:eastAsia="宋体" w:hint="default"/>
                <w:sz w:val="18"/>
                <w:szCs w:val="18"/>
              </w:rPr>
            </w:pPr>
            <w:r>
              <w:rPr>
                <w:rFonts w:ascii="宋体"/>
                <w:sz w:val="18"/>
              </w:rPr>
              <w:t>5,000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4"/>
              <w:jc w:val="center"/>
              <w:rPr>
                <w:rFonts w:ascii="宋体" w:hAnsi="宋体" w:cs="宋体" w:eastAsia="宋体" w:hint="default"/>
                <w:sz w:val="18"/>
                <w:szCs w:val="18"/>
              </w:rPr>
            </w:pPr>
            <w:r>
              <w:rPr>
                <w:rFonts w:ascii="宋体"/>
                <w:sz w:val="18"/>
              </w:rPr>
              <w:t>2011.12.15</w:t>
            </w:r>
          </w:p>
        </w:tc>
        <w:tc>
          <w:tcPr>
            <w:tcW w:w="1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80"/>
              <w:jc w:val="center"/>
              <w:rPr>
                <w:rFonts w:ascii="宋体" w:hAnsi="宋体" w:cs="宋体" w:eastAsia="宋体" w:hint="default"/>
                <w:sz w:val="18"/>
                <w:szCs w:val="18"/>
              </w:rPr>
            </w:pPr>
            <w:r>
              <w:rPr>
                <w:rFonts w:ascii="宋体"/>
                <w:sz w:val="18"/>
              </w:rPr>
              <w:t>2012.12.14</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64" w:right="0"/>
              <w:jc w:val="left"/>
              <w:rPr>
                <w:rFonts w:ascii="宋体" w:hAnsi="宋体" w:cs="宋体" w:eastAsia="宋体" w:hint="default"/>
                <w:sz w:val="18"/>
                <w:szCs w:val="18"/>
              </w:rPr>
            </w:pPr>
            <w:r>
              <w:rPr>
                <w:rFonts w:ascii="宋体"/>
                <w:sz w:val="18"/>
              </w:rPr>
              <w:t>2014.12.13</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44" w:right="143"/>
              <w:jc w:val="both"/>
              <w:rPr>
                <w:rFonts w:ascii="宋体" w:hAnsi="宋体" w:cs="宋体" w:eastAsia="宋体" w:hint="default"/>
                <w:sz w:val="18"/>
                <w:szCs w:val="18"/>
              </w:rPr>
            </w:pPr>
            <w:r>
              <w:rPr>
                <w:rFonts w:ascii="宋体" w:hAnsi="宋体" w:cs="宋体" w:eastAsia="宋体" w:hint="default"/>
                <w:sz w:val="18"/>
                <w:szCs w:val="18"/>
              </w:rPr>
              <w:t>连带 责任 担保</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35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2" w:right="104"/>
              <w:jc w:val="both"/>
              <w:rPr>
                <w:rFonts w:ascii="宋体" w:hAnsi="宋体" w:cs="宋体" w:eastAsia="宋体" w:hint="default"/>
                <w:sz w:val="18"/>
                <w:szCs w:val="18"/>
              </w:rPr>
            </w:pPr>
            <w:r>
              <w:rPr>
                <w:rFonts w:ascii="宋体" w:hAnsi="宋体" w:cs="宋体" w:eastAsia="宋体" w:hint="default"/>
                <w:sz w:val="18"/>
                <w:szCs w:val="18"/>
              </w:rPr>
              <w:t>与公 司同 一董 事长</w:t>
            </w:r>
          </w:p>
        </w:tc>
      </w:tr>
      <w:tr>
        <w:trPr>
          <w:trHeight w:val="1258" w:hRule="exact"/>
        </w:trPr>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82"/>
              <w:jc w:val="left"/>
              <w:rPr>
                <w:rFonts w:ascii="宋体" w:hAnsi="宋体" w:cs="宋体" w:eastAsia="宋体" w:hint="default"/>
                <w:sz w:val="18"/>
                <w:szCs w:val="18"/>
              </w:rPr>
            </w:pPr>
            <w:r>
              <w:rPr>
                <w:rFonts w:ascii="宋体"/>
                <w:sz w:val="18"/>
              </w:rPr>
              <w:t>Neusoft Mobile Solutions Oy</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6" w:right="106"/>
              <w:jc w:val="center"/>
              <w:rPr>
                <w:rFonts w:ascii="宋体" w:hAnsi="宋体" w:cs="宋体" w:eastAsia="宋体" w:hint="default"/>
                <w:sz w:val="18"/>
                <w:szCs w:val="18"/>
              </w:rPr>
            </w:pPr>
            <w:r>
              <w:rPr>
                <w:rFonts w:ascii="宋体" w:hAnsi="宋体" w:cs="宋体" w:eastAsia="宋体" w:hint="default"/>
                <w:sz w:val="18"/>
                <w:szCs w:val="18"/>
              </w:rPr>
              <w:t>本公司 间接全 资子公 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7"/>
              <w:jc w:val="left"/>
              <w:rPr>
                <w:rFonts w:ascii="宋体" w:hAnsi="宋体" w:cs="宋体" w:eastAsia="宋体" w:hint="default"/>
                <w:sz w:val="18"/>
                <w:szCs w:val="18"/>
              </w:rPr>
            </w:pPr>
            <w:r>
              <w:rPr>
                <w:rFonts w:ascii="宋体"/>
                <w:sz w:val="18"/>
              </w:rPr>
              <w:t>Euler Hermes Luottov akuutus</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34" w:lineRule="exact"/>
              <w:ind w:left="238" w:right="0"/>
              <w:jc w:val="left"/>
              <w:rPr>
                <w:rFonts w:ascii="宋体" w:hAnsi="宋体" w:cs="宋体" w:eastAsia="宋体" w:hint="default"/>
                <w:sz w:val="18"/>
                <w:szCs w:val="18"/>
              </w:rPr>
            </w:pPr>
            <w:r>
              <w:rPr>
                <w:rFonts w:ascii="宋体"/>
                <w:sz w:val="18"/>
              </w:rPr>
              <w:t>0.45</w:t>
            </w:r>
          </w:p>
          <w:p>
            <w:pPr>
              <w:pStyle w:val="TableParagraph"/>
              <w:spacing w:line="240" w:lineRule="auto"/>
              <w:ind w:left="418" w:right="101" w:hanging="180"/>
              <w:jc w:val="left"/>
              <w:rPr>
                <w:rFonts w:ascii="宋体" w:hAnsi="宋体" w:cs="宋体" w:eastAsia="宋体" w:hint="default"/>
                <w:sz w:val="18"/>
                <w:szCs w:val="18"/>
              </w:rPr>
            </w:pPr>
            <w:r>
              <w:rPr>
                <w:rFonts w:ascii="宋体" w:hAnsi="宋体" w:cs="宋体" w:eastAsia="宋体" w:hint="default"/>
                <w:sz w:val="18"/>
                <w:szCs w:val="18"/>
              </w:rPr>
              <w:t>万欧 元</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89"/>
              <w:jc w:val="center"/>
              <w:rPr>
                <w:rFonts w:ascii="宋体" w:hAnsi="宋体" w:cs="宋体" w:eastAsia="宋体" w:hint="default"/>
                <w:sz w:val="18"/>
                <w:szCs w:val="18"/>
              </w:rPr>
            </w:pPr>
            <w:r>
              <w:rPr>
                <w:rFonts w:ascii="宋体" w:hAnsi="宋体" w:cs="宋体" w:eastAsia="宋体" w:hint="default"/>
                <w:sz w:val="18"/>
                <w:szCs w:val="18"/>
              </w:rPr>
              <w:t>—</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14" w:right="0"/>
              <w:jc w:val="left"/>
              <w:rPr>
                <w:rFonts w:ascii="宋体" w:hAnsi="宋体" w:cs="宋体" w:eastAsia="宋体" w:hint="default"/>
                <w:sz w:val="18"/>
                <w:szCs w:val="18"/>
              </w:rPr>
            </w:pPr>
            <w:r>
              <w:rPr>
                <w:rFonts w:ascii="宋体"/>
                <w:sz w:val="18"/>
              </w:rPr>
              <w:t>2012.03.15</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44" w:right="143"/>
              <w:jc w:val="both"/>
              <w:rPr>
                <w:rFonts w:ascii="宋体" w:hAnsi="宋体" w:cs="宋体" w:eastAsia="宋体" w:hint="default"/>
                <w:sz w:val="18"/>
                <w:szCs w:val="18"/>
              </w:rPr>
            </w:pPr>
            <w:r>
              <w:rPr>
                <w:rFonts w:ascii="宋体" w:hAnsi="宋体" w:cs="宋体" w:eastAsia="宋体" w:hint="default"/>
                <w:sz w:val="18"/>
                <w:szCs w:val="18"/>
              </w:rPr>
              <w:t>连带 责任 担保</w:t>
            </w:r>
          </w:p>
        </w:tc>
        <w:tc>
          <w:tcPr>
            <w:tcW w:w="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sz w:val="18"/>
              </w:rPr>
              <w:t>0</w:t>
            </w:r>
          </w:p>
        </w:tc>
        <w:tc>
          <w:tcPr>
            <w:tcW w:w="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35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323" w:hRule="exact"/>
        </w:trPr>
        <w:tc>
          <w:tcPr>
            <w:tcW w:w="7390" w:type="dxa"/>
            <w:gridSpan w:val="8"/>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报告期内担保发生额合计（不包括对子公司的担保）</w:t>
            </w:r>
          </w:p>
        </w:tc>
        <w:tc>
          <w:tcPr>
            <w:tcW w:w="3612" w:type="dxa"/>
            <w:gridSpan w:val="6"/>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1"/>
              <w:jc w:val="right"/>
              <w:rPr>
                <w:rFonts w:ascii="宋体" w:hAnsi="宋体" w:cs="宋体" w:eastAsia="宋体" w:hint="default"/>
                <w:sz w:val="21"/>
                <w:szCs w:val="21"/>
              </w:rPr>
            </w:pPr>
            <w:r>
              <w:rPr>
                <w:rFonts w:ascii="宋体"/>
                <w:sz w:val="21"/>
              </w:rPr>
              <w:t>-1,376</w:t>
            </w:r>
          </w:p>
        </w:tc>
      </w:tr>
      <w:tr>
        <w:trPr>
          <w:trHeight w:val="322" w:hRule="exact"/>
        </w:trPr>
        <w:tc>
          <w:tcPr>
            <w:tcW w:w="7390" w:type="dxa"/>
            <w:gridSpan w:val="8"/>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报告期末担保余额合计（A</w:t>
            </w:r>
            <w:r>
              <w:rPr>
                <w:rFonts w:ascii="宋体" w:hAnsi="宋体" w:cs="宋体" w:eastAsia="宋体" w:hint="default"/>
                <w:spacing w:val="-105"/>
                <w:sz w:val="21"/>
                <w:szCs w:val="21"/>
              </w:rPr>
              <w:t>）</w:t>
            </w:r>
            <w:r>
              <w:rPr>
                <w:rFonts w:ascii="宋体" w:hAnsi="宋体" w:cs="宋体" w:eastAsia="宋体" w:hint="default"/>
                <w:sz w:val="21"/>
                <w:szCs w:val="21"/>
              </w:rPr>
              <w:t>（不</w:t>
            </w:r>
            <w:r>
              <w:rPr>
                <w:rFonts w:ascii="宋体" w:hAnsi="宋体" w:cs="宋体" w:eastAsia="宋体" w:hint="default"/>
                <w:spacing w:val="-2"/>
                <w:sz w:val="21"/>
                <w:szCs w:val="21"/>
              </w:rPr>
              <w:t>包</w:t>
            </w:r>
            <w:r>
              <w:rPr>
                <w:rFonts w:ascii="宋体" w:hAnsi="宋体" w:cs="宋体" w:eastAsia="宋体" w:hint="default"/>
                <w:sz w:val="21"/>
                <w:szCs w:val="21"/>
              </w:rPr>
              <w:t>括对子公司的担保）</w:t>
            </w:r>
          </w:p>
        </w:tc>
        <w:tc>
          <w:tcPr>
            <w:tcW w:w="3612" w:type="dxa"/>
            <w:gridSpan w:val="6"/>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z w:val="21"/>
              </w:rPr>
              <w:t>15,004</w:t>
            </w:r>
          </w:p>
        </w:tc>
      </w:tr>
      <w:tr>
        <w:trPr>
          <w:trHeight w:val="322" w:hRule="exact"/>
        </w:trPr>
        <w:tc>
          <w:tcPr>
            <w:tcW w:w="11002" w:type="dxa"/>
            <w:gridSpan w:val="14"/>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b/>
                <w:bCs/>
                <w:sz w:val="21"/>
                <w:szCs w:val="21"/>
              </w:rPr>
              <w:t>公司对控股子公司的担保情况</w:t>
            </w:r>
            <w:r>
              <w:rPr>
                <w:rFonts w:ascii="宋体" w:hAnsi="宋体" w:cs="宋体" w:eastAsia="宋体" w:hint="default"/>
                <w:sz w:val="21"/>
                <w:szCs w:val="21"/>
              </w:rPr>
            </w:r>
          </w:p>
        </w:tc>
      </w:tr>
      <w:tr>
        <w:trPr>
          <w:trHeight w:val="323" w:hRule="exact"/>
        </w:trPr>
        <w:tc>
          <w:tcPr>
            <w:tcW w:w="7390" w:type="dxa"/>
            <w:gridSpan w:val="8"/>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报告期内对子公司担保发生额合计</w:t>
            </w:r>
          </w:p>
        </w:tc>
        <w:tc>
          <w:tcPr>
            <w:tcW w:w="3612" w:type="dxa"/>
            <w:gridSpan w:val="6"/>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0"/>
              <w:jc w:val="right"/>
              <w:rPr>
                <w:rFonts w:ascii="宋体" w:hAnsi="宋体" w:cs="宋体" w:eastAsia="宋体" w:hint="default"/>
                <w:sz w:val="21"/>
                <w:szCs w:val="21"/>
              </w:rPr>
            </w:pPr>
            <w:r>
              <w:rPr>
                <w:rFonts w:ascii="宋体"/>
                <w:sz w:val="21"/>
              </w:rPr>
              <w:t>0</w:t>
            </w:r>
          </w:p>
        </w:tc>
      </w:tr>
      <w:tr>
        <w:trPr>
          <w:trHeight w:val="322" w:hRule="exact"/>
        </w:trPr>
        <w:tc>
          <w:tcPr>
            <w:tcW w:w="7390" w:type="dxa"/>
            <w:gridSpan w:val="8"/>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报告期末对子公司担保余额合计（B）</w:t>
            </w:r>
          </w:p>
        </w:tc>
        <w:tc>
          <w:tcPr>
            <w:tcW w:w="3612" w:type="dxa"/>
            <w:gridSpan w:val="6"/>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z w:val="21"/>
              </w:rPr>
              <w:t>0</w:t>
            </w:r>
          </w:p>
        </w:tc>
      </w:tr>
      <w:tr>
        <w:trPr>
          <w:trHeight w:val="322" w:hRule="exact"/>
        </w:trPr>
        <w:tc>
          <w:tcPr>
            <w:tcW w:w="11002" w:type="dxa"/>
            <w:gridSpan w:val="14"/>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283" w:right="0"/>
              <w:jc w:val="left"/>
              <w:rPr>
                <w:rFonts w:ascii="宋体" w:hAnsi="宋体" w:cs="宋体" w:eastAsia="宋体" w:hint="default"/>
                <w:sz w:val="21"/>
                <w:szCs w:val="21"/>
              </w:rPr>
            </w:pPr>
            <w:r>
              <w:rPr>
                <w:rFonts w:ascii="宋体" w:hAnsi="宋体" w:cs="宋体" w:eastAsia="宋体" w:hint="default"/>
                <w:b/>
                <w:bCs/>
                <w:sz w:val="21"/>
                <w:szCs w:val="21"/>
              </w:rPr>
              <w:t>公司担保总额情况（包括对控股子公司的担保）</w:t>
            </w:r>
            <w:r>
              <w:rPr>
                <w:rFonts w:ascii="宋体" w:hAnsi="宋体" w:cs="宋体" w:eastAsia="宋体" w:hint="default"/>
                <w:sz w:val="21"/>
                <w:szCs w:val="21"/>
              </w:rPr>
            </w:r>
          </w:p>
        </w:tc>
      </w:tr>
      <w:tr>
        <w:trPr>
          <w:trHeight w:val="323" w:hRule="exact"/>
        </w:trPr>
        <w:tc>
          <w:tcPr>
            <w:tcW w:w="7390" w:type="dxa"/>
            <w:gridSpan w:val="8"/>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担保总额（A+B）</w:t>
            </w:r>
          </w:p>
        </w:tc>
        <w:tc>
          <w:tcPr>
            <w:tcW w:w="3612" w:type="dxa"/>
            <w:gridSpan w:val="6"/>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1"/>
              <w:jc w:val="right"/>
              <w:rPr>
                <w:rFonts w:ascii="宋体" w:hAnsi="宋体" w:cs="宋体" w:eastAsia="宋体" w:hint="default"/>
                <w:sz w:val="21"/>
                <w:szCs w:val="21"/>
              </w:rPr>
            </w:pPr>
            <w:r>
              <w:rPr>
                <w:rFonts w:ascii="宋体"/>
                <w:spacing w:val="-1"/>
                <w:sz w:val="21"/>
              </w:rPr>
              <w:t>15,004</w:t>
            </w:r>
          </w:p>
        </w:tc>
      </w:tr>
      <w:tr>
        <w:trPr>
          <w:trHeight w:val="322" w:hRule="exact"/>
        </w:trPr>
        <w:tc>
          <w:tcPr>
            <w:tcW w:w="7390" w:type="dxa"/>
            <w:gridSpan w:val="8"/>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担保总额占公司净资产的比例（%）</w:t>
            </w:r>
          </w:p>
        </w:tc>
        <w:tc>
          <w:tcPr>
            <w:tcW w:w="3612" w:type="dxa"/>
            <w:gridSpan w:val="6"/>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3.21</w:t>
            </w:r>
          </w:p>
        </w:tc>
      </w:tr>
      <w:tr>
        <w:trPr>
          <w:trHeight w:val="322" w:hRule="exact"/>
        </w:trPr>
        <w:tc>
          <w:tcPr>
            <w:tcW w:w="11002" w:type="dxa"/>
            <w:gridSpan w:val="14"/>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p>
        </w:tc>
      </w:tr>
      <w:tr>
        <w:trPr>
          <w:trHeight w:val="323" w:hRule="exact"/>
        </w:trPr>
        <w:tc>
          <w:tcPr>
            <w:tcW w:w="7390" w:type="dxa"/>
            <w:gridSpan w:val="8"/>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为股东、实际控制人及其关联方提供担保的金额（C）</w:t>
            </w:r>
          </w:p>
        </w:tc>
        <w:tc>
          <w:tcPr>
            <w:tcW w:w="3612" w:type="dxa"/>
            <w:gridSpan w:val="6"/>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0"/>
              <w:jc w:val="right"/>
              <w:rPr>
                <w:rFonts w:ascii="宋体" w:hAnsi="宋体" w:cs="宋体" w:eastAsia="宋体" w:hint="default"/>
                <w:sz w:val="21"/>
                <w:szCs w:val="21"/>
              </w:rPr>
            </w:pPr>
            <w:r>
              <w:rPr>
                <w:rFonts w:ascii="宋体"/>
                <w:sz w:val="21"/>
              </w:rPr>
              <w:t>0</w:t>
            </w:r>
          </w:p>
        </w:tc>
      </w:tr>
      <w:tr>
        <w:trPr>
          <w:trHeight w:val="322" w:hRule="exact"/>
        </w:trPr>
        <w:tc>
          <w:tcPr>
            <w:tcW w:w="7390" w:type="dxa"/>
            <w:gridSpan w:val="8"/>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直接或间接为资产负债率超过</w:t>
            </w:r>
            <w:r>
              <w:rPr>
                <w:rFonts w:ascii="宋体" w:hAnsi="宋体" w:cs="宋体" w:eastAsia="宋体" w:hint="default"/>
                <w:spacing w:val="-55"/>
                <w:sz w:val="21"/>
                <w:szCs w:val="21"/>
              </w:rPr>
              <w:t> </w:t>
            </w:r>
            <w:r>
              <w:rPr>
                <w:rFonts w:ascii="宋体" w:hAnsi="宋体" w:cs="宋体" w:eastAsia="宋体" w:hint="default"/>
                <w:sz w:val="21"/>
                <w:szCs w:val="21"/>
              </w:rPr>
              <w:t>70％的被担保对象提供的债务担保金额（D）</w:t>
            </w:r>
          </w:p>
        </w:tc>
        <w:tc>
          <w:tcPr>
            <w:tcW w:w="3612" w:type="dxa"/>
            <w:gridSpan w:val="6"/>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99"/>
              <w:jc w:val="right"/>
              <w:rPr>
                <w:rFonts w:ascii="宋体" w:hAnsi="宋体" w:cs="宋体" w:eastAsia="宋体" w:hint="default"/>
                <w:sz w:val="21"/>
                <w:szCs w:val="21"/>
              </w:rPr>
            </w:pPr>
            <w:r>
              <w:rPr>
                <w:rFonts w:ascii="宋体"/>
                <w:sz w:val="21"/>
              </w:rPr>
              <w:t>0</w:t>
            </w:r>
          </w:p>
        </w:tc>
      </w:tr>
      <w:tr>
        <w:trPr>
          <w:trHeight w:val="322" w:hRule="exact"/>
        </w:trPr>
        <w:tc>
          <w:tcPr>
            <w:tcW w:w="7390" w:type="dxa"/>
            <w:gridSpan w:val="8"/>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担保总额超过净资产</w:t>
            </w:r>
            <w:r>
              <w:rPr>
                <w:rFonts w:ascii="宋体" w:hAnsi="宋体" w:cs="宋体" w:eastAsia="宋体" w:hint="default"/>
                <w:spacing w:val="-53"/>
                <w:sz w:val="21"/>
                <w:szCs w:val="21"/>
              </w:rPr>
              <w:t> </w:t>
            </w:r>
            <w:r>
              <w:rPr>
                <w:rFonts w:ascii="宋体" w:hAnsi="宋体" w:cs="宋体" w:eastAsia="宋体" w:hint="default"/>
                <w:sz w:val="21"/>
                <w:szCs w:val="21"/>
              </w:rPr>
              <w:t>50％部分的金额（E）</w:t>
            </w:r>
          </w:p>
        </w:tc>
        <w:tc>
          <w:tcPr>
            <w:tcW w:w="3612" w:type="dxa"/>
            <w:gridSpan w:val="6"/>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z w:val="21"/>
              </w:rPr>
              <w:t>0</w:t>
            </w:r>
          </w:p>
        </w:tc>
      </w:tr>
      <w:tr>
        <w:trPr>
          <w:trHeight w:val="323" w:hRule="exact"/>
        </w:trPr>
        <w:tc>
          <w:tcPr>
            <w:tcW w:w="7390" w:type="dxa"/>
            <w:gridSpan w:val="8"/>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上述三项担保金额合计（C+D+E）</w:t>
            </w:r>
          </w:p>
        </w:tc>
        <w:tc>
          <w:tcPr>
            <w:tcW w:w="3612" w:type="dxa"/>
            <w:gridSpan w:val="6"/>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100"/>
              <w:jc w:val="right"/>
              <w:rPr>
                <w:rFonts w:ascii="宋体" w:hAnsi="宋体" w:cs="宋体" w:eastAsia="宋体" w:hint="default"/>
                <w:sz w:val="21"/>
                <w:szCs w:val="21"/>
              </w:rPr>
            </w:pPr>
            <w:r>
              <w:rPr>
                <w:rFonts w:ascii="宋体"/>
                <w:sz w:val="21"/>
              </w:rPr>
              <w:t>0</w:t>
            </w:r>
          </w:p>
        </w:tc>
      </w:tr>
    </w:tbl>
    <w:p>
      <w:pPr>
        <w:pStyle w:val="Heading5"/>
        <w:spacing w:line="237" w:lineRule="auto" w:before="88"/>
        <w:ind w:left="1078" w:right="1069"/>
        <w:jc w:val="both"/>
      </w:pPr>
      <w:r>
        <w:rPr/>
        <w:t>（1）以上第一、二、三项担保事项，为公司于</w:t>
      </w:r>
      <w:r>
        <w:rPr>
          <w:spacing w:val="-52"/>
        </w:rPr>
        <w:t> </w:t>
      </w:r>
      <w:r>
        <w:rPr/>
        <w:t>2010</w:t>
      </w:r>
      <w:r>
        <w:rPr>
          <w:spacing w:val="-52"/>
        </w:rPr>
        <w:t> </w:t>
      </w:r>
      <w:r>
        <w:rPr/>
        <w:t>年</w:t>
      </w:r>
      <w:r>
        <w:rPr>
          <w:spacing w:val="-51"/>
        </w:rPr>
        <w:t> </w:t>
      </w:r>
      <w:r>
        <w:rPr>
          <w:spacing w:val="45"/>
        </w:rPr>
        <w:t>6月3</w:t>
      </w:r>
      <w:r>
        <w:rPr>
          <w:spacing w:val="-52"/>
        </w:rPr>
        <w:t> </w:t>
      </w:r>
      <w:r>
        <w:rPr/>
        <w:t>日召开的</w:t>
      </w:r>
      <w:r>
        <w:rPr>
          <w:spacing w:val="-52"/>
        </w:rPr>
        <w:t> </w:t>
      </w:r>
      <w:r>
        <w:rPr/>
        <w:t>2009</w:t>
      </w:r>
      <w:r>
        <w:rPr>
          <w:spacing w:val="-51"/>
        </w:rPr>
        <w:t> </w:t>
      </w:r>
      <w:r>
        <w:rPr/>
        <w:t>年度股东</w:t>
      </w:r>
      <w:r>
        <w:rPr/>
        <w:t> </w:t>
      </w:r>
      <w:r>
        <w:rPr>
          <w:spacing w:val="-2"/>
        </w:rPr>
        <w:t>大会审议通过的《关于为大连东软信息学院提供银行借款担保额度的议案》，股东大会</w:t>
      </w:r>
      <w:r>
        <w:rPr>
          <w:spacing w:val="-93"/>
        </w:rPr>
        <w:t> </w:t>
      </w:r>
      <w:r>
        <w:rPr>
          <w:spacing w:val="-93"/>
        </w:rPr>
      </w:r>
      <w:r>
        <w:rPr/>
        <w:t>同意公司为大连东软信息学院提供银行借款担保的总额度为 16,000</w:t>
      </w:r>
      <w:r>
        <w:rPr>
          <w:spacing w:val="-52"/>
        </w:rPr>
        <w:t> </w:t>
      </w:r>
      <w:r>
        <w:rPr/>
        <w:t>万元人民币，该额</w:t>
      </w:r>
    </w:p>
    <w:p>
      <w:pPr>
        <w:spacing w:line="312" w:lineRule="exact" w:before="0"/>
        <w:ind w:left="1078" w:right="0" w:firstLine="0"/>
        <w:jc w:val="both"/>
        <w:rPr>
          <w:rFonts w:ascii="宋体" w:hAnsi="宋体" w:cs="宋体" w:eastAsia="宋体" w:hint="default"/>
          <w:sz w:val="24"/>
          <w:szCs w:val="24"/>
        </w:rPr>
      </w:pPr>
      <w:r>
        <w:rPr>
          <w:rFonts w:ascii="宋体" w:hAnsi="宋体" w:cs="宋体" w:eastAsia="宋体" w:hint="default"/>
          <w:sz w:val="24"/>
          <w:szCs w:val="24"/>
        </w:rPr>
        <w:t>度期限为二年，即从</w:t>
      </w:r>
      <w:r>
        <w:rPr>
          <w:rFonts w:ascii="宋体" w:hAnsi="宋体" w:cs="宋体" w:eastAsia="宋体" w:hint="default"/>
          <w:spacing w:val="-60"/>
          <w:sz w:val="24"/>
          <w:szCs w:val="24"/>
        </w:rPr>
        <w:t> </w: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年度股东大会通过之日起至</w:t>
      </w:r>
      <w:r>
        <w:rPr>
          <w:rFonts w:ascii="宋体" w:hAnsi="宋体" w:cs="宋体" w:eastAsia="宋体" w:hint="default"/>
          <w:spacing w:val="-60"/>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年度股东大会召开之日止。</w:t>
      </w:r>
    </w:p>
    <w:p>
      <w:pPr>
        <w:spacing w:line="240" w:lineRule="auto" w:before="4"/>
        <w:rPr>
          <w:rFonts w:ascii="宋体" w:hAnsi="宋体" w:cs="宋体" w:eastAsia="宋体" w:hint="default"/>
          <w:sz w:val="23"/>
          <w:szCs w:val="23"/>
        </w:rPr>
      </w:pPr>
    </w:p>
    <w:p>
      <w:pPr>
        <w:pStyle w:val="BodyText"/>
        <w:spacing w:line="240" w:lineRule="auto"/>
        <w:ind w:left="1078" w:right="3706"/>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type w:val="continuous"/>
          <w:pgSz w:w="11910" w:h="16840"/>
          <w:pgMar w:top="1600" w:bottom="280" w:left="340" w:right="340"/>
        </w:sectPr>
      </w:pPr>
    </w:p>
    <w:p>
      <w:pPr>
        <w:spacing w:line="240" w:lineRule="auto" w:before="6"/>
        <w:rPr>
          <w:rFonts w:ascii="黑体" w:hAnsi="黑体" w:cs="黑体" w:eastAsia="黑体" w:hint="default"/>
          <w:sz w:val="15"/>
          <w:szCs w:val="15"/>
        </w:rPr>
      </w:pPr>
    </w:p>
    <w:p>
      <w:pPr>
        <w:pStyle w:val="Heading5"/>
        <w:spacing w:line="312" w:lineRule="exact" w:before="56"/>
        <w:ind w:right="165"/>
        <w:jc w:val="both"/>
      </w:pPr>
      <w:r>
        <w:rPr/>
        <w:t>（2）以上第四项担保事项，详见公司</w:t>
      </w:r>
      <w:r>
        <w:rPr>
          <w:spacing w:val="-60"/>
        </w:rPr>
        <w:t> </w:t>
      </w:r>
      <w:r>
        <w:rPr/>
        <w:t>2011</w:t>
      </w:r>
      <w:r>
        <w:rPr>
          <w:spacing w:val="-60"/>
        </w:rPr>
        <w:t> </w:t>
      </w:r>
      <w:r>
        <w:rPr/>
        <w:t>年半年度报告“重要事项”中的相关说明。</w:t>
      </w:r>
      <w:r>
        <w:rPr/>
        <w:t> 报告期内，</w:t>
      </w:r>
      <w:r>
        <w:rPr>
          <w:rFonts w:ascii="Times New Roman" w:hAnsi="Times New Roman" w:cs="Times New Roman" w:eastAsia="Times New Roman" w:hint="default"/>
        </w:rPr>
        <w:t>Neusoft</w:t>
      </w:r>
      <w:r>
        <w:rPr>
          <w:rFonts w:ascii="Times New Roman" w:hAnsi="Times New Roman" w:cs="Times New Roman" w:eastAsia="Times New Roman" w:hint="default"/>
          <w:spacing w:val="-1"/>
        </w:rPr>
        <w:t> </w:t>
      </w:r>
      <w:r>
        <w:rPr>
          <w:rFonts w:ascii="Times New Roman" w:hAnsi="Times New Roman" w:cs="Times New Roman" w:eastAsia="Times New Roman" w:hint="default"/>
        </w:rPr>
        <w:t>Mobile</w:t>
      </w:r>
      <w:r>
        <w:rPr>
          <w:rFonts w:ascii="Times New Roman" w:hAnsi="Times New Roman" w:cs="Times New Roman" w:eastAsia="Times New Roman" w:hint="default"/>
          <w:spacing w:val="-1"/>
        </w:rPr>
        <w:t> </w:t>
      </w:r>
      <w:r>
        <w:rPr>
          <w:rFonts w:ascii="Times New Roman" w:hAnsi="Times New Roman" w:cs="Times New Roman" w:eastAsia="Times New Roman" w:hint="default"/>
        </w:rPr>
        <w:t>Solutions</w:t>
      </w:r>
      <w:r>
        <w:rPr>
          <w:rFonts w:ascii="Times New Roman" w:hAnsi="Times New Roman" w:cs="Times New Roman" w:eastAsia="Times New Roman" w:hint="default"/>
          <w:spacing w:val="-1"/>
        </w:rPr>
        <w:t> </w:t>
      </w:r>
      <w:r>
        <w:rPr>
          <w:rFonts w:ascii="Times New Roman" w:hAnsi="Times New Roman" w:cs="Times New Roman" w:eastAsia="Times New Roman" w:hint="default"/>
        </w:rPr>
        <w:t>Oy</w:t>
      </w:r>
      <w:r>
        <w:rPr>
          <w:rFonts w:ascii="Times New Roman" w:hAnsi="Times New Roman" w:cs="Times New Roman" w:eastAsia="Times New Roman" w:hint="default"/>
          <w:spacing w:val="-1"/>
        </w:rPr>
        <w:t> </w:t>
      </w:r>
      <w:r>
        <w:rPr/>
        <w:t>履行反担保义务金额</w:t>
      </w:r>
      <w:r>
        <w:rPr>
          <w:spacing w:val="-61"/>
        </w:rPr>
        <w:t> </w:t>
      </w:r>
      <w:r>
        <w:rPr/>
        <w:t>1.98</w:t>
      </w:r>
      <w:r>
        <w:rPr>
          <w:spacing w:val="-61"/>
        </w:rPr>
        <w:t> </w:t>
      </w:r>
      <w:r>
        <w:rPr/>
        <w:t>万欧元。</w:t>
      </w:r>
    </w:p>
    <w:p>
      <w:pPr>
        <w:spacing w:line="312" w:lineRule="exact" w:before="94"/>
        <w:ind w:left="118" w:right="0" w:firstLine="0"/>
        <w:jc w:val="both"/>
        <w:rPr>
          <w:rFonts w:ascii="宋体" w:hAnsi="宋体" w:cs="宋体" w:eastAsia="宋体" w:hint="default"/>
          <w:sz w:val="24"/>
          <w:szCs w:val="24"/>
        </w:rPr>
      </w:pPr>
      <w:r>
        <w:rPr>
          <w:rFonts w:ascii="宋体" w:hAnsi="宋体" w:cs="宋体" w:eastAsia="宋体" w:hint="default"/>
          <w:sz w:val="24"/>
          <w:szCs w:val="24"/>
        </w:rPr>
        <w:t>3、其他事项</w:t>
      </w:r>
    </w:p>
    <w:p>
      <w:pPr>
        <w:spacing w:line="312" w:lineRule="exact" w:before="29"/>
        <w:ind w:left="118" w:right="86" w:firstLine="480"/>
        <w:jc w:val="left"/>
        <w:rPr>
          <w:rFonts w:ascii="宋体" w:hAnsi="宋体" w:cs="宋体" w:eastAsia="宋体" w:hint="default"/>
          <w:sz w:val="24"/>
          <w:szCs w:val="24"/>
        </w:rPr>
      </w:pPr>
      <w:r>
        <w:rPr>
          <w:rFonts w:ascii="宋体" w:hAnsi="宋体" w:cs="宋体" w:eastAsia="宋体" w:hint="default"/>
          <w:spacing w:val="-7"/>
          <w:sz w:val="24"/>
          <w:szCs w:val="24"/>
        </w:rPr>
        <w:t>关于本公司全资子公司—东软（欧洲）有限公司（以下简称“东软欧洲”）与</w:t>
      </w:r>
      <w:r>
        <w:rPr>
          <w:rFonts w:ascii="宋体" w:hAnsi="宋体" w:cs="宋体" w:eastAsia="宋体" w:hint="default"/>
          <w:spacing w:val="-58"/>
          <w:sz w:val="24"/>
          <w:szCs w:val="24"/>
        </w:rPr>
        <w:t> </w:t>
      </w:r>
      <w:r>
        <w:rPr>
          <w:rFonts w:ascii="宋体" w:hAnsi="宋体" w:cs="宋体" w:eastAsia="宋体" w:hint="default"/>
          <w:spacing w:val="-1"/>
          <w:sz w:val="24"/>
          <w:szCs w:val="24"/>
        </w:rPr>
        <w:t>Sesca</w:t>
      </w:r>
      <w:r>
        <w:rPr>
          <w:rFonts w:ascii="宋体" w:hAnsi="宋体" w:cs="宋体" w:eastAsia="宋体" w:hint="default"/>
          <w:spacing w:val="-1"/>
          <w:sz w:val="24"/>
          <w:szCs w:val="24"/>
        </w:rPr>
        <w:t> </w:t>
      </w:r>
      <w:r>
        <w:rPr>
          <w:rFonts w:ascii="宋体" w:hAnsi="宋体" w:cs="宋体" w:eastAsia="宋体" w:hint="default"/>
          <w:sz w:val="24"/>
          <w:szCs w:val="24"/>
        </w:rPr>
        <w:t>Group</w:t>
      </w:r>
      <w:r>
        <w:rPr>
          <w:rFonts w:ascii="宋体" w:hAnsi="宋体" w:cs="宋体" w:eastAsia="宋体" w:hint="default"/>
          <w:spacing w:val="-38"/>
          <w:sz w:val="24"/>
          <w:szCs w:val="24"/>
        </w:rPr>
        <w:t> </w:t>
      </w:r>
      <w:r>
        <w:rPr>
          <w:rFonts w:ascii="宋体" w:hAnsi="宋体" w:cs="宋体" w:eastAsia="宋体" w:hint="default"/>
          <w:spacing w:val="-4"/>
          <w:sz w:val="24"/>
          <w:szCs w:val="24"/>
        </w:rPr>
        <w:t>Oy（以下简称“SESCA”）破产财产管理人在股份购买协议、股份交易对价款的争</w:t>
      </w:r>
      <w:r>
        <w:rPr>
          <w:rFonts w:ascii="宋体" w:hAnsi="宋体" w:cs="宋体" w:eastAsia="宋体" w:hint="default"/>
          <w:spacing w:val="-98"/>
          <w:sz w:val="24"/>
          <w:szCs w:val="24"/>
        </w:rPr>
        <w:t> </w:t>
      </w:r>
      <w:r>
        <w:rPr>
          <w:rFonts w:ascii="宋体" w:hAnsi="宋体" w:cs="宋体" w:eastAsia="宋体" w:hint="default"/>
          <w:spacing w:val="-98"/>
          <w:sz w:val="24"/>
          <w:szCs w:val="24"/>
        </w:rPr>
      </w:r>
      <w:r>
        <w:rPr>
          <w:rFonts w:ascii="宋体" w:hAnsi="宋体" w:cs="宋体" w:eastAsia="宋体" w:hint="default"/>
          <w:sz w:val="24"/>
          <w:szCs w:val="24"/>
        </w:rPr>
        <w:t>议事项（详见本公司</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年度报告、2011</w:t>
      </w:r>
      <w:r>
        <w:rPr>
          <w:rFonts w:ascii="宋体" w:hAnsi="宋体" w:cs="宋体" w:eastAsia="宋体" w:hint="default"/>
          <w:spacing w:val="-60"/>
          <w:sz w:val="24"/>
          <w:szCs w:val="24"/>
        </w:rPr>
        <w:t> </w:t>
      </w:r>
      <w:r>
        <w:rPr>
          <w:rFonts w:ascii="宋体" w:hAnsi="宋体" w:cs="宋体" w:eastAsia="宋体" w:hint="default"/>
          <w:spacing w:val="-6"/>
          <w:sz w:val="24"/>
          <w:szCs w:val="24"/>
        </w:rPr>
        <w:t>年半年度报告“重要事项”中的相关说明），</w:t>
      </w:r>
      <w:r>
        <w:rPr>
          <w:rFonts w:ascii="宋体" w:hAnsi="宋体" w:cs="宋体" w:eastAsia="宋体" w:hint="default"/>
          <w:sz w:val="24"/>
          <w:szCs w:val="24"/>
        </w:rPr>
        <w:t> </w:t>
      </w:r>
      <w:r>
        <w:rPr>
          <w:rFonts w:ascii="宋体" w:hAnsi="宋体" w:cs="宋体" w:eastAsia="宋体" w:hint="default"/>
          <w:spacing w:val="13"/>
          <w:sz w:val="24"/>
          <w:szCs w:val="24"/>
        </w:rPr>
        <w:t>2011年5月</w:t>
      </w:r>
      <w:r>
        <w:rPr>
          <w:rFonts w:ascii="宋体" w:hAnsi="宋体" w:cs="宋体" w:eastAsia="宋体" w:hint="default"/>
          <w:spacing w:val="-85"/>
          <w:sz w:val="24"/>
          <w:szCs w:val="24"/>
        </w:rPr>
        <w:t> </w:t>
      </w:r>
      <w:r>
        <w:rPr>
          <w:rFonts w:ascii="宋体" w:hAnsi="宋体" w:cs="宋体" w:eastAsia="宋体" w:hint="default"/>
          <w:sz w:val="24"/>
          <w:szCs w:val="24"/>
        </w:rPr>
        <w:t>20</w:t>
      </w:r>
      <w:r>
        <w:rPr>
          <w:rFonts w:ascii="宋体" w:hAnsi="宋体" w:cs="宋体" w:eastAsia="宋体" w:hint="default"/>
          <w:spacing w:val="-85"/>
          <w:sz w:val="24"/>
          <w:szCs w:val="24"/>
        </w:rPr>
        <w:t> </w:t>
      </w:r>
      <w:r>
        <w:rPr>
          <w:rFonts w:ascii="宋体" w:hAnsi="宋体" w:cs="宋体" w:eastAsia="宋体" w:hint="default"/>
          <w:spacing w:val="-9"/>
          <w:sz w:val="24"/>
          <w:szCs w:val="24"/>
        </w:rPr>
        <w:t>日，东软欧洲作为申请人向芬兰总商会仲裁院申请仲裁，被申请人为</w:t>
      </w:r>
      <w:r>
        <w:rPr>
          <w:rFonts w:ascii="宋体" w:hAnsi="宋体" w:cs="宋体" w:eastAsia="宋体" w:hint="default"/>
          <w:spacing w:val="-85"/>
          <w:sz w:val="24"/>
          <w:szCs w:val="24"/>
        </w:rPr>
        <w:t> </w:t>
      </w:r>
      <w:r>
        <w:rPr>
          <w:rFonts w:ascii="宋体" w:hAnsi="宋体" w:cs="宋体" w:eastAsia="宋体" w:hint="default"/>
          <w:sz w:val="24"/>
          <w:szCs w:val="24"/>
        </w:rPr>
        <w:t>SESCA</w:t>
      </w:r>
      <w:r>
        <w:rPr>
          <w:rFonts w:ascii="宋体" w:hAnsi="宋体" w:cs="宋体" w:eastAsia="宋体" w:hint="default"/>
          <w:spacing w:val="-103"/>
          <w:sz w:val="24"/>
          <w:szCs w:val="24"/>
        </w:rPr>
        <w:t> </w:t>
      </w:r>
      <w:r>
        <w:rPr>
          <w:rFonts w:ascii="宋体" w:hAnsi="宋体" w:cs="宋体" w:eastAsia="宋体" w:hint="default"/>
          <w:spacing w:val="-103"/>
          <w:sz w:val="24"/>
          <w:szCs w:val="24"/>
        </w:rPr>
      </w:r>
      <w:r>
        <w:rPr>
          <w:rFonts w:ascii="宋体" w:hAnsi="宋体" w:cs="宋体" w:eastAsia="宋体" w:hint="default"/>
          <w:spacing w:val="12"/>
          <w:sz w:val="24"/>
          <w:szCs w:val="24"/>
        </w:rPr>
        <w:t>破产财产管理人。2012年1月9</w:t>
      </w:r>
      <w:r>
        <w:rPr>
          <w:rFonts w:ascii="宋体" w:hAnsi="宋体" w:cs="宋体" w:eastAsia="宋体" w:hint="default"/>
          <w:spacing w:val="-58"/>
          <w:sz w:val="24"/>
          <w:szCs w:val="24"/>
        </w:rPr>
        <w:t> </w:t>
      </w:r>
      <w:r>
        <w:rPr>
          <w:rFonts w:ascii="宋体" w:hAnsi="宋体" w:cs="宋体" w:eastAsia="宋体" w:hint="default"/>
          <w:spacing w:val="-4"/>
          <w:sz w:val="24"/>
          <w:szCs w:val="24"/>
        </w:rPr>
        <w:t>日，仲裁双方达成和解协议，在东软欧洲向</w:t>
      </w:r>
      <w:r>
        <w:rPr>
          <w:rFonts w:ascii="宋体" w:hAnsi="宋体" w:cs="宋体" w:eastAsia="宋体" w:hint="default"/>
          <w:spacing w:val="-58"/>
          <w:sz w:val="24"/>
          <w:szCs w:val="24"/>
        </w:rPr>
        <w:t> </w:t>
      </w:r>
      <w:r>
        <w:rPr>
          <w:rFonts w:ascii="宋体" w:hAnsi="宋体" w:cs="宋体" w:eastAsia="宋体" w:hint="default"/>
          <w:sz w:val="24"/>
          <w:szCs w:val="24"/>
        </w:rPr>
        <w:t>SESCA</w:t>
      </w:r>
      <w:r>
        <w:rPr>
          <w:rFonts w:ascii="宋体" w:hAnsi="宋体" w:cs="宋体" w:eastAsia="宋体" w:hint="default"/>
          <w:spacing w:val="-58"/>
          <w:sz w:val="24"/>
          <w:szCs w:val="24"/>
        </w:rPr>
        <w:t> </w:t>
      </w:r>
      <w:r>
        <w:rPr>
          <w:rFonts w:ascii="宋体" w:hAnsi="宋体" w:cs="宋体" w:eastAsia="宋体" w:hint="default"/>
          <w:sz w:val="24"/>
          <w:szCs w:val="24"/>
        </w:rPr>
        <w:t>破产</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z w:val="24"/>
          <w:szCs w:val="24"/>
        </w:rPr>
        <w:t>财产管理人支付 99</w:t>
      </w:r>
      <w:r>
        <w:rPr>
          <w:rFonts w:ascii="宋体" w:hAnsi="宋体" w:cs="宋体" w:eastAsia="宋体" w:hint="default"/>
          <w:spacing w:val="-52"/>
          <w:sz w:val="24"/>
          <w:szCs w:val="24"/>
        </w:rPr>
        <w:t> </w:t>
      </w:r>
      <w:r>
        <w:rPr>
          <w:rFonts w:ascii="宋体" w:hAnsi="宋体" w:cs="宋体" w:eastAsia="宋体" w:hint="default"/>
          <w:sz w:val="24"/>
          <w:szCs w:val="24"/>
        </w:rPr>
        <w:t>万欧元，双方各自承担争议过程中发生的成本，以及双方共同分担</w:t>
      </w:r>
    </w:p>
    <w:p>
      <w:pPr>
        <w:spacing w:line="312" w:lineRule="exact" w:before="0"/>
        <w:ind w:left="118" w:right="214" w:firstLine="0"/>
        <w:jc w:val="both"/>
        <w:rPr>
          <w:rFonts w:ascii="宋体" w:hAnsi="宋体" w:cs="宋体" w:eastAsia="宋体" w:hint="default"/>
          <w:sz w:val="24"/>
          <w:szCs w:val="24"/>
        </w:rPr>
      </w:pPr>
      <w:r>
        <w:rPr>
          <w:rFonts w:ascii="宋体" w:hAnsi="宋体" w:cs="宋体" w:eastAsia="宋体" w:hint="default"/>
          <w:sz w:val="24"/>
          <w:szCs w:val="24"/>
        </w:rPr>
        <w:t>仲裁费用的前提下，东软欧洲无需再支付剩余的</w:t>
      </w:r>
      <w:r>
        <w:rPr>
          <w:rFonts w:ascii="宋体" w:hAnsi="宋体" w:cs="宋体" w:eastAsia="宋体" w:hint="default"/>
          <w:spacing w:val="-84"/>
          <w:sz w:val="24"/>
          <w:szCs w:val="24"/>
        </w:rPr>
        <w:t> </w:t>
      </w:r>
      <w:r>
        <w:rPr>
          <w:rFonts w:ascii="宋体" w:hAnsi="宋体" w:cs="宋体" w:eastAsia="宋体" w:hint="default"/>
          <w:sz w:val="24"/>
          <w:szCs w:val="24"/>
        </w:rPr>
        <w:t>180</w:t>
      </w:r>
      <w:r>
        <w:rPr>
          <w:rFonts w:ascii="宋体" w:hAnsi="宋体" w:cs="宋体" w:eastAsia="宋体" w:hint="default"/>
          <w:spacing w:val="-84"/>
          <w:sz w:val="24"/>
          <w:szCs w:val="24"/>
        </w:rPr>
        <w:t> </w:t>
      </w:r>
      <w:r>
        <w:rPr>
          <w:rFonts w:ascii="宋体" w:hAnsi="宋体" w:cs="宋体" w:eastAsia="宋体" w:hint="default"/>
          <w:sz w:val="24"/>
          <w:szCs w:val="24"/>
        </w:rPr>
        <w:t>万欧元股份交易对价款。本和解的</w:t>
      </w:r>
      <w:r>
        <w:rPr>
          <w:rFonts w:ascii="宋体" w:hAnsi="宋体" w:cs="宋体" w:eastAsia="宋体" w:hint="default"/>
          <w:sz w:val="24"/>
          <w:szCs w:val="24"/>
        </w:rPr>
        <w:t> 达成不影响东软欧洲继续参与正在进行的</w:t>
      </w:r>
      <w:r>
        <w:rPr>
          <w:rFonts w:ascii="宋体" w:hAnsi="宋体" w:cs="宋体" w:eastAsia="宋体" w:hint="default"/>
          <w:spacing w:val="-58"/>
          <w:sz w:val="24"/>
          <w:szCs w:val="24"/>
        </w:rPr>
        <w:t> </w:t>
      </w:r>
      <w:r>
        <w:rPr>
          <w:rFonts w:ascii="宋体" w:hAnsi="宋体" w:cs="宋体" w:eastAsia="宋体" w:hint="default"/>
          <w:sz w:val="24"/>
          <w:szCs w:val="24"/>
        </w:rPr>
        <w:t>SESCA</w:t>
      </w:r>
      <w:r>
        <w:rPr>
          <w:rFonts w:ascii="宋体" w:hAnsi="宋体" w:cs="宋体" w:eastAsia="宋体" w:hint="default"/>
          <w:spacing w:val="-58"/>
          <w:sz w:val="24"/>
          <w:szCs w:val="24"/>
        </w:rPr>
        <w:t> </w:t>
      </w:r>
      <w:r>
        <w:rPr>
          <w:rFonts w:ascii="宋体" w:hAnsi="宋体" w:cs="宋体" w:eastAsia="宋体" w:hint="default"/>
          <w:spacing w:val="-3"/>
          <w:sz w:val="24"/>
          <w:szCs w:val="24"/>
        </w:rPr>
        <w:t>破产清算程序，并主张相关权利。2012</w:t>
      </w:r>
      <w:r>
        <w:rPr>
          <w:rFonts w:ascii="宋体" w:hAnsi="宋体" w:cs="宋体" w:eastAsia="宋体" w:hint="default"/>
          <w:sz w:val="24"/>
          <w:szCs w:val="24"/>
        </w:rPr>
        <w:t> </w:t>
      </w:r>
      <w:r>
        <w:rPr>
          <w:rFonts w:ascii="宋体" w:hAnsi="宋体" w:cs="宋体" w:eastAsia="宋体" w:hint="default"/>
          <w:spacing w:val="40"/>
          <w:sz w:val="24"/>
          <w:szCs w:val="24"/>
        </w:rPr>
        <w:t>年1月</w:t>
      </w:r>
      <w:r>
        <w:rPr>
          <w:rFonts w:ascii="宋体" w:hAnsi="宋体" w:cs="宋体" w:eastAsia="宋体" w:hint="default"/>
          <w:spacing w:val="-59"/>
          <w:sz w:val="24"/>
          <w:szCs w:val="24"/>
        </w:rPr>
        <w:t> </w:t>
      </w:r>
      <w:r>
        <w:rPr>
          <w:rFonts w:ascii="宋体" w:hAnsi="宋体" w:cs="宋体" w:eastAsia="宋体" w:hint="default"/>
          <w:sz w:val="24"/>
          <w:szCs w:val="24"/>
        </w:rPr>
        <w:t>19</w:t>
      </w:r>
      <w:r>
        <w:rPr>
          <w:rFonts w:ascii="宋体" w:hAnsi="宋体" w:cs="宋体" w:eastAsia="宋体" w:hint="default"/>
          <w:spacing w:val="-59"/>
          <w:sz w:val="24"/>
          <w:szCs w:val="24"/>
        </w:rPr>
        <w:t> </w:t>
      </w:r>
      <w:r>
        <w:rPr>
          <w:rFonts w:ascii="宋体" w:hAnsi="宋体" w:cs="宋体" w:eastAsia="宋体" w:hint="default"/>
          <w:spacing w:val="-3"/>
          <w:sz w:val="24"/>
          <w:szCs w:val="24"/>
        </w:rPr>
        <w:t>日，东软欧洲已向</w:t>
      </w:r>
      <w:r>
        <w:rPr>
          <w:rFonts w:ascii="宋体" w:hAnsi="宋体" w:cs="宋体" w:eastAsia="宋体" w:hint="default"/>
          <w:spacing w:val="-59"/>
          <w:sz w:val="24"/>
          <w:szCs w:val="24"/>
        </w:rPr>
        <w:t> </w:t>
      </w:r>
      <w:r>
        <w:rPr>
          <w:rFonts w:ascii="宋体" w:hAnsi="宋体" w:cs="宋体" w:eastAsia="宋体" w:hint="default"/>
          <w:sz w:val="24"/>
          <w:szCs w:val="24"/>
        </w:rPr>
        <w:t>SESCA</w:t>
      </w:r>
      <w:r>
        <w:rPr>
          <w:rFonts w:ascii="宋体" w:hAnsi="宋体" w:cs="宋体" w:eastAsia="宋体" w:hint="default"/>
          <w:spacing w:val="-59"/>
          <w:sz w:val="24"/>
          <w:szCs w:val="24"/>
        </w:rPr>
        <w:t> </w:t>
      </w:r>
      <w:r>
        <w:rPr>
          <w:rFonts w:ascii="宋体" w:hAnsi="宋体" w:cs="宋体" w:eastAsia="宋体" w:hint="default"/>
          <w:sz w:val="24"/>
          <w:szCs w:val="24"/>
        </w:rPr>
        <w:t>破产财产管理人支付</w:t>
      </w:r>
      <w:r>
        <w:rPr>
          <w:rFonts w:ascii="宋体" w:hAnsi="宋体" w:cs="宋体" w:eastAsia="宋体" w:hint="default"/>
          <w:spacing w:val="-59"/>
          <w:sz w:val="24"/>
          <w:szCs w:val="24"/>
        </w:rPr>
        <w:t> </w:t>
      </w:r>
      <w:r>
        <w:rPr>
          <w:rFonts w:ascii="宋体" w:hAnsi="宋体" w:cs="宋体" w:eastAsia="宋体" w:hint="default"/>
          <w:sz w:val="24"/>
          <w:szCs w:val="24"/>
        </w:rPr>
        <w:t>99</w:t>
      </w:r>
      <w:r>
        <w:rPr>
          <w:rFonts w:ascii="宋体" w:hAnsi="宋体" w:cs="宋体" w:eastAsia="宋体" w:hint="default"/>
          <w:spacing w:val="-59"/>
          <w:sz w:val="24"/>
          <w:szCs w:val="24"/>
        </w:rPr>
        <w:t> </w:t>
      </w:r>
      <w:r>
        <w:rPr>
          <w:rFonts w:ascii="宋体" w:hAnsi="宋体" w:cs="宋体" w:eastAsia="宋体" w:hint="default"/>
          <w:spacing w:val="-3"/>
          <w:sz w:val="24"/>
          <w:szCs w:val="24"/>
        </w:rPr>
        <w:t>万欧元。至此，仲裁程序终</w:t>
      </w:r>
      <w:r>
        <w:rPr>
          <w:rFonts w:ascii="宋体" w:hAnsi="宋体" w:cs="宋体" w:eastAsia="宋体" w:hint="default"/>
          <w:sz w:val="24"/>
          <w:szCs w:val="24"/>
        </w:rPr>
        <w:t> 止。</w:t>
      </w:r>
    </w:p>
    <w:p>
      <w:pPr>
        <w:spacing w:line="312" w:lineRule="exact" w:before="124"/>
        <w:ind w:left="598" w:right="4946" w:hanging="480"/>
        <w:jc w:val="left"/>
        <w:rPr>
          <w:rFonts w:ascii="宋体" w:hAnsi="宋体" w:cs="宋体" w:eastAsia="宋体" w:hint="default"/>
          <w:sz w:val="24"/>
          <w:szCs w:val="24"/>
        </w:rPr>
      </w:pPr>
      <w:r>
        <w:rPr>
          <w:rFonts w:ascii="宋体" w:hAnsi="宋体" w:cs="宋体" w:eastAsia="宋体" w:hint="default"/>
          <w:sz w:val="24"/>
          <w:szCs w:val="24"/>
        </w:rPr>
        <w:t>4、其他重大合同 报告期内，本公司无其他重大合同。</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spacing w:line="240" w:lineRule="auto"/>
        <w:ind w:left="118" w:right="86"/>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200"/>
        </w:sectPr>
      </w:pPr>
    </w:p>
    <w:p>
      <w:pPr>
        <w:spacing w:line="240" w:lineRule="auto" w:before="11"/>
        <w:rPr>
          <w:rFonts w:ascii="黑体" w:hAnsi="黑体" w:cs="黑体" w:eastAsia="黑体" w:hint="default"/>
          <w:sz w:val="29"/>
          <w:szCs w:val="29"/>
        </w:rPr>
      </w:pPr>
    </w:p>
    <w:p>
      <w:pPr>
        <w:pStyle w:val="Heading4"/>
        <w:spacing w:line="331" w:lineRule="auto"/>
        <w:ind w:left="178" w:right="2861"/>
        <w:jc w:val="left"/>
        <w:rPr>
          <w:b w:val="0"/>
          <w:bCs w:val="0"/>
        </w:rPr>
      </w:pPr>
      <w:r>
        <w:rPr/>
        <w:t>（七）承诺事项履行情况</w:t>
      </w:r>
      <w:r>
        <w:rPr>
          <w:spacing w:val="1"/>
          <w:w w:val="99"/>
        </w:rPr>
        <w:t> </w:t>
      </w:r>
      <w:r>
        <w:rPr/>
        <w:t>1、上市公司、股东在报告期内或持续到报告期内的承诺事项</w:t>
      </w:r>
      <w:r>
        <w:rPr>
          <w:b w:val="0"/>
          <w:bCs w:val="0"/>
        </w:rPr>
      </w:r>
    </w:p>
    <w:p>
      <w:pPr>
        <w:pStyle w:val="Heading5"/>
        <w:spacing w:line="221" w:lineRule="exact"/>
        <w:ind w:left="658" w:right="93"/>
        <w:jc w:val="left"/>
      </w:pPr>
      <w:r>
        <w:rPr/>
        <w:t>公司原有限售条件的流通股股东在换股吸收合并之时作出的承诺：</w:t>
      </w:r>
    </w:p>
    <w:p>
      <w:pPr>
        <w:spacing w:line="240" w:lineRule="auto" w:before="11"/>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641"/>
        <w:gridCol w:w="1700"/>
        <w:gridCol w:w="4536"/>
        <w:gridCol w:w="2339"/>
      </w:tblGrid>
      <w:tr>
        <w:trPr>
          <w:trHeight w:val="323"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104" w:right="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422" w:right="0"/>
              <w:jc w:val="left"/>
              <w:rPr>
                <w:rFonts w:ascii="宋体" w:hAnsi="宋体" w:cs="宋体" w:eastAsia="宋体" w:hint="default"/>
                <w:sz w:val="21"/>
                <w:szCs w:val="21"/>
              </w:rPr>
            </w:pPr>
            <w:r>
              <w:rPr>
                <w:rFonts w:ascii="宋体" w:hAnsi="宋体" w:cs="宋体" w:eastAsia="宋体" w:hint="default"/>
                <w:b/>
                <w:bCs/>
                <w:sz w:val="21"/>
                <w:szCs w:val="21"/>
              </w:rPr>
              <w:t>承诺主体</w:t>
            </w:r>
            <w:r>
              <w:rPr>
                <w:rFonts w:ascii="宋体" w:hAnsi="宋体" w:cs="宋体" w:eastAsia="宋体" w:hint="default"/>
                <w:sz w:val="21"/>
                <w:szCs w:val="21"/>
              </w:rPr>
            </w:r>
          </w:p>
        </w:tc>
        <w:tc>
          <w:tcPr>
            <w:tcW w:w="4536"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b/>
                <w:bCs/>
                <w:sz w:val="21"/>
                <w:szCs w:val="21"/>
              </w:rPr>
              <w:t>承诺内容</w:t>
            </w:r>
            <w:r>
              <w:rPr>
                <w:rFonts w:ascii="宋体" w:hAnsi="宋体" w:cs="宋体" w:eastAsia="宋体" w:hint="default"/>
                <w:sz w:val="21"/>
                <w:szCs w:val="21"/>
              </w:rPr>
            </w:r>
          </w:p>
        </w:tc>
        <w:tc>
          <w:tcPr>
            <w:tcW w:w="2339"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742" w:right="0"/>
              <w:jc w:val="left"/>
              <w:rPr>
                <w:rFonts w:ascii="宋体" w:hAnsi="宋体" w:cs="宋体" w:eastAsia="宋体" w:hint="default"/>
                <w:sz w:val="21"/>
                <w:szCs w:val="21"/>
              </w:rPr>
            </w:pPr>
            <w:r>
              <w:rPr>
                <w:rFonts w:ascii="宋体" w:hAnsi="宋体" w:cs="宋体" w:eastAsia="宋体" w:hint="default"/>
                <w:b/>
                <w:bCs/>
                <w:sz w:val="21"/>
                <w:szCs w:val="21"/>
              </w:rPr>
              <w:t>履行情况</w:t>
            </w:r>
            <w:r>
              <w:rPr>
                <w:rFonts w:ascii="宋体" w:hAnsi="宋体" w:cs="宋体" w:eastAsia="宋体" w:hint="default"/>
                <w:sz w:val="21"/>
                <w:szCs w:val="21"/>
              </w:rPr>
            </w:r>
          </w:p>
        </w:tc>
      </w:tr>
      <w:tr>
        <w:trPr>
          <w:trHeight w:val="1258" w:hRule="exact"/>
        </w:trPr>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21"/>
                <w:szCs w:val="21"/>
              </w:rPr>
            </w:pPr>
            <w:r>
              <w:rPr>
                <w:rFonts w:ascii="宋体"/>
                <w:sz w:val="21"/>
              </w:rPr>
              <w:t>1</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1" w:right="0"/>
              <w:jc w:val="both"/>
              <w:rPr>
                <w:rFonts w:ascii="宋体" w:hAnsi="宋体" w:cs="宋体" w:eastAsia="宋体" w:hint="default"/>
                <w:sz w:val="21"/>
                <w:szCs w:val="21"/>
              </w:rPr>
            </w:pPr>
            <w:r>
              <w:rPr>
                <w:rFonts w:ascii="宋体" w:hAnsi="宋体" w:cs="宋体" w:eastAsia="宋体" w:hint="default"/>
                <w:sz w:val="21"/>
                <w:szCs w:val="21"/>
              </w:rPr>
              <w:t>东北大学科技产</w:t>
            </w:r>
          </w:p>
          <w:p>
            <w:pPr>
              <w:pStyle w:val="TableParagraph"/>
              <w:spacing w:line="273" w:lineRule="auto" w:before="37"/>
              <w:ind w:left="101" w:right="100"/>
              <w:jc w:val="both"/>
              <w:rPr>
                <w:rFonts w:ascii="宋体" w:hAnsi="宋体" w:cs="宋体" w:eastAsia="宋体" w:hint="default"/>
                <w:sz w:val="21"/>
                <w:szCs w:val="21"/>
              </w:rPr>
            </w:pPr>
            <w:r>
              <w:rPr>
                <w:rFonts w:ascii="宋体" w:hAnsi="宋体" w:cs="宋体" w:eastAsia="宋体" w:hint="default"/>
                <w:sz w:val="21"/>
                <w:szCs w:val="21"/>
              </w:rPr>
              <w:t>业集团有限公司</w:t>
            </w:r>
            <w:r>
              <w:rPr>
                <w:rFonts w:ascii="宋体" w:hAnsi="宋体" w:cs="宋体" w:eastAsia="宋体" w:hint="default"/>
                <w:spacing w:val="-92"/>
                <w:sz w:val="21"/>
                <w:szCs w:val="21"/>
              </w:rPr>
              <w:t> </w:t>
            </w:r>
            <w:r>
              <w:rPr>
                <w:rFonts w:ascii="宋体" w:hAnsi="宋体" w:cs="宋体" w:eastAsia="宋体" w:hint="default"/>
                <w:sz w:val="21"/>
                <w:szCs w:val="21"/>
              </w:rPr>
              <w:t>等原十家有限售</w:t>
            </w:r>
            <w:r>
              <w:rPr>
                <w:rFonts w:ascii="宋体" w:hAnsi="宋体" w:cs="宋体" w:eastAsia="宋体" w:hint="default"/>
                <w:spacing w:val="-92"/>
                <w:sz w:val="21"/>
                <w:szCs w:val="21"/>
              </w:rPr>
              <w:t> </w:t>
            </w:r>
            <w:r>
              <w:rPr>
                <w:rFonts w:ascii="宋体" w:hAnsi="宋体" w:cs="宋体" w:eastAsia="宋体" w:hint="default"/>
                <w:sz w:val="21"/>
                <w:szCs w:val="21"/>
              </w:rPr>
              <w:t>条件流通股股东</w:t>
            </w:r>
          </w:p>
        </w:tc>
        <w:tc>
          <w:tcPr>
            <w:tcW w:w="4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73" w:lineRule="auto"/>
              <w:ind w:left="103" w:right="101"/>
              <w:jc w:val="left"/>
              <w:rPr>
                <w:rFonts w:ascii="宋体" w:hAnsi="宋体" w:cs="宋体" w:eastAsia="宋体" w:hint="default"/>
                <w:sz w:val="21"/>
                <w:szCs w:val="21"/>
              </w:rPr>
            </w:pPr>
            <w:r>
              <w:rPr>
                <w:rFonts w:ascii="宋体" w:hAnsi="宋体" w:cs="宋体" w:eastAsia="宋体" w:hint="default"/>
                <w:sz w:val="21"/>
                <w:szCs w:val="21"/>
              </w:rPr>
              <w:t>自</w:t>
            </w:r>
            <w:r>
              <w:rPr>
                <w:rFonts w:ascii="宋体" w:hAnsi="宋体" w:cs="宋体" w:eastAsia="宋体" w:hint="default"/>
                <w:spacing w:val="-69"/>
                <w:sz w:val="21"/>
                <w:szCs w:val="21"/>
              </w:rPr>
              <w:t> </w:t>
            </w:r>
            <w:r>
              <w:rPr>
                <w:rFonts w:ascii="宋体" w:hAnsi="宋体" w:cs="宋体" w:eastAsia="宋体" w:hint="default"/>
                <w:sz w:val="21"/>
                <w:szCs w:val="21"/>
              </w:rPr>
              <w:t>2008</w:t>
            </w:r>
            <w:r>
              <w:rPr>
                <w:rFonts w:ascii="宋体" w:hAnsi="宋体" w:cs="宋体" w:eastAsia="宋体" w:hint="default"/>
                <w:spacing w:val="-69"/>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宋体" w:hAnsi="宋体" w:cs="宋体" w:eastAsia="宋体" w:hint="default"/>
                <w:sz w:val="21"/>
                <w:szCs w:val="21"/>
              </w:rPr>
              <w:t>3</w:t>
            </w:r>
            <w:r>
              <w:rPr>
                <w:rFonts w:ascii="宋体" w:hAnsi="宋体" w:cs="宋体" w:eastAsia="宋体" w:hint="default"/>
                <w:spacing w:val="-7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宋体" w:hAnsi="宋体" w:cs="宋体" w:eastAsia="宋体" w:hint="default"/>
                <w:sz w:val="21"/>
                <w:szCs w:val="21"/>
              </w:rPr>
              <w:t>13</w:t>
            </w:r>
            <w:r>
              <w:rPr>
                <w:rFonts w:ascii="宋体" w:hAnsi="宋体" w:cs="宋体" w:eastAsia="宋体" w:hint="default"/>
                <w:spacing w:val="-69"/>
                <w:sz w:val="21"/>
                <w:szCs w:val="21"/>
              </w:rPr>
              <w:t> </w:t>
            </w:r>
            <w:r>
              <w:rPr>
                <w:rFonts w:ascii="宋体" w:hAnsi="宋体" w:cs="宋体" w:eastAsia="宋体" w:hint="default"/>
                <w:sz w:val="21"/>
                <w:szCs w:val="21"/>
              </w:rPr>
              <w:t>日起三年内不转让其持有发行</w:t>
            </w:r>
            <w:r>
              <w:rPr>
                <w:rFonts w:ascii="宋体" w:hAnsi="宋体" w:cs="宋体" w:eastAsia="宋体" w:hint="default"/>
                <w:sz w:val="21"/>
                <w:szCs w:val="21"/>
              </w:rPr>
              <w:t> 人股份，限售期满后方可上市流通。</w:t>
            </w:r>
          </w:p>
        </w:tc>
        <w:tc>
          <w:tcPr>
            <w:tcW w:w="2339"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1"/>
              <w:ind w:left="103" w:right="98"/>
              <w:jc w:val="both"/>
              <w:rPr>
                <w:rFonts w:ascii="宋体" w:hAnsi="宋体" w:cs="宋体" w:eastAsia="宋体" w:hint="default"/>
                <w:sz w:val="21"/>
                <w:szCs w:val="21"/>
              </w:rPr>
            </w:pPr>
            <w:r>
              <w:rPr>
                <w:rFonts w:ascii="宋体" w:hAnsi="宋体" w:cs="宋体" w:eastAsia="宋体" w:hint="default"/>
                <w:spacing w:val="2"/>
                <w:sz w:val="21"/>
                <w:szCs w:val="21"/>
              </w:rPr>
              <w:t>截至本报告出具日，该 承诺已经到期，发行人 </w:t>
            </w:r>
            <w:r>
              <w:rPr>
                <w:rFonts w:ascii="宋体" w:hAnsi="宋体" w:cs="宋体" w:eastAsia="宋体" w:hint="default"/>
                <w:sz w:val="21"/>
                <w:szCs w:val="21"/>
              </w:rPr>
              <w:t>股份已经上市流通。</w:t>
            </w:r>
          </w:p>
        </w:tc>
      </w:tr>
      <w:tr>
        <w:trPr>
          <w:trHeight w:val="316" w:hRule="exact"/>
        </w:trPr>
        <w:tc>
          <w:tcPr>
            <w:tcW w:w="641" w:type="dxa"/>
            <w:tcBorders>
              <w:top w:val="single" w:sz="4" w:space="0" w:color="000000"/>
              <w:left w:val="single" w:sz="4" w:space="0" w:color="000000"/>
              <w:bottom w:val="nil" w:sz="6" w:space="0" w:color="auto"/>
              <w:right w:val="single" w:sz="4" w:space="0" w:color="000000"/>
            </w:tcBorders>
          </w:tcPr>
          <w:p>
            <w:pPr/>
          </w:p>
        </w:tc>
        <w:tc>
          <w:tcPr>
            <w:tcW w:w="1700" w:type="dxa"/>
            <w:tcBorders>
              <w:top w:val="single" w:sz="4" w:space="0" w:color="000000"/>
              <w:left w:val="single" w:sz="4" w:space="0" w:color="000000"/>
              <w:bottom w:val="nil" w:sz="6" w:space="0" w:color="auto"/>
              <w:right w:val="single" w:sz="4" w:space="0" w:color="000000"/>
            </w:tcBorders>
          </w:tcPr>
          <w:p>
            <w:pPr/>
          </w:p>
        </w:tc>
        <w:tc>
          <w:tcPr>
            <w:tcW w:w="4536"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针对截至</w:t>
            </w:r>
            <w:r>
              <w:rPr>
                <w:rFonts w:ascii="宋体" w:hAnsi="宋体" w:cs="宋体" w:eastAsia="宋体" w:hint="default"/>
                <w:spacing w:val="-68"/>
                <w:sz w:val="21"/>
                <w:szCs w:val="21"/>
              </w:rPr>
              <w:t> </w:t>
            </w:r>
            <w:r>
              <w:rPr>
                <w:rFonts w:ascii="宋体" w:hAnsi="宋体" w:cs="宋体" w:eastAsia="宋体" w:hint="default"/>
                <w:sz w:val="21"/>
                <w:szCs w:val="21"/>
              </w:rPr>
              <w:t>2007</w:t>
            </w:r>
            <w:r>
              <w:rPr>
                <w:rFonts w:ascii="宋体" w:hAnsi="宋体" w:cs="宋体" w:eastAsia="宋体" w:hint="default"/>
                <w:spacing w:val="-68"/>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宋体" w:hAnsi="宋体" w:cs="宋体" w:eastAsia="宋体" w:hint="default"/>
                <w:sz w:val="21"/>
                <w:szCs w:val="21"/>
              </w:rPr>
              <w:t>9</w:t>
            </w:r>
            <w:r>
              <w:rPr>
                <w:rFonts w:ascii="宋体" w:hAnsi="宋体" w:cs="宋体" w:eastAsia="宋体" w:hint="default"/>
                <w:spacing w:val="-68"/>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宋体" w:hAnsi="宋体" w:cs="宋体" w:eastAsia="宋体" w:hint="default"/>
                <w:sz w:val="21"/>
                <w:szCs w:val="21"/>
              </w:rPr>
              <w:t>30</w:t>
            </w:r>
            <w:r>
              <w:rPr>
                <w:rFonts w:ascii="宋体" w:hAnsi="宋体" w:cs="宋体" w:eastAsia="宋体" w:hint="default"/>
                <w:spacing w:val="-69"/>
                <w:sz w:val="21"/>
                <w:szCs w:val="21"/>
              </w:rPr>
              <w:t> </w:t>
            </w:r>
            <w:r>
              <w:rPr>
                <w:rFonts w:ascii="宋体" w:hAnsi="宋体" w:cs="宋体" w:eastAsia="宋体" w:hint="default"/>
                <w:sz w:val="21"/>
                <w:szCs w:val="21"/>
              </w:rPr>
              <w:t>日本公司尚未取得权证</w:t>
            </w:r>
          </w:p>
        </w:tc>
        <w:tc>
          <w:tcPr>
            <w:tcW w:w="2339"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东北大学科技产业集团</w:t>
            </w:r>
            <w:r>
              <w:rPr>
                <w:rFonts w:ascii="宋体" w:hAnsi="宋体" w:cs="宋体" w:eastAsia="宋体" w:hint="default"/>
                <w:sz w:val="21"/>
                <w:szCs w:val="21"/>
              </w:rPr>
            </w:r>
          </w:p>
        </w:tc>
      </w:tr>
      <w:tr>
        <w:trPr>
          <w:trHeight w:val="312" w:hRule="exact"/>
        </w:trPr>
        <w:tc>
          <w:tcPr>
            <w:tcW w:w="641"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4536"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的</w:t>
            </w:r>
            <w:r>
              <w:rPr>
                <w:rFonts w:ascii="宋体" w:hAnsi="宋体" w:cs="宋体" w:eastAsia="宋体" w:hint="default"/>
                <w:spacing w:val="-53"/>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处房</w:t>
            </w:r>
            <w:r>
              <w:rPr>
                <w:rFonts w:ascii="宋体" w:hAnsi="宋体" w:cs="宋体" w:eastAsia="宋体" w:hint="default"/>
                <w:spacing w:val="-2"/>
                <w:sz w:val="21"/>
                <w:szCs w:val="21"/>
              </w:rPr>
              <w:t>产</w:t>
            </w:r>
            <w:r>
              <w:rPr>
                <w:rFonts w:ascii="宋体" w:hAnsi="宋体" w:cs="宋体" w:eastAsia="宋体" w:hint="default"/>
                <w:sz w:val="21"/>
                <w:szCs w:val="21"/>
              </w:rPr>
              <w:t>及</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宗土</w:t>
            </w:r>
            <w:r>
              <w:rPr>
                <w:rFonts w:ascii="宋体" w:hAnsi="宋体" w:cs="宋体" w:eastAsia="宋体" w:hint="default"/>
                <w:spacing w:val="-2"/>
                <w:sz w:val="21"/>
                <w:szCs w:val="21"/>
              </w:rPr>
              <w:t>地</w:t>
            </w:r>
            <w:r>
              <w:rPr>
                <w:rFonts w:ascii="宋体" w:hAnsi="宋体" w:cs="宋体" w:eastAsia="宋体" w:hint="default"/>
                <w:sz w:val="21"/>
                <w:szCs w:val="21"/>
              </w:rPr>
              <w:t>做出承诺</w:t>
            </w:r>
            <w:r>
              <w:rPr>
                <w:rFonts w:ascii="宋体" w:hAnsi="宋体" w:cs="宋体" w:eastAsia="宋体" w:hint="default"/>
                <w:spacing w:val="-90"/>
                <w:sz w:val="21"/>
                <w:szCs w:val="21"/>
              </w:rPr>
              <w:t>：</w:t>
            </w:r>
            <w:r>
              <w:rPr>
                <w:rFonts w:ascii="宋体" w:hAnsi="宋体" w:cs="宋体" w:eastAsia="宋体" w:hint="default"/>
                <w:sz w:val="21"/>
                <w:szCs w:val="21"/>
              </w:rPr>
              <w:t>本次合并完成</w:t>
            </w:r>
          </w:p>
        </w:tc>
        <w:tc>
          <w:tcPr>
            <w:tcW w:w="233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已按照承诺内容，向本</w:t>
            </w:r>
            <w:r>
              <w:rPr>
                <w:rFonts w:ascii="宋体" w:hAnsi="宋体" w:cs="宋体" w:eastAsia="宋体" w:hint="default"/>
                <w:sz w:val="21"/>
                <w:szCs w:val="21"/>
              </w:rPr>
            </w:r>
          </w:p>
        </w:tc>
      </w:tr>
      <w:tr>
        <w:trPr>
          <w:trHeight w:val="312" w:hRule="exact"/>
        </w:trPr>
        <w:tc>
          <w:tcPr>
            <w:tcW w:w="641"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4536"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后，如截至</w:t>
            </w:r>
            <w:r>
              <w:rPr>
                <w:rFonts w:ascii="宋体" w:hAnsi="宋体" w:cs="宋体" w:eastAsia="宋体" w:hint="default"/>
                <w:spacing w:val="-51"/>
                <w:sz w:val="21"/>
                <w:szCs w:val="21"/>
              </w:rPr>
              <w:t> </w:t>
            </w:r>
            <w:r>
              <w:rPr>
                <w:rFonts w:ascii="宋体" w:hAnsi="宋体" w:cs="宋体" w:eastAsia="宋体" w:hint="default"/>
                <w:sz w:val="21"/>
                <w:szCs w:val="21"/>
              </w:rPr>
              <w:t>2008</w:t>
            </w:r>
            <w:r>
              <w:rPr>
                <w:rFonts w:ascii="宋体" w:hAnsi="宋体" w:cs="宋体" w:eastAsia="宋体" w:hint="default"/>
                <w:spacing w:val="-51"/>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1"/>
                <w:sz w:val="21"/>
                <w:szCs w:val="21"/>
              </w:rPr>
              <w:t> </w:t>
            </w:r>
            <w:r>
              <w:rPr>
                <w:rFonts w:ascii="宋体" w:hAnsi="宋体" w:cs="宋体" w:eastAsia="宋体" w:hint="default"/>
                <w:sz w:val="21"/>
                <w:szCs w:val="21"/>
              </w:rPr>
              <w:t>日，前述土地或房</w:t>
            </w:r>
          </w:p>
        </w:tc>
        <w:tc>
          <w:tcPr>
            <w:tcW w:w="233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24"/>
                <w:sz w:val="21"/>
                <w:szCs w:val="21"/>
              </w:rPr>
              <w:t>公司支付</w:t>
            </w:r>
            <w:r>
              <w:rPr>
                <w:rFonts w:ascii="宋体" w:hAnsi="宋体" w:cs="宋体" w:eastAsia="宋体" w:hint="default"/>
                <w:spacing w:val="26"/>
                <w:sz w:val="21"/>
                <w:szCs w:val="21"/>
              </w:rPr>
              <w:t> </w:t>
            </w:r>
            <w:r>
              <w:rPr>
                <w:rFonts w:ascii="宋体" w:hAnsi="宋体" w:cs="宋体" w:eastAsia="宋体" w:hint="default"/>
                <w:sz w:val="21"/>
                <w:szCs w:val="21"/>
              </w:rPr>
              <w:t>12,975,375</w:t>
            </w:r>
          </w:p>
        </w:tc>
      </w:tr>
      <w:tr>
        <w:trPr>
          <w:trHeight w:val="312" w:hRule="exact"/>
        </w:trPr>
        <w:tc>
          <w:tcPr>
            <w:tcW w:w="641"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4536"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产仍有未取得权属证书的情况</w:t>
            </w:r>
            <w:r>
              <w:rPr>
                <w:rFonts w:ascii="宋体" w:hAnsi="宋体" w:cs="宋体" w:eastAsia="宋体" w:hint="default"/>
                <w:spacing w:val="-90"/>
                <w:sz w:val="21"/>
                <w:szCs w:val="21"/>
              </w:rPr>
              <w:t>，</w:t>
            </w:r>
            <w:r>
              <w:rPr>
                <w:rFonts w:ascii="宋体" w:hAnsi="宋体" w:cs="宋体" w:eastAsia="宋体" w:hint="default"/>
                <w:sz w:val="21"/>
                <w:szCs w:val="21"/>
              </w:rPr>
              <w:t>则东北大学科技</w:t>
            </w:r>
          </w:p>
        </w:tc>
        <w:tc>
          <w:tcPr>
            <w:tcW w:w="233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元现金。目前，本公司</w:t>
            </w:r>
            <w:r>
              <w:rPr>
                <w:rFonts w:ascii="宋体" w:hAnsi="宋体" w:cs="宋体" w:eastAsia="宋体" w:hint="default"/>
                <w:sz w:val="21"/>
                <w:szCs w:val="21"/>
              </w:rPr>
            </w:r>
          </w:p>
        </w:tc>
      </w:tr>
      <w:tr>
        <w:trPr>
          <w:trHeight w:val="624" w:hRule="exact"/>
        </w:trPr>
        <w:tc>
          <w:tcPr>
            <w:tcW w:w="641"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left="103" w:right="0"/>
              <w:jc w:val="left"/>
              <w:rPr>
                <w:rFonts w:ascii="宋体" w:hAnsi="宋体" w:cs="宋体" w:eastAsia="宋体" w:hint="default"/>
                <w:sz w:val="21"/>
                <w:szCs w:val="21"/>
              </w:rPr>
            </w:pPr>
            <w:r>
              <w:rPr>
                <w:rFonts w:ascii="宋体"/>
                <w:sz w:val="21"/>
              </w:rPr>
              <w:t>2</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东北大学科技产</w:t>
            </w:r>
          </w:p>
          <w:p>
            <w:pPr>
              <w:pStyle w:val="TableParagraph"/>
              <w:spacing w:line="240" w:lineRule="auto" w:before="37"/>
              <w:ind w:left="101" w:right="0"/>
              <w:jc w:val="left"/>
              <w:rPr>
                <w:rFonts w:ascii="宋体" w:hAnsi="宋体" w:cs="宋体" w:eastAsia="宋体" w:hint="default"/>
                <w:sz w:val="21"/>
                <w:szCs w:val="21"/>
              </w:rPr>
            </w:pPr>
            <w:r>
              <w:rPr>
                <w:rFonts w:ascii="宋体" w:hAnsi="宋体" w:cs="宋体" w:eastAsia="宋体" w:hint="default"/>
                <w:sz w:val="21"/>
                <w:szCs w:val="21"/>
              </w:rPr>
              <w:t>业集团有限公司</w:t>
            </w:r>
          </w:p>
        </w:tc>
        <w:tc>
          <w:tcPr>
            <w:tcW w:w="4536"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6"/>
                <w:sz w:val="21"/>
                <w:szCs w:val="21"/>
              </w:rPr>
              <w:t>产业集团有限公司将向本公司支付与未取得权</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4"/>
                <w:sz w:val="21"/>
                <w:szCs w:val="21"/>
              </w:rPr>
              <w:t>属证书的房产或土地的评估净值（以</w:t>
            </w:r>
            <w:r>
              <w:rPr>
                <w:rFonts w:ascii="宋体" w:hAnsi="宋体" w:cs="宋体" w:eastAsia="宋体" w:hint="default"/>
                <w:spacing w:val="-51"/>
                <w:sz w:val="21"/>
                <w:szCs w:val="21"/>
              </w:rPr>
              <w:t> </w:t>
            </w:r>
            <w:r>
              <w:rPr>
                <w:rFonts w:ascii="宋体" w:hAnsi="宋体" w:cs="宋体" w:eastAsia="宋体" w:hint="default"/>
                <w:sz w:val="21"/>
                <w:szCs w:val="21"/>
              </w:rPr>
              <w:t>2006</w:t>
            </w:r>
            <w:r>
              <w:rPr>
                <w:rFonts w:ascii="宋体" w:hAnsi="宋体" w:cs="宋体" w:eastAsia="宋体" w:hint="default"/>
                <w:spacing w:val="-50"/>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p>
        </w:tc>
        <w:tc>
          <w:tcPr>
            <w:tcW w:w="233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正在办理相关手续，待</w:t>
            </w:r>
            <w:r>
              <w:rPr>
                <w:rFonts w:ascii="宋体" w:hAnsi="宋体" w:cs="宋体" w:eastAsia="宋体" w:hint="default"/>
                <w:sz w:val="21"/>
                <w:szCs w:val="21"/>
              </w:rPr>
            </w:r>
          </w:p>
          <w:p>
            <w:pPr>
              <w:pStyle w:val="TableParagraph"/>
              <w:spacing w:line="240" w:lineRule="auto" w:before="37"/>
              <w:ind w:left="103" w:right="0"/>
              <w:jc w:val="left"/>
              <w:rPr>
                <w:rFonts w:ascii="宋体" w:hAnsi="宋体" w:cs="宋体" w:eastAsia="宋体" w:hint="default"/>
                <w:sz w:val="21"/>
                <w:szCs w:val="21"/>
              </w:rPr>
            </w:pPr>
            <w:r>
              <w:rPr>
                <w:rFonts w:ascii="宋体" w:hAnsi="宋体" w:cs="宋体" w:eastAsia="宋体" w:hint="default"/>
                <w:spacing w:val="2"/>
                <w:sz w:val="21"/>
                <w:szCs w:val="21"/>
              </w:rPr>
              <w:t>取得上述权属证明后，</w:t>
            </w:r>
            <w:r>
              <w:rPr>
                <w:rFonts w:ascii="宋体" w:hAnsi="宋体" w:cs="宋体" w:eastAsia="宋体" w:hint="default"/>
                <w:sz w:val="21"/>
                <w:szCs w:val="21"/>
              </w:rPr>
            </w:r>
          </w:p>
        </w:tc>
      </w:tr>
      <w:tr>
        <w:trPr>
          <w:trHeight w:val="312" w:hRule="exact"/>
        </w:trPr>
        <w:tc>
          <w:tcPr>
            <w:tcW w:w="641"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4536"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宋体" w:hAnsi="宋体" w:cs="宋体" w:eastAsia="宋体" w:hint="default"/>
                <w:sz w:val="21"/>
                <w:szCs w:val="21"/>
              </w:rPr>
              <w:t>31</w:t>
            </w:r>
            <w:r>
              <w:rPr>
                <w:rFonts w:ascii="宋体" w:hAnsi="宋体" w:cs="宋体" w:eastAsia="宋体" w:hint="default"/>
                <w:spacing w:val="-46"/>
                <w:sz w:val="21"/>
                <w:szCs w:val="21"/>
              </w:rPr>
              <w:t> </w:t>
            </w:r>
            <w:r>
              <w:rPr>
                <w:rFonts w:ascii="宋体" w:hAnsi="宋体" w:cs="宋体" w:eastAsia="宋体" w:hint="default"/>
                <w:sz w:val="21"/>
                <w:szCs w:val="21"/>
              </w:rPr>
              <w:t>日为基准日）相等的现金。待未取得权属</w:t>
            </w:r>
          </w:p>
        </w:tc>
        <w:tc>
          <w:tcPr>
            <w:tcW w:w="233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再由本公司支付东北大</w:t>
            </w:r>
            <w:r>
              <w:rPr>
                <w:rFonts w:ascii="宋体" w:hAnsi="宋体" w:cs="宋体" w:eastAsia="宋体" w:hint="default"/>
                <w:sz w:val="21"/>
                <w:szCs w:val="21"/>
              </w:rPr>
            </w:r>
          </w:p>
        </w:tc>
      </w:tr>
      <w:tr>
        <w:trPr>
          <w:trHeight w:val="312" w:hRule="exact"/>
        </w:trPr>
        <w:tc>
          <w:tcPr>
            <w:tcW w:w="641"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4536"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证书的房产和土地在最终全部取得权属证书后，</w:t>
            </w:r>
          </w:p>
        </w:tc>
        <w:tc>
          <w:tcPr>
            <w:tcW w:w="233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学科技产业集团有限公</w:t>
            </w:r>
            <w:r>
              <w:rPr>
                <w:rFonts w:ascii="宋体" w:hAnsi="宋体" w:cs="宋体" w:eastAsia="宋体" w:hint="default"/>
                <w:sz w:val="21"/>
                <w:szCs w:val="21"/>
              </w:rPr>
            </w:r>
          </w:p>
        </w:tc>
      </w:tr>
      <w:tr>
        <w:trPr>
          <w:trHeight w:val="312" w:hRule="exact"/>
        </w:trPr>
        <w:tc>
          <w:tcPr>
            <w:tcW w:w="641"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4536"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6"/>
                <w:sz w:val="21"/>
                <w:szCs w:val="21"/>
              </w:rPr>
              <w:t>再由本公司支付东北大学科技产业集团有限公</w:t>
            </w:r>
            <w:r>
              <w:rPr>
                <w:rFonts w:ascii="宋体" w:hAnsi="宋体" w:cs="宋体" w:eastAsia="宋体" w:hint="default"/>
                <w:sz w:val="21"/>
                <w:szCs w:val="21"/>
              </w:rPr>
            </w:r>
          </w:p>
        </w:tc>
        <w:tc>
          <w:tcPr>
            <w:tcW w:w="233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司该部分现金（不包括</w:t>
            </w:r>
            <w:r>
              <w:rPr>
                <w:rFonts w:ascii="宋体" w:hAnsi="宋体" w:cs="宋体" w:eastAsia="宋体" w:hint="default"/>
                <w:sz w:val="21"/>
                <w:szCs w:val="21"/>
              </w:rPr>
            </w:r>
          </w:p>
        </w:tc>
      </w:tr>
      <w:tr>
        <w:trPr>
          <w:trHeight w:val="318" w:hRule="exact"/>
        </w:trPr>
        <w:tc>
          <w:tcPr>
            <w:tcW w:w="641" w:type="dxa"/>
            <w:tcBorders>
              <w:top w:val="nil" w:sz="6" w:space="0" w:color="auto"/>
              <w:left w:val="single" w:sz="4" w:space="0" w:color="000000"/>
              <w:bottom w:val="single" w:sz="4" w:space="0" w:color="000000"/>
              <w:right w:val="single" w:sz="4" w:space="0" w:color="000000"/>
            </w:tcBorders>
          </w:tcPr>
          <w:p>
            <w:pPr/>
          </w:p>
        </w:tc>
        <w:tc>
          <w:tcPr>
            <w:tcW w:w="1700" w:type="dxa"/>
            <w:tcBorders>
              <w:top w:val="nil" w:sz="6" w:space="0" w:color="auto"/>
              <w:left w:val="single" w:sz="4" w:space="0" w:color="000000"/>
              <w:bottom w:val="single" w:sz="4" w:space="0" w:color="000000"/>
              <w:right w:val="single" w:sz="4" w:space="0" w:color="000000"/>
            </w:tcBorders>
          </w:tcPr>
          <w:p>
            <w:pPr/>
          </w:p>
        </w:tc>
        <w:tc>
          <w:tcPr>
            <w:tcW w:w="4536"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司该部分现金（不包括利息</w:t>
            </w:r>
            <w:r>
              <w:rPr>
                <w:rFonts w:ascii="宋体" w:hAnsi="宋体" w:cs="宋体" w:eastAsia="宋体" w:hint="default"/>
                <w:spacing w:val="-105"/>
                <w:sz w:val="21"/>
                <w:szCs w:val="21"/>
              </w:rPr>
              <w:t>）</w:t>
            </w:r>
            <w:r>
              <w:rPr>
                <w:rFonts w:ascii="宋体" w:hAnsi="宋体" w:cs="宋体" w:eastAsia="宋体" w:hint="default"/>
                <w:sz w:val="21"/>
                <w:szCs w:val="21"/>
              </w:rPr>
              <w:t>。</w:t>
            </w:r>
          </w:p>
        </w:tc>
        <w:tc>
          <w:tcPr>
            <w:tcW w:w="2339"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利息</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317" w:hRule="exact"/>
        </w:trPr>
        <w:tc>
          <w:tcPr>
            <w:tcW w:w="641" w:type="dxa"/>
            <w:tcBorders>
              <w:top w:val="single" w:sz="4" w:space="0" w:color="000000"/>
              <w:left w:val="single" w:sz="4" w:space="0" w:color="000000"/>
              <w:bottom w:val="nil" w:sz="6" w:space="0" w:color="auto"/>
              <w:right w:val="single" w:sz="4" w:space="0" w:color="000000"/>
            </w:tcBorders>
          </w:tcPr>
          <w:p>
            <w:pPr/>
          </w:p>
        </w:tc>
        <w:tc>
          <w:tcPr>
            <w:tcW w:w="1700" w:type="dxa"/>
            <w:tcBorders>
              <w:top w:val="single" w:sz="4" w:space="0" w:color="000000"/>
              <w:left w:val="single" w:sz="4" w:space="0" w:color="000000"/>
              <w:bottom w:val="nil" w:sz="6" w:space="0" w:color="auto"/>
              <w:right w:val="single" w:sz="4" w:space="0" w:color="000000"/>
            </w:tcBorders>
          </w:tcPr>
          <w:p>
            <w:pPr/>
          </w:p>
        </w:tc>
        <w:tc>
          <w:tcPr>
            <w:tcW w:w="4536" w:type="dxa"/>
            <w:tcBorders>
              <w:top w:val="single" w:sz="4" w:space="0" w:color="000000"/>
              <w:left w:val="single" w:sz="4" w:space="0" w:color="000000"/>
              <w:bottom w:val="nil" w:sz="6" w:space="0" w:color="auto"/>
              <w:right w:val="single" w:sz="4" w:space="0" w:color="000000"/>
            </w:tcBorders>
          </w:tcPr>
          <w:p>
            <w:pPr/>
          </w:p>
        </w:tc>
        <w:tc>
          <w:tcPr>
            <w:tcW w:w="2339" w:type="dxa"/>
            <w:tcBorders>
              <w:top w:val="single" w:sz="4" w:space="0" w:color="000000"/>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截至本报告出具日，本</w:t>
            </w:r>
          </w:p>
        </w:tc>
      </w:tr>
      <w:tr>
        <w:trPr>
          <w:trHeight w:val="312" w:hRule="exact"/>
        </w:trPr>
        <w:tc>
          <w:tcPr>
            <w:tcW w:w="641"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4536"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1"/>
                <w:sz w:val="21"/>
                <w:szCs w:val="21"/>
              </w:rPr>
              <w:t>如果</w:t>
            </w:r>
            <w:r>
              <w:rPr>
                <w:rFonts w:ascii="宋体" w:hAnsi="宋体" w:cs="宋体" w:eastAsia="宋体" w:hint="default"/>
                <w:sz w:val="21"/>
                <w:szCs w:val="21"/>
              </w:rPr>
              <w:t>在</w:t>
            </w:r>
            <w:r>
              <w:rPr>
                <w:rFonts w:ascii="宋体" w:hAnsi="宋体" w:cs="宋体" w:eastAsia="宋体" w:hint="default"/>
                <w:spacing w:val="-53"/>
                <w:sz w:val="21"/>
                <w:szCs w:val="21"/>
              </w:rPr>
              <w:t> </w:t>
            </w:r>
            <w:r>
              <w:rPr>
                <w:rFonts w:ascii="宋体" w:hAnsi="宋体" w:cs="宋体" w:eastAsia="宋体" w:hint="default"/>
                <w:spacing w:val="-1"/>
                <w:sz w:val="21"/>
                <w:szCs w:val="21"/>
              </w:rPr>
              <w:t>200</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pacing w:val="-1"/>
                <w:sz w:val="21"/>
                <w:szCs w:val="21"/>
              </w:rPr>
              <w:t>2</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pacing w:val="-2"/>
                <w:sz w:val="21"/>
                <w:szCs w:val="21"/>
              </w:rPr>
              <w:t>日</w:t>
            </w:r>
            <w:r>
              <w:rPr>
                <w:rFonts w:ascii="宋体" w:hAnsi="宋体" w:cs="宋体" w:eastAsia="宋体" w:hint="default"/>
                <w:spacing w:val="-1"/>
                <w:sz w:val="21"/>
                <w:szCs w:val="21"/>
              </w:rPr>
              <w:t>后</w:t>
            </w:r>
            <w:r>
              <w:rPr>
                <w:rFonts w:ascii="宋体" w:hAnsi="宋体" w:cs="宋体" w:eastAsia="宋体" w:hint="default"/>
                <w:spacing w:val="-90"/>
                <w:sz w:val="21"/>
                <w:szCs w:val="21"/>
              </w:rPr>
              <w:t>，</w:t>
            </w:r>
            <w:r>
              <w:rPr>
                <w:rFonts w:ascii="宋体" w:hAnsi="宋体" w:cs="宋体" w:eastAsia="宋体" w:hint="default"/>
                <w:sz w:val="21"/>
                <w:szCs w:val="21"/>
              </w:rPr>
              <w:t>因原东软集团有限</w:t>
            </w:r>
          </w:p>
        </w:tc>
        <w:tc>
          <w:tcPr>
            <w:tcW w:w="233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公司所承担的上述对外</w:t>
            </w:r>
          </w:p>
        </w:tc>
      </w:tr>
      <w:tr>
        <w:trPr>
          <w:trHeight w:val="936" w:hRule="exact"/>
        </w:trPr>
        <w:tc>
          <w:tcPr>
            <w:tcW w:w="64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03" w:right="0"/>
              <w:jc w:val="left"/>
              <w:rPr>
                <w:rFonts w:ascii="宋体" w:hAnsi="宋体" w:cs="宋体" w:eastAsia="宋体" w:hint="default"/>
                <w:sz w:val="21"/>
                <w:szCs w:val="21"/>
              </w:rPr>
            </w:pPr>
            <w:r>
              <w:rPr>
                <w:rFonts w:ascii="宋体"/>
                <w:sz w:val="21"/>
              </w:rPr>
              <w:t>3</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73" w:lineRule="auto" w:before="142"/>
              <w:ind w:left="101" w:right="100"/>
              <w:jc w:val="left"/>
              <w:rPr>
                <w:rFonts w:ascii="宋体" w:hAnsi="宋体" w:cs="宋体" w:eastAsia="宋体" w:hint="default"/>
                <w:sz w:val="21"/>
                <w:szCs w:val="21"/>
              </w:rPr>
            </w:pPr>
            <w:r>
              <w:rPr>
                <w:rFonts w:ascii="宋体" w:hAnsi="宋体" w:cs="宋体" w:eastAsia="宋体" w:hint="default"/>
                <w:sz w:val="21"/>
                <w:szCs w:val="21"/>
              </w:rPr>
              <w:t>东北大学科技产</w:t>
            </w:r>
            <w:r>
              <w:rPr>
                <w:rFonts w:ascii="宋体" w:hAnsi="宋体" w:cs="宋体" w:eastAsia="宋体" w:hint="default"/>
                <w:spacing w:val="-92"/>
                <w:sz w:val="21"/>
                <w:szCs w:val="21"/>
              </w:rPr>
              <w:t> </w:t>
            </w:r>
            <w:r>
              <w:rPr>
                <w:rFonts w:ascii="宋体" w:hAnsi="宋体" w:cs="宋体" w:eastAsia="宋体" w:hint="default"/>
                <w:sz w:val="21"/>
                <w:szCs w:val="21"/>
              </w:rPr>
              <w:t>业集团有限公司</w:t>
            </w:r>
          </w:p>
        </w:tc>
        <w:tc>
          <w:tcPr>
            <w:tcW w:w="4536"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6"/>
                <w:sz w:val="21"/>
                <w:szCs w:val="21"/>
              </w:rPr>
              <w:t>公司在合并完成日前一日所承担的对外担保而</w:t>
            </w:r>
            <w:r>
              <w:rPr>
                <w:rFonts w:ascii="宋体" w:hAnsi="宋体" w:cs="宋体" w:eastAsia="宋体" w:hint="default"/>
                <w:sz w:val="21"/>
                <w:szCs w:val="21"/>
              </w:rPr>
            </w:r>
          </w:p>
          <w:p>
            <w:pPr>
              <w:pStyle w:val="TableParagraph"/>
              <w:spacing w:line="273" w:lineRule="auto" w:before="37"/>
              <w:ind w:left="103" w:right="97"/>
              <w:jc w:val="left"/>
              <w:rPr>
                <w:rFonts w:ascii="宋体" w:hAnsi="宋体" w:cs="宋体" w:eastAsia="宋体" w:hint="default"/>
                <w:sz w:val="21"/>
                <w:szCs w:val="21"/>
              </w:rPr>
            </w:pPr>
            <w:r>
              <w:rPr>
                <w:rFonts w:ascii="宋体" w:hAnsi="宋体" w:cs="宋体" w:eastAsia="宋体" w:hint="default"/>
                <w:spacing w:val="-5"/>
                <w:sz w:val="21"/>
                <w:szCs w:val="21"/>
              </w:rPr>
              <w:t>给发行人造成经济损失，东北大学科技产业集团</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6"/>
                <w:sz w:val="21"/>
                <w:szCs w:val="21"/>
              </w:rPr>
              <w:t>有限公司将向本公司支付相当于该经济损失的</w:t>
            </w:r>
            <w:r>
              <w:rPr>
                <w:rFonts w:ascii="宋体" w:hAnsi="宋体" w:cs="宋体" w:eastAsia="宋体" w:hint="default"/>
                <w:sz w:val="21"/>
                <w:szCs w:val="21"/>
              </w:rPr>
            </w:r>
          </w:p>
        </w:tc>
        <w:tc>
          <w:tcPr>
            <w:tcW w:w="233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担保责任已经终止，未</w:t>
            </w:r>
          </w:p>
          <w:p>
            <w:pPr>
              <w:pStyle w:val="TableParagraph"/>
              <w:spacing w:line="273" w:lineRule="auto" w:before="37"/>
              <w:ind w:left="103" w:right="125"/>
              <w:jc w:val="left"/>
              <w:rPr>
                <w:rFonts w:ascii="宋体" w:hAnsi="宋体" w:cs="宋体" w:eastAsia="宋体" w:hint="default"/>
                <w:sz w:val="21"/>
                <w:szCs w:val="21"/>
              </w:rPr>
            </w:pPr>
            <w:r>
              <w:rPr>
                <w:rFonts w:ascii="宋体" w:hAnsi="宋体" w:cs="宋体" w:eastAsia="宋体" w:hint="default"/>
                <w:sz w:val="21"/>
                <w:szCs w:val="21"/>
              </w:rPr>
              <w:t>对公司造成经济损失， 因此东北大学科技产业</w:t>
            </w:r>
          </w:p>
        </w:tc>
      </w:tr>
      <w:tr>
        <w:trPr>
          <w:trHeight w:val="312" w:hRule="exact"/>
        </w:trPr>
        <w:tc>
          <w:tcPr>
            <w:tcW w:w="641"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4536"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货币补偿金。</w:t>
            </w:r>
          </w:p>
        </w:tc>
        <w:tc>
          <w:tcPr>
            <w:tcW w:w="233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集团有限公司不再承担</w:t>
            </w:r>
          </w:p>
        </w:tc>
      </w:tr>
      <w:tr>
        <w:trPr>
          <w:trHeight w:val="318" w:hRule="exact"/>
        </w:trPr>
        <w:tc>
          <w:tcPr>
            <w:tcW w:w="641" w:type="dxa"/>
            <w:tcBorders>
              <w:top w:val="nil" w:sz="6" w:space="0" w:color="auto"/>
              <w:left w:val="single" w:sz="4" w:space="0" w:color="000000"/>
              <w:bottom w:val="single" w:sz="4" w:space="0" w:color="000000"/>
              <w:right w:val="single" w:sz="4" w:space="0" w:color="000000"/>
            </w:tcBorders>
          </w:tcPr>
          <w:p>
            <w:pPr/>
          </w:p>
        </w:tc>
        <w:tc>
          <w:tcPr>
            <w:tcW w:w="1700" w:type="dxa"/>
            <w:tcBorders>
              <w:top w:val="nil" w:sz="6" w:space="0" w:color="auto"/>
              <w:left w:val="single" w:sz="4" w:space="0" w:color="000000"/>
              <w:bottom w:val="single" w:sz="4" w:space="0" w:color="000000"/>
              <w:right w:val="single" w:sz="4" w:space="0" w:color="000000"/>
            </w:tcBorders>
          </w:tcPr>
          <w:p>
            <w:pPr/>
          </w:p>
        </w:tc>
        <w:tc>
          <w:tcPr>
            <w:tcW w:w="4536" w:type="dxa"/>
            <w:tcBorders>
              <w:top w:val="nil" w:sz="6" w:space="0" w:color="auto"/>
              <w:left w:val="single" w:sz="4" w:space="0" w:color="000000"/>
              <w:bottom w:val="single" w:sz="4" w:space="0" w:color="000000"/>
              <w:right w:val="single" w:sz="4" w:space="0" w:color="000000"/>
            </w:tcBorders>
          </w:tcPr>
          <w:p>
            <w:pPr/>
          </w:p>
        </w:tc>
        <w:tc>
          <w:tcPr>
            <w:tcW w:w="2339"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上述承诺义务。</w:t>
            </w:r>
          </w:p>
        </w:tc>
      </w:tr>
      <w:tr>
        <w:trPr>
          <w:trHeight w:val="316" w:hRule="exact"/>
        </w:trPr>
        <w:tc>
          <w:tcPr>
            <w:tcW w:w="641" w:type="dxa"/>
            <w:tcBorders>
              <w:top w:val="single" w:sz="4" w:space="0" w:color="000000"/>
              <w:left w:val="single" w:sz="4" w:space="0" w:color="000000"/>
              <w:bottom w:val="nil" w:sz="6" w:space="0" w:color="auto"/>
              <w:right w:val="single" w:sz="4" w:space="0" w:color="000000"/>
            </w:tcBorders>
          </w:tcPr>
          <w:p>
            <w:pPr/>
          </w:p>
        </w:tc>
        <w:tc>
          <w:tcPr>
            <w:tcW w:w="1700" w:type="dxa"/>
            <w:tcBorders>
              <w:top w:val="single" w:sz="4" w:space="0" w:color="000000"/>
              <w:left w:val="single" w:sz="4" w:space="0" w:color="000000"/>
              <w:bottom w:val="nil" w:sz="6" w:space="0" w:color="auto"/>
              <w:right w:val="single" w:sz="4" w:space="0" w:color="000000"/>
            </w:tcBorders>
          </w:tcPr>
          <w:p>
            <w:pPr/>
          </w:p>
        </w:tc>
        <w:tc>
          <w:tcPr>
            <w:tcW w:w="4536" w:type="dxa"/>
            <w:tcBorders>
              <w:top w:val="single" w:sz="4" w:space="0" w:color="000000"/>
              <w:left w:val="single" w:sz="4" w:space="0" w:color="000000"/>
              <w:bottom w:val="nil" w:sz="6" w:space="0" w:color="auto"/>
              <w:right w:val="single" w:sz="4" w:space="0" w:color="000000"/>
            </w:tcBorders>
          </w:tcPr>
          <w:p>
            <w:pPr/>
          </w:p>
        </w:tc>
        <w:tc>
          <w:tcPr>
            <w:tcW w:w="2339"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22</w:t>
            </w:r>
            <w:r>
              <w:rPr>
                <w:rFonts w:ascii="宋体" w:hAnsi="宋体" w:cs="宋体" w:eastAsia="宋体" w:hint="default"/>
                <w:spacing w:val="-53"/>
                <w:sz w:val="21"/>
                <w:szCs w:val="21"/>
              </w:rPr>
              <w:t> </w:t>
            </w:r>
            <w:r>
              <w:rPr>
                <w:rFonts w:ascii="宋体" w:hAnsi="宋体" w:cs="宋体" w:eastAsia="宋体" w:hint="default"/>
                <w:spacing w:val="-10"/>
                <w:sz w:val="21"/>
                <w:szCs w:val="21"/>
              </w:rPr>
              <w:t>日，经</w:t>
            </w:r>
          </w:p>
        </w:tc>
      </w:tr>
      <w:tr>
        <w:trPr>
          <w:trHeight w:val="312" w:hRule="exact"/>
        </w:trPr>
        <w:tc>
          <w:tcPr>
            <w:tcW w:w="641"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4536" w:type="dxa"/>
            <w:tcBorders>
              <w:top w:val="nil" w:sz="6" w:space="0" w:color="auto"/>
              <w:left w:val="single" w:sz="4" w:space="0" w:color="000000"/>
              <w:bottom w:val="nil" w:sz="6" w:space="0" w:color="auto"/>
              <w:right w:val="single" w:sz="4" w:space="0" w:color="000000"/>
            </w:tcBorders>
          </w:tcPr>
          <w:p>
            <w:pPr/>
          </w:p>
        </w:tc>
        <w:tc>
          <w:tcPr>
            <w:tcW w:w="233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 2011</w:t>
            </w:r>
            <w:r>
              <w:rPr>
                <w:rFonts w:ascii="宋体" w:hAnsi="宋体" w:cs="宋体" w:eastAsia="宋体" w:hint="default"/>
                <w:spacing w:val="6"/>
                <w:sz w:val="21"/>
                <w:szCs w:val="21"/>
              </w:rPr>
              <w:t> </w:t>
            </w:r>
            <w:r>
              <w:rPr>
                <w:rFonts w:ascii="宋体" w:hAnsi="宋体" w:cs="宋体" w:eastAsia="宋体" w:hint="default"/>
                <w:spacing w:val="3"/>
                <w:sz w:val="21"/>
                <w:szCs w:val="21"/>
              </w:rPr>
              <w:t>年第一次临</w:t>
            </w:r>
            <w:r>
              <w:rPr>
                <w:rFonts w:ascii="宋体" w:hAnsi="宋体" w:cs="宋体" w:eastAsia="宋体" w:hint="default"/>
                <w:sz w:val="21"/>
                <w:szCs w:val="21"/>
              </w:rPr>
            </w:r>
          </w:p>
        </w:tc>
      </w:tr>
      <w:tr>
        <w:trPr>
          <w:trHeight w:val="312" w:hRule="exact"/>
        </w:trPr>
        <w:tc>
          <w:tcPr>
            <w:tcW w:w="641"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4536" w:type="dxa"/>
            <w:tcBorders>
              <w:top w:val="nil" w:sz="6" w:space="0" w:color="auto"/>
              <w:left w:val="single" w:sz="4" w:space="0" w:color="000000"/>
              <w:bottom w:val="nil" w:sz="6" w:space="0" w:color="auto"/>
              <w:right w:val="single" w:sz="4" w:space="0" w:color="000000"/>
            </w:tcBorders>
          </w:tcPr>
          <w:p>
            <w:pPr/>
          </w:p>
        </w:tc>
        <w:tc>
          <w:tcPr>
            <w:tcW w:w="233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时股东大会审议决定将</w:t>
            </w:r>
            <w:r>
              <w:rPr>
                <w:rFonts w:ascii="宋体" w:hAnsi="宋体" w:cs="宋体" w:eastAsia="宋体" w:hint="default"/>
                <w:sz w:val="21"/>
                <w:szCs w:val="21"/>
              </w:rPr>
            </w:r>
          </w:p>
        </w:tc>
      </w:tr>
      <w:tr>
        <w:trPr>
          <w:trHeight w:val="1872" w:hRule="exact"/>
        </w:trPr>
        <w:tc>
          <w:tcPr>
            <w:tcW w:w="64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4</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73" w:lineRule="auto"/>
              <w:ind w:left="101" w:right="100"/>
              <w:jc w:val="left"/>
              <w:rPr>
                <w:rFonts w:ascii="宋体" w:hAnsi="宋体" w:cs="宋体" w:eastAsia="宋体" w:hint="default"/>
                <w:sz w:val="21"/>
                <w:szCs w:val="21"/>
              </w:rPr>
            </w:pPr>
            <w:r>
              <w:rPr>
                <w:rFonts w:ascii="宋体" w:hAnsi="宋体" w:cs="宋体" w:eastAsia="宋体" w:hint="default"/>
                <w:sz w:val="21"/>
                <w:szCs w:val="21"/>
              </w:rPr>
              <w:t>东北大学科技产</w:t>
            </w:r>
            <w:r>
              <w:rPr>
                <w:rFonts w:ascii="宋体" w:hAnsi="宋体" w:cs="宋体" w:eastAsia="宋体" w:hint="default"/>
                <w:spacing w:val="-92"/>
                <w:sz w:val="21"/>
                <w:szCs w:val="21"/>
              </w:rPr>
              <w:t> </w:t>
            </w:r>
            <w:r>
              <w:rPr>
                <w:rFonts w:ascii="宋体" w:hAnsi="宋体" w:cs="宋体" w:eastAsia="宋体" w:hint="default"/>
                <w:sz w:val="21"/>
                <w:szCs w:val="21"/>
              </w:rPr>
              <w:t>业集团有限公司</w:t>
            </w:r>
          </w:p>
        </w:tc>
        <w:tc>
          <w:tcPr>
            <w:tcW w:w="4536" w:type="dxa"/>
            <w:tcBorders>
              <w:top w:val="nil" w:sz="6" w:space="0" w:color="auto"/>
              <w:left w:val="single" w:sz="4" w:space="0" w:color="000000"/>
              <w:bottom w:val="nil" w:sz="6" w:space="0" w:color="auto"/>
              <w:right w:val="single" w:sz="4" w:space="0" w:color="000000"/>
            </w:tcBorders>
          </w:tcPr>
          <w:p>
            <w:pPr>
              <w:pStyle w:val="TableParagraph"/>
              <w:spacing w:line="273" w:lineRule="auto" w:before="142"/>
              <w:ind w:left="103" w:right="97"/>
              <w:jc w:val="both"/>
              <w:rPr>
                <w:rFonts w:ascii="宋体" w:hAnsi="宋体" w:cs="宋体" w:eastAsia="宋体" w:hint="default"/>
                <w:sz w:val="21"/>
                <w:szCs w:val="21"/>
              </w:rPr>
            </w:pPr>
            <w:r>
              <w:rPr>
                <w:rFonts w:ascii="宋体" w:hAnsi="宋体" w:cs="宋体" w:eastAsia="宋体" w:hint="default"/>
                <w:sz w:val="21"/>
                <w:szCs w:val="21"/>
              </w:rPr>
              <w:t>从</w:t>
            </w:r>
            <w:r>
              <w:rPr>
                <w:rFonts w:ascii="宋体" w:hAnsi="宋体" w:cs="宋体" w:eastAsia="宋体" w:hint="default"/>
                <w:spacing w:val="-52"/>
                <w:sz w:val="21"/>
                <w:szCs w:val="21"/>
              </w:rPr>
              <w:t> </w:t>
            </w:r>
            <w:r>
              <w:rPr>
                <w:rFonts w:ascii="宋体" w:hAnsi="宋体" w:cs="宋体" w:eastAsia="宋体" w:hint="default"/>
                <w:spacing w:val="-1"/>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pacing w:val="-1"/>
                <w:sz w:val="21"/>
                <w:szCs w:val="21"/>
              </w:rPr>
              <w:t>28</w:t>
            </w:r>
            <w:r>
              <w:rPr>
                <w:rFonts w:ascii="宋体" w:hAnsi="宋体" w:cs="宋体" w:eastAsia="宋体" w:hint="default"/>
                <w:spacing w:val="-52"/>
                <w:sz w:val="21"/>
                <w:szCs w:val="21"/>
              </w:rPr>
              <w:t> </w:t>
            </w:r>
            <w:r>
              <w:rPr>
                <w:rFonts w:ascii="宋体" w:hAnsi="宋体" w:cs="宋体" w:eastAsia="宋体" w:hint="default"/>
                <w:sz w:val="21"/>
                <w:szCs w:val="21"/>
              </w:rPr>
              <w:t>日起</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pacing w:val="-9"/>
                <w:sz w:val="21"/>
                <w:szCs w:val="21"/>
              </w:rPr>
              <w:t>年内，如教育资产对发</w:t>
            </w:r>
            <w:r>
              <w:rPr>
                <w:rFonts w:ascii="宋体" w:hAnsi="宋体" w:cs="宋体" w:eastAsia="宋体" w:hint="default"/>
                <w:sz w:val="21"/>
                <w:szCs w:val="21"/>
              </w:rPr>
              <w:t> </w:t>
            </w:r>
            <w:r>
              <w:rPr>
                <w:rFonts w:ascii="宋体" w:hAnsi="宋体" w:cs="宋体" w:eastAsia="宋体" w:hint="default"/>
                <w:spacing w:val="-5"/>
                <w:sz w:val="21"/>
                <w:szCs w:val="21"/>
              </w:rPr>
              <w:t>行人形成经济损失，则东北大学科技产业集团有</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6"/>
                <w:sz w:val="21"/>
                <w:szCs w:val="21"/>
              </w:rPr>
              <w:t>限公司将按北京中企华资产评估有限责任公司</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出具的“中企华评报字[2007]第 053</w:t>
            </w:r>
            <w:r>
              <w:rPr>
                <w:rFonts w:ascii="宋体" w:hAnsi="宋体" w:cs="宋体" w:eastAsia="宋体" w:hint="default"/>
                <w:spacing w:val="9"/>
                <w:sz w:val="21"/>
                <w:szCs w:val="21"/>
              </w:rPr>
              <w:t> </w:t>
            </w:r>
            <w:r>
              <w:rPr>
                <w:rFonts w:ascii="宋体" w:hAnsi="宋体" w:cs="宋体" w:eastAsia="宋体" w:hint="default"/>
                <w:sz w:val="21"/>
                <w:szCs w:val="21"/>
              </w:rPr>
              <w:t>号”评估</w:t>
            </w:r>
            <w:r>
              <w:rPr>
                <w:rFonts w:ascii="宋体" w:hAnsi="宋体" w:cs="宋体" w:eastAsia="宋体" w:hint="default"/>
                <w:spacing w:val="1"/>
                <w:sz w:val="21"/>
                <w:szCs w:val="21"/>
              </w:rPr>
              <w:t> </w:t>
            </w:r>
            <w:r>
              <w:rPr>
                <w:rFonts w:ascii="宋体" w:hAnsi="宋体" w:cs="宋体" w:eastAsia="宋体" w:hint="default"/>
                <w:sz w:val="21"/>
                <w:szCs w:val="21"/>
              </w:rPr>
              <w:t>报告对该教育资产的评估值作价进行收购。</w:t>
            </w:r>
          </w:p>
        </w:tc>
        <w:tc>
          <w:tcPr>
            <w:tcW w:w="233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both"/>
              <w:rPr>
                <w:rFonts w:ascii="宋体" w:hAnsi="宋体" w:cs="宋体" w:eastAsia="宋体" w:hint="default"/>
                <w:sz w:val="21"/>
                <w:szCs w:val="21"/>
              </w:rPr>
            </w:pPr>
            <w:r>
              <w:rPr>
                <w:rFonts w:ascii="宋体" w:hAnsi="宋体" w:cs="宋体" w:eastAsia="宋体" w:hint="default"/>
                <w:spacing w:val="2"/>
                <w:sz w:val="21"/>
                <w:szCs w:val="21"/>
              </w:rPr>
              <w:t>教育资产全部出售，出</w:t>
            </w:r>
            <w:r>
              <w:rPr>
                <w:rFonts w:ascii="宋体" w:hAnsi="宋体" w:cs="宋体" w:eastAsia="宋体" w:hint="default"/>
                <w:sz w:val="21"/>
                <w:szCs w:val="21"/>
              </w:rPr>
            </w:r>
          </w:p>
          <w:p>
            <w:pPr>
              <w:pStyle w:val="TableParagraph"/>
              <w:spacing w:line="273" w:lineRule="auto" w:before="37"/>
              <w:ind w:left="103" w:right="98"/>
              <w:jc w:val="both"/>
              <w:rPr>
                <w:rFonts w:ascii="宋体" w:hAnsi="宋体" w:cs="宋体" w:eastAsia="宋体" w:hint="default"/>
                <w:sz w:val="21"/>
                <w:szCs w:val="21"/>
              </w:rPr>
            </w:pPr>
            <w:r>
              <w:rPr>
                <w:rFonts w:ascii="宋体" w:hAnsi="宋体" w:cs="宋体" w:eastAsia="宋体" w:hint="default"/>
                <w:spacing w:val="2"/>
                <w:sz w:val="21"/>
                <w:szCs w:val="21"/>
              </w:rPr>
              <w:t>售成交价格高出举办者 原始出资，对本公司没 有形成经济损失，因此 东北大学科技产业集团 有限公司不再承担上述</w:t>
            </w:r>
            <w:r>
              <w:rPr>
                <w:rFonts w:ascii="宋体" w:hAnsi="宋体" w:cs="宋体" w:eastAsia="宋体" w:hint="default"/>
                <w:sz w:val="21"/>
                <w:szCs w:val="21"/>
              </w:rPr>
            </w:r>
          </w:p>
        </w:tc>
      </w:tr>
      <w:tr>
        <w:trPr>
          <w:trHeight w:val="312" w:hRule="exact"/>
        </w:trPr>
        <w:tc>
          <w:tcPr>
            <w:tcW w:w="641"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4536" w:type="dxa"/>
            <w:tcBorders>
              <w:top w:val="nil" w:sz="6" w:space="0" w:color="auto"/>
              <w:left w:val="single" w:sz="4" w:space="0" w:color="000000"/>
              <w:bottom w:val="nil" w:sz="6" w:space="0" w:color="auto"/>
              <w:right w:val="single" w:sz="4" w:space="0" w:color="000000"/>
            </w:tcBorders>
          </w:tcPr>
          <w:p>
            <w:pPr/>
          </w:p>
        </w:tc>
        <w:tc>
          <w:tcPr>
            <w:tcW w:w="233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承诺义务。该出售资产</w:t>
            </w:r>
            <w:r>
              <w:rPr>
                <w:rFonts w:ascii="宋体" w:hAnsi="宋体" w:cs="宋体" w:eastAsia="宋体" w:hint="default"/>
                <w:sz w:val="21"/>
                <w:szCs w:val="21"/>
              </w:rPr>
            </w:r>
          </w:p>
        </w:tc>
      </w:tr>
      <w:tr>
        <w:trPr>
          <w:trHeight w:val="312" w:hRule="exact"/>
        </w:trPr>
        <w:tc>
          <w:tcPr>
            <w:tcW w:w="641"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4536" w:type="dxa"/>
            <w:tcBorders>
              <w:top w:val="nil" w:sz="6" w:space="0" w:color="auto"/>
              <w:left w:val="single" w:sz="4" w:space="0" w:color="000000"/>
              <w:bottom w:val="nil" w:sz="6" w:space="0" w:color="auto"/>
              <w:right w:val="single" w:sz="4" w:space="0" w:color="000000"/>
            </w:tcBorders>
          </w:tcPr>
          <w:p>
            <w:pPr/>
          </w:p>
        </w:tc>
        <w:tc>
          <w:tcPr>
            <w:tcW w:w="2339"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事项尚没有完成交割手</w:t>
            </w:r>
            <w:r>
              <w:rPr>
                <w:rFonts w:ascii="宋体" w:hAnsi="宋体" w:cs="宋体" w:eastAsia="宋体" w:hint="default"/>
                <w:sz w:val="21"/>
                <w:szCs w:val="21"/>
              </w:rPr>
            </w:r>
          </w:p>
        </w:tc>
      </w:tr>
      <w:tr>
        <w:trPr>
          <w:trHeight w:val="318" w:hRule="exact"/>
        </w:trPr>
        <w:tc>
          <w:tcPr>
            <w:tcW w:w="641" w:type="dxa"/>
            <w:tcBorders>
              <w:top w:val="nil" w:sz="6" w:space="0" w:color="auto"/>
              <w:left w:val="single" w:sz="4" w:space="0" w:color="000000"/>
              <w:bottom w:val="single" w:sz="4" w:space="0" w:color="000000"/>
              <w:right w:val="single" w:sz="4" w:space="0" w:color="000000"/>
            </w:tcBorders>
          </w:tcPr>
          <w:p>
            <w:pPr/>
          </w:p>
        </w:tc>
        <w:tc>
          <w:tcPr>
            <w:tcW w:w="1700" w:type="dxa"/>
            <w:tcBorders>
              <w:top w:val="nil" w:sz="6" w:space="0" w:color="auto"/>
              <w:left w:val="single" w:sz="4" w:space="0" w:color="000000"/>
              <w:bottom w:val="single" w:sz="4" w:space="0" w:color="000000"/>
              <w:right w:val="single" w:sz="4" w:space="0" w:color="000000"/>
            </w:tcBorders>
          </w:tcPr>
          <w:p>
            <w:pPr/>
          </w:p>
        </w:tc>
        <w:tc>
          <w:tcPr>
            <w:tcW w:w="4536" w:type="dxa"/>
            <w:tcBorders>
              <w:top w:val="nil" w:sz="6" w:space="0" w:color="auto"/>
              <w:left w:val="single" w:sz="4" w:space="0" w:color="000000"/>
              <w:bottom w:val="single" w:sz="4" w:space="0" w:color="000000"/>
              <w:right w:val="single" w:sz="4" w:space="0" w:color="000000"/>
            </w:tcBorders>
          </w:tcPr>
          <w:p>
            <w:pPr/>
          </w:p>
        </w:tc>
        <w:tc>
          <w:tcPr>
            <w:tcW w:w="2339"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续。</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pStyle w:val="BodyText"/>
        <w:spacing w:line="240" w:lineRule="auto"/>
        <w:ind w:left="178" w:right="2861"/>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240" w:right="1220"/>
        </w:sectPr>
      </w:pPr>
    </w:p>
    <w:p>
      <w:pPr>
        <w:spacing w:line="240" w:lineRule="auto" w:before="4"/>
        <w:rPr>
          <w:rFonts w:ascii="黑体" w:hAnsi="黑体" w:cs="黑体" w:eastAsia="黑体" w:hint="default"/>
          <w:sz w:val="20"/>
          <w:szCs w:val="20"/>
        </w:rPr>
      </w:pPr>
    </w:p>
    <w:p>
      <w:pPr>
        <w:pStyle w:val="Heading4"/>
        <w:spacing w:line="240" w:lineRule="auto"/>
        <w:ind w:left="218" w:right="0"/>
        <w:jc w:val="both"/>
        <w:rPr>
          <w:b w:val="0"/>
          <w:bCs w:val="0"/>
        </w:rPr>
      </w:pPr>
      <w:r>
        <w:rPr/>
        <w:t>（八）聘任、解聘会计师事务所情况</w:t>
      </w:r>
      <w:r>
        <w:rPr>
          <w:b w:val="0"/>
          <w:bCs w:val="0"/>
        </w:rPr>
      </w:r>
    </w:p>
    <w:p>
      <w:pPr>
        <w:pStyle w:val="Heading5"/>
        <w:spacing w:line="312" w:lineRule="exact" w:before="152"/>
        <w:ind w:left="218" w:right="229" w:firstLine="480"/>
        <w:jc w:val="both"/>
      </w:pPr>
      <w:r>
        <w:rPr/>
        <w:t>于</w:t>
      </w:r>
      <w:r>
        <w:rPr>
          <w:spacing w:val="-59"/>
        </w:rPr>
        <w:t> </w:t>
      </w:r>
      <w:r>
        <w:rPr>
          <w:spacing w:val="26"/>
        </w:rPr>
        <w:t>2011年5月</w:t>
      </w:r>
      <w:r>
        <w:rPr>
          <w:spacing w:val="-59"/>
        </w:rPr>
        <w:t> </w:t>
      </w:r>
      <w:r>
        <w:rPr/>
        <w:t>25</w:t>
      </w:r>
      <w:r>
        <w:rPr>
          <w:spacing w:val="-59"/>
        </w:rPr>
        <w:t> </w:t>
      </w:r>
      <w:r>
        <w:rPr/>
        <w:t>日召开的公司</w:t>
      </w:r>
      <w:r>
        <w:rPr>
          <w:spacing w:val="-59"/>
        </w:rPr>
        <w:t> </w:t>
      </w:r>
      <w:r>
        <w:rPr/>
        <w:t>2010</w:t>
      </w:r>
      <w:r>
        <w:rPr>
          <w:spacing w:val="-59"/>
        </w:rPr>
        <w:t> </w:t>
      </w:r>
      <w:r>
        <w:rPr/>
        <w:t>年度股东大会，审议通过了《关于聘请</w:t>
      </w:r>
      <w:r>
        <w:rPr>
          <w:spacing w:val="-59"/>
        </w:rPr>
        <w:t> </w:t>
      </w:r>
      <w:r>
        <w:rPr/>
        <w:t>2011</w:t>
      </w:r>
      <w:r>
        <w:rPr/>
        <w:t> </w:t>
      </w:r>
      <w:r>
        <w:rPr>
          <w:spacing w:val="-2"/>
        </w:rPr>
        <w:t>年度财务审计机构的议案》，股东大会决定续聘立信会计师事务所（特殊普通合伙）为</w:t>
      </w:r>
      <w:r>
        <w:rPr>
          <w:spacing w:val="-103"/>
        </w:rPr>
        <w:t> </w:t>
      </w:r>
      <w:r>
        <w:rPr>
          <w:spacing w:val="-103"/>
        </w:rPr>
      </w:r>
      <w:r>
        <w:rPr/>
        <w:t>公司</w:t>
      </w:r>
      <w:r>
        <w:rPr>
          <w:spacing w:val="-48"/>
        </w:rPr>
        <w:t> </w:t>
      </w:r>
      <w:r>
        <w:rPr/>
        <w:t>2011</w:t>
      </w:r>
      <w:r>
        <w:rPr>
          <w:spacing w:val="-50"/>
        </w:rPr>
        <w:t> </w:t>
      </w:r>
      <w:r>
        <w:rPr/>
        <w:t>年度财务审计机构，聘期从</w:t>
      </w:r>
      <w:r>
        <w:rPr>
          <w:spacing w:val="-48"/>
        </w:rPr>
        <w:t> </w:t>
      </w:r>
      <w:r>
        <w:rPr/>
        <w:t>2010</w:t>
      </w:r>
      <w:r>
        <w:rPr>
          <w:spacing w:val="-50"/>
        </w:rPr>
        <w:t> </w:t>
      </w:r>
      <w:r>
        <w:rPr/>
        <w:t>年度股东大会批准之日起至</w:t>
      </w:r>
      <w:r>
        <w:rPr>
          <w:spacing w:val="-48"/>
        </w:rPr>
        <w:t> </w:t>
      </w:r>
      <w:r>
        <w:rPr/>
        <w:t>2011</w:t>
      </w:r>
      <w:r>
        <w:rPr>
          <w:spacing w:val="-50"/>
        </w:rPr>
        <w:t> </w:t>
      </w:r>
      <w:r>
        <w:rPr/>
        <w:t>年度股东</w:t>
      </w:r>
      <w:r>
        <w:rPr/>
        <w:t> 大会结束之日止。</w:t>
      </w:r>
    </w:p>
    <w:p>
      <w:pPr>
        <w:spacing w:line="282" w:lineRule="exact" w:before="0"/>
        <w:ind w:left="698" w:right="0" w:firstLine="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54"/>
          <w:sz w:val="24"/>
          <w:szCs w:val="24"/>
        </w:rPr>
        <w:t> </w:t>
      </w:r>
      <w:r>
        <w:rPr>
          <w:rFonts w:ascii="宋体" w:hAnsi="宋体" w:cs="宋体" w:eastAsia="宋体" w:hint="default"/>
          <w:spacing w:val="-6"/>
          <w:sz w:val="24"/>
          <w:szCs w:val="24"/>
        </w:rPr>
        <w:t>年，立信会计师事务所（特殊普通合伙）对本公司</w:t>
      </w:r>
      <w:r>
        <w:rPr>
          <w:rFonts w:ascii="宋体" w:hAnsi="宋体" w:cs="宋体" w:eastAsia="宋体" w:hint="default"/>
          <w:spacing w:val="-54"/>
          <w:sz w:val="24"/>
          <w:szCs w:val="24"/>
        </w:rPr>
        <w:t> </w:t>
      </w:r>
      <w:r>
        <w:rPr>
          <w:rFonts w:ascii="宋体" w:hAnsi="宋体" w:cs="宋体" w:eastAsia="宋体" w:hint="default"/>
          <w:sz w:val="24"/>
          <w:szCs w:val="24"/>
        </w:rPr>
        <w:t>2011</w:t>
      </w:r>
      <w:r>
        <w:rPr>
          <w:rFonts w:ascii="宋体" w:hAnsi="宋体" w:cs="宋体" w:eastAsia="宋体" w:hint="default"/>
          <w:spacing w:val="-54"/>
          <w:sz w:val="24"/>
          <w:szCs w:val="24"/>
        </w:rPr>
        <w:t> </w:t>
      </w:r>
      <w:r>
        <w:rPr>
          <w:rFonts w:ascii="宋体" w:hAnsi="宋体" w:cs="宋体" w:eastAsia="宋体" w:hint="default"/>
          <w:sz w:val="24"/>
          <w:szCs w:val="24"/>
        </w:rPr>
        <w:t>年度报告进行了审计，</w:t>
      </w:r>
    </w:p>
    <w:p>
      <w:pPr>
        <w:spacing w:line="312" w:lineRule="exact" w:before="29"/>
        <w:ind w:left="218" w:right="185" w:firstLine="0"/>
        <w:jc w:val="both"/>
        <w:rPr>
          <w:rFonts w:ascii="宋体" w:hAnsi="宋体" w:cs="宋体" w:eastAsia="宋体" w:hint="default"/>
          <w:sz w:val="24"/>
          <w:szCs w:val="24"/>
        </w:rPr>
      </w:pPr>
      <w:r>
        <w:rPr>
          <w:rFonts w:ascii="宋体" w:hAnsi="宋体" w:cs="宋体" w:eastAsia="宋体" w:hint="default"/>
          <w:sz w:val="24"/>
          <w:szCs w:val="24"/>
        </w:rPr>
        <w:t>公司为此支付的审计费用为</w:t>
      </w:r>
      <w:r>
        <w:rPr>
          <w:rFonts w:ascii="宋体" w:hAnsi="宋体" w:cs="宋体" w:eastAsia="宋体" w:hint="default"/>
          <w:spacing w:val="-53"/>
          <w:sz w:val="24"/>
          <w:szCs w:val="24"/>
        </w:rPr>
        <w:t> </w:t>
      </w:r>
      <w:r>
        <w:rPr>
          <w:rFonts w:ascii="宋体" w:hAnsi="宋体" w:cs="宋体" w:eastAsia="宋体" w:hint="default"/>
          <w:sz w:val="24"/>
          <w:szCs w:val="24"/>
        </w:rPr>
        <w:t>130</w:t>
      </w:r>
      <w:r>
        <w:rPr>
          <w:rFonts w:ascii="宋体" w:hAnsi="宋体" w:cs="宋体" w:eastAsia="宋体" w:hint="default"/>
          <w:spacing w:val="-53"/>
          <w:sz w:val="24"/>
          <w:szCs w:val="24"/>
        </w:rPr>
        <w:t> </w:t>
      </w:r>
      <w:r>
        <w:rPr>
          <w:rFonts w:ascii="宋体" w:hAnsi="宋体" w:cs="宋体" w:eastAsia="宋体" w:hint="default"/>
          <w:spacing w:val="-3"/>
          <w:sz w:val="24"/>
          <w:szCs w:val="24"/>
        </w:rPr>
        <w:t>万元人民币。截至本报告期末，立信会计师事务所（特</w:t>
      </w:r>
      <w:r>
        <w:rPr>
          <w:rFonts w:ascii="宋体" w:hAnsi="宋体" w:cs="宋体" w:eastAsia="宋体" w:hint="default"/>
          <w:spacing w:val="-114"/>
          <w:sz w:val="24"/>
          <w:szCs w:val="24"/>
        </w:rPr>
        <w:t> </w:t>
      </w:r>
      <w:r>
        <w:rPr>
          <w:rFonts w:ascii="宋体" w:hAnsi="宋体" w:cs="宋体" w:eastAsia="宋体" w:hint="default"/>
          <w:spacing w:val="-114"/>
          <w:sz w:val="24"/>
          <w:szCs w:val="24"/>
        </w:rPr>
      </w:r>
      <w:r>
        <w:rPr>
          <w:rFonts w:ascii="宋体" w:hAnsi="宋体" w:cs="宋体" w:eastAsia="宋体" w:hint="default"/>
          <w:sz w:val="24"/>
          <w:szCs w:val="24"/>
        </w:rPr>
        <w:t>殊普通合伙）已经为本公司提供了四年审计服务。立信会计师事务所（特殊普通合伙） 2011</w:t>
      </w:r>
      <w:r>
        <w:rPr>
          <w:rFonts w:ascii="宋体" w:hAnsi="宋体" w:cs="宋体" w:eastAsia="宋体" w:hint="default"/>
          <w:spacing w:val="-60"/>
          <w:sz w:val="24"/>
          <w:szCs w:val="24"/>
        </w:rPr>
        <w:t> </w:t>
      </w:r>
      <w:r>
        <w:rPr>
          <w:rFonts w:ascii="宋体" w:hAnsi="宋体" w:cs="宋体" w:eastAsia="宋体" w:hint="default"/>
          <w:sz w:val="24"/>
          <w:szCs w:val="24"/>
        </w:rPr>
        <w:t>年度的签字会计师为李晨和姜丽君。</w:t>
      </w:r>
    </w:p>
    <w:p>
      <w:pPr>
        <w:spacing w:before="156"/>
        <w:ind w:left="218" w:right="231" w:firstLine="0"/>
        <w:jc w:val="both"/>
        <w:rPr>
          <w:rFonts w:ascii="宋体" w:hAnsi="宋体" w:cs="宋体" w:eastAsia="宋体" w:hint="default"/>
          <w:sz w:val="24"/>
          <w:szCs w:val="24"/>
        </w:rPr>
      </w:pPr>
      <w:r>
        <w:rPr>
          <w:rFonts w:ascii="宋体" w:hAnsi="宋体" w:cs="宋体" w:eastAsia="宋体" w:hint="default"/>
          <w:b/>
          <w:bCs/>
          <w:spacing w:val="-2"/>
          <w:w w:val="95"/>
          <w:sz w:val="24"/>
          <w:szCs w:val="24"/>
        </w:rPr>
        <w:t>（九）上市公司及其董事、监事、高级管理人员、公司股东、实际控制人处罚及整改情</w:t>
      </w:r>
      <w:r>
        <w:rPr>
          <w:rFonts w:ascii="宋体" w:hAnsi="宋体" w:cs="宋体" w:eastAsia="宋体" w:hint="default"/>
          <w:b/>
          <w:bCs/>
          <w:spacing w:val="1"/>
          <w:w w:val="95"/>
          <w:sz w:val="24"/>
          <w:szCs w:val="24"/>
        </w:rPr>
        <w:t>  </w:t>
      </w:r>
      <w:r>
        <w:rPr>
          <w:rFonts w:ascii="宋体" w:hAnsi="宋体" w:cs="宋体" w:eastAsia="宋体" w:hint="default"/>
          <w:b/>
          <w:bCs/>
          <w:spacing w:val="101"/>
          <w:w w:val="95"/>
          <w:sz w:val="24"/>
          <w:szCs w:val="24"/>
        </w:rPr>
        <w:t> </w:t>
      </w:r>
      <w:r>
        <w:rPr>
          <w:rFonts w:ascii="宋体" w:hAnsi="宋体" w:cs="宋体" w:eastAsia="宋体" w:hint="default"/>
          <w:b/>
          <w:bCs/>
          <w:spacing w:val="101"/>
          <w:w w:val="95"/>
          <w:sz w:val="24"/>
          <w:szCs w:val="24"/>
        </w:rPr>
      </w:r>
      <w:r>
        <w:rPr>
          <w:rFonts w:ascii="宋体" w:hAnsi="宋体" w:cs="宋体" w:eastAsia="宋体" w:hint="default"/>
          <w:b/>
          <w:bCs/>
          <w:sz w:val="24"/>
          <w:szCs w:val="24"/>
        </w:rPr>
        <w:t>况</w:t>
      </w:r>
      <w:r>
        <w:rPr>
          <w:rFonts w:ascii="宋体" w:hAnsi="宋体" w:cs="宋体" w:eastAsia="宋体" w:hint="default"/>
          <w:sz w:val="24"/>
          <w:szCs w:val="24"/>
        </w:rPr>
      </w:r>
    </w:p>
    <w:p>
      <w:pPr>
        <w:spacing w:line="312" w:lineRule="exact" w:before="151"/>
        <w:ind w:left="218" w:right="0" w:firstLine="480"/>
        <w:jc w:val="left"/>
        <w:rPr>
          <w:rFonts w:ascii="宋体" w:hAnsi="宋体" w:cs="宋体" w:eastAsia="宋体" w:hint="default"/>
          <w:sz w:val="24"/>
          <w:szCs w:val="24"/>
        </w:rPr>
      </w:pPr>
      <w:r>
        <w:rPr>
          <w:rFonts w:ascii="宋体" w:hAnsi="宋体" w:cs="宋体" w:eastAsia="宋体" w:hint="default"/>
          <w:spacing w:val="-6"/>
          <w:sz w:val="24"/>
          <w:szCs w:val="24"/>
        </w:rPr>
        <w:t>本年度，公司及其董事、监事、高级管理人员、公司股东均未受中国证监会的稽查、</w:t>
      </w:r>
      <w:r>
        <w:rPr>
          <w:rFonts w:ascii="宋体" w:hAnsi="宋体" w:cs="宋体" w:eastAsia="宋体" w:hint="default"/>
          <w:spacing w:val="-1"/>
          <w:sz w:val="24"/>
          <w:szCs w:val="24"/>
        </w:rPr>
        <w:t> </w:t>
      </w:r>
      <w:r>
        <w:rPr>
          <w:rFonts w:ascii="宋体" w:hAnsi="宋体" w:cs="宋体" w:eastAsia="宋体" w:hint="default"/>
          <w:sz w:val="24"/>
          <w:szCs w:val="24"/>
        </w:rPr>
        <w:t>行政处罚、通报批评及证券交易所的公开谴责，无涉嫌违规买卖公司股票的情况。</w:t>
      </w:r>
    </w:p>
    <w:p>
      <w:pPr>
        <w:spacing w:line="331" w:lineRule="auto" w:before="157"/>
        <w:ind w:left="698" w:right="5686" w:hanging="480"/>
        <w:jc w:val="left"/>
        <w:rPr>
          <w:rFonts w:ascii="宋体" w:hAnsi="宋体" w:cs="宋体" w:eastAsia="宋体" w:hint="default"/>
          <w:sz w:val="24"/>
          <w:szCs w:val="24"/>
        </w:rPr>
      </w:pPr>
      <w:r>
        <w:rPr>
          <w:rFonts w:ascii="宋体" w:hAnsi="宋体" w:cs="宋体" w:eastAsia="宋体" w:hint="default"/>
          <w:b/>
          <w:bCs/>
          <w:sz w:val="24"/>
          <w:szCs w:val="24"/>
        </w:rPr>
        <w:t>（十）其他重大事项的说明</w:t>
      </w:r>
      <w:r>
        <w:rPr>
          <w:rFonts w:ascii="宋体" w:hAnsi="宋体" w:cs="宋体" w:eastAsia="宋体" w:hint="default"/>
          <w:b/>
          <w:bCs/>
          <w:spacing w:val="1"/>
          <w:w w:val="99"/>
          <w:sz w:val="24"/>
          <w:szCs w:val="24"/>
        </w:rPr>
        <w:t> </w:t>
      </w:r>
      <w:r>
        <w:rPr>
          <w:rFonts w:ascii="宋体" w:hAnsi="宋体" w:cs="宋体" w:eastAsia="宋体" w:hint="default"/>
          <w:sz w:val="24"/>
          <w:szCs w:val="24"/>
        </w:rPr>
        <w:t>本年度公司无其他重大事项。</w:t>
      </w:r>
    </w:p>
    <w:p>
      <w:pPr>
        <w:pStyle w:val="Heading4"/>
        <w:spacing w:line="240" w:lineRule="auto" w:before="95"/>
        <w:ind w:left="218" w:right="218"/>
        <w:jc w:val="left"/>
        <w:rPr>
          <w:b w:val="0"/>
          <w:bCs w:val="0"/>
        </w:rPr>
      </w:pPr>
      <w:r>
        <w:rPr/>
        <w:t>（十一）信息披露索引</w:t>
      </w:r>
      <w:r>
        <w:rPr>
          <w:b w:val="0"/>
          <w:bCs w:val="0"/>
        </w:rPr>
      </w:r>
    </w:p>
    <w:p>
      <w:pPr>
        <w:spacing w:line="240" w:lineRule="auto" w:before="2"/>
        <w:rPr>
          <w:rFonts w:ascii="宋体" w:hAnsi="宋体" w:cs="宋体" w:eastAsia="宋体" w:hint="default"/>
          <w:b/>
          <w:bCs/>
          <w:sz w:val="12"/>
          <w:szCs w:val="12"/>
        </w:rPr>
      </w:pPr>
    </w:p>
    <w:tbl>
      <w:tblPr>
        <w:tblW w:w="0" w:type="auto"/>
        <w:jc w:val="left"/>
        <w:tblInd w:w="105" w:type="dxa"/>
        <w:tblLayout w:type="fixed"/>
        <w:tblCellMar>
          <w:top w:w="0" w:type="dxa"/>
          <w:left w:w="0" w:type="dxa"/>
          <w:bottom w:w="0" w:type="dxa"/>
          <w:right w:w="0" w:type="dxa"/>
        </w:tblCellMar>
        <w:tblLook w:val="01E0"/>
      </w:tblPr>
      <w:tblGrid>
        <w:gridCol w:w="3794"/>
        <w:gridCol w:w="1700"/>
        <w:gridCol w:w="1985"/>
        <w:gridCol w:w="1806"/>
      </w:tblGrid>
      <w:tr>
        <w:trPr>
          <w:trHeight w:val="635"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事项</w:t>
            </w:r>
            <w:r>
              <w:rPr>
                <w:rFonts w:ascii="宋体" w:hAnsi="宋体" w:cs="宋体" w:eastAsia="宋体" w:hint="default"/>
                <w:sz w:val="18"/>
                <w:szCs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663" w:right="121" w:hanging="542"/>
              <w:jc w:val="left"/>
              <w:rPr>
                <w:rFonts w:ascii="宋体" w:hAnsi="宋体" w:cs="宋体" w:eastAsia="宋体" w:hint="default"/>
                <w:sz w:val="18"/>
                <w:szCs w:val="18"/>
              </w:rPr>
            </w:pPr>
            <w:r>
              <w:rPr>
                <w:rFonts w:ascii="宋体" w:hAnsi="宋体" w:cs="宋体" w:eastAsia="宋体" w:hint="default"/>
                <w:b/>
                <w:bCs/>
                <w:sz w:val="18"/>
                <w:szCs w:val="18"/>
              </w:rPr>
              <w:t>刊载的报刊名称及</w:t>
            </w:r>
            <w:r>
              <w:rPr>
                <w:rFonts w:ascii="宋体" w:hAnsi="宋体" w:cs="宋体" w:eastAsia="宋体" w:hint="default"/>
                <w:b/>
                <w:bCs/>
                <w:w w:val="99"/>
                <w:sz w:val="18"/>
                <w:szCs w:val="18"/>
              </w:rPr>
              <w:t> </w:t>
            </w:r>
            <w:r>
              <w:rPr>
                <w:rFonts w:ascii="宋体" w:hAnsi="宋体" w:cs="宋体" w:eastAsia="宋体" w:hint="default"/>
                <w:b/>
                <w:bCs/>
                <w:sz w:val="18"/>
                <w:szCs w:val="18"/>
              </w:rPr>
              <w:t>版面</w:t>
            </w:r>
            <w:r>
              <w:rPr>
                <w:rFonts w:ascii="宋体" w:hAnsi="宋体" w:cs="宋体" w:eastAsia="宋体" w:hint="default"/>
                <w:sz w:val="18"/>
                <w:szCs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刊载日期</w:t>
            </w:r>
            <w:r>
              <w:rPr>
                <w:rFonts w:ascii="宋体" w:hAnsi="宋体" w:cs="宋体" w:eastAsia="宋体" w:hint="default"/>
                <w:sz w:val="18"/>
                <w:szCs w:val="18"/>
              </w:rPr>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445" w:right="174" w:hanging="270"/>
              <w:jc w:val="left"/>
              <w:rPr>
                <w:rFonts w:ascii="宋体" w:hAnsi="宋体" w:cs="宋体" w:eastAsia="宋体" w:hint="default"/>
                <w:sz w:val="18"/>
                <w:szCs w:val="18"/>
              </w:rPr>
            </w:pPr>
            <w:r>
              <w:rPr>
                <w:rFonts w:ascii="宋体" w:hAnsi="宋体" w:cs="宋体" w:eastAsia="宋体" w:hint="default"/>
                <w:b/>
                <w:bCs/>
                <w:sz w:val="18"/>
                <w:szCs w:val="18"/>
              </w:rPr>
              <w:t>刊载的互联网网站</w:t>
            </w:r>
            <w:r>
              <w:rPr>
                <w:rFonts w:ascii="宋体" w:hAnsi="宋体" w:cs="宋体" w:eastAsia="宋体" w:hint="default"/>
                <w:b/>
                <w:bCs/>
                <w:w w:val="99"/>
                <w:sz w:val="18"/>
                <w:szCs w:val="18"/>
              </w:rPr>
              <w:t> </w:t>
            </w:r>
            <w:r>
              <w:rPr>
                <w:rFonts w:ascii="宋体" w:hAnsi="宋体" w:cs="宋体" w:eastAsia="宋体" w:hint="default"/>
                <w:b/>
                <w:bCs/>
                <w:sz w:val="18"/>
                <w:szCs w:val="18"/>
              </w:rPr>
              <w:t>及检索路径</w:t>
            </w:r>
            <w:r>
              <w:rPr>
                <w:rFonts w:ascii="宋体" w:hAnsi="宋体" w:cs="宋体" w:eastAsia="宋体" w:hint="default"/>
                <w:sz w:val="18"/>
                <w:szCs w:val="18"/>
              </w:rPr>
            </w:r>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7"/>
                <w:sz w:val="18"/>
                <w:szCs w:val="18"/>
              </w:rPr>
              <w:t>东软集团股份有限公司关于收购北京望海康</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信科技有限公司股权的公告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B008</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B22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7"/>
                <w:sz w:val="18"/>
                <w:szCs w:val="18"/>
              </w:rPr>
              <w:t>东软集团股份有限公司关于有限售条件的流</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通股上市的公告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B004</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48</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5"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left"/>
              <w:rPr>
                <w:rFonts w:ascii="宋体" w:hAnsi="宋体" w:cs="宋体" w:eastAsia="宋体" w:hint="default"/>
                <w:sz w:val="18"/>
                <w:szCs w:val="18"/>
              </w:rPr>
            </w:pPr>
            <w:r>
              <w:rPr>
                <w:rFonts w:ascii="宋体" w:hAnsi="宋体" w:cs="宋体" w:eastAsia="宋体" w:hint="default"/>
                <w:spacing w:val="7"/>
                <w:sz w:val="18"/>
                <w:szCs w:val="18"/>
              </w:rPr>
              <w:t>东软集团股份有限公司关于公司股东权益变</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动的提示性公告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B004</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20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东软集团股份有限公司简式权益变动报告书</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B004</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20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7"/>
                <w:sz w:val="18"/>
                <w:szCs w:val="18"/>
              </w:rPr>
              <w:t>东软集团股份有限公司关于股东股权司法冻</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结公告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B004</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20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5"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left"/>
              <w:rPr>
                <w:rFonts w:ascii="宋体" w:hAnsi="宋体" w:cs="宋体" w:eastAsia="宋体" w:hint="default"/>
                <w:sz w:val="18"/>
                <w:szCs w:val="18"/>
              </w:rPr>
            </w:pPr>
            <w:r>
              <w:rPr>
                <w:rFonts w:ascii="宋体" w:hAnsi="宋体" w:cs="宋体" w:eastAsia="宋体" w:hint="default"/>
                <w:spacing w:val="7"/>
                <w:sz w:val="18"/>
                <w:szCs w:val="18"/>
              </w:rPr>
              <w:t>东软集团股份有限公司关于公司股东权益变</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动过户完成的提示性公告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1" w:right="37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A08</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B64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7"/>
                <w:sz w:val="18"/>
                <w:szCs w:val="18"/>
              </w:rPr>
              <w:t>东软集团股份有限公司五届二十五次董事会</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决议公告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37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A24</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B16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14</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970"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2"/>
              <w:ind w:left="103" w:right="101"/>
              <w:jc w:val="both"/>
              <w:rPr>
                <w:rFonts w:ascii="宋体" w:hAnsi="宋体" w:cs="宋体" w:eastAsia="宋体" w:hint="default"/>
                <w:sz w:val="18"/>
                <w:szCs w:val="18"/>
              </w:rPr>
            </w:pPr>
            <w:r>
              <w:rPr>
                <w:rFonts w:ascii="宋体" w:hAnsi="宋体" w:cs="宋体" w:eastAsia="宋体" w:hint="default"/>
                <w:spacing w:val="7"/>
                <w:sz w:val="18"/>
                <w:szCs w:val="18"/>
              </w:rPr>
              <w:t>东软集团股份有限公司关于全资子公司－东</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软（欧洲）有限公司投资参股以色列</w:t>
            </w:r>
            <w:r>
              <w:rPr>
                <w:rFonts w:ascii="宋体" w:hAnsi="宋体" w:cs="宋体" w:eastAsia="宋体" w:hint="default"/>
                <w:spacing w:val="-22"/>
                <w:sz w:val="18"/>
                <w:szCs w:val="18"/>
              </w:rPr>
              <w:t> </w:t>
            </w:r>
            <w:r>
              <w:rPr>
                <w:rFonts w:ascii="宋体" w:hAnsi="宋体" w:cs="宋体" w:eastAsia="宋体" w:hint="default"/>
                <w:sz w:val="18"/>
                <w:szCs w:val="18"/>
              </w:rPr>
              <w:t>Aerotel</w:t>
            </w:r>
            <w:r>
              <w:rPr>
                <w:rFonts w:ascii="宋体" w:hAnsi="宋体" w:cs="宋体" w:eastAsia="宋体" w:hint="default"/>
                <w:sz w:val="18"/>
                <w:szCs w:val="18"/>
              </w:rPr>
              <w:t> Medical Systems（1998）Ltd.的公告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316" w:lineRule="auto"/>
              <w:ind w:left="101" w:right="37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A24</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B16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14</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5"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东软集团股份有限公司</w:t>
            </w:r>
            <w:r>
              <w:rPr>
                <w:rFonts w:ascii="宋体" w:hAnsi="宋体" w:cs="宋体" w:eastAsia="宋体" w:hint="default"/>
                <w:spacing w:val="-46"/>
                <w:sz w:val="18"/>
                <w:szCs w:val="18"/>
              </w:rPr>
              <w:t> </w:t>
            </w: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年度报告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B081</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B129</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东软集团股份有限公司</w:t>
            </w:r>
            <w:r>
              <w:rPr>
                <w:rFonts w:ascii="宋体" w:hAnsi="宋体" w:cs="宋体" w:eastAsia="宋体" w:hint="default"/>
                <w:spacing w:val="-46"/>
                <w:sz w:val="18"/>
                <w:szCs w:val="18"/>
              </w:rPr>
              <w:t> </w:t>
            </w:r>
            <w:r>
              <w:rPr>
                <w:rFonts w:ascii="宋体" w:hAnsi="宋体" w:cs="宋体" w:eastAsia="宋体" w:hint="default"/>
                <w:sz w:val="18"/>
                <w:szCs w:val="18"/>
              </w:rPr>
              <w:t>2011</w:t>
            </w:r>
            <w:r>
              <w:rPr>
                <w:rFonts w:ascii="宋体" w:hAnsi="宋体" w:cs="宋体" w:eastAsia="宋体" w:hint="default"/>
                <w:spacing w:val="-45"/>
                <w:sz w:val="18"/>
                <w:szCs w:val="18"/>
              </w:rPr>
              <w:t> </w:t>
            </w:r>
            <w:r>
              <w:rPr>
                <w:rFonts w:ascii="宋体" w:hAnsi="宋体" w:cs="宋体" w:eastAsia="宋体" w:hint="default"/>
                <w:sz w:val="18"/>
                <w:szCs w:val="18"/>
              </w:rPr>
              <w:t>年第一季度报告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B081</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B129</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bl>
    <w:p>
      <w:pPr>
        <w:spacing w:line="240" w:lineRule="auto" w:before="8"/>
        <w:rPr>
          <w:rFonts w:ascii="宋体" w:hAnsi="宋体" w:cs="宋体" w:eastAsia="宋体" w:hint="default"/>
          <w:b/>
          <w:bCs/>
          <w:sz w:val="29"/>
          <w:szCs w:val="29"/>
        </w:rPr>
      </w:pPr>
    </w:p>
    <w:p>
      <w:pPr>
        <w:pStyle w:val="BodyText"/>
        <w:spacing w:line="240" w:lineRule="auto"/>
        <w:ind w:left="218" w:right="218"/>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200" w:right="1180"/>
        </w:sectPr>
      </w:pPr>
    </w:p>
    <w:p>
      <w:pPr>
        <w:spacing w:line="240" w:lineRule="auto" w:before="6"/>
        <w:rPr>
          <w:rFonts w:ascii="黑体" w:hAnsi="黑体" w:cs="黑体" w:eastAsia="黑体" w:hint="default"/>
          <w:sz w:val="20"/>
          <w:szCs w:val="20"/>
        </w:rPr>
      </w:pPr>
    </w:p>
    <w:tbl>
      <w:tblPr>
        <w:tblW w:w="0" w:type="auto"/>
        <w:jc w:val="left"/>
        <w:tblInd w:w="105" w:type="dxa"/>
        <w:tblLayout w:type="fixed"/>
        <w:tblCellMar>
          <w:top w:w="0" w:type="dxa"/>
          <w:left w:w="0" w:type="dxa"/>
          <w:bottom w:w="0" w:type="dxa"/>
          <w:right w:w="0" w:type="dxa"/>
        </w:tblCellMar>
        <w:tblLook w:val="01E0"/>
      </w:tblPr>
      <w:tblGrid>
        <w:gridCol w:w="3794"/>
        <w:gridCol w:w="1700"/>
        <w:gridCol w:w="1985"/>
        <w:gridCol w:w="1806"/>
      </w:tblGrid>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事项</w:t>
            </w:r>
            <w:r>
              <w:rPr>
                <w:rFonts w:ascii="宋体" w:hAnsi="宋体" w:cs="宋体" w:eastAsia="宋体" w:hint="default"/>
                <w:sz w:val="18"/>
                <w:szCs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663" w:right="121" w:hanging="542"/>
              <w:jc w:val="left"/>
              <w:rPr>
                <w:rFonts w:ascii="宋体" w:hAnsi="宋体" w:cs="宋体" w:eastAsia="宋体" w:hint="default"/>
                <w:sz w:val="18"/>
                <w:szCs w:val="18"/>
              </w:rPr>
            </w:pPr>
            <w:r>
              <w:rPr>
                <w:rFonts w:ascii="宋体" w:hAnsi="宋体" w:cs="宋体" w:eastAsia="宋体" w:hint="default"/>
                <w:b/>
                <w:bCs/>
                <w:sz w:val="18"/>
                <w:szCs w:val="18"/>
              </w:rPr>
              <w:t>刊载的报刊名称及</w:t>
            </w:r>
            <w:r>
              <w:rPr>
                <w:rFonts w:ascii="宋体" w:hAnsi="宋体" w:cs="宋体" w:eastAsia="宋体" w:hint="default"/>
                <w:b/>
                <w:bCs/>
                <w:w w:val="99"/>
                <w:sz w:val="18"/>
                <w:szCs w:val="18"/>
              </w:rPr>
              <w:t> </w:t>
            </w:r>
            <w:r>
              <w:rPr>
                <w:rFonts w:ascii="宋体" w:hAnsi="宋体" w:cs="宋体" w:eastAsia="宋体" w:hint="default"/>
                <w:b/>
                <w:bCs/>
                <w:sz w:val="18"/>
                <w:szCs w:val="18"/>
              </w:rPr>
              <w:t>版面</w:t>
            </w:r>
            <w:r>
              <w:rPr>
                <w:rFonts w:ascii="宋体" w:hAnsi="宋体" w:cs="宋体" w:eastAsia="宋体" w:hint="default"/>
                <w:sz w:val="18"/>
                <w:szCs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刊载日期</w:t>
            </w:r>
            <w:r>
              <w:rPr>
                <w:rFonts w:ascii="宋体" w:hAnsi="宋体" w:cs="宋体" w:eastAsia="宋体" w:hint="default"/>
                <w:sz w:val="18"/>
                <w:szCs w:val="18"/>
              </w:rPr>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445" w:right="174" w:hanging="270"/>
              <w:jc w:val="left"/>
              <w:rPr>
                <w:rFonts w:ascii="宋体" w:hAnsi="宋体" w:cs="宋体" w:eastAsia="宋体" w:hint="default"/>
                <w:sz w:val="18"/>
                <w:szCs w:val="18"/>
              </w:rPr>
            </w:pPr>
            <w:r>
              <w:rPr>
                <w:rFonts w:ascii="宋体" w:hAnsi="宋体" w:cs="宋体" w:eastAsia="宋体" w:hint="default"/>
                <w:b/>
                <w:bCs/>
                <w:sz w:val="18"/>
                <w:szCs w:val="18"/>
              </w:rPr>
              <w:t>刊载的互联网网站</w:t>
            </w:r>
            <w:r>
              <w:rPr>
                <w:rFonts w:ascii="宋体" w:hAnsi="宋体" w:cs="宋体" w:eastAsia="宋体" w:hint="default"/>
                <w:b/>
                <w:bCs/>
                <w:w w:val="99"/>
                <w:sz w:val="18"/>
                <w:szCs w:val="18"/>
              </w:rPr>
              <w:t> </w:t>
            </w:r>
            <w:r>
              <w:rPr>
                <w:rFonts w:ascii="宋体" w:hAnsi="宋体" w:cs="宋体" w:eastAsia="宋体" w:hint="default"/>
                <w:b/>
                <w:bCs/>
                <w:sz w:val="18"/>
                <w:szCs w:val="18"/>
              </w:rPr>
              <w:t>及检索路径</w:t>
            </w:r>
            <w:r>
              <w:rPr>
                <w:rFonts w:ascii="宋体" w:hAnsi="宋体" w:cs="宋体" w:eastAsia="宋体" w:hint="default"/>
                <w:sz w:val="18"/>
                <w:szCs w:val="18"/>
              </w:rPr>
            </w:r>
          </w:p>
        </w:tc>
      </w:tr>
      <w:tr>
        <w:trPr>
          <w:trHeight w:val="635"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left"/>
              <w:rPr>
                <w:rFonts w:ascii="宋体" w:hAnsi="宋体" w:cs="宋体" w:eastAsia="宋体" w:hint="default"/>
                <w:sz w:val="18"/>
                <w:szCs w:val="18"/>
              </w:rPr>
            </w:pPr>
            <w:r>
              <w:rPr>
                <w:rFonts w:ascii="宋体" w:hAnsi="宋体" w:cs="宋体" w:eastAsia="宋体" w:hint="default"/>
                <w:spacing w:val="7"/>
                <w:sz w:val="18"/>
                <w:szCs w:val="18"/>
              </w:rPr>
              <w:t>东软集团股份有限公司五届二十六次董事会</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决议公告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B083</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B129</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7"/>
                <w:sz w:val="18"/>
                <w:szCs w:val="18"/>
              </w:rPr>
              <w:t>东软集团股份有限公司五届十六次监事会决</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议公告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B083</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B130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z w:val="18"/>
                <w:szCs w:val="18"/>
              </w:rPr>
              <w:t>东软集团股份有限公司关于 2011</w:t>
            </w:r>
            <w:r>
              <w:rPr>
                <w:rFonts w:ascii="宋体" w:hAnsi="宋体" w:cs="宋体" w:eastAsia="宋体" w:hint="default"/>
                <w:spacing w:val="-22"/>
                <w:sz w:val="18"/>
                <w:szCs w:val="18"/>
              </w:rPr>
              <w:t> </w:t>
            </w:r>
            <w:r>
              <w:rPr>
                <w:rFonts w:ascii="宋体" w:hAnsi="宋体" w:cs="宋体" w:eastAsia="宋体" w:hint="default"/>
                <w:sz w:val="18"/>
                <w:szCs w:val="18"/>
              </w:rPr>
              <w:t>年度日常关</w:t>
            </w:r>
            <w:r>
              <w:rPr>
                <w:rFonts w:ascii="宋体" w:hAnsi="宋体" w:cs="宋体" w:eastAsia="宋体" w:hint="default"/>
                <w:sz w:val="18"/>
                <w:szCs w:val="18"/>
              </w:rPr>
              <w:t> 联交易预计情况的公告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B083</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B130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5"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left"/>
              <w:rPr>
                <w:rFonts w:ascii="宋体" w:hAnsi="宋体" w:cs="宋体" w:eastAsia="宋体" w:hint="default"/>
                <w:sz w:val="18"/>
                <w:szCs w:val="18"/>
              </w:rPr>
            </w:pPr>
            <w:r>
              <w:rPr>
                <w:rFonts w:ascii="宋体" w:hAnsi="宋体" w:cs="宋体" w:eastAsia="宋体" w:hint="default"/>
                <w:sz w:val="18"/>
                <w:szCs w:val="18"/>
              </w:rPr>
              <w:t>东软集团股份有限公司关于召开 2010</w:t>
            </w:r>
            <w:r>
              <w:rPr>
                <w:rFonts w:ascii="宋体" w:hAnsi="宋体" w:cs="宋体" w:eastAsia="宋体" w:hint="default"/>
                <w:spacing w:val="-22"/>
                <w:sz w:val="18"/>
                <w:szCs w:val="18"/>
              </w:rPr>
              <w:t> </w:t>
            </w:r>
            <w:r>
              <w:rPr>
                <w:rFonts w:ascii="宋体" w:hAnsi="宋体" w:cs="宋体" w:eastAsia="宋体" w:hint="default"/>
                <w:sz w:val="18"/>
                <w:szCs w:val="18"/>
              </w:rPr>
              <w:t>年度股</w:t>
            </w:r>
            <w:r>
              <w:rPr>
                <w:rFonts w:ascii="宋体" w:hAnsi="宋体" w:cs="宋体" w:eastAsia="宋体" w:hint="default"/>
                <w:sz w:val="18"/>
                <w:szCs w:val="18"/>
              </w:rPr>
              <w:t> 东大会的通知</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B083</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B130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7"/>
                <w:sz w:val="18"/>
                <w:szCs w:val="18"/>
              </w:rPr>
              <w:t>东软集团股份有限公司五届二十七次董事会</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决议公告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B005</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B16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18</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z w:val="18"/>
                <w:szCs w:val="18"/>
              </w:rPr>
              <w:t>东软集团股份有限公司 2010</w:t>
            </w:r>
            <w:r>
              <w:rPr>
                <w:rFonts w:ascii="宋体" w:hAnsi="宋体" w:cs="宋体" w:eastAsia="宋体" w:hint="default"/>
                <w:spacing w:val="-22"/>
                <w:sz w:val="18"/>
                <w:szCs w:val="18"/>
              </w:rPr>
              <w:t> </w:t>
            </w:r>
            <w:r>
              <w:rPr>
                <w:rFonts w:ascii="宋体" w:hAnsi="宋体" w:cs="宋体" w:eastAsia="宋体" w:hint="default"/>
                <w:sz w:val="18"/>
                <w:szCs w:val="18"/>
              </w:rPr>
              <w:t>年度股东大会决</w:t>
            </w:r>
            <w:r>
              <w:rPr>
                <w:rFonts w:ascii="宋体" w:hAnsi="宋体" w:cs="宋体" w:eastAsia="宋体" w:hint="default"/>
                <w:sz w:val="18"/>
                <w:szCs w:val="18"/>
              </w:rPr>
              <w:t> 议公告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B005</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B11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5"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left"/>
              <w:rPr>
                <w:rFonts w:ascii="宋体" w:hAnsi="宋体" w:cs="宋体" w:eastAsia="宋体" w:hint="default"/>
                <w:sz w:val="18"/>
                <w:szCs w:val="18"/>
              </w:rPr>
            </w:pPr>
            <w:r>
              <w:rPr>
                <w:rFonts w:ascii="宋体" w:hAnsi="宋体" w:cs="宋体" w:eastAsia="宋体" w:hint="default"/>
                <w:spacing w:val="7"/>
                <w:sz w:val="18"/>
                <w:szCs w:val="18"/>
              </w:rPr>
              <w:t>东软集团股份有限公司六届一次董事会决议</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B005</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B11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7"/>
                <w:sz w:val="18"/>
                <w:szCs w:val="18"/>
              </w:rPr>
              <w:t>东软集团股份有限公司六届一次监事会决议</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B005</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B11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26</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7"/>
                <w:sz w:val="18"/>
                <w:szCs w:val="18"/>
              </w:rPr>
              <w:t>东软集团股份有限公司六届二次董事会决议</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B005</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B16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947"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both"/>
              <w:rPr>
                <w:rFonts w:ascii="宋体" w:hAnsi="宋体" w:cs="宋体" w:eastAsia="宋体" w:hint="default"/>
                <w:sz w:val="18"/>
                <w:szCs w:val="18"/>
              </w:rPr>
            </w:pPr>
            <w:r>
              <w:rPr>
                <w:rFonts w:ascii="宋体" w:hAnsi="宋体" w:cs="宋体" w:eastAsia="宋体" w:hint="default"/>
                <w:spacing w:val="7"/>
                <w:sz w:val="18"/>
                <w:szCs w:val="18"/>
              </w:rPr>
              <w:t>东软集团股份有限公司关于投资设立东软熙</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7"/>
                <w:sz w:val="18"/>
                <w:szCs w:val="18"/>
              </w:rPr>
              <w:t>康控股有限公司及其子公司并提供财务资助</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的关联交易公告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316" w:lineRule="auto"/>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B005</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B16</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24"/>
                <w:szCs w:val="24"/>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7"/>
                <w:sz w:val="18"/>
                <w:szCs w:val="18"/>
              </w:rPr>
              <w:t>东软集团股份有限公司六届三次董事会决议</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B162</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171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1258"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both"/>
              <w:rPr>
                <w:rFonts w:ascii="宋体" w:hAnsi="宋体" w:cs="宋体" w:eastAsia="宋体" w:hint="default"/>
                <w:sz w:val="18"/>
                <w:szCs w:val="18"/>
              </w:rPr>
            </w:pPr>
            <w:r>
              <w:rPr>
                <w:rFonts w:ascii="宋体" w:hAnsi="宋体" w:cs="宋体" w:eastAsia="宋体" w:hint="default"/>
                <w:spacing w:val="7"/>
                <w:sz w:val="18"/>
                <w:szCs w:val="18"/>
              </w:rPr>
              <w:t>东软集团股份有限公司关于为全资子公司—</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东软（欧洲）有限公司、东软（日本）有限公</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2"/>
                <w:sz w:val="18"/>
                <w:szCs w:val="18"/>
              </w:rPr>
              <w:t>司和东软（香港）有限公司提供银行借款担保</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额度的公告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24"/>
                <w:szCs w:val="24"/>
              </w:rPr>
            </w:pPr>
          </w:p>
          <w:p>
            <w:pPr>
              <w:pStyle w:val="TableParagraph"/>
              <w:spacing w:line="316" w:lineRule="auto"/>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B162</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171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7"/>
              <w:ind w:right="0"/>
              <w:jc w:val="left"/>
              <w:rPr>
                <w:rFonts w:ascii="黑体" w:hAnsi="黑体" w:cs="黑体" w:eastAsia="黑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18"/>
                <w:szCs w:val="18"/>
              </w:rPr>
            </w:pPr>
          </w:p>
          <w:p>
            <w:pPr>
              <w:pStyle w:val="TableParagraph"/>
              <w:spacing w:line="240" w:lineRule="auto" w:before="7"/>
              <w:ind w:right="0"/>
              <w:jc w:val="left"/>
              <w:rPr>
                <w:rFonts w:ascii="黑体" w:hAnsi="黑体" w:cs="黑体" w:eastAsia="黑体" w:hint="default"/>
                <w:sz w:val="18"/>
                <w:szCs w:val="18"/>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5"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left"/>
              <w:rPr>
                <w:rFonts w:ascii="宋体" w:hAnsi="宋体" w:cs="宋体" w:eastAsia="宋体" w:hint="default"/>
                <w:sz w:val="18"/>
                <w:szCs w:val="18"/>
              </w:rPr>
            </w:pPr>
            <w:r>
              <w:rPr>
                <w:rFonts w:ascii="宋体" w:hAnsi="宋体" w:cs="宋体" w:eastAsia="宋体" w:hint="default"/>
                <w:sz w:val="18"/>
                <w:szCs w:val="18"/>
              </w:rPr>
              <w:t>东软集团股份有限公司 2011</w:t>
            </w:r>
            <w:r>
              <w:rPr>
                <w:rFonts w:ascii="宋体" w:hAnsi="宋体" w:cs="宋体" w:eastAsia="宋体" w:hint="default"/>
                <w:spacing w:val="-22"/>
                <w:sz w:val="18"/>
                <w:szCs w:val="18"/>
              </w:rPr>
              <w:t> </w:t>
            </w:r>
            <w:r>
              <w:rPr>
                <w:rFonts w:ascii="宋体" w:hAnsi="宋体" w:cs="宋体" w:eastAsia="宋体" w:hint="default"/>
                <w:sz w:val="18"/>
                <w:szCs w:val="18"/>
              </w:rPr>
              <w:t>年半年度报告摘</w:t>
            </w:r>
            <w:r>
              <w:rPr>
                <w:rFonts w:ascii="宋体" w:hAnsi="宋体" w:cs="宋体" w:eastAsia="宋体" w:hint="default"/>
                <w:sz w:val="18"/>
                <w:szCs w:val="18"/>
              </w:rPr>
              <w:t> 要</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B162</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171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79"/>
              <w:jc w:val="left"/>
              <w:rPr>
                <w:rFonts w:ascii="宋体" w:hAnsi="宋体" w:cs="宋体" w:eastAsia="宋体" w:hint="default"/>
                <w:sz w:val="18"/>
                <w:szCs w:val="18"/>
              </w:rPr>
            </w:pPr>
            <w:r>
              <w:rPr>
                <w:rFonts w:ascii="宋体" w:hAnsi="宋体" w:cs="宋体" w:eastAsia="宋体" w:hint="default"/>
                <w:sz w:val="18"/>
                <w:szCs w:val="18"/>
              </w:rPr>
              <w:t>东软集团股份有限公司关于发行短期融资券、 中期票据获得批准的公告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B008</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44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7"/>
                <w:sz w:val="18"/>
                <w:szCs w:val="18"/>
              </w:rPr>
              <w:t>东软集团股份有限公司六届五次董事会决议</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B022</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17</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5"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66"/>
              <w:jc w:val="center"/>
              <w:rPr>
                <w:rFonts w:ascii="宋体" w:hAnsi="宋体" w:cs="宋体" w:eastAsia="宋体" w:hint="default"/>
                <w:sz w:val="18"/>
                <w:szCs w:val="18"/>
              </w:rPr>
            </w:pPr>
            <w:r>
              <w:rPr>
                <w:rFonts w:ascii="宋体" w:hAnsi="宋体" w:cs="宋体" w:eastAsia="宋体" w:hint="default"/>
                <w:sz w:val="18"/>
                <w:szCs w:val="18"/>
              </w:rPr>
              <w:t>东软集团股份有限公司</w:t>
            </w:r>
            <w:r>
              <w:rPr>
                <w:rFonts w:ascii="宋体" w:hAnsi="宋体" w:cs="宋体" w:eastAsia="宋体" w:hint="default"/>
                <w:spacing w:val="-46"/>
                <w:sz w:val="18"/>
                <w:szCs w:val="18"/>
              </w:rPr>
              <w:t> </w:t>
            </w:r>
            <w:r>
              <w:rPr>
                <w:rFonts w:ascii="宋体" w:hAnsi="宋体" w:cs="宋体" w:eastAsia="宋体" w:hint="default"/>
                <w:sz w:val="18"/>
                <w:szCs w:val="18"/>
              </w:rPr>
              <w:t>2011</w:t>
            </w:r>
            <w:r>
              <w:rPr>
                <w:rFonts w:ascii="宋体" w:hAnsi="宋体" w:cs="宋体" w:eastAsia="宋体" w:hint="default"/>
                <w:spacing w:val="-45"/>
                <w:sz w:val="18"/>
                <w:szCs w:val="18"/>
              </w:rPr>
              <w:t> </w:t>
            </w:r>
            <w:r>
              <w:rPr>
                <w:rFonts w:ascii="宋体" w:hAnsi="宋体" w:cs="宋体" w:eastAsia="宋体" w:hint="default"/>
                <w:sz w:val="18"/>
                <w:szCs w:val="18"/>
              </w:rPr>
              <w:t>年第三季度报告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B022</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17</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7"/>
                <w:sz w:val="18"/>
                <w:szCs w:val="18"/>
              </w:rPr>
              <w:t>东软集团股份有限公司六届六次董事会决议</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B004</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B24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947"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both"/>
              <w:rPr>
                <w:rFonts w:ascii="宋体" w:hAnsi="宋体" w:cs="宋体" w:eastAsia="宋体" w:hint="default"/>
                <w:sz w:val="18"/>
                <w:szCs w:val="18"/>
              </w:rPr>
            </w:pPr>
            <w:r>
              <w:rPr>
                <w:rFonts w:ascii="宋体" w:hAnsi="宋体" w:cs="宋体" w:eastAsia="宋体" w:hint="default"/>
                <w:spacing w:val="7"/>
                <w:sz w:val="18"/>
                <w:szCs w:val="18"/>
              </w:rPr>
              <w:t>东软集团股份有限公司关于出售间接控股子</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7"/>
                <w:sz w:val="18"/>
                <w:szCs w:val="18"/>
              </w:rPr>
              <w:t>公司股权及其他相关教育资产的关联交易公</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316" w:lineRule="auto"/>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B004</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B24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24"/>
                <w:szCs w:val="24"/>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bl>
    <w:p>
      <w:pPr>
        <w:spacing w:line="240" w:lineRule="auto" w:before="0"/>
        <w:rPr>
          <w:rFonts w:ascii="黑体" w:hAnsi="黑体" w:cs="黑体" w:eastAsia="黑体" w:hint="default"/>
          <w:sz w:val="20"/>
          <w:szCs w:val="20"/>
        </w:rPr>
      </w:pPr>
    </w:p>
    <w:p>
      <w:pPr>
        <w:spacing w:line="240" w:lineRule="auto" w:before="5"/>
        <w:rPr>
          <w:rFonts w:ascii="黑体" w:hAnsi="黑体" w:cs="黑体" w:eastAsia="黑体" w:hint="default"/>
          <w:sz w:val="19"/>
          <w:szCs w:val="19"/>
        </w:rPr>
      </w:pPr>
    </w:p>
    <w:p>
      <w:pPr>
        <w:pStyle w:val="BodyText"/>
        <w:spacing w:line="240" w:lineRule="auto"/>
        <w:ind w:left="218" w:right="218"/>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headerReference w:type="default" r:id="rId16"/>
          <w:pgSz w:w="11910" w:h="16840"/>
          <w:pgMar w:header="1012" w:footer="480" w:top="1360" w:bottom="660" w:left="1200" w:right="1180"/>
        </w:sectPr>
      </w:pPr>
    </w:p>
    <w:p>
      <w:pPr>
        <w:spacing w:line="240" w:lineRule="auto" w:before="6"/>
        <w:rPr>
          <w:rFonts w:ascii="黑体" w:hAnsi="黑体" w:cs="黑体" w:eastAsia="黑体" w:hint="default"/>
          <w:sz w:val="20"/>
          <w:szCs w:val="20"/>
        </w:rPr>
      </w:pPr>
    </w:p>
    <w:tbl>
      <w:tblPr>
        <w:tblW w:w="0" w:type="auto"/>
        <w:jc w:val="left"/>
        <w:tblInd w:w="105" w:type="dxa"/>
        <w:tblLayout w:type="fixed"/>
        <w:tblCellMar>
          <w:top w:w="0" w:type="dxa"/>
          <w:left w:w="0" w:type="dxa"/>
          <w:bottom w:w="0" w:type="dxa"/>
          <w:right w:w="0" w:type="dxa"/>
        </w:tblCellMar>
        <w:tblLook w:val="01E0"/>
      </w:tblPr>
      <w:tblGrid>
        <w:gridCol w:w="3794"/>
        <w:gridCol w:w="1700"/>
        <w:gridCol w:w="1985"/>
        <w:gridCol w:w="1806"/>
      </w:tblGrid>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事项</w:t>
            </w:r>
            <w:r>
              <w:rPr>
                <w:rFonts w:ascii="宋体" w:hAnsi="宋体" w:cs="宋体" w:eastAsia="宋体" w:hint="default"/>
                <w:sz w:val="18"/>
                <w:szCs w:val="18"/>
              </w:rPr>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663" w:right="121" w:hanging="542"/>
              <w:jc w:val="left"/>
              <w:rPr>
                <w:rFonts w:ascii="宋体" w:hAnsi="宋体" w:cs="宋体" w:eastAsia="宋体" w:hint="default"/>
                <w:sz w:val="18"/>
                <w:szCs w:val="18"/>
              </w:rPr>
            </w:pPr>
            <w:r>
              <w:rPr>
                <w:rFonts w:ascii="宋体" w:hAnsi="宋体" w:cs="宋体" w:eastAsia="宋体" w:hint="default"/>
                <w:b/>
                <w:bCs/>
                <w:sz w:val="18"/>
                <w:szCs w:val="18"/>
              </w:rPr>
              <w:t>刊载的报刊名称及</w:t>
            </w:r>
            <w:r>
              <w:rPr>
                <w:rFonts w:ascii="宋体" w:hAnsi="宋体" w:cs="宋体" w:eastAsia="宋体" w:hint="default"/>
                <w:b/>
                <w:bCs/>
                <w:w w:val="99"/>
                <w:sz w:val="18"/>
                <w:szCs w:val="18"/>
              </w:rPr>
              <w:t> </w:t>
            </w:r>
            <w:r>
              <w:rPr>
                <w:rFonts w:ascii="宋体" w:hAnsi="宋体" w:cs="宋体" w:eastAsia="宋体" w:hint="default"/>
                <w:b/>
                <w:bCs/>
                <w:sz w:val="18"/>
                <w:szCs w:val="18"/>
              </w:rPr>
              <w:t>版面</w:t>
            </w:r>
            <w:r>
              <w:rPr>
                <w:rFonts w:ascii="宋体" w:hAnsi="宋体" w:cs="宋体" w:eastAsia="宋体" w:hint="default"/>
                <w:sz w:val="18"/>
                <w:szCs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刊载日期</w:t>
            </w:r>
            <w:r>
              <w:rPr>
                <w:rFonts w:ascii="宋体" w:hAnsi="宋体" w:cs="宋体" w:eastAsia="宋体" w:hint="default"/>
                <w:sz w:val="18"/>
                <w:szCs w:val="18"/>
              </w:rPr>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445" w:right="174" w:hanging="270"/>
              <w:jc w:val="left"/>
              <w:rPr>
                <w:rFonts w:ascii="宋体" w:hAnsi="宋体" w:cs="宋体" w:eastAsia="宋体" w:hint="default"/>
                <w:sz w:val="18"/>
                <w:szCs w:val="18"/>
              </w:rPr>
            </w:pPr>
            <w:r>
              <w:rPr>
                <w:rFonts w:ascii="宋体" w:hAnsi="宋体" w:cs="宋体" w:eastAsia="宋体" w:hint="default"/>
                <w:b/>
                <w:bCs/>
                <w:sz w:val="18"/>
                <w:szCs w:val="18"/>
              </w:rPr>
              <w:t>刊载的互联网网站</w:t>
            </w:r>
            <w:r>
              <w:rPr>
                <w:rFonts w:ascii="宋体" w:hAnsi="宋体" w:cs="宋体" w:eastAsia="宋体" w:hint="default"/>
                <w:b/>
                <w:bCs/>
                <w:w w:val="99"/>
                <w:sz w:val="18"/>
                <w:szCs w:val="18"/>
              </w:rPr>
              <w:t> </w:t>
            </w:r>
            <w:r>
              <w:rPr>
                <w:rFonts w:ascii="宋体" w:hAnsi="宋体" w:cs="宋体" w:eastAsia="宋体" w:hint="default"/>
                <w:b/>
                <w:bCs/>
                <w:sz w:val="18"/>
                <w:szCs w:val="18"/>
              </w:rPr>
              <w:t>及检索路径</w:t>
            </w:r>
            <w:r>
              <w:rPr>
                <w:rFonts w:ascii="宋体" w:hAnsi="宋体" w:cs="宋体" w:eastAsia="宋体" w:hint="default"/>
                <w:sz w:val="18"/>
                <w:szCs w:val="18"/>
              </w:rPr>
            </w:r>
          </w:p>
        </w:tc>
      </w:tr>
      <w:tr>
        <w:trPr>
          <w:trHeight w:val="635"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left"/>
              <w:rPr>
                <w:rFonts w:ascii="宋体" w:hAnsi="宋体" w:cs="宋体" w:eastAsia="宋体" w:hint="default"/>
                <w:sz w:val="18"/>
                <w:szCs w:val="18"/>
              </w:rPr>
            </w:pPr>
            <w:r>
              <w:rPr>
                <w:rFonts w:ascii="宋体" w:hAnsi="宋体" w:cs="宋体" w:eastAsia="宋体" w:hint="default"/>
                <w:sz w:val="18"/>
                <w:szCs w:val="18"/>
              </w:rPr>
              <w:t>东软集团股份有限公司关于召开 2011</w:t>
            </w:r>
            <w:r>
              <w:rPr>
                <w:rFonts w:ascii="宋体" w:hAnsi="宋体" w:cs="宋体" w:eastAsia="宋体" w:hint="default"/>
                <w:spacing w:val="-22"/>
                <w:sz w:val="18"/>
                <w:szCs w:val="18"/>
              </w:rPr>
              <w:t> </w:t>
            </w:r>
            <w:r>
              <w:rPr>
                <w:rFonts w:ascii="宋体" w:hAnsi="宋体" w:cs="宋体" w:eastAsia="宋体" w:hint="default"/>
                <w:sz w:val="18"/>
                <w:szCs w:val="18"/>
              </w:rPr>
              <w:t>年第一</w:t>
            </w:r>
            <w:r>
              <w:rPr>
                <w:rFonts w:ascii="宋体" w:hAnsi="宋体" w:cs="宋体" w:eastAsia="宋体" w:hint="default"/>
                <w:sz w:val="18"/>
                <w:szCs w:val="18"/>
              </w:rPr>
              <w:t> 次临时股东大会的通知</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B004</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B24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7</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4"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7"/>
                <w:sz w:val="18"/>
                <w:szCs w:val="18"/>
              </w:rPr>
              <w:t>东软集团股份有限公司六届七次董事会决议</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B005</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B25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r>
        <w:trPr>
          <w:trHeight w:val="635" w:hRule="exact"/>
        </w:trPr>
        <w:tc>
          <w:tcPr>
            <w:tcW w:w="37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z w:val="18"/>
                <w:szCs w:val="18"/>
              </w:rPr>
              <w:t>东软集团股份有限公司 2011</w:t>
            </w:r>
            <w:r>
              <w:rPr>
                <w:rFonts w:ascii="宋体" w:hAnsi="宋体" w:cs="宋体" w:eastAsia="宋体" w:hint="default"/>
                <w:spacing w:val="-22"/>
                <w:sz w:val="18"/>
                <w:szCs w:val="18"/>
              </w:rPr>
              <w:t> </w:t>
            </w:r>
            <w:r>
              <w:rPr>
                <w:rFonts w:ascii="宋体" w:hAnsi="宋体" w:cs="宋体" w:eastAsia="宋体" w:hint="default"/>
                <w:sz w:val="18"/>
                <w:szCs w:val="18"/>
              </w:rPr>
              <w:t>年第一次临时股</w:t>
            </w:r>
            <w:r>
              <w:rPr>
                <w:rFonts w:ascii="宋体" w:hAnsi="宋体" w:cs="宋体" w:eastAsia="宋体" w:hint="default"/>
                <w:sz w:val="18"/>
                <w:szCs w:val="18"/>
              </w:rPr>
              <w:t> 东大会决议公告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1" w:right="282"/>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46"/>
                <w:sz w:val="18"/>
                <w:szCs w:val="18"/>
              </w:rPr>
              <w:t> </w:t>
            </w:r>
            <w:r>
              <w:rPr>
                <w:rFonts w:ascii="宋体" w:hAnsi="宋体" w:cs="宋体" w:eastAsia="宋体" w:hint="default"/>
                <w:sz w:val="18"/>
                <w:szCs w:val="18"/>
              </w:rPr>
              <w:t>B005</w:t>
            </w:r>
            <w:r>
              <w:rPr>
                <w:rFonts w:ascii="宋体" w:hAnsi="宋体" w:cs="宋体" w:eastAsia="宋体" w:hint="default"/>
                <w:sz w:val="18"/>
                <w:szCs w:val="18"/>
              </w:rPr>
              <w:t> 上海证券报</w:t>
            </w:r>
            <w:r>
              <w:rPr>
                <w:rFonts w:ascii="宋体" w:hAnsi="宋体" w:cs="宋体" w:eastAsia="宋体" w:hint="default"/>
                <w:spacing w:val="-46"/>
                <w:sz w:val="18"/>
                <w:szCs w:val="18"/>
              </w:rPr>
              <w:t> </w:t>
            </w:r>
            <w:r>
              <w:rPr>
                <w:rFonts w:ascii="宋体" w:hAnsi="宋体" w:cs="宋体" w:eastAsia="宋体" w:hint="default"/>
                <w:sz w:val="18"/>
                <w:szCs w:val="18"/>
              </w:rPr>
              <w:t>B25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1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黑体" w:hAnsi="黑体" w:cs="黑体" w:eastAsia="黑体" w:hint="default"/>
                <w:sz w:val="12"/>
                <w:szCs w:val="12"/>
              </w:rPr>
            </w:pPr>
          </w:p>
          <w:p>
            <w:pPr>
              <w:pStyle w:val="TableParagraph"/>
              <w:spacing w:line="240" w:lineRule="auto"/>
              <w:ind w:right="1"/>
              <w:jc w:val="center"/>
              <w:rPr>
                <w:rFonts w:ascii="宋体" w:hAnsi="宋体" w:cs="宋体" w:eastAsia="宋体" w:hint="default"/>
                <w:sz w:val="18"/>
                <w:szCs w:val="18"/>
              </w:rPr>
            </w:pPr>
            <w:hyperlink r:id="rId10">
              <w:r>
                <w:rPr>
                  <w:rFonts w:ascii="宋体"/>
                  <w:sz w:val="18"/>
                </w:rPr>
                <w:t>www.sse.com.cn</w:t>
              </w:r>
            </w:hyperlink>
          </w:p>
        </w:tc>
      </w:tr>
    </w:tbl>
    <w:p>
      <w:pPr>
        <w:spacing w:line="240" w:lineRule="auto" w:before="12"/>
        <w:rPr>
          <w:rFonts w:ascii="黑体" w:hAnsi="黑体" w:cs="黑体" w:eastAsia="黑体" w:hint="default"/>
          <w:sz w:val="19"/>
          <w:szCs w:val="19"/>
        </w:rPr>
      </w:pPr>
    </w:p>
    <w:p>
      <w:pPr>
        <w:pStyle w:val="Heading2"/>
        <w:spacing w:line="240" w:lineRule="auto"/>
        <w:ind w:left="218" w:right="218"/>
        <w:jc w:val="left"/>
        <w:rPr>
          <w:b w:val="0"/>
          <w:bCs w:val="0"/>
        </w:rPr>
      </w:pPr>
      <w:bookmarkStart w:name="_TOC_250001" w:id="12"/>
      <w:r>
        <w:rPr/>
        <w:t>十一、财务会计报告</w:t>
      </w:r>
      <w:bookmarkEnd w:id="12"/>
      <w:r>
        <w:rPr>
          <w:b w:val="0"/>
          <w:bCs w:val="0"/>
        </w:rPr>
      </w:r>
    </w:p>
    <w:p>
      <w:pPr>
        <w:pStyle w:val="Heading5"/>
        <w:spacing w:line="240" w:lineRule="auto" w:before="132"/>
        <w:ind w:left="698" w:right="218"/>
        <w:jc w:val="left"/>
      </w:pPr>
      <w:r>
        <w:rPr/>
        <w:t>附后。</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pStyle w:val="BodyText"/>
        <w:spacing w:line="240" w:lineRule="auto"/>
        <w:ind w:left="218" w:right="218"/>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200" w:right="11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24"/>
          <w:szCs w:val="24"/>
        </w:rPr>
      </w:pPr>
    </w:p>
    <w:p>
      <w:pPr>
        <w:pStyle w:val="Heading2"/>
        <w:spacing w:line="240" w:lineRule="auto"/>
        <w:ind w:right="112"/>
        <w:jc w:val="left"/>
        <w:rPr>
          <w:b w:val="0"/>
          <w:bCs w:val="0"/>
        </w:rPr>
      </w:pPr>
      <w:bookmarkStart w:name="_TOC_250000" w:id="13"/>
      <w:r>
        <w:rPr/>
        <w:t>十二、备查文件目录</w:t>
      </w:r>
      <w:bookmarkEnd w:id="13"/>
      <w:r>
        <w:rPr>
          <w:b w:val="0"/>
          <w:bCs w:val="0"/>
        </w:rPr>
      </w:r>
    </w:p>
    <w:p>
      <w:pPr>
        <w:pStyle w:val="Heading5"/>
        <w:spacing w:line="313" w:lineRule="exact" w:before="134"/>
        <w:ind w:right="112"/>
        <w:jc w:val="left"/>
      </w:pPr>
      <w:r>
        <w:rPr/>
        <w:t>（一）载有董事长刘积仁签名和公司盖章的</w:t>
      </w:r>
      <w:r>
        <w:rPr>
          <w:spacing w:val="-60"/>
        </w:rPr>
        <w:t> </w:t>
      </w:r>
      <w:r>
        <w:rPr/>
        <w:t>2011</w:t>
      </w:r>
      <w:r>
        <w:rPr>
          <w:spacing w:val="-60"/>
        </w:rPr>
        <w:t> </w:t>
      </w:r>
      <w:r>
        <w:rPr/>
        <w:t>年度报告文本；</w:t>
      </w:r>
    </w:p>
    <w:p>
      <w:pPr>
        <w:spacing w:line="312" w:lineRule="exact" w:before="29"/>
        <w:ind w:left="118" w:right="112" w:firstLine="0"/>
        <w:jc w:val="left"/>
        <w:rPr>
          <w:rFonts w:ascii="宋体" w:hAnsi="宋体" w:cs="宋体" w:eastAsia="宋体" w:hint="default"/>
          <w:sz w:val="24"/>
          <w:szCs w:val="24"/>
        </w:rPr>
      </w:pPr>
      <w:r>
        <w:rPr>
          <w:rFonts w:ascii="宋体" w:hAnsi="宋体" w:cs="宋体" w:eastAsia="宋体" w:hint="default"/>
          <w:spacing w:val="-2"/>
          <w:sz w:val="24"/>
          <w:szCs w:val="24"/>
        </w:rPr>
        <w:t>（二）载有董事长刘积仁、高级副总裁兼首席财务官王莉、财务运营部部长陈雷签名并</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z w:val="24"/>
          <w:szCs w:val="24"/>
        </w:rPr>
        <w:t>盖章的财务报告文本；</w:t>
      </w:r>
    </w:p>
    <w:p>
      <w:pPr>
        <w:spacing w:line="312" w:lineRule="exact" w:before="0"/>
        <w:ind w:left="118" w:right="112" w:firstLine="0"/>
        <w:jc w:val="left"/>
        <w:rPr>
          <w:rFonts w:ascii="宋体" w:hAnsi="宋体" w:cs="宋体" w:eastAsia="宋体" w:hint="default"/>
          <w:sz w:val="24"/>
          <w:szCs w:val="24"/>
        </w:rPr>
      </w:pPr>
      <w:r>
        <w:rPr>
          <w:rFonts w:ascii="宋体" w:hAnsi="宋体" w:cs="宋体" w:eastAsia="宋体" w:hint="default"/>
          <w:spacing w:val="-2"/>
          <w:sz w:val="24"/>
          <w:szCs w:val="24"/>
        </w:rPr>
        <w:t>（三）报告期内，在中国证监会指定报刊上公开披露过的所有公司文件的正文及公告的</w:t>
      </w:r>
      <w:r>
        <w:rPr>
          <w:rFonts w:ascii="宋体" w:hAnsi="宋体" w:cs="宋体" w:eastAsia="宋体" w:hint="default"/>
          <w:spacing w:val="-96"/>
          <w:sz w:val="24"/>
          <w:szCs w:val="24"/>
        </w:rPr>
        <w:t> </w:t>
      </w:r>
      <w:r>
        <w:rPr>
          <w:rFonts w:ascii="宋体" w:hAnsi="宋体" w:cs="宋体" w:eastAsia="宋体" w:hint="default"/>
          <w:spacing w:val="-96"/>
          <w:sz w:val="24"/>
          <w:szCs w:val="24"/>
        </w:rPr>
      </w:r>
      <w:r>
        <w:rPr>
          <w:rFonts w:ascii="宋体" w:hAnsi="宋体" w:cs="宋体" w:eastAsia="宋体" w:hint="default"/>
          <w:sz w:val="24"/>
          <w:szCs w:val="24"/>
        </w:rPr>
        <w:t>原稿。</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3"/>
          <w:szCs w:val="23"/>
        </w:rPr>
      </w:pPr>
    </w:p>
    <w:p>
      <w:pPr>
        <w:spacing w:line="312" w:lineRule="exact" w:before="0"/>
        <w:ind w:left="6548" w:right="114" w:firstLine="240"/>
        <w:jc w:val="right"/>
        <w:rPr>
          <w:rFonts w:ascii="宋体" w:hAnsi="宋体" w:cs="宋体" w:eastAsia="宋体" w:hint="default"/>
          <w:sz w:val="24"/>
          <w:szCs w:val="24"/>
        </w:rPr>
      </w:pPr>
      <w:r>
        <w:rPr>
          <w:rFonts w:ascii="宋体" w:hAnsi="宋体" w:cs="宋体" w:eastAsia="宋体" w:hint="default"/>
          <w:sz w:val="24"/>
          <w:szCs w:val="24"/>
        </w:rPr>
        <w:t>东软集团股份有限公司 董事长：刘积仁 二〇一二年三月二十九日</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BodyText"/>
        <w:spacing w:line="240" w:lineRule="auto" w:before="0"/>
        <w:ind w:left="118" w:right="112"/>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30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28"/>
          <w:szCs w:val="28"/>
        </w:rPr>
      </w:pPr>
    </w:p>
    <w:p>
      <w:pPr>
        <w:pStyle w:val="Heading2"/>
        <w:spacing w:line="410" w:lineRule="auto"/>
        <w:ind w:left="2754" w:right="2740" w:firstLine="211"/>
        <w:jc w:val="left"/>
        <w:rPr>
          <w:b w:val="0"/>
          <w:bCs w:val="0"/>
        </w:rPr>
      </w:pPr>
      <w:r>
        <w:rPr/>
        <w:t>东软集团股份有限公司董事</w:t>
      </w:r>
      <w:r>
        <w:rPr>
          <w:spacing w:val="1"/>
          <w:w w:val="99"/>
        </w:rPr>
        <w:t> </w:t>
      </w:r>
      <w:r>
        <w:rPr/>
        <w:t>关于</w:t>
      </w:r>
      <w:r>
        <w:rPr>
          <w:spacing w:val="-75"/>
        </w:rPr>
        <w:t> </w:t>
      </w:r>
      <w:r>
        <w:rPr/>
        <w:t>2011</w:t>
      </w:r>
      <w:r>
        <w:rPr>
          <w:spacing w:val="-74"/>
        </w:rPr>
        <w:t> </w:t>
      </w:r>
      <w:r>
        <w:rPr/>
        <w:t>年度报告的确认意见</w:t>
      </w:r>
      <w:r>
        <w:rPr>
          <w:b w:val="0"/>
          <w:bCs w:val="0"/>
        </w:rPr>
      </w:r>
    </w:p>
    <w:p>
      <w:pPr>
        <w:spacing w:line="240" w:lineRule="auto" w:before="8"/>
        <w:rPr>
          <w:rFonts w:ascii="黑体" w:hAnsi="黑体" w:cs="黑体" w:eastAsia="黑体" w:hint="default"/>
          <w:b/>
          <w:bCs/>
          <w:sz w:val="30"/>
          <w:szCs w:val="30"/>
        </w:rPr>
      </w:pPr>
    </w:p>
    <w:p>
      <w:pPr>
        <w:pStyle w:val="Heading5"/>
        <w:spacing w:line="312" w:lineRule="exact"/>
        <w:ind w:right="112" w:firstLine="480"/>
        <w:jc w:val="left"/>
      </w:pPr>
      <w:r>
        <w:rPr>
          <w:spacing w:val="-2"/>
        </w:rPr>
        <w:t>按照《中华人民共和国证券法》和中国证监会的相关规定，我们作为东软集团股份</w:t>
      </w:r>
      <w:r>
        <w:rPr/>
        <w:t> 有限公司的董事，对公司</w:t>
      </w:r>
      <w:r>
        <w:rPr>
          <w:spacing w:val="-60"/>
        </w:rPr>
        <w:t> </w:t>
      </w:r>
      <w:r>
        <w:rPr/>
        <w:t>2011</w:t>
      </w:r>
      <w:r>
        <w:rPr>
          <w:spacing w:val="-60"/>
        </w:rPr>
        <w:t> </w:t>
      </w:r>
      <w:r>
        <w:rPr/>
        <w:t>年度报告发表如下确认意见：</w:t>
      </w:r>
    </w:p>
    <w:p>
      <w:pPr>
        <w:spacing w:line="240" w:lineRule="auto" w:before="11"/>
        <w:rPr>
          <w:rFonts w:ascii="宋体" w:hAnsi="宋体" w:cs="宋体" w:eastAsia="宋体" w:hint="default"/>
          <w:sz w:val="23"/>
          <w:szCs w:val="23"/>
        </w:rPr>
      </w:pPr>
    </w:p>
    <w:p>
      <w:pPr>
        <w:spacing w:line="312" w:lineRule="exact" w:before="0"/>
        <w:ind w:left="118" w:right="98" w:firstLine="480"/>
        <w:jc w:val="left"/>
        <w:rPr>
          <w:rFonts w:ascii="宋体" w:hAnsi="宋体" w:cs="宋体" w:eastAsia="宋体" w:hint="default"/>
          <w:sz w:val="24"/>
          <w:szCs w:val="24"/>
        </w:rPr>
      </w:pPr>
      <w:r>
        <w:rPr>
          <w:rFonts w:ascii="宋体" w:hAnsi="宋体" w:cs="宋体" w:eastAsia="宋体" w:hint="default"/>
          <w:sz w:val="24"/>
          <w:szCs w:val="24"/>
        </w:rPr>
        <w:t>保证 2011</w:t>
      </w:r>
      <w:r>
        <w:rPr>
          <w:rFonts w:ascii="宋体" w:hAnsi="宋体" w:cs="宋体" w:eastAsia="宋体" w:hint="default"/>
          <w:spacing w:val="-52"/>
          <w:sz w:val="24"/>
          <w:szCs w:val="24"/>
        </w:rPr>
        <w:t> </w:t>
      </w:r>
      <w:r>
        <w:rPr>
          <w:rFonts w:ascii="宋体" w:hAnsi="宋体" w:cs="宋体" w:eastAsia="宋体" w:hint="default"/>
          <w:sz w:val="24"/>
          <w:szCs w:val="24"/>
        </w:rPr>
        <w:t>年度报告所载资料不存在任何虚假记载、误导性陈述或者重大遗漏，并</w:t>
      </w:r>
      <w:r>
        <w:rPr>
          <w:rFonts w:ascii="宋体" w:hAnsi="宋体" w:cs="宋体" w:eastAsia="宋体" w:hint="default"/>
          <w:sz w:val="24"/>
          <w:szCs w:val="24"/>
        </w:rPr>
        <w:t> 对其内容的真实性、准确性和完整性承担个别及连带责任。</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1"/>
          <w:szCs w:val="21"/>
        </w:rPr>
      </w:pPr>
    </w:p>
    <w:p>
      <w:pPr>
        <w:spacing w:before="0"/>
        <w:ind w:left="590" w:right="112" w:firstLine="0"/>
        <w:jc w:val="left"/>
        <w:rPr>
          <w:rFonts w:ascii="宋体" w:hAnsi="宋体" w:cs="宋体" w:eastAsia="宋体" w:hint="default"/>
          <w:sz w:val="24"/>
          <w:szCs w:val="24"/>
        </w:rPr>
      </w:pPr>
      <w:r>
        <w:rPr>
          <w:rFonts w:ascii="宋体" w:hAnsi="宋体" w:cs="宋体" w:eastAsia="宋体" w:hint="default"/>
          <w:b/>
          <w:bCs/>
          <w:sz w:val="24"/>
          <w:szCs w:val="24"/>
        </w:rPr>
        <w:t>董事签字：</w:t>
      </w:r>
      <w:r>
        <w:rPr>
          <w:rFonts w:ascii="宋体" w:hAnsi="宋体" w:cs="宋体" w:eastAsia="宋体" w:hint="default"/>
          <w:sz w:val="24"/>
          <w:szCs w:val="24"/>
        </w:rPr>
      </w:r>
    </w:p>
    <w:p>
      <w:pPr>
        <w:spacing w:line="240" w:lineRule="auto" w:before="2"/>
        <w:rPr>
          <w:rFonts w:ascii="宋体" w:hAnsi="宋体" w:cs="宋体" w:eastAsia="宋体" w:hint="default"/>
          <w:b/>
          <w:bCs/>
          <w:sz w:val="26"/>
          <w:szCs w:val="26"/>
        </w:rPr>
      </w:pPr>
    </w:p>
    <w:p>
      <w:pPr>
        <w:spacing w:line="310" w:lineRule="exact" w:before="0"/>
        <w:ind w:left="598" w:right="1936" w:firstLine="0"/>
        <w:jc w:val="left"/>
        <w:rPr>
          <w:rFonts w:ascii="宋体" w:hAnsi="宋体" w:cs="宋体" w:eastAsia="宋体" w:hint="default"/>
          <w:sz w:val="24"/>
          <w:szCs w:val="24"/>
        </w:rPr>
      </w:pPr>
      <w:r>
        <w:rPr>
          <w:rFonts w:ascii="宋体" w:hAnsi="宋体" w:cs="宋体" w:eastAsia="宋体" w:hint="default"/>
          <w:sz w:val="24"/>
          <w:szCs w:val="24"/>
        </w:rPr>
        <w:t>刘积仁、王勇峰、王莉、石黑征三、</w:t>
      </w:r>
      <w:r>
        <w:rPr>
          <w:rFonts w:ascii="Times New Roman" w:hAnsi="Times New Roman" w:cs="Times New Roman" w:eastAsia="Times New Roman" w:hint="default"/>
          <w:sz w:val="21"/>
          <w:szCs w:val="21"/>
        </w:rPr>
        <w:t>Klaus Michael</w:t>
      </w:r>
      <w:r>
        <w:rPr>
          <w:rFonts w:ascii="Times New Roman" w:hAnsi="Times New Roman" w:cs="Times New Roman" w:eastAsia="Times New Roman" w:hint="default"/>
          <w:spacing w:val="-9"/>
          <w:sz w:val="21"/>
          <w:szCs w:val="21"/>
        </w:rPr>
        <w:t> </w:t>
      </w:r>
      <w:r>
        <w:rPr>
          <w:rFonts w:ascii="Times New Roman" w:hAnsi="Times New Roman" w:cs="Times New Roman" w:eastAsia="Times New Roman" w:hint="default"/>
          <w:sz w:val="21"/>
          <w:szCs w:val="21"/>
        </w:rPr>
        <w:t>Zimmer</w:t>
      </w:r>
      <w:r>
        <w:rPr>
          <w:rFonts w:ascii="宋体" w:hAnsi="宋体" w:cs="宋体" w:eastAsia="宋体" w:hint="default"/>
          <w:sz w:val="24"/>
          <w:szCs w:val="24"/>
        </w:rPr>
        <w:t>、笠野章 方红星、薛澜、高文</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1"/>
          <w:szCs w:val="21"/>
        </w:rPr>
      </w:pPr>
    </w:p>
    <w:p>
      <w:pPr>
        <w:pStyle w:val="Heading5"/>
        <w:spacing w:line="240" w:lineRule="auto"/>
        <w:ind w:left="0" w:right="114"/>
        <w:jc w:val="right"/>
      </w:pPr>
      <w:r>
        <w:rPr/>
        <w:t>二〇一二年三月二十九日</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9"/>
          <w:szCs w:val="29"/>
        </w:rPr>
      </w:pPr>
    </w:p>
    <w:p>
      <w:pPr>
        <w:pStyle w:val="BodyText"/>
        <w:spacing w:line="240" w:lineRule="auto"/>
        <w:ind w:left="118" w:right="112"/>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30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28"/>
          <w:szCs w:val="28"/>
        </w:rPr>
      </w:pPr>
    </w:p>
    <w:p>
      <w:pPr>
        <w:pStyle w:val="Heading2"/>
        <w:spacing w:line="410" w:lineRule="auto"/>
        <w:ind w:left="2754" w:right="2383" w:hanging="351"/>
        <w:jc w:val="left"/>
        <w:rPr>
          <w:b w:val="0"/>
          <w:bCs w:val="0"/>
        </w:rPr>
      </w:pPr>
      <w:r>
        <w:rPr/>
        <w:t>东软集团股份有限公司高级管理人员</w:t>
      </w:r>
      <w:r>
        <w:rPr>
          <w:spacing w:val="1"/>
          <w:w w:val="99"/>
        </w:rPr>
        <w:t> </w:t>
      </w:r>
      <w:r>
        <w:rPr/>
        <w:t>关于</w:t>
      </w:r>
      <w:r>
        <w:rPr>
          <w:spacing w:val="-75"/>
        </w:rPr>
        <w:t> </w:t>
      </w:r>
      <w:r>
        <w:rPr/>
        <w:t>2011</w:t>
      </w:r>
      <w:r>
        <w:rPr>
          <w:spacing w:val="-74"/>
        </w:rPr>
        <w:t> </w:t>
      </w:r>
      <w:r>
        <w:rPr/>
        <w:t>年度报告的确认意见</w:t>
      </w:r>
      <w:r>
        <w:rPr>
          <w:b w:val="0"/>
          <w:bCs w:val="0"/>
        </w:rPr>
      </w:r>
    </w:p>
    <w:p>
      <w:pPr>
        <w:spacing w:line="240" w:lineRule="auto" w:before="8"/>
        <w:rPr>
          <w:rFonts w:ascii="黑体" w:hAnsi="黑体" w:cs="黑体" w:eastAsia="黑体" w:hint="default"/>
          <w:b/>
          <w:bCs/>
          <w:sz w:val="30"/>
          <w:szCs w:val="30"/>
        </w:rPr>
      </w:pPr>
    </w:p>
    <w:p>
      <w:pPr>
        <w:pStyle w:val="Heading5"/>
        <w:spacing w:line="312" w:lineRule="exact"/>
        <w:ind w:right="112" w:firstLine="480"/>
        <w:jc w:val="left"/>
      </w:pPr>
      <w:r>
        <w:rPr>
          <w:spacing w:val="-2"/>
        </w:rPr>
        <w:t>按照《中华人民共和国证券法》和中国证监会的相关规定，我们作为东软集团股份</w:t>
      </w:r>
      <w:r>
        <w:rPr/>
        <w:t> 有限公司的高级管理人员，对公司</w:t>
      </w:r>
      <w:r>
        <w:rPr>
          <w:spacing w:val="-60"/>
        </w:rPr>
        <w:t> </w:t>
      </w:r>
      <w:r>
        <w:rPr/>
        <w:t>2011</w:t>
      </w:r>
      <w:r>
        <w:rPr>
          <w:spacing w:val="-60"/>
        </w:rPr>
        <w:t> </w:t>
      </w:r>
      <w:r>
        <w:rPr/>
        <w:t>年度报告发表如下确认意见：</w:t>
      </w:r>
    </w:p>
    <w:p>
      <w:pPr>
        <w:spacing w:line="240" w:lineRule="auto" w:before="11"/>
        <w:rPr>
          <w:rFonts w:ascii="宋体" w:hAnsi="宋体" w:cs="宋体" w:eastAsia="宋体" w:hint="default"/>
          <w:sz w:val="23"/>
          <w:szCs w:val="23"/>
        </w:rPr>
      </w:pPr>
    </w:p>
    <w:p>
      <w:pPr>
        <w:spacing w:line="312" w:lineRule="exact" w:before="0"/>
        <w:ind w:left="118" w:right="98" w:firstLine="480"/>
        <w:jc w:val="left"/>
        <w:rPr>
          <w:rFonts w:ascii="宋体" w:hAnsi="宋体" w:cs="宋体" w:eastAsia="宋体" w:hint="default"/>
          <w:sz w:val="24"/>
          <w:szCs w:val="24"/>
        </w:rPr>
      </w:pPr>
      <w:r>
        <w:rPr>
          <w:rFonts w:ascii="宋体" w:hAnsi="宋体" w:cs="宋体" w:eastAsia="宋体" w:hint="default"/>
          <w:sz w:val="24"/>
          <w:szCs w:val="24"/>
        </w:rPr>
        <w:t>保证 2011</w:t>
      </w:r>
      <w:r>
        <w:rPr>
          <w:rFonts w:ascii="宋体" w:hAnsi="宋体" w:cs="宋体" w:eastAsia="宋体" w:hint="default"/>
          <w:spacing w:val="-52"/>
          <w:sz w:val="24"/>
          <w:szCs w:val="24"/>
        </w:rPr>
        <w:t> </w:t>
      </w:r>
      <w:r>
        <w:rPr>
          <w:rFonts w:ascii="宋体" w:hAnsi="宋体" w:cs="宋体" w:eastAsia="宋体" w:hint="default"/>
          <w:sz w:val="24"/>
          <w:szCs w:val="24"/>
        </w:rPr>
        <w:t>年度报告所载资料不存在任何虚假记载、误导性陈述或者重大遗漏，并</w:t>
      </w:r>
      <w:r>
        <w:rPr>
          <w:rFonts w:ascii="宋体" w:hAnsi="宋体" w:cs="宋体" w:eastAsia="宋体" w:hint="default"/>
          <w:sz w:val="24"/>
          <w:szCs w:val="24"/>
        </w:rPr>
        <w:t> 对其内容的真实性、准确性和完整性承担个别及连带责任。</w:t>
      </w:r>
    </w:p>
    <w:p>
      <w:pPr>
        <w:spacing w:line="240" w:lineRule="auto" w:before="13"/>
        <w:rPr>
          <w:rFonts w:ascii="宋体" w:hAnsi="宋体" w:cs="宋体" w:eastAsia="宋体" w:hint="default"/>
          <w:sz w:val="21"/>
          <w:szCs w:val="21"/>
        </w:rPr>
      </w:pPr>
    </w:p>
    <w:p>
      <w:pPr>
        <w:spacing w:line="620" w:lineRule="atLeast" w:before="0"/>
        <w:ind w:left="600" w:right="1004" w:hanging="483"/>
        <w:jc w:val="left"/>
        <w:rPr>
          <w:rFonts w:ascii="宋体" w:hAnsi="宋体" w:cs="宋体" w:eastAsia="宋体" w:hint="default"/>
          <w:sz w:val="24"/>
          <w:szCs w:val="24"/>
        </w:rPr>
      </w:pPr>
      <w:r>
        <w:rPr>
          <w:rFonts w:ascii="宋体" w:hAnsi="宋体" w:cs="宋体" w:eastAsia="宋体" w:hint="default"/>
          <w:b/>
          <w:bCs/>
          <w:sz w:val="24"/>
          <w:szCs w:val="24"/>
        </w:rPr>
        <w:t>高级管理人员签字：</w:t>
      </w:r>
      <w:r>
        <w:rPr>
          <w:rFonts w:ascii="宋体" w:hAnsi="宋体" w:cs="宋体" w:eastAsia="宋体" w:hint="default"/>
          <w:b/>
          <w:bCs/>
          <w:w w:val="99"/>
          <w:sz w:val="24"/>
          <w:szCs w:val="24"/>
        </w:rPr>
        <w:t> </w:t>
      </w:r>
      <w:r>
        <w:rPr>
          <w:rFonts w:ascii="宋体" w:hAnsi="宋体" w:cs="宋体" w:eastAsia="宋体" w:hint="default"/>
          <w:sz w:val="24"/>
          <w:szCs w:val="24"/>
        </w:rPr>
        <w:t>刘积仁、王勇峰、陈锡民、卢朝霞、王莉、张霞、王经锡、张晓鸥、李军</w:t>
      </w:r>
    </w:p>
    <w:p>
      <w:pPr>
        <w:pStyle w:val="BodyText"/>
        <w:spacing w:line="322" w:lineRule="exact" w:before="0"/>
        <w:ind w:left="645" w:right="112"/>
        <w:jc w:val="left"/>
        <w:rPr>
          <w:rFonts w:ascii="宋体" w:hAnsi="宋体" w:cs="宋体" w:eastAsia="宋体" w:hint="default"/>
          <w:sz w:val="24"/>
          <w:szCs w:val="24"/>
        </w:rPr>
      </w:pPr>
      <w:r>
        <w:rPr>
          <w:rFonts w:ascii="Times New Roman" w:hAnsi="Times New Roman" w:cs="Times New Roman" w:eastAsia="Times New Roman" w:hint="default"/>
        </w:rPr>
        <w:t>Klaus Michael</w:t>
      </w:r>
      <w:r>
        <w:rPr>
          <w:rFonts w:ascii="Times New Roman" w:hAnsi="Times New Roman" w:cs="Times New Roman" w:eastAsia="Times New Roman" w:hint="default"/>
          <w:spacing w:val="-9"/>
        </w:rPr>
        <w:t> </w:t>
      </w:r>
      <w:r>
        <w:rPr>
          <w:rFonts w:ascii="Times New Roman" w:hAnsi="Times New Roman" w:cs="Times New Roman" w:eastAsia="Times New Roman" w:hint="default"/>
        </w:rPr>
        <w:t>Zimmer</w:t>
      </w:r>
      <w:r>
        <w:rPr>
          <w:rFonts w:ascii="宋体" w:hAnsi="宋体" w:cs="宋体" w:eastAsia="宋体" w:hint="default"/>
          <w:sz w:val="24"/>
          <w:szCs w:val="24"/>
        </w:rPr>
        <w:t>、王楠</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2"/>
          <w:szCs w:val="22"/>
        </w:rPr>
      </w:pPr>
    </w:p>
    <w:p>
      <w:pPr>
        <w:pStyle w:val="Heading5"/>
        <w:spacing w:line="240" w:lineRule="auto"/>
        <w:ind w:left="0" w:right="114"/>
        <w:jc w:val="right"/>
      </w:pPr>
      <w:r>
        <w:rPr/>
        <w:t>二〇一二年三月二十九日</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BodyText"/>
        <w:spacing w:line="240" w:lineRule="auto" w:before="0"/>
        <w:ind w:left="118" w:right="112"/>
        <w:jc w:val="left"/>
        <w:rPr>
          <w:rFonts w:ascii="黑体" w:hAnsi="黑体" w:cs="黑体" w:eastAsia="黑体" w:hint="default"/>
        </w:rPr>
      </w:pPr>
      <w:r>
        <w:rPr>
          <w:rFonts w:ascii="黑体" w:hAnsi="黑体" w:cs="黑体" w:eastAsia="黑体" w:hint="default"/>
        </w:rPr>
        <w:t>东软集团股份有限公司</w:t>
      </w:r>
      <w:r>
        <w:rPr>
          <w:rFonts w:ascii="黑体" w:hAnsi="黑体" w:cs="黑体" w:eastAsia="黑体" w:hint="default"/>
          <w:spacing w:val="-61"/>
        </w:rPr>
        <w:t> </w:t>
      </w:r>
      <w:r>
        <w:rPr>
          <w:rFonts w:ascii="黑体" w:hAnsi="黑体" w:cs="黑体" w:eastAsia="黑体" w:hint="default"/>
        </w:rPr>
        <w:t>2011</w:t>
      </w:r>
      <w:r>
        <w:rPr>
          <w:rFonts w:ascii="黑体" w:hAnsi="黑体" w:cs="黑体" w:eastAsia="黑体" w:hint="default"/>
          <w:spacing w:val="-61"/>
        </w:rPr>
        <w:t> </w:t>
      </w:r>
      <w:r>
        <w:rPr>
          <w:rFonts w:ascii="黑体" w:hAnsi="黑体" w:cs="黑体" w:eastAsia="黑体" w:hint="default"/>
        </w:rPr>
        <w:t>年度报告</w:t>
      </w:r>
    </w:p>
    <w:p>
      <w:pPr>
        <w:spacing w:after="0" w:line="240" w:lineRule="auto"/>
        <w:jc w:val="left"/>
        <w:rPr>
          <w:rFonts w:ascii="黑体" w:hAnsi="黑体" w:cs="黑体" w:eastAsia="黑体" w:hint="default"/>
        </w:rPr>
        <w:sectPr>
          <w:pgSz w:w="11910" w:h="16840"/>
          <w:pgMar w:header="1012" w:footer="480" w:top="1360" w:bottom="660" w:left="1300" w:right="130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18"/>
          <w:szCs w:val="18"/>
        </w:rPr>
      </w:pPr>
    </w:p>
    <w:p>
      <w:pPr>
        <w:spacing w:line="609" w:lineRule="auto" w:before="26"/>
        <w:ind w:left="4795" w:right="1320" w:firstLine="0"/>
        <w:jc w:val="left"/>
        <w:rPr>
          <w:rFonts w:ascii="宋体" w:hAnsi="宋体" w:cs="宋体" w:eastAsia="宋体" w:hint="default"/>
          <w:sz w:val="24"/>
          <w:szCs w:val="24"/>
        </w:rPr>
      </w:pPr>
      <w:bookmarkStart w:name="05-BG2012111331东软集团股份审计姜丽君-终稿" w:id="14"/>
      <w:bookmarkEnd w:id="14"/>
      <w:r>
        <w:rPr/>
      </w:r>
      <w:r>
        <w:rPr>
          <w:rFonts w:ascii="宋体" w:hAnsi="宋体" w:cs="宋体" w:eastAsia="宋体" w:hint="default"/>
          <w:b/>
          <w:bCs/>
          <w:sz w:val="24"/>
          <w:szCs w:val="24"/>
        </w:rPr>
        <w:t>东软集团股份有限公司</w:t>
      </w:r>
      <w:r>
        <w:rPr>
          <w:rFonts w:ascii="宋体" w:hAnsi="宋体" w:cs="宋体" w:eastAsia="宋体" w:hint="default"/>
          <w:b/>
          <w:bCs/>
          <w:spacing w:val="1"/>
          <w:w w:val="99"/>
          <w:sz w:val="24"/>
          <w:szCs w:val="24"/>
        </w:rPr>
        <w:t> </w:t>
      </w:r>
      <w:r>
        <w:rPr>
          <w:rFonts w:ascii="宋体" w:hAnsi="宋体" w:cs="宋体" w:eastAsia="宋体" w:hint="default"/>
          <w:b/>
          <w:bCs/>
          <w:sz w:val="24"/>
          <w:szCs w:val="24"/>
        </w:rPr>
        <w:t>审计报告及财务报表</w:t>
      </w:r>
      <w:r>
        <w:rPr>
          <w:rFonts w:ascii="宋体" w:hAnsi="宋体" w:cs="宋体" w:eastAsia="宋体" w:hint="default"/>
          <w:b/>
          <w:bCs/>
          <w:spacing w:val="1"/>
          <w:w w:val="99"/>
          <w:sz w:val="24"/>
          <w:szCs w:val="24"/>
        </w:rPr>
        <w:t> </w:t>
      </w:r>
      <w:r>
        <w:rPr>
          <w:rFonts w:ascii="Times New Roman" w:hAnsi="Times New Roman" w:cs="Times New Roman" w:eastAsia="Times New Roman" w:hint="default"/>
          <w:b/>
          <w:bCs/>
          <w:spacing w:val="-4"/>
          <w:sz w:val="24"/>
          <w:szCs w:val="24"/>
        </w:rPr>
        <w:t>2011</w:t>
      </w:r>
      <w:r>
        <w:rPr>
          <w:rFonts w:ascii="Times New Roman" w:hAnsi="Times New Roman" w:cs="Times New Roman" w:eastAsia="Times New Roman" w:hint="default"/>
          <w:b/>
          <w:bCs/>
          <w:spacing w:val="2"/>
          <w:sz w:val="24"/>
          <w:szCs w:val="24"/>
        </w:rPr>
        <w:t> </w:t>
      </w:r>
      <w:r>
        <w:rPr>
          <w:rFonts w:ascii="宋体" w:hAnsi="宋体" w:cs="宋体" w:eastAsia="宋体" w:hint="default"/>
          <w:b/>
          <w:bCs/>
          <w:sz w:val="24"/>
          <w:szCs w:val="24"/>
        </w:rPr>
        <w:t>年度</w:t>
      </w:r>
      <w:r>
        <w:rPr>
          <w:rFonts w:ascii="宋体" w:hAnsi="宋体" w:cs="宋体" w:eastAsia="宋体" w:hint="default"/>
          <w:sz w:val="24"/>
          <w:szCs w:val="24"/>
        </w:rPr>
      </w:r>
    </w:p>
    <w:p>
      <w:pPr>
        <w:spacing w:after="0" w:line="609" w:lineRule="auto"/>
        <w:jc w:val="left"/>
        <w:rPr>
          <w:rFonts w:ascii="宋体" w:hAnsi="宋体" w:cs="宋体" w:eastAsia="宋体" w:hint="default"/>
          <w:sz w:val="24"/>
          <w:szCs w:val="24"/>
        </w:rPr>
        <w:sectPr>
          <w:headerReference w:type="default" r:id="rId17"/>
          <w:footerReference w:type="default" r:id="rId18"/>
          <w:pgSz w:w="11910" w:h="16840"/>
          <w:pgMar w:header="0" w:footer="0" w:top="1600" w:bottom="280" w:left="1680" w:right="1680"/>
        </w:sectPr>
      </w:pPr>
    </w:p>
    <w:p>
      <w:pPr>
        <w:spacing w:line="240" w:lineRule="auto" w:before="1"/>
        <w:rPr>
          <w:rFonts w:ascii="宋体" w:hAnsi="宋体" w:cs="宋体" w:eastAsia="宋体" w:hint="default"/>
          <w:b/>
          <w:bCs/>
          <w:sz w:val="14"/>
          <w:szCs w:val="14"/>
        </w:rPr>
      </w:pPr>
    </w:p>
    <w:p>
      <w:pPr>
        <w:spacing w:before="1"/>
        <w:ind w:left="1915" w:right="1990" w:firstLine="0"/>
        <w:jc w:val="center"/>
        <w:rPr>
          <w:rFonts w:ascii="宋体" w:hAnsi="宋体" w:cs="宋体" w:eastAsia="宋体" w:hint="default"/>
          <w:sz w:val="32"/>
          <w:szCs w:val="32"/>
        </w:rPr>
      </w:pPr>
      <w:r>
        <w:rPr>
          <w:rFonts w:ascii="宋体" w:hAnsi="宋体" w:cs="宋体" w:eastAsia="宋体" w:hint="default"/>
          <w:b/>
          <w:bCs/>
          <w:sz w:val="32"/>
          <w:szCs w:val="32"/>
        </w:rPr>
        <w:t>东软集团股份有限公司</w:t>
      </w:r>
      <w:r>
        <w:rPr>
          <w:rFonts w:ascii="宋体" w:hAnsi="宋体" w:cs="宋体" w:eastAsia="宋体" w:hint="default"/>
          <w:sz w:val="32"/>
          <w:szCs w:val="32"/>
        </w:rPr>
      </w:r>
    </w:p>
    <w:p>
      <w:pPr>
        <w:spacing w:line="240" w:lineRule="auto" w:before="9"/>
        <w:rPr>
          <w:rFonts w:ascii="宋体" w:hAnsi="宋体" w:cs="宋体" w:eastAsia="宋体" w:hint="default"/>
          <w:b/>
          <w:bCs/>
          <w:sz w:val="36"/>
          <w:szCs w:val="36"/>
        </w:rPr>
      </w:pPr>
    </w:p>
    <w:p>
      <w:pPr>
        <w:spacing w:before="0"/>
        <w:ind w:left="1915" w:right="1988" w:firstLine="0"/>
        <w:jc w:val="center"/>
        <w:rPr>
          <w:rFonts w:ascii="宋体" w:hAnsi="宋体" w:cs="宋体" w:eastAsia="宋体" w:hint="default"/>
          <w:sz w:val="32"/>
          <w:szCs w:val="32"/>
        </w:rPr>
      </w:pPr>
      <w:r>
        <w:rPr>
          <w:rFonts w:ascii="宋体" w:hAnsi="宋体" w:cs="宋体" w:eastAsia="宋体" w:hint="default"/>
          <w:b/>
          <w:bCs/>
          <w:sz w:val="32"/>
          <w:szCs w:val="32"/>
        </w:rPr>
        <w:t>审计报告及财务报表</w:t>
      </w:r>
      <w:r>
        <w:rPr>
          <w:rFonts w:ascii="宋体" w:hAnsi="宋体" w:cs="宋体" w:eastAsia="宋体" w:hint="default"/>
          <w:sz w:val="32"/>
          <w:szCs w:val="32"/>
        </w:rPr>
      </w:r>
    </w:p>
    <w:p>
      <w:pPr>
        <w:pStyle w:val="Heading5"/>
        <w:spacing w:line="240" w:lineRule="auto" w:before="136"/>
        <w:ind w:left="1915" w:right="1992"/>
        <w:jc w:val="center"/>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rFonts w:ascii="宋体" w:hAnsi="宋体" w:cs="宋体" w:eastAsia="宋体" w:hint="default"/>
        </w:rPr>
        <w:t>日至</w:t>
      </w:r>
      <w:r>
        <w:rPr>
          <w:rFonts w:ascii="宋体" w:hAnsi="宋体" w:cs="宋体" w:eastAsia="宋体" w:hint="default"/>
          <w:spacing w:val="-6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rPr>
        <w:t>日止）</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5"/>
          <w:szCs w:val="25"/>
        </w:rPr>
      </w:pPr>
    </w:p>
    <w:tbl>
      <w:tblPr>
        <w:tblW w:w="0" w:type="auto"/>
        <w:jc w:val="left"/>
        <w:tblInd w:w="102" w:type="dxa"/>
        <w:tblLayout w:type="fixed"/>
        <w:tblCellMar>
          <w:top w:w="0" w:type="dxa"/>
          <w:left w:w="0" w:type="dxa"/>
          <w:bottom w:w="0" w:type="dxa"/>
          <w:right w:w="0" w:type="dxa"/>
        </w:tblCellMar>
        <w:tblLook w:val="01E0"/>
      </w:tblPr>
      <w:tblGrid>
        <w:gridCol w:w="1109"/>
        <w:gridCol w:w="5513"/>
        <w:gridCol w:w="258"/>
        <w:gridCol w:w="1577"/>
      </w:tblGrid>
      <w:tr>
        <w:trPr>
          <w:trHeight w:val="790" w:hRule="exact"/>
        </w:trPr>
        <w:tc>
          <w:tcPr>
            <w:tcW w:w="1109"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single" w:sz="4" w:space="0" w:color="000000"/>
              <w:right w:val="nil" w:sz="6" w:space="0" w:color="auto"/>
            </w:tcBorders>
          </w:tcPr>
          <w:p>
            <w:pPr>
              <w:pStyle w:val="TableParagraph"/>
              <w:tabs>
                <w:tab w:pos="839" w:val="left" w:leader="none"/>
              </w:tabs>
              <w:spacing w:line="240" w:lineRule="auto" w:before="26"/>
              <w:ind w:right="0"/>
              <w:jc w:val="center"/>
              <w:rPr>
                <w:rFonts w:ascii="宋体" w:hAnsi="宋体" w:cs="宋体" w:eastAsia="宋体" w:hint="default"/>
                <w:sz w:val="24"/>
                <w:szCs w:val="24"/>
              </w:rPr>
            </w:pPr>
            <w:r>
              <w:rPr>
                <w:rFonts w:ascii="宋体" w:hAnsi="宋体" w:cs="宋体" w:eastAsia="宋体" w:hint="default"/>
                <w:sz w:val="24"/>
                <w:szCs w:val="24"/>
              </w:rPr>
              <w:t>目</w:t>
              <w:tab/>
              <w:t>录</w:t>
            </w:r>
          </w:p>
        </w:tc>
        <w:tc>
          <w:tcPr>
            <w:tcW w:w="258"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single" w:sz="4" w:space="0" w:color="000000"/>
              <w:right w:val="nil" w:sz="6" w:space="0" w:color="auto"/>
            </w:tcBorders>
          </w:tcPr>
          <w:p>
            <w:pPr>
              <w:pStyle w:val="TableParagraph"/>
              <w:tabs>
                <w:tab w:pos="479" w:val="left" w:leader="none"/>
              </w:tabs>
              <w:spacing w:line="240" w:lineRule="auto" w:before="26"/>
              <w:ind w:right="107"/>
              <w:jc w:val="right"/>
              <w:rPr>
                <w:rFonts w:ascii="宋体" w:hAnsi="宋体" w:cs="宋体" w:eastAsia="宋体" w:hint="default"/>
                <w:sz w:val="24"/>
                <w:szCs w:val="24"/>
              </w:rPr>
            </w:pPr>
            <w:r>
              <w:rPr>
                <w:rFonts w:ascii="宋体" w:hAnsi="宋体" w:cs="宋体" w:eastAsia="宋体" w:hint="default"/>
                <w:sz w:val="24"/>
                <w:szCs w:val="24"/>
              </w:rPr>
              <w:t>页</w:t>
              <w:tab/>
              <w:t>次</w:t>
            </w:r>
          </w:p>
        </w:tc>
      </w:tr>
      <w:tr>
        <w:trPr>
          <w:trHeight w:val="1440" w:hRule="exact"/>
        </w:trPr>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24"/>
                <w:szCs w:val="24"/>
              </w:rPr>
            </w:pPr>
            <w:r>
              <w:rPr>
                <w:rFonts w:ascii="宋体" w:hAnsi="宋体" w:cs="宋体" w:eastAsia="宋体" w:hint="default"/>
                <w:sz w:val="24"/>
                <w:szCs w:val="24"/>
              </w:rPr>
              <w:t>一、</w:t>
            </w: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1"/>
              <w:ind w:left="35" w:right="0"/>
              <w:jc w:val="left"/>
              <w:rPr>
                <w:rFonts w:ascii="宋体" w:hAnsi="宋体" w:cs="宋体" w:eastAsia="宋体" w:hint="default"/>
                <w:sz w:val="24"/>
                <w:szCs w:val="24"/>
              </w:rPr>
            </w:pPr>
            <w:r>
              <w:rPr>
                <w:rFonts w:ascii="宋体" w:hAnsi="宋体" w:cs="宋体" w:eastAsia="宋体" w:hint="default"/>
                <w:sz w:val="24"/>
                <w:szCs w:val="24"/>
              </w:rPr>
              <w:t>二、</w:t>
            </w:r>
          </w:p>
        </w:tc>
        <w:tc>
          <w:tcPr>
            <w:tcW w:w="5513" w:type="dxa"/>
            <w:tcBorders>
              <w:top w:val="single" w:sz="4" w:space="0" w:color="000000"/>
              <w:left w:val="nil" w:sz="6" w:space="0" w:color="auto"/>
              <w:bottom w:val="nil" w:sz="6" w:space="0" w:color="auto"/>
              <w:right w:val="nil" w:sz="6" w:space="0" w:color="auto"/>
            </w:tcBorders>
          </w:tcPr>
          <w:p>
            <w:pPr>
              <w:pStyle w:val="TableParagraph"/>
              <w:spacing w:line="240" w:lineRule="auto" w:before="41"/>
              <w:ind w:left="106" w:right="0"/>
              <w:jc w:val="left"/>
              <w:rPr>
                <w:rFonts w:ascii="宋体" w:hAnsi="宋体" w:cs="宋体" w:eastAsia="宋体" w:hint="default"/>
                <w:sz w:val="24"/>
                <w:szCs w:val="24"/>
              </w:rPr>
            </w:pPr>
            <w:r>
              <w:rPr>
                <w:rFonts w:ascii="宋体" w:hAnsi="宋体" w:cs="宋体" w:eastAsia="宋体" w:hint="default"/>
                <w:sz w:val="24"/>
                <w:szCs w:val="24"/>
              </w:rPr>
              <w:t>审计报告</w:t>
            </w:r>
          </w:p>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71"/>
              <w:ind w:left="106" w:right="0"/>
              <w:jc w:val="left"/>
              <w:rPr>
                <w:rFonts w:ascii="宋体" w:hAnsi="宋体" w:cs="宋体" w:eastAsia="宋体" w:hint="default"/>
                <w:sz w:val="24"/>
                <w:szCs w:val="24"/>
              </w:rPr>
            </w:pPr>
            <w:r>
              <w:rPr>
                <w:rFonts w:ascii="宋体" w:hAnsi="宋体" w:cs="宋体" w:eastAsia="宋体" w:hint="default"/>
                <w:sz w:val="24"/>
                <w:szCs w:val="24"/>
              </w:rPr>
              <w:t>财务报表</w:t>
            </w:r>
          </w:p>
        </w:tc>
        <w:tc>
          <w:tcPr>
            <w:tcW w:w="258" w:type="dxa"/>
            <w:tcBorders>
              <w:top w:val="nil" w:sz="6" w:space="0" w:color="auto"/>
              <w:left w:val="nil" w:sz="6" w:space="0" w:color="auto"/>
              <w:bottom w:val="nil" w:sz="6" w:space="0" w:color="auto"/>
              <w:right w:val="nil" w:sz="6" w:space="0" w:color="auto"/>
            </w:tcBorders>
          </w:tcPr>
          <w:p>
            <w:pPr/>
          </w:p>
        </w:tc>
        <w:tc>
          <w:tcPr>
            <w:tcW w:w="1577" w:type="dxa"/>
            <w:tcBorders>
              <w:top w:val="single" w:sz="4" w:space="0" w:color="000000"/>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24"/>
                <w:szCs w:val="24"/>
              </w:rPr>
            </w:pPr>
            <w:r>
              <w:rPr>
                <w:rFonts w:ascii="Times New Roman"/>
                <w:w w:val="95"/>
                <w:sz w:val="24"/>
              </w:rPr>
              <w:t>1-2</w:t>
            </w:r>
            <w:r>
              <w:rPr>
                <w:rFonts w:ascii="Times New Roman"/>
                <w:sz w:val="24"/>
              </w:rPr>
            </w:r>
          </w:p>
        </w:tc>
      </w:tr>
      <w:tr>
        <w:trPr>
          <w:trHeight w:val="807" w:hRule="exact"/>
        </w:trPr>
        <w:tc>
          <w:tcPr>
            <w:tcW w:w="1109"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nil" w:sz="6" w:space="0" w:color="auto"/>
              <w:right w:val="nil" w:sz="6" w:space="0" w:color="auto"/>
            </w:tcBorders>
          </w:tcPr>
          <w:p>
            <w:pPr>
              <w:pStyle w:val="TableParagraph"/>
              <w:spacing w:line="240" w:lineRule="auto" w:before="206"/>
              <w:ind w:left="106" w:right="0"/>
              <w:jc w:val="left"/>
              <w:rPr>
                <w:rFonts w:ascii="宋体" w:hAnsi="宋体" w:cs="宋体" w:eastAsia="宋体" w:hint="default"/>
                <w:sz w:val="24"/>
                <w:szCs w:val="24"/>
              </w:rPr>
            </w:pPr>
            <w:r>
              <w:rPr>
                <w:rFonts w:ascii="宋体" w:hAnsi="宋体" w:cs="宋体" w:eastAsia="宋体" w:hint="default"/>
                <w:sz w:val="24"/>
                <w:szCs w:val="24"/>
              </w:rPr>
              <w:t>资产负债表和合并资产负债表</w:t>
            </w:r>
          </w:p>
        </w:tc>
        <w:tc>
          <w:tcPr>
            <w:tcW w:w="258"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106"/>
              <w:jc w:val="right"/>
              <w:rPr>
                <w:rFonts w:ascii="Times New Roman" w:hAnsi="Times New Roman" w:cs="Times New Roman" w:eastAsia="Times New Roman" w:hint="default"/>
                <w:sz w:val="24"/>
                <w:szCs w:val="24"/>
              </w:rPr>
            </w:pPr>
            <w:r>
              <w:rPr>
                <w:rFonts w:ascii="Times New Roman"/>
                <w:w w:val="95"/>
                <w:sz w:val="24"/>
              </w:rPr>
              <w:t>1-4</w:t>
            </w:r>
            <w:r>
              <w:rPr>
                <w:rFonts w:ascii="Times New Roman"/>
                <w:sz w:val="24"/>
              </w:rPr>
            </w:r>
          </w:p>
        </w:tc>
      </w:tr>
      <w:tr>
        <w:trPr>
          <w:trHeight w:val="800" w:hRule="exact"/>
        </w:trPr>
        <w:tc>
          <w:tcPr>
            <w:tcW w:w="1109"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nil" w:sz="6" w:space="0" w:color="auto"/>
              <w:right w:val="nil" w:sz="6" w:space="0" w:color="auto"/>
            </w:tcBorders>
          </w:tcPr>
          <w:p>
            <w:pPr>
              <w:pStyle w:val="TableParagraph"/>
              <w:spacing w:line="240" w:lineRule="auto" w:before="199"/>
              <w:ind w:left="106" w:right="0"/>
              <w:jc w:val="left"/>
              <w:rPr>
                <w:rFonts w:ascii="宋体" w:hAnsi="宋体" w:cs="宋体" w:eastAsia="宋体" w:hint="default"/>
                <w:sz w:val="24"/>
                <w:szCs w:val="24"/>
              </w:rPr>
            </w:pPr>
            <w:r>
              <w:rPr>
                <w:rFonts w:ascii="宋体" w:hAnsi="宋体" w:cs="宋体" w:eastAsia="宋体" w:hint="default"/>
                <w:sz w:val="24"/>
                <w:szCs w:val="24"/>
              </w:rPr>
              <w:t>利润表和合并利润表</w:t>
            </w:r>
          </w:p>
        </w:tc>
        <w:tc>
          <w:tcPr>
            <w:tcW w:w="258"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4"/>
                <w:szCs w:val="24"/>
              </w:rPr>
            </w:pPr>
            <w:r>
              <w:rPr>
                <w:rFonts w:ascii="Times New Roman"/>
                <w:w w:val="95"/>
                <w:sz w:val="24"/>
              </w:rPr>
              <w:t>5-6</w:t>
            </w:r>
            <w:r>
              <w:rPr>
                <w:rFonts w:ascii="Times New Roman"/>
                <w:sz w:val="24"/>
              </w:rPr>
            </w:r>
          </w:p>
        </w:tc>
      </w:tr>
      <w:tr>
        <w:trPr>
          <w:trHeight w:val="800" w:hRule="exact"/>
        </w:trPr>
        <w:tc>
          <w:tcPr>
            <w:tcW w:w="1109"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nil" w:sz="6" w:space="0" w:color="auto"/>
              <w:right w:val="nil" w:sz="6" w:space="0" w:color="auto"/>
            </w:tcBorders>
          </w:tcPr>
          <w:p>
            <w:pPr>
              <w:pStyle w:val="TableParagraph"/>
              <w:spacing w:line="240" w:lineRule="auto" w:before="199"/>
              <w:ind w:left="106" w:right="0"/>
              <w:jc w:val="left"/>
              <w:rPr>
                <w:rFonts w:ascii="宋体" w:hAnsi="宋体" w:cs="宋体" w:eastAsia="宋体" w:hint="default"/>
                <w:sz w:val="24"/>
                <w:szCs w:val="24"/>
              </w:rPr>
            </w:pPr>
            <w:r>
              <w:rPr>
                <w:rFonts w:ascii="宋体" w:hAnsi="宋体" w:cs="宋体" w:eastAsia="宋体" w:hint="default"/>
                <w:sz w:val="24"/>
                <w:szCs w:val="24"/>
              </w:rPr>
              <w:t>现金流量表和合并现金流量表</w:t>
            </w:r>
          </w:p>
        </w:tc>
        <w:tc>
          <w:tcPr>
            <w:tcW w:w="258"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6"/>
              <w:jc w:val="right"/>
              <w:rPr>
                <w:rFonts w:ascii="Times New Roman" w:hAnsi="Times New Roman" w:cs="Times New Roman" w:eastAsia="Times New Roman" w:hint="default"/>
                <w:sz w:val="24"/>
                <w:szCs w:val="24"/>
              </w:rPr>
            </w:pPr>
            <w:r>
              <w:rPr>
                <w:rFonts w:ascii="Times New Roman"/>
                <w:w w:val="95"/>
                <w:sz w:val="24"/>
              </w:rPr>
              <w:t>7-8</w:t>
            </w:r>
            <w:r>
              <w:rPr>
                <w:rFonts w:ascii="Times New Roman"/>
                <w:sz w:val="24"/>
              </w:rPr>
            </w:r>
          </w:p>
        </w:tc>
      </w:tr>
      <w:tr>
        <w:trPr>
          <w:trHeight w:val="800" w:hRule="exact"/>
        </w:trPr>
        <w:tc>
          <w:tcPr>
            <w:tcW w:w="1109"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nil" w:sz="6" w:space="0" w:color="auto"/>
              <w:right w:val="nil" w:sz="6" w:space="0" w:color="auto"/>
            </w:tcBorders>
          </w:tcPr>
          <w:p>
            <w:pPr>
              <w:pStyle w:val="TableParagraph"/>
              <w:spacing w:line="240" w:lineRule="auto" w:before="199"/>
              <w:ind w:left="106" w:right="0"/>
              <w:jc w:val="left"/>
              <w:rPr>
                <w:rFonts w:ascii="宋体" w:hAnsi="宋体" w:cs="宋体" w:eastAsia="宋体" w:hint="default"/>
                <w:sz w:val="24"/>
                <w:szCs w:val="24"/>
              </w:rPr>
            </w:pPr>
            <w:r>
              <w:rPr>
                <w:rFonts w:ascii="宋体" w:hAnsi="宋体" w:cs="宋体" w:eastAsia="宋体" w:hint="default"/>
                <w:sz w:val="24"/>
                <w:szCs w:val="24"/>
              </w:rPr>
              <w:t>所有者权益变动表和合并所有者权益变动表</w:t>
            </w:r>
          </w:p>
        </w:tc>
        <w:tc>
          <w:tcPr>
            <w:tcW w:w="258"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24"/>
                <w:szCs w:val="24"/>
              </w:rPr>
            </w:pPr>
            <w:r>
              <w:rPr>
                <w:rFonts w:ascii="Times New Roman"/>
                <w:w w:val="95"/>
                <w:sz w:val="24"/>
              </w:rPr>
              <w:t>9-12</w:t>
            </w:r>
            <w:r>
              <w:rPr>
                <w:rFonts w:ascii="Times New Roman"/>
                <w:sz w:val="24"/>
              </w:rPr>
            </w:r>
          </w:p>
        </w:tc>
      </w:tr>
      <w:tr>
        <w:trPr>
          <w:trHeight w:val="627" w:hRule="exact"/>
        </w:trPr>
        <w:tc>
          <w:tcPr>
            <w:tcW w:w="1109" w:type="dxa"/>
            <w:tcBorders>
              <w:top w:val="nil" w:sz="6" w:space="0" w:color="auto"/>
              <w:left w:val="nil" w:sz="6" w:space="0" w:color="auto"/>
              <w:bottom w:val="nil" w:sz="6" w:space="0" w:color="auto"/>
              <w:right w:val="nil" w:sz="6" w:space="0" w:color="auto"/>
            </w:tcBorders>
          </w:tcPr>
          <w:p>
            <w:pPr/>
          </w:p>
        </w:tc>
        <w:tc>
          <w:tcPr>
            <w:tcW w:w="5513" w:type="dxa"/>
            <w:tcBorders>
              <w:top w:val="nil" w:sz="6" w:space="0" w:color="auto"/>
              <w:left w:val="nil" w:sz="6" w:space="0" w:color="auto"/>
              <w:bottom w:val="nil" w:sz="6" w:space="0" w:color="auto"/>
              <w:right w:val="nil" w:sz="6" w:space="0" w:color="auto"/>
            </w:tcBorders>
          </w:tcPr>
          <w:p>
            <w:pPr>
              <w:pStyle w:val="TableParagraph"/>
              <w:spacing w:line="240" w:lineRule="auto" w:before="199"/>
              <w:ind w:left="106" w:right="0"/>
              <w:jc w:val="left"/>
              <w:rPr>
                <w:rFonts w:ascii="宋体" w:hAnsi="宋体" w:cs="宋体" w:eastAsia="宋体" w:hint="default"/>
                <w:sz w:val="24"/>
                <w:szCs w:val="24"/>
              </w:rPr>
            </w:pPr>
            <w:r>
              <w:rPr>
                <w:rFonts w:ascii="宋体" w:hAnsi="宋体" w:cs="宋体" w:eastAsia="宋体" w:hint="default"/>
                <w:sz w:val="24"/>
                <w:szCs w:val="24"/>
              </w:rPr>
              <w:t>财务报表附注</w:t>
            </w:r>
          </w:p>
        </w:tc>
        <w:tc>
          <w:tcPr>
            <w:tcW w:w="258"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7"/>
              <w:jc w:val="right"/>
              <w:rPr>
                <w:rFonts w:ascii="Times New Roman" w:hAnsi="Times New Roman" w:cs="Times New Roman" w:eastAsia="Times New Roman" w:hint="default"/>
                <w:sz w:val="24"/>
                <w:szCs w:val="24"/>
              </w:rPr>
            </w:pPr>
            <w:r>
              <w:rPr>
                <w:rFonts w:ascii="Times New Roman"/>
                <w:spacing w:val="-2"/>
                <w:sz w:val="24"/>
              </w:rPr>
              <w:t>1-115</w:t>
            </w:r>
          </w:p>
        </w:tc>
      </w:tr>
    </w:tbl>
    <w:p>
      <w:pPr>
        <w:spacing w:after="0" w:line="240" w:lineRule="auto"/>
        <w:jc w:val="right"/>
        <w:rPr>
          <w:rFonts w:ascii="Times New Roman" w:hAnsi="Times New Roman" w:cs="Times New Roman" w:eastAsia="Times New Roman" w:hint="default"/>
          <w:sz w:val="24"/>
          <w:szCs w:val="24"/>
        </w:rPr>
        <w:sectPr>
          <w:headerReference w:type="default" r:id="rId19"/>
          <w:footerReference w:type="default" r:id="rId20"/>
          <w:pgSz w:w="11910" w:h="16840"/>
          <w:pgMar w:header="0" w:footer="0" w:top="1600" w:bottom="280" w:left="1660" w:right="15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spacing w:line="460" w:lineRule="exact" w:before="0"/>
        <w:ind w:left="1476" w:right="1607" w:firstLine="0"/>
        <w:jc w:val="center"/>
        <w:rPr>
          <w:rFonts w:ascii="宋体" w:hAnsi="宋体" w:cs="宋体" w:eastAsia="宋体" w:hint="default"/>
          <w:sz w:val="36"/>
          <w:szCs w:val="36"/>
        </w:rPr>
      </w:pPr>
      <w:r>
        <w:rPr>
          <w:rFonts w:ascii="宋体" w:hAnsi="宋体" w:cs="宋体" w:eastAsia="宋体" w:hint="default"/>
          <w:b/>
          <w:bCs/>
          <w:sz w:val="36"/>
          <w:szCs w:val="36"/>
        </w:rPr>
        <w:t>审 计 报</w:t>
      </w:r>
      <w:r>
        <w:rPr>
          <w:rFonts w:ascii="宋体" w:hAnsi="宋体" w:cs="宋体" w:eastAsia="宋体" w:hint="default"/>
          <w:b/>
          <w:bCs/>
          <w:spacing w:val="-7"/>
          <w:sz w:val="36"/>
          <w:szCs w:val="36"/>
        </w:rPr>
        <w:t> </w:t>
      </w:r>
      <w:r>
        <w:rPr>
          <w:rFonts w:ascii="宋体" w:hAnsi="宋体" w:cs="宋体" w:eastAsia="宋体" w:hint="default"/>
          <w:b/>
          <w:bCs/>
          <w:sz w:val="36"/>
          <w:szCs w:val="36"/>
        </w:rPr>
        <w:t>告</w:t>
      </w:r>
      <w:r>
        <w:rPr>
          <w:rFonts w:ascii="宋体" w:hAnsi="宋体" w:cs="宋体" w:eastAsia="宋体" w:hint="default"/>
          <w:sz w:val="36"/>
          <w:szCs w:val="36"/>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5"/>
          <w:szCs w:val="15"/>
        </w:rPr>
      </w:pPr>
    </w:p>
    <w:p>
      <w:pPr>
        <w:pStyle w:val="BodyText"/>
        <w:spacing w:line="240" w:lineRule="auto"/>
        <w:ind w:left="5546" w:right="106"/>
        <w:jc w:val="left"/>
      </w:pPr>
      <w:r>
        <w:rPr/>
        <w:t>信会师报字</w:t>
      </w:r>
      <w:r>
        <w:rPr>
          <w:rFonts w:ascii="Times New Roman" w:hAnsi="Times New Roman" w:cs="Times New Roman" w:eastAsia="Times New Roman" w:hint="default"/>
        </w:rPr>
        <w:t>[2012]</w:t>
      </w:r>
      <w:r>
        <w:rPr/>
        <w:t>第</w:t>
      </w:r>
      <w:r>
        <w:rPr>
          <w:spacing w:val="-55"/>
        </w:rPr>
        <w:t> </w:t>
      </w:r>
      <w:r>
        <w:rPr>
          <w:rFonts w:ascii="Times New Roman" w:hAnsi="Times New Roman" w:cs="Times New Roman" w:eastAsia="Times New Roman" w:hint="default"/>
          <w:spacing w:val="-3"/>
        </w:rPr>
        <w:t>111331</w:t>
      </w:r>
      <w:r>
        <w:rPr>
          <w:rFonts w:ascii="Times New Roman" w:hAnsi="Times New Roman" w:cs="Times New Roman" w:eastAsia="Times New Roman" w:hint="default"/>
          <w:spacing w:val="-2"/>
        </w:rPr>
        <w:t> </w:t>
      </w:r>
      <w:r>
        <w:rPr/>
        <w:t>号</w:t>
      </w:r>
    </w:p>
    <w:p>
      <w:pPr>
        <w:spacing w:line="240" w:lineRule="auto" w:before="1"/>
        <w:rPr>
          <w:rFonts w:ascii="宋体" w:hAnsi="宋体" w:cs="宋体" w:eastAsia="宋体" w:hint="default"/>
          <w:sz w:val="27"/>
          <w:szCs w:val="27"/>
        </w:rPr>
      </w:pPr>
    </w:p>
    <w:p>
      <w:pPr>
        <w:pStyle w:val="Heading2"/>
        <w:spacing w:line="240" w:lineRule="auto"/>
        <w:ind w:left="117" w:right="0"/>
        <w:jc w:val="both"/>
        <w:rPr>
          <w:rFonts w:ascii="宋体" w:hAnsi="宋体" w:cs="宋体" w:eastAsia="宋体" w:hint="default"/>
          <w:b w:val="0"/>
          <w:bCs w:val="0"/>
        </w:rPr>
      </w:pPr>
      <w:r>
        <w:rPr>
          <w:rFonts w:ascii="宋体" w:hAnsi="宋体" w:cs="宋体" w:eastAsia="宋体" w:hint="default"/>
        </w:rPr>
        <w:t>东软集团股份有限公司全体股东：</w:t>
      </w:r>
      <w:r>
        <w:rPr>
          <w:rFonts w:ascii="宋体" w:hAnsi="宋体" w:cs="宋体" w:eastAsia="宋体" w:hint="default"/>
          <w:b w:val="0"/>
          <w:bCs w:val="0"/>
        </w:rPr>
      </w:r>
    </w:p>
    <w:p>
      <w:pPr>
        <w:spacing w:line="240" w:lineRule="auto" w:before="1"/>
        <w:rPr>
          <w:rFonts w:ascii="宋体" w:hAnsi="宋体" w:cs="宋体" w:eastAsia="宋体" w:hint="default"/>
          <w:b/>
          <w:bCs/>
          <w:sz w:val="30"/>
          <w:szCs w:val="30"/>
        </w:rPr>
      </w:pPr>
    </w:p>
    <w:p>
      <w:pPr>
        <w:pStyle w:val="Heading3"/>
        <w:spacing w:line="249" w:lineRule="auto"/>
        <w:ind w:right="106" w:firstLine="560"/>
        <w:jc w:val="left"/>
      </w:pPr>
      <w:r>
        <w:rPr>
          <w:spacing w:val="2"/>
        </w:rPr>
        <w:t>我们审计了后附的东软集团股份有限公司（以下简称贵公司）</w:t>
      </w:r>
      <w:r>
        <w:rPr>
          <w:spacing w:val="2"/>
          <w:w w:val="99"/>
        </w:rPr>
        <w:t> </w:t>
      </w:r>
      <w:r>
        <w:rPr>
          <w:spacing w:val="-21"/>
          <w:w w:val="99"/>
        </w:rPr>
        <w:t>财务报表，包括</w:t>
      </w:r>
      <w:r>
        <w:rPr>
          <w:spacing w:val="-82"/>
          <w:w w:val="99"/>
        </w:rPr>
        <w:t> </w:t>
      </w:r>
      <w:r>
        <w:rPr>
          <w:rFonts w:ascii="Times New Roman" w:hAnsi="Times New Roman" w:cs="Times New Roman" w:eastAsia="Times New Roman" w:hint="default"/>
          <w:spacing w:val="-3"/>
          <w:w w:val="99"/>
        </w:rPr>
        <w:t>2011</w:t>
      </w:r>
      <w:r>
        <w:rPr>
          <w:rFonts w:ascii="Times New Roman" w:hAnsi="Times New Roman" w:cs="Times New Roman" w:eastAsia="Times New Roman" w:hint="default"/>
          <w:spacing w:val="-11"/>
          <w:w w:val="99"/>
        </w:rPr>
        <w:t> </w:t>
      </w:r>
      <w:r>
        <w:rPr>
          <w:w w:val="99"/>
        </w:rPr>
        <w:t>年</w:t>
      </w:r>
      <w:r>
        <w:rPr>
          <w:spacing w:val="-82"/>
          <w:w w:val="99"/>
        </w:rPr>
        <w:t> </w:t>
      </w:r>
      <w:r>
        <w:rPr>
          <w:rFonts w:ascii="Times New Roman" w:hAnsi="Times New Roman" w:cs="Times New Roman" w:eastAsia="Times New Roman" w:hint="default"/>
          <w:w w:val="99"/>
        </w:rPr>
        <w:t>12</w:t>
      </w:r>
      <w:r>
        <w:rPr>
          <w:rFonts w:ascii="Times New Roman" w:hAnsi="Times New Roman" w:cs="Times New Roman" w:eastAsia="Times New Roman" w:hint="default"/>
          <w:spacing w:val="-11"/>
          <w:w w:val="99"/>
        </w:rPr>
        <w:t> </w:t>
      </w:r>
      <w:r>
        <w:rPr>
          <w:w w:val="99"/>
        </w:rPr>
        <w:t>月</w:t>
      </w:r>
      <w:r>
        <w:rPr>
          <w:spacing w:val="-81"/>
          <w:w w:val="99"/>
        </w:rPr>
        <w:t> </w:t>
      </w:r>
      <w:r>
        <w:rPr>
          <w:rFonts w:ascii="Times New Roman" w:hAnsi="Times New Roman" w:cs="Times New Roman" w:eastAsia="Times New Roman" w:hint="default"/>
          <w:w w:val="99"/>
        </w:rPr>
        <w:t>31</w:t>
      </w:r>
      <w:r>
        <w:rPr>
          <w:rFonts w:ascii="Times New Roman" w:hAnsi="Times New Roman" w:cs="Times New Roman" w:eastAsia="Times New Roman" w:hint="default"/>
          <w:spacing w:val="-11"/>
          <w:w w:val="99"/>
        </w:rPr>
        <w:t> </w:t>
      </w:r>
      <w:r>
        <w:rPr>
          <w:w w:val="99"/>
        </w:rPr>
        <w:t>日的资产负债表和合并资产负债表、</w:t>
      </w:r>
      <w:r>
        <w:rPr/>
      </w:r>
    </w:p>
    <w:p>
      <w:pPr>
        <w:spacing w:line="380" w:lineRule="exact" w:before="2"/>
        <w:ind w:left="117" w:right="248" w:firstLine="0"/>
        <w:jc w:val="both"/>
        <w:rPr>
          <w:rFonts w:ascii="宋体" w:hAnsi="宋体" w:cs="宋体" w:eastAsia="宋体" w:hint="default"/>
          <w:sz w:val="28"/>
          <w:szCs w:val="28"/>
        </w:rPr>
      </w:pPr>
      <w:r>
        <w:rPr>
          <w:rFonts w:ascii="Times New Roman" w:hAnsi="Times New Roman" w:cs="Times New Roman" w:eastAsia="Times New Roman" w:hint="default"/>
          <w:spacing w:val="-3"/>
          <w:sz w:val="28"/>
          <w:szCs w:val="28"/>
        </w:rPr>
        <w:t>2011 </w:t>
      </w:r>
      <w:r>
        <w:rPr>
          <w:rFonts w:ascii="宋体" w:hAnsi="宋体" w:cs="宋体" w:eastAsia="宋体" w:hint="default"/>
          <w:spacing w:val="-5"/>
          <w:sz w:val="28"/>
          <w:szCs w:val="28"/>
        </w:rPr>
        <w:t>年度的利润表和合并利润表、</w:t>
      </w:r>
      <w:r>
        <w:rPr>
          <w:rFonts w:ascii="Times New Roman" w:hAnsi="Times New Roman" w:cs="Times New Roman" w:eastAsia="Times New Roman" w:hint="default"/>
          <w:spacing w:val="-5"/>
          <w:sz w:val="28"/>
          <w:szCs w:val="28"/>
        </w:rPr>
        <w:t>2011</w:t>
      </w:r>
      <w:r>
        <w:rPr>
          <w:rFonts w:ascii="Times New Roman" w:hAnsi="Times New Roman" w:cs="Times New Roman" w:eastAsia="Times New Roman" w:hint="default"/>
          <w:spacing w:val="5"/>
          <w:sz w:val="28"/>
          <w:szCs w:val="28"/>
        </w:rPr>
        <w:t> </w:t>
      </w:r>
      <w:r>
        <w:rPr>
          <w:rFonts w:ascii="宋体" w:hAnsi="宋体" w:cs="宋体" w:eastAsia="宋体" w:hint="default"/>
          <w:sz w:val="28"/>
          <w:szCs w:val="28"/>
        </w:rPr>
        <w:t>年度的现金流量表和合并现</w:t>
      </w:r>
      <w:r>
        <w:rPr>
          <w:rFonts w:ascii="宋体" w:hAnsi="宋体" w:cs="宋体" w:eastAsia="宋体" w:hint="default"/>
          <w:w w:val="99"/>
          <w:sz w:val="28"/>
          <w:szCs w:val="28"/>
        </w:rPr>
        <w:t> </w:t>
      </w:r>
      <w:r>
        <w:rPr>
          <w:rFonts w:ascii="宋体" w:hAnsi="宋体" w:cs="宋体" w:eastAsia="宋体" w:hint="default"/>
          <w:sz w:val="28"/>
          <w:szCs w:val="28"/>
        </w:rPr>
        <w:t>金流量表、</w:t>
      </w:r>
      <w:r>
        <w:rPr>
          <w:rFonts w:ascii="Times New Roman" w:hAnsi="Times New Roman" w:cs="Times New Roman" w:eastAsia="Times New Roman" w:hint="default"/>
          <w:sz w:val="28"/>
          <w:szCs w:val="28"/>
        </w:rPr>
        <w:t>2011</w:t>
      </w:r>
      <w:r>
        <w:rPr>
          <w:rFonts w:ascii="Times New Roman" w:hAnsi="Times New Roman" w:cs="Times New Roman" w:eastAsia="Times New Roman" w:hint="default"/>
          <w:spacing w:val="-19"/>
          <w:sz w:val="28"/>
          <w:szCs w:val="28"/>
        </w:rPr>
        <w:t> </w:t>
      </w:r>
      <w:r>
        <w:rPr>
          <w:rFonts w:ascii="宋体" w:hAnsi="宋体" w:cs="宋体" w:eastAsia="宋体" w:hint="default"/>
          <w:sz w:val="28"/>
          <w:szCs w:val="28"/>
        </w:rPr>
        <w:t>年度的所有者权益变动表和合并所有者权益变动表</w:t>
      </w:r>
      <w:r>
        <w:rPr>
          <w:rFonts w:ascii="宋体" w:hAnsi="宋体" w:cs="宋体" w:eastAsia="宋体" w:hint="default"/>
          <w:w w:val="99"/>
          <w:sz w:val="28"/>
          <w:szCs w:val="28"/>
        </w:rPr>
        <w:t> </w:t>
      </w:r>
      <w:r>
        <w:rPr>
          <w:rFonts w:ascii="宋体" w:hAnsi="宋体" w:cs="宋体" w:eastAsia="宋体" w:hint="default"/>
          <w:sz w:val="28"/>
          <w:szCs w:val="28"/>
        </w:rPr>
        <w:t>以及财务报表附注。</w:t>
      </w:r>
    </w:p>
    <w:p>
      <w:pPr>
        <w:spacing w:line="760" w:lineRule="exact" w:before="75"/>
        <w:ind w:left="678" w:right="232" w:firstLine="7"/>
        <w:jc w:val="left"/>
        <w:rPr>
          <w:rFonts w:ascii="宋体" w:hAnsi="宋体" w:cs="宋体" w:eastAsia="宋体" w:hint="default"/>
          <w:sz w:val="28"/>
          <w:szCs w:val="28"/>
        </w:rPr>
      </w:pPr>
      <w:r>
        <w:rPr>
          <w:rFonts w:ascii="宋体" w:hAnsi="宋体" w:cs="宋体" w:eastAsia="宋体" w:hint="default"/>
          <w:b/>
          <w:bCs/>
          <w:sz w:val="28"/>
          <w:szCs w:val="28"/>
        </w:rPr>
        <w:t>一、管理层对财务报表的责任</w:t>
      </w:r>
      <w:r>
        <w:rPr>
          <w:rFonts w:ascii="宋体" w:hAnsi="宋体" w:cs="宋体" w:eastAsia="宋体" w:hint="default"/>
          <w:b/>
          <w:bCs/>
          <w:spacing w:val="1"/>
          <w:w w:val="99"/>
          <w:sz w:val="28"/>
          <w:szCs w:val="28"/>
        </w:rPr>
        <w:t> </w:t>
      </w:r>
      <w:r>
        <w:rPr>
          <w:rFonts w:ascii="宋体" w:hAnsi="宋体" w:cs="宋体" w:eastAsia="宋体" w:hint="default"/>
          <w:spacing w:val="2"/>
          <w:sz w:val="28"/>
          <w:szCs w:val="28"/>
        </w:rPr>
        <w:t>编制和公允列报财务报表是贵公司管理层的责任。这种责任包</w:t>
      </w:r>
      <w:r>
        <w:rPr>
          <w:rFonts w:ascii="宋体" w:hAnsi="宋体" w:cs="宋体" w:eastAsia="宋体" w:hint="default"/>
          <w:sz w:val="28"/>
          <w:szCs w:val="28"/>
        </w:rPr>
      </w:r>
    </w:p>
    <w:p>
      <w:pPr>
        <w:pStyle w:val="Heading3"/>
        <w:spacing w:line="285" w:lineRule="exact"/>
        <w:ind w:right="0"/>
        <w:jc w:val="both"/>
      </w:pPr>
      <w:r>
        <w:rPr>
          <w:spacing w:val="2"/>
          <w:w w:val="99"/>
        </w:rPr>
        <w:t>括</w:t>
      </w:r>
      <w:r>
        <w:rPr>
          <w:spacing w:val="-138"/>
          <w:w w:val="99"/>
        </w:rPr>
        <w:t>：</w:t>
      </w:r>
      <w:r>
        <w:rPr>
          <w:spacing w:val="2"/>
          <w:w w:val="99"/>
        </w:rPr>
        <w:t>（</w:t>
      </w:r>
      <w:r>
        <w:rPr>
          <w:rFonts w:ascii="Times New Roman" w:hAnsi="Times New Roman" w:cs="Times New Roman" w:eastAsia="Times New Roman" w:hint="default"/>
          <w:spacing w:val="3"/>
          <w:w w:val="99"/>
        </w:rPr>
        <w:t>1</w:t>
      </w:r>
      <w:r>
        <w:rPr>
          <w:spacing w:val="2"/>
          <w:w w:val="99"/>
        </w:rPr>
        <w:t>）按照企业会计准则的规定编制财务报表，并使其实现公允</w:t>
      </w:r>
      <w:r>
        <w:rPr/>
      </w:r>
    </w:p>
    <w:p>
      <w:pPr>
        <w:spacing w:line="380" w:lineRule="exact" w:before="19"/>
        <w:ind w:left="117" w:right="244" w:firstLine="0"/>
        <w:jc w:val="both"/>
        <w:rPr>
          <w:rFonts w:ascii="宋体" w:hAnsi="宋体" w:cs="宋体" w:eastAsia="宋体" w:hint="default"/>
          <w:sz w:val="28"/>
          <w:szCs w:val="28"/>
        </w:rPr>
      </w:pPr>
      <w:r>
        <w:rPr>
          <w:rFonts w:ascii="宋体" w:hAnsi="宋体" w:cs="宋体" w:eastAsia="宋体" w:hint="default"/>
          <w:spacing w:val="-3"/>
          <w:w w:val="99"/>
          <w:sz w:val="28"/>
          <w:szCs w:val="28"/>
        </w:rPr>
        <w:t>反映；（</w:t>
      </w:r>
      <w:r>
        <w:rPr>
          <w:rFonts w:ascii="Times New Roman" w:hAnsi="Times New Roman" w:cs="Times New Roman" w:eastAsia="Times New Roman" w:hint="default"/>
          <w:spacing w:val="-3"/>
          <w:w w:val="99"/>
          <w:sz w:val="28"/>
          <w:szCs w:val="28"/>
        </w:rPr>
        <w:t>2</w:t>
      </w:r>
      <w:r>
        <w:rPr>
          <w:rFonts w:ascii="宋体" w:hAnsi="宋体" w:cs="宋体" w:eastAsia="宋体" w:hint="default"/>
          <w:spacing w:val="-3"/>
          <w:w w:val="99"/>
          <w:sz w:val="28"/>
          <w:szCs w:val="28"/>
        </w:rPr>
        <w:t>）设计、执行和维护必要的内部控制，以使财务报表不存</w:t>
      </w:r>
      <w:r>
        <w:rPr>
          <w:rFonts w:ascii="宋体" w:hAnsi="宋体" w:cs="宋体" w:eastAsia="宋体" w:hint="default"/>
          <w:spacing w:val="-129"/>
          <w:w w:val="99"/>
          <w:sz w:val="28"/>
          <w:szCs w:val="28"/>
        </w:rPr>
        <w:t> </w:t>
      </w:r>
      <w:r>
        <w:rPr>
          <w:rFonts w:ascii="宋体" w:hAnsi="宋体" w:cs="宋体" w:eastAsia="宋体" w:hint="default"/>
          <w:sz w:val="28"/>
          <w:szCs w:val="28"/>
        </w:rPr>
        <w:t>在由于舞弊或错误导致的重大错报。</w:t>
      </w:r>
    </w:p>
    <w:p>
      <w:pPr>
        <w:spacing w:line="760" w:lineRule="exact" w:before="77"/>
        <w:ind w:left="678" w:right="232" w:firstLine="7"/>
        <w:jc w:val="left"/>
        <w:rPr>
          <w:rFonts w:ascii="宋体" w:hAnsi="宋体" w:cs="宋体" w:eastAsia="宋体" w:hint="default"/>
          <w:sz w:val="28"/>
          <w:szCs w:val="28"/>
        </w:rPr>
      </w:pPr>
      <w:r>
        <w:rPr>
          <w:rFonts w:ascii="宋体" w:hAnsi="宋体" w:cs="宋体" w:eastAsia="宋体" w:hint="default"/>
          <w:b/>
          <w:bCs/>
          <w:sz w:val="28"/>
          <w:szCs w:val="28"/>
        </w:rPr>
        <w:t>二、注册会计师的责任</w:t>
      </w:r>
      <w:r>
        <w:rPr>
          <w:rFonts w:ascii="宋体" w:hAnsi="宋体" w:cs="宋体" w:eastAsia="宋体" w:hint="default"/>
          <w:b/>
          <w:bCs/>
          <w:spacing w:val="1"/>
          <w:w w:val="99"/>
          <w:sz w:val="28"/>
          <w:szCs w:val="28"/>
        </w:rPr>
        <w:t> </w:t>
      </w:r>
      <w:r>
        <w:rPr>
          <w:rFonts w:ascii="宋体" w:hAnsi="宋体" w:cs="宋体" w:eastAsia="宋体" w:hint="default"/>
          <w:spacing w:val="2"/>
          <w:sz w:val="28"/>
          <w:szCs w:val="28"/>
        </w:rPr>
        <w:t>我们的责任是在执行审计工作的基础上对财务报表发表审计意</w:t>
      </w:r>
      <w:r>
        <w:rPr>
          <w:rFonts w:ascii="宋体" w:hAnsi="宋体" w:cs="宋体" w:eastAsia="宋体" w:hint="default"/>
          <w:sz w:val="28"/>
          <w:szCs w:val="28"/>
        </w:rPr>
      </w:r>
    </w:p>
    <w:p>
      <w:pPr>
        <w:pStyle w:val="Heading3"/>
        <w:spacing w:line="268" w:lineRule="exact"/>
        <w:ind w:right="0"/>
        <w:jc w:val="both"/>
      </w:pPr>
      <w:r>
        <w:rPr/>
        <w:t>见。我们按照中国注册会计师审计准则的规定执行了审计工作。中</w:t>
      </w:r>
    </w:p>
    <w:p>
      <w:pPr>
        <w:spacing w:line="249" w:lineRule="auto" w:before="12"/>
        <w:ind w:left="117" w:right="234" w:firstLine="0"/>
        <w:jc w:val="both"/>
        <w:rPr>
          <w:rFonts w:ascii="宋体" w:hAnsi="宋体" w:cs="宋体" w:eastAsia="宋体" w:hint="default"/>
          <w:sz w:val="28"/>
          <w:szCs w:val="28"/>
        </w:rPr>
      </w:pPr>
      <w:r>
        <w:rPr>
          <w:rFonts w:ascii="宋体" w:hAnsi="宋体" w:cs="宋体" w:eastAsia="宋体" w:hint="default"/>
          <w:spacing w:val="11"/>
          <w:sz w:val="28"/>
          <w:szCs w:val="28"/>
        </w:rPr>
        <w:t>国注册会计师审计准则要求我们遵守中国注册会计师职业道德守</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则，计划和执行审计工作以对财务报表是否不存在重大错报获取合</w:t>
      </w:r>
      <w:r>
        <w:rPr>
          <w:rFonts w:ascii="宋体" w:hAnsi="宋体" w:cs="宋体" w:eastAsia="宋体" w:hint="default"/>
          <w:spacing w:val="-94"/>
          <w:sz w:val="28"/>
          <w:szCs w:val="28"/>
        </w:rPr>
        <w:t> </w:t>
      </w:r>
      <w:r>
        <w:rPr>
          <w:rFonts w:ascii="宋体" w:hAnsi="宋体" w:cs="宋体" w:eastAsia="宋体" w:hint="default"/>
          <w:spacing w:val="-94"/>
          <w:sz w:val="28"/>
          <w:szCs w:val="28"/>
        </w:rPr>
      </w:r>
      <w:r>
        <w:rPr>
          <w:rFonts w:ascii="宋体" w:hAnsi="宋体" w:cs="宋体" w:eastAsia="宋体" w:hint="default"/>
          <w:sz w:val="28"/>
          <w:szCs w:val="28"/>
        </w:rPr>
        <w:t>理保证。</w:t>
      </w:r>
    </w:p>
    <w:p>
      <w:pPr>
        <w:spacing w:line="240" w:lineRule="auto" w:before="2"/>
        <w:rPr>
          <w:rFonts w:ascii="宋体" w:hAnsi="宋体" w:cs="宋体" w:eastAsia="宋体" w:hint="default"/>
          <w:sz w:val="29"/>
          <w:szCs w:val="29"/>
        </w:rPr>
      </w:pPr>
    </w:p>
    <w:p>
      <w:pPr>
        <w:spacing w:line="249" w:lineRule="auto" w:before="0"/>
        <w:ind w:left="117" w:right="97" w:firstLine="560"/>
        <w:jc w:val="left"/>
        <w:rPr>
          <w:rFonts w:ascii="宋体" w:hAnsi="宋体" w:cs="宋体" w:eastAsia="宋体" w:hint="default"/>
          <w:sz w:val="28"/>
          <w:szCs w:val="28"/>
        </w:rPr>
      </w:pPr>
      <w:r>
        <w:rPr>
          <w:rFonts w:ascii="宋体" w:hAnsi="宋体" w:cs="宋体" w:eastAsia="宋体" w:hint="default"/>
          <w:spacing w:val="2"/>
          <w:sz w:val="28"/>
          <w:szCs w:val="28"/>
        </w:rPr>
        <w:t>审计工作涉及实施审计程序，以获取有关财务报表金额和披露</w:t>
      </w:r>
      <w:r>
        <w:rPr>
          <w:rFonts w:ascii="宋体" w:hAnsi="宋体" w:cs="宋体" w:eastAsia="宋体" w:hint="default"/>
          <w:spacing w:val="2"/>
          <w:w w:val="99"/>
          <w:sz w:val="28"/>
          <w:szCs w:val="28"/>
        </w:rPr>
        <w:t> </w:t>
      </w:r>
      <w:r>
        <w:rPr>
          <w:rFonts w:ascii="宋体" w:hAnsi="宋体" w:cs="宋体" w:eastAsia="宋体" w:hint="default"/>
          <w:sz w:val="28"/>
          <w:szCs w:val="28"/>
        </w:rPr>
        <w:t>的审计证据。选择的审计程序取决于注册会计师的判断，包括对由</w:t>
      </w:r>
      <w:r>
        <w:rPr>
          <w:rFonts w:ascii="宋体" w:hAnsi="宋体" w:cs="宋体" w:eastAsia="宋体" w:hint="default"/>
          <w:spacing w:val="-94"/>
          <w:sz w:val="28"/>
          <w:szCs w:val="28"/>
        </w:rPr>
        <w:t> </w:t>
      </w:r>
      <w:r>
        <w:rPr>
          <w:rFonts w:ascii="宋体" w:hAnsi="宋体" w:cs="宋体" w:eastAsia="宋体" w:hint="default"/>
          <w:sz w:val="28"/>
          <w:szCs w:val="28"/>
        </w:rPr>
        <w:t>于舞弊或错误导致的财务报表重大错报风险的评估。在进行风险评</w:t>
      </w:r>
      <w:r>
        <w:rPr>
          <w:rFonts w:ascii="宋体" w:hAnsi="宋体" w:cs="宋体" w:eastAsia="宋体" w:hint="default"/>
          <w:spacing w:val="-94"/>
          <w:sz w:val="28"/>
          <w:szCs w:val="28"/>
        </w:rPr>
        <w:t> </w:t>
      </w:r>
      <w:r>
        <w:rPr>
          <w:rFonts w:ascii="宋体" w:hAnsi="宋体" w:cs="宋体" w:eastAsia="宋体" w:hint="default"/>
          <w:spacing w:val="-3"/>
          <w:sz w:val="28"/>
          <w:szCs w:val="28"/>
        </w:rPr>
        <w:t>估时，注册会计师考虑与财务报表编制和公允列报相关的内部控制，</w:t>
      </w:r>
      <w:r>
        <w:rPr>
          <w:rFonts w:ascii="宋体" w:hAnsi="宋体" w:cs="宋体" w:eastAsia="宋体" w:hint="default"/>
          <w:w w:val="99"/>
          <w:sz w:val="28"/>
          <w:szCs w:val="28"/>
        </w:rPr>
        <w:t> </w:t>
      </w:r>
      <w:r>
        <w:rPr>
          <w:rFonts w:ascii="宋体" w:hAnsi="宋体" w:cs="宋体" w:eastAsia="宋体" w:hint="default"/>
          <w:spacing w:val="-3"/>
          <w:sz w:val="28"/>
          <w:szCs w:val="28"/>
        </w:rPr>
        <w:t>以设计恰当的审计程序，但目的并非对内部控制的有效性发表意见。</w:t>
      </w:r>
      <w:r>
        <w:rPr>
          <w:rFonts w:ascii="宋体" w:hAnsi="宋体" w:cs="宋体" w:eastAsia="宋体" w:hint="default"/>
          <w:w w:val="99"/>
          <w:sz w:val="28"/>
          <w:szCs w:val="28"/>
        </w:rPr>
        <w:t> </w:t>
      </w:r>
      <w:r>
        <w:rPr>
          <w:rFonts w:ascii="宋体" w:hAnsi="宋体" w:cs="宋体" w:eastAsia="宋体" w:hint="default"/>
          <w:sz w:val="28"/>
          <w:szCs w:val="28"/>
        </w:rPr>
        <w:t>审计工作还包括评价管理层选用会计政策的恰当性和作出会计估计</w:t>
      </w:r>
      <w:r>
        <w:rPr>
          <w:rFonts w:ascii="宋体" w:hAnsi="宋体" w:cs="宋体" w:eastAsia="宋体" w:hint="default"/>
          <w:spacing w:val="-94"/>
          <w:sz w:val="28"/>
          <w:szCs w:val="28"/>
        </w:rPr>
        <w:t> </w:t>
      </w:r>
      <w:r>
        <w:rPr>
          <w:rFonts w:ascii="宋体" w:hAnsi="宋体" w:cs="宋体" w:eastAsia="宋体" w:hint="default"/>
          <w:spacing w:val="-94"/>
          <w:sz w:val="28"/>
          <w:szCs w:val="28"/>
        </w:rPr>
      </w:r>
      <w:r>
        <w:rPr>
          <w:rFonts w:ascii="宋体" w:hAnsi="宋体" w:cs="宋体" w:eastAsia="宋体" w:hint="default"/>
          <w:sz w:val="28"/>
          <w:szCs w:val="28"/>
        </w:rPr>
        <w:t>的合理性，以及评价财务报表的总体列报。</w:t>
      </w:r>
    </w:p>
    <w:p>
      <w:pPr>
        <w:spacing w:after="0" w:line="249" w:lineRule="auto"/>
        <w:jc w:val="left"/>
        <w:rPr>
          <w:rFonts w:ascii="宋体" w:hAnsi="宋体" w:cs="宋体" w:eastAsia="宋体" w:hint="default"/>
          <w:sz w:val="28"/>
          <w:szCs w:val="28"/>
        </w:rPr>
        <w:sectPr>
          <w:headerReference w:type="default" r:id="rId21"/>
          <w:footerReference w:type="default" r:id="rId22"/>
          <w:pgSz w:w="11910" w:h="16840"/>
          <w:pgMar w:header="0" w:footer="1003" w:top="1600" w:bottom="1200" w:left="1680" w:right="1680"/>
          <w:pgNumType w:start="1"/>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pStyle w:val="Heading3"/>
        <w:spacing w:line="261" w:lineRule="auto" w:before="13"/>
        <w:ind w:right="233" w:firstLine="560"/>
        <w:jc w:val="left"/>
      </w:pPr>
      <w:r>
        <w:rPr>
          <w:spacing w:val="2"/>
        </w:rPr>
        <w:t>我们相信，我们获取的审计证据是充分、适当的，为发表审计</w:t>
      </w:r>
      <w:r>
        <w:rPr>
          <w:spacing w:val="2"/>
          <w:w w:val="99"/>
        </w:rPr>
        <w:t> </w:t>
      </w:r>
      <w:r>
        <w:rPr/>
        <w:t>意见提供了基础。</w:t>
      </w:r>
    </w:p>
    <w:p>
      <w:pPr>
        <w:spacing w:line="800" w:lineRule="exact" w:before="96"/>
        <w:ind w:left="678" w:right="232" w:firstLine="7"/>
        <w:jc w:val="left"/>
        <w:rPr>
          <w:rFonts w:ascii="宋体" w:hAnsi="宋体" w:cs="宋体" w:eastAsia="宋体" w:hint="default"/>
          <w:sz w:val="28"/>
          <w:szCs w:val="28"/>
        </w:rPr>
      </w:pPr>
      <w:r>
        <w:rPr>
          <w:rFonts w:ascii="宋体" w:hAnsi="宋体" w:cs="宋体" w:eastAsia="宋体" w:hint="default"/>
          <w:b/>
          <w:bCs/>
          <w:sz w:val="28"/>
          <w:szCs w:val="28"/>
        </w:rPr>
        <w:t>三、审计意见</w:t>
      </w:r>
      <w:r>
        <w:rPr>
          <w:rFonts w:ascii="宋体" w:hAnsi="宋体" w:cs="宋体" w:eastAsia="宋体" w:hint="default"/>
          <w:b/>
          <w:bCs/>
          <w:spacing w:val="1"/>
          <w:w w:val="99"/>
          <w:sz w:val="28"/>
          <w:szCs w:val="28"/>
        </w:rPr>
        <w:t> </w:t>
      </w:r>
      <w:r>
        <w:rPr>
          <w:rFonts w:ascii="宋体" w:hAnsi="宋体" w:cs="宋体" w:eastAsia="宋体" w:hint="default"/>
          <w:spacing w:val="2"/>
          <w:sz w:val="28"/>
          <w:szCs w:val="28"/>
        </w:rPr>
        <w:t>我们认为，贵公司财务报表在所有重大方面按照企业会计准则</w:t>
      </w:r>
      <w:r>
        <w:rPr>
          <w:rFonts w:ascii="宋体" w:hAnsi="宋体" w:cs="宋体" w:eastAsia="宋体" w:hint="default"/>
          <w:sz w:val="28"/>
          <w:szCs w:val="28"/>
        </w:rPr>
      </w:r>
    </w:p>
    <w:p>
      <w:pPr>
        <w:pStyle w:val="Heading3"/>
        <w:spacing w:line="301" w:lineRule="exact"/>
        <w:ind w:right="106"/>
        <w:jc w:val="left"/>
      </w:pPr>
      <w:r>
        <w:rPr>
          <w:spacing w:val="-6"/>
        </w:rPr>
        <w:t>的规定编制，公允反映了贵公司</w:t>
      </w:r>
      <w:r>
        <w:rPr>
          <w:spacing w:val="-7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71"/>
        </w:rPr>
        <w:t> </w:t>
      </w:r>
      <w:r>
        <w:rPr>
          <w:rFonts w:ascii="Times New Roman" w:hAnsi="Times New Roman" w:cs="Times New Roman" w:eastAsia="Times New Roman" w:hint="default"/>
        </w:rPr>
        <w:t>12 </w:t>
      </w:r>
      <w:r>
        <w:rPr/>
        <w:t>月</w:t>
      </w:r>
      <w:r>
        <w:rPr>
          <w:spacing w:val="-71"/>
        </w:rPr>
        <w:t> </w:t>
      </w:r>
      <w:r>
        <w:rPr>
          <w:rFonts w:ascii="Times New Roman" w:hAnsi="Times New Roman" w:cs="Times New Roman" w:eastAsia="Times New Roman" w:hint="default"/>
        </w:rPr>
        <w:t>31 </w:t>
      </w:r>
      <w:r>
        <w:rPr/>
        <w:t>日的财务状况以及</w:t>
      </w:r>
    </w:p>
    <w:p>
      <w:pPr>
        <w:spacing w:before="12"/>
        <w:ind w:left="117" w:right="1320" w:firstLine="0"/>
        <w:jc w:val="left"/>
        <w:rPr>
          <w:rFonts w:ascii="宋体" w:hAnsi="宋体" w:cs="宋体" w:eastAsia="宋体" w:hint="default"/>
          <w:sz w:val="28"/>
          <w:szCs w:val="28"/>
        </w:rPr>
      </w:pPr>
      <w:r>
        <w:rPr>
          <w:rFonts w:ascii="Times New Roman" w:hAnsi="Times New Roman" w:cs="Times New Roman" w:eastAsia="Times New Roman" w:hint="default"/>
          <w:spacing w:val="-3"/>
          <w:sz w:val="28"/>
          <w:szCs w:val="28"/>
        </w:rPr>
        <w:t>2011</w:t>
      </w:r>
      <w:r>
        <w:rPr>
          <w:rFonts w:ascii="Times New Roman" w:hAnsi="Times New Roman" w:cs="Times New Roman" w:eastAsia="Times New Roman" w:hint="default"/>
          <w:spacing w:val="-6"/>
          <w:sz w:val="28"/>
          <w:szCs w:val="28"/>
        </w:rPr>
        <w:t> </w:t>
      </w:r>
      <w:r>
        <w:rPr>
          <w:rFonts w:ascii="宋体" w:hAnsi="宋体" w:cs="宋体" w:eastAsia="宋体" w:hint="default"/>
          <w:sz w:val="28"/>
          <w:szCs w:val="28"/>
        </w:rPr>
        <w:t>年度的经营成果和现金流量。</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8"/>
        <w:rPr>
          <w:rFonts w:ascii="宋体" w:hAnsi="宋体" w:cs="宋体" w:eastAsia="宋体" w:hint="default"/>
          <w:sz w:val="36"/>
          <w:szCs w:val="36"/>
        </w:rPr>
      </w:pPr>
    </w:p>
    <w:p>
      <w:pPr>
        <w:tabs>
          <w:tab w:pos="4977" w:val="left" w:leader="none"/>
          <w:tab w:pos="7787" w:val="left" w:leader="none"/>
        </w:tabs>
        <w:spacing w:before="0"/>
        <w:ind w:left="679" w:right="106" w:firstLine="0"/>
        <w:jc w:val="left"/>
        <w:rPr>
          <w:rFonts w:ascii="宋体" w:hAnsi="宋体" w:cs="宋体" w:eastAsia="宋体" w:hint="default"/>
          <w:sz w:val="28"/>
          <w:szCs w:val="28"/>
        </w:rPr>
      </w:pPr>
      <w:r>
        <w:rPr>
          <w:rFonts w:ascii="宋体" w:hAnsi="宋体" w:cs="宋体" w:eastAsia="宋体" w:hint="default"/>
          <w:b/>
          <w:bCs/>
          <w:w w:val="95"/>
          <w:sz w:val="28"/>
          <w:szCs w:val="28"/>
        </w:rPr>
        <w:t>立信会计师事务所</w:t>
        <w:tab/>
        <w:t>中国注册会计师：李</w:t>
        <w:tab/>
      </w:r>
      <w:r>
        <w:rPr>
          <w:rFonts w:ascii="宋体" w:hAnsi="宋体" w:cs="宋体" w:eastAsia="宋体" w:hint="default"/>
          <w:b/>
          <w:bCs/>
          <w:sz w:val="28"/>
          <w:szCs w:val="28"/>
        </w:rPr>
        <w:t>晨</w:t>
      </w:r>
      <w:r>
        <w:rPr>
          <w:rFonts w:ascii="宋体" w:hAnsi="宋体" w:cs="宋体" w:eastAsia="宋体" w:hint="default"/>
          <w:sz w:val="28"/>
          <w:szCs w:val="28"/>
        </w:rPr>
      </w:r>
    </w:p>
    <w:p>
      <w:pPr>
        <w:spacing w:before="34"/>
        <w:ind w:left="679" w:right="1320" w:firstLine="0"/>
        <w:jc w:val="left"/>
        <w:rPr>
          <w:rFonts w:ascii="宋体" w:hAnsi="宋体" w:cs="宋体" w:eastAsia="宋体" w:hint="default"/>
          <w:sz w:val="28"/>
          <w:szCs w:val="28"/>
        </w:rPr>
      </w:pPr>
      <w:r>
        <w:rPr>
          <w:rFonts w:ascii="宋体" w:hAnsi="宋体" w:cs="宋体" w:eastAsia="宋体" w:hint="default"/>
          <w:b/>
          <w:bCs/>
          <w:sz w:val="28"/>
          <w:szCs w:val="28"/>
        </w:rPr>
        <w:t>（特殊普通合伙）</w:t>
      </w:r>
      <w:r>
        <w:rPr>
          <w:rFonts w:ascii="宋体" w:hAnsi="宋体" w:cs="宋体" w:eastAsia="宋体" w:hint="default"/>
          <w:sz w:val="28"/>
          <w:szCs w:val="28"/>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3"/>
        <w:rPr>
          <w:rFonts w:ascii="宋体" w:hAnsi="宋体" w:cs="宋体" w:eastAsia="宋体" w:hint="default"/>
          <w:b/>
          <w:bCs/>
          <w:sz w:val="38"/>
          <w:szCs w:val="38"/>
        </w:rPr>
      </w:pPr>
    </w:p>
    <w:p>
      <w:pPr>
        <w:spacing w:before="0"/>
        <w:ind w:left="4977" w:right="106" w:firstLine="0"/>
        <w:jc w:val="left"/>
        <w:rPr>
          <w:rFonts w:ascii="宋体" w:hAnsi="宋体" w:cs="宋体" w:eastAsia="宋体" w:hint="default"/>
          <w:sz w:val="28"/>
          <w:szCs w:val="28"/>
        </w:rPr>
      </w:pPr>
      <w:r>
        <w:rPr>
          <w:rFonts w:ascii="宋体" w:hAnsi="宋体" w:cs="宋体" w:eastAsia="宋体" w:hint="default"/>
          <w:b/>
          <w:bCs/>
          <w:sz w:val="28"/>
          <w:szCs w:val="28"/>
        </w:rPr>
        <w:t>中国注册会计师：姜丽君</w:t>
      </w:r>
      <w:r>
        <w:rPr>
          <w:rFonts w:ascii="宋体" w:hAnsi="宋体" w:cs="宋体" w:eastAsia="宋体" w:hint="default"/>
          <w:sz w:val="28"/>
          <w:szCs w:val="28"/>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11"/>
        <w:rPr>
          <w:rFonts w:ascii="宋体" w:hAnsi="宋体" w:cs="宋体" w:eastAsia="宋体" w:hint="default"/>
          <w:b/>
          <w:bCs/>
          <w:sz w:val="40"/>
          <w:szCs w:val="40"/>
        </w:rPr>
      </w:pPr>
    </w:p>
    <w:p>
      <w:pPr>
        <w:tabs>
          <w:tab w:pos="4965" w:val="left" w:leader="none"/>
        </w:tabs>
        <w:spacing w:before="0"/>
        <w:ind w:left="1522" w:right="106" w:firstLine="0"/>
        <w:jc w:val="left"/>
        <w:rPr>
          <w:rFonts w:ascii="宋体" w:hAnsi="宋体" w:cs="宋体" w:eastAsia="宋体" w:hint="default"/>
          <w:sz w:val="28"/>
          <w:szCs w:val="28"/>
        </w:rPr>
      </w:pPr>
      <w:r>
        <w:rPr>
          <w:rFonts w:ascii="宋体" w:hAnsi="宋体" w:cs="宋体" w:eastAsia="宋体" w:hint="default"/>
          <w:b/>
          <w:bCs/>
          <w:w w:val="95"/>
          <w:sz w:val="28"/>
          <w:szCs w:val="28"/>
        </w:rPr>
        <w:t>中国</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上海</w:t>
        <w:tab/>
      </w:r>
      <w:r>
        <w:rPr>
          <w:rFonts w:ascii="宋体" w:hAnsi="宋体" w:cs="宋体" w:eastAsia="宋体" w:hint="default"/>
          <w:b/>
          <w:bCs/>
          <w:sz w:val="28"/>
          <w:szCs w:val="28"/>
        </w:rPr>
        <w:t>二</w:t>
      </w:r>
      <w:r>
        <w:rPr>
          <w:rFonts w:ascii="宋体" w:hAnsi="宋体" w:cs="宋体" w:eastAsia="宋体" w:hint="default"/>
          <w:b/>
          <w:bCs/>
          <w:spacing w:val="-74"/>
          <w:sz w:val="28"/>
          <w:szCs w:val="28"/>
        </w:rPr>
        <w:t> </w:t>
      </w:r>
      <w:r>
        <w:rPr>
          <w:rFonts w:ascii="Times New Roman" w:hAnsi="Times New Roman" w:cs="Times New Roman" w:eastAsia="Times New Roman" w:hint="default"/>
          <w:b/>
          <w:bCs/>
          <w:sz w:val="28"/>
          <w:szCs w:val="28"/>
        </w:rPr>
        <w:t>O</w:t>
      </w:r>
      <w:r>
        <w:rPr>
          <w:rFonts w:ascii="Times New Roman" w:hAnsi="Times New Roman" w:cs="Times New Roman" w:eastAsia="Times New Roman" w:hint="default"/>
          <w:b/>
          <w:bCs/>
          <w:spacing w:val="-4"/>
          <w:sz w:val="28"/>
          <w:szCs w:val="28"/>
        </w:rPr>
        <w:t> </w:t>
      </w:r>
      <w:r>
        <w:rPr>
          <w:rFonts w:ascii="宋体" w:hAnsi="宋体" w:cs="宋体" w:eastAsia="宋体" w:hint="default"/>
          <w:b/>
          <w:bCs/>
          <w:sz w:val="28"/>
          <w:szCs w:val="28"/>
        </w:rPr>
        <w:t>一二年三月二十九日</w:t>
      </w:r>
      <w:r>
        <w:rPr>
          <w:rFonts w:ascii="宋体" w:hAnsi="宋体" w:cs="宋体" w:eastAsia="宋体" w:hint="default"/>
          <w:sz w:val="28"/>
          <w:szCs w:val="28"/>
        </w:rPr>
      </w:r>
    </w:p>
    <w:p>
      <w:pPr>
        <w:spacing w:after="0"/>
        <w:jc w:val="left"/>
        <w:rPr>
          <w:rFonts w:ascii="宋体" w:hAnsi="宋体" w:cs="宋体" w:eastAsia="宋体" w:hint="default"/>
          <w:sz w:val="28"/>
          <w:szCs w:val="28"/>
        </w:rPr>
        <w:sectPr>
          <w:headerReference w:type="default" r:id="rId23"/>
          <w:footerReference w:type="default" r:id="rId24"/>
          <w:pgSz w:w="11910" w:h="16840"/>
          <w:pgMar w:header="0" w:footer="1003" w:top="1600" w:bottom="1200" w:left="1680" w:right="1680"/>
          <w:pgNumType w:start="2"/>
        </w:sectPr>
      </w:pPr>
    </w:p>
    <w:p>
      <w:pPr>
        <w:pStyle w:val="Heading6"/>
        <w:spacing w:line="240" w:lineRule="auto" w:before="86"/>
        <w:ind w:left="2183" w:right="2533"/>
        <w:jc w:val="center"/>
        <w:rPr>
          <w:b w:val="0"/>
          <w:bCs w:val="0"/>
        </w:rPr>
      </w:pPr>
      <w:r>
        <w:rPr/>
        <w:t>资产负债表</w:t>
      </w:r>
      <w:r>
        <w:rPr>
          <w:b w:val="0"/>
          <w:bCs w:val="0"/>
        </w:rPr>
      </w:r>
    </w:p>
    <w:p>
      <w:pPr>
        <w:spacing w:before="51"/>
        <w:ind w:left="2184" w:right="2533" w:firstLine="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月</w:t>
      </w:r>
      <w:r>
        <w:rPr>
          <w:rFonts w:ascii="宋体" w:hAnsi="宋体" w:cs="宋体" w:eastAsia="宋体" w:hint="default"/>
          <w:b/>
          <w:bCs/>
          <w:spacing w:val="-52"/>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before="44"/>
        <w:ind w:left="2469" w:right="0" w:firstLine="0"/>
        <w:jc w:val="left"/>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3"/>
        <w:rPr>
          <w:rFonts w:ascii="宋体" w:hAnsi="宋体" w:cs="宋体" w:eastAsia="宋体" w:hint="default"/>
          <w:b/>
          <w:bCs/>
          <w:sz w:val="26"/>
          <w:szCs w:val="26"/>
        </w:rPr>
      </w:pPr>
    </w:p>
    <w:tbl>
      <w:tblPr>
        <w:tblW w:w="0" w:type="auto"/>
        <w:jc w:val="left"/>
        <w:tblInd w:w="112" w:type="dxa"/>
        <w:tblLayout w:type="fixed"/>
        <w:tblCellMar>
          <w:top w:w="0" w:type="dxa"/>
          <w:left w:w="0" w:type="dxa"/>
          <w:bottom w:w="0" w:type="dxa"/>
          <w:right w:w="0" w:type="dxa"/>
        </w:tblCellMar>
        <w:tblLook w:val="01E0"/>
      </w:tblPr>
      <w:tblGrid>
        <w:gridCol w:w="3542"/>
        <w:gridCol w:w="1063"/>
        <w:gridCol w:w="1962"/>
        <w:gridCol w:w="1961"/>
      </w:tblGrid>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tabs>
                <w:tab w:pos="539" w:val="left" w:leader="none"/>
              </w:tabs>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资</w:t>
              <w:tab/>
              <w:t>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附注十三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4"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831,393,669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932,706,502</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863,170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969,350</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3,042,407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4,172,400</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（一）</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512,545,772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352,624,613</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42,660,634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36,230,144</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304,676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231,575</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（二）</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231,779,851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476,272,599</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234,673,448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174,878,414</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168,595,350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156,641,652</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2,025,858,977</w:t>
            </w:r>
            <w:r>
              <w:rPr>
                <w:rFonts w:ascii="Times New Roman"/>
                <w:spacing w:val="-1"/>
                <w:sz w:val="18"/>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18"/>
                <w:szCs w:val="18"/>
              </w:rPr>
            </w:pPr>
            <w:r>
              <w:rPr>
                <w:rFonts w:ascii="Times New Roman"/>
                <w:b/>
                <w:spacing w:val="-1"/>
                <w:sz w:val="18"/>
              </w:rPr>
              <w:t>2,134,727,249</w:t>
            </w:r>
            <w:r>
              <w:rPr>
                <w:rFonts w:ascii="Times New Roman"/>
                <w:spacing w:val="-1"/>
                <w:sz w:val="18"/>
              </w:rPr>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401,931,507</w:t>
            </w: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（四）</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pacing w:val="-1"/>
                <w:sz w:val="18"/>
              </w:rPr>
              <w:t>2,149,288,869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1,574,164,020</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305,082,712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298,593,107</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675,191,398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680,133,686</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9,967,715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2,270,340</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141,016,756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136,049,697</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11,667,429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11,762,482</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31,162,641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23,290,105</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b/>
                <w:spacing w:val="-1"/>
                <w:sz w:val="18"/>
              </w:rPr>
              <w:t>3,725,309,027</w:t>
            </w:r>
            <w:r>
              <w:rPr>
                <w:rFonts w:ascii="Times New Roman"/>
                <w:spacing w:val="-1"/>
                <w:sz w:val="18"/>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b/>
                <w:spacing w:val="-1"/>
                <w:sz w:val="18"/>
              </w:rPr>
              <w:t>2,726,263,437</w:t>
            </w:r>
            <w:r>
              <w:rPr>
                <w:rFonts w:ascii="Times New Roman"/>
                <w:spacing w:val="-1"/>
                <w:sz w:val="18"/>
              </w:rPr>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b/>
                <w:spacing w:val="-1"/>
                <w:sz w:val="18"/>
              </w:rPr>
              <w:t>5,751,168,004</w:t>
            </w:r>
            <w:r>
              <w:rPr>
                <w:rFonts w:ascii="Times New Roman"/>
                <w:spacing w:val="-1"/>
                <w:sz w:val="18"/>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4"/>
              <w:jc w:val="right"/>
              <w:rPr>
                <w:rFonts w:ascii="Times New Roman" w:hAnsi="Times New Roman" w:cs="Times New Roman" w:eastAsia="Times New Roman" w:hint="default"/>
                <w:sz w:val="18"/>
                <w:szCs w:val="18"/>
              </w:rPr>
            </w:pPr>
            <w:r>
              <w:rPr>
                <w:rFonts w:ascii="Times New Roman"/>
                <w:b/>
                <w:spacing w:val="-1"/>
                <w:sz w:val="18"/>
              </w:rPr>
              <w:t>4,860,990,686</w:t>
            </w:r>
            <w:r>
              <w:rPr>
                <w:rFonts w:ascii="Times New Roman"/>
                <w:spacing w:val="-1"/>
                <w:sz w:val="18"/>
              </w:rPr>
            </w:r>
          </w:p>
        </w:tc>
      </w:tr>
    </w:tbl>
    <w:p>
      <w:pPr>
        <w:spacing w:line="240" w:lineRule="auto" w:before="11"/>
        <w:rPr>
          <w:rFonts w:ascii="宋体" w:hAnsi="宋体" w:cs="宋体" w:eastAsia="宋体" w:hint="default"/>
          <w:b/>
          <w:bCs/>
          <w:sz w:val="18"/>
          <w:szCs w:val="18"/>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7"/>
        <w:rPr>
          <w:rFonts w:ascii="宋体" w:hAnsi="宋体" w:cs="宋体" w:eastAsia="宋体" w:hint="default"/>
          <w:sz w:val="18"/>
          <w:szCs w:val="18"/>
        </w:rPr>
      </w:pPr>
    </w:p>
    <w:p>
      <w:pPr>
        <w:tabs>
          <w:tab w:pos="3267" w:val="left" w:leader="none"/>
          <w:tab w:pos="6417" w:val="left" w:leader="none"/>
        </w:tabs>
        <w:spacing w:before="0"/>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主管会计工作负责人：王莉</w:t>
        <w:tab/>
        <w:t>会计机构负责人：陈雷</w:t>
      </w:r>
    </w:p>
    <w:p>
      <w:pPr>
        <w:spacing w:after="0"/>
        <w:jc w:val="left"/>
        <w:rPr>
          <w:rFonts w:ascii="宋体" w:hAnsi="宋体" w:cs="宋体" w:eastAsia="宋体" w:hint="default"/>
          <w:sz w:val="18"/>
          <w:szCs w:val="18"/>
        </w:rPr>
        <w:sectPr>
          <w:headerReference w:type="default" r:id="rId25"/>
          <w:footerReference w:type="default" r:id="rId26"/>
          <w:pgSz w:w="11910" w:h="16840"/>
          <w:pgMar w:header="1089" w:footer="1003" w:top="1260" w:bottom="1200" w:left="1680" w:right="1460"/>
          <w:pgNumType w:start="1"/>
        </w:sectPr>
      </w:pPr>
    </w:p>
    <w:p>
      <w:pPr>
        <w:pStyle w:val="Heading6"/>
        <w:spacing w:line="240" w:lineRule="auto" w:before="51"/>
        <w:ind w:left="2185" w:right="2533"/>
        <w:jc w:val="center"/>
        <w:rPr>
          <w:b w:val="0"/>
          <w:bCs w:val="0"/>
        </w:rPr>
      </w:pPr>
      <w:r>
        <w:rPr/>
        <w:t>资产负债表（续）</w:t>
      </w:r>
      <w:r>
        <w:rPr>
          <w:b w:val="0"/>
          <w:bCs w:val="0"/>
        </w:rPr>
      </w:r>
    </w:p>
    <w:p>
      <w:pPr>
        <w:spacing w:before="51"/>
        <w:ind w:left="2184" w:right="2533" w:firstLine="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月</w:t>
      </w:r>
      <w:r>
        <w:rPr>
          <w:rFonts w:ascii="宋体" w:hAnsi="宋体" w:cs="宋体" w:eastAsia="宋体" w:hint="default"/>
          <w:b/>
          <w:bCs/>
          <w:spacing w:val="-52"/>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before="37"/>
        <w:ind w:left="2185" w:right="253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0"/>
          <w:szCs w:val="10"/>
        </w:rPr>
      </w:pPr>
    </w:p>
    <w:tbl>
      <w:tblPr>
        <w:tblW w:w="0" w:type="auto"/>
        <w:jc w:val="left"/>
        <w:tblInd w:w="112" w:type="dxa"/>
        <w:tblLayout w:type="fixed"/>
        <w:tblCellMar>
          <w:top w:w="0" w:type="dxa"/>
          <w:left w:w="0" w:type="dxa"/>
          <w:bottom w:w="0" w:type="dxa"/>
          <w:right w:w="0" w:type="dxa"/>
        </w:tblCellMar>
        <w:tblLook w:val="01E0"/>
      </w:tblPr>
      <w:tblGrid>
        <w:gridCol w:w="3542"/>
        <w:gridCol w:w="1063"/>
        <w:gridCol w:w="1962"/>
        <w:gridCol w:w="1961"/>
      </w:tblGrid>
      <w:tr>
        <w:trPr>
          <w:trHeight w:val="29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416"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附注十三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614"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250,000,000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130,000,000</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170,567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1,227,304</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83,204,957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145,564,320</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367,795,074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341,416,967</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325,614,892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347,289,078</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132,562,557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2"/>
                <w:sz w:val="18"/>
              </w:rPr>
              <w:t>112,903,711</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28,775,208</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w w:val="95"/>
                <w:sz w:val="18"/>
              </w:rPr>
              <w:t>-21,261,484</w:t>
            </w:r>
            <w:r>
              <w:rPr>
                <w:rFonts w:ascii="Times New Roman"/>
                <w:sz w:val="18"/>
              </w:rPr>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114,428,677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145,833,565</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b/>
                <w:spacing w:val="-1"/>
                <w:sz w:val="18"/>
              </w:rPr>
              <w:t>1,302,551,932</w:t>
            </w:r>
            <w:r>
              <w:rPr>
                <w:rFonts w:ascii="Times New Roman"/>
                <w:spacing w:val="-1"/>
                <w:sz w:val="18"/>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b/>
                <w:spacing w:val="-1"/>
                <w:sz w:val="18"/>
              </w:rPr>
              <w:t>1,202,973,461</w:t>
            </w:r>
            <w:r>
              <w:rPr>
                <w:rFonts w:ascii="Times New Roman"/>
                <w:spacing w:val="-1"/>
                <w:sz w:val="18"/>
              </w:rPr>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（五）</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403,658,667</w:t>
            </w: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134,501,075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134,501,075</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11,890,630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10,162,649</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86,317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96,935</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126,805,810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89,515,343</w:t>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z w:val="18"/>
              </w:rPr>
              <w:t>676,942,499</w:t>
            </w:r>
            <w:r>
              <w:rPr>
                <w:rFonts w:ascii="Times New Roman"/>
                <w:sz w:val="18"/>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z w:val="18"/>
              </w:rPr>
              <w:t>234,276,002</w:t>
            </w:r>
            <w:r>
              <w:rPr>
                <w:rFonts w:ascii="Times New Roman"/>
                <w:sz w:val="18"/>
              </w:rPr>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b/>
                <w:spacing w:val="-1"/>
                <w:sz w:val="18"/>
              </w:rPr>
              <w:t>1,979,494,431</w:t>
            </w:r>
            <w:r>
              <w:rPr>
                <w:rFonts w:ascii="Times New Roman"/>
                <w:spacing w:val="-1"/>
                <w:sz w:val="18"/>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4"/>
              <w:jc w:val="right"/>
              <w:rPr>
                <w:rFonts w:ascii="Times New Roman" w:hAnsi="Times New Roman" w:cs="Times New Roman" w:eastAsia="Times New Roman" w:hint="default"/>
                <w:sz w:val="18"/>
                <w:szCs w:val="18"/>
              </w:rPr>
            </w:pPr>
            <w:r>
              <w:rPr>
                <w:rFonts w:ascii="Times New Roman"/>
                <w:b/>
                <w:spacing w:val="-1"/>
                <w:sz w:val="18"/>
              </w:rPr>
              <w:t>1,437,249,463</w:t>
            </w:r>
            <w:r>
              <w:rPr>
                <w:rFonts w:ascii="Times New Roman"/>
                <w:spacing w:val="-1"/>
                <w:sz w:val="18"/>
              </w:rPr>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1,227,594,245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1,227,594,245</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353,061,885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353,061,885</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28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588,413,462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536,223,609</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8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pacing w:val="-1"/>
                <w:sz w:val="18"/>
              </w:rPr>
              <w:t>1,602,603,981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1,306,861,484</w:t>
            </w:r>
          </w:p>
        </w:tc>
      </w:tr>
      <w:tr>
        <w:trPr>
          <w:trHeight w:val="322"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所有者权益（或股东权益）合计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18"/>
                <w:szCs w:val="18"/>
              </w:rPr>
            </w:pPr>
            <w:r>
              <w:rPr>
                <w:rFonts w:ascii="Times New Roman"/>
                <w:b/>
                <w:spacing w:val="-1"/>
                <w:sz w:val="18"/>
              </w:rPr>
              <w:t>3,771,673,573</w:t>
            </w:r>
            <w:r>
              <w:rPr>
                <w:rFonts w:ascii="Times New Roman"/>
                <w:spacing w:val="-1"/>
                <w:sz w:val="18"/>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4"/>
              <w:jc w:val="right"/>
              <w:rPr>
                <w:rFonts w:ascii="Times New Roman" w:hAnsi="Times New Roman" w:cs="Times New Roman" w:eastAsia="Times New Roman" w:hint="default"/>
                <w:sz w:val="18"/>
                <w:szCs w:val="18"/>
              </w:rPr>
            </w:pPr>
            <w:r>
              <w:rPr>
                <w:rFonts w:ascii="Times New Roman"/>
                <w:b/>
                <w:spacing w:val="-1"/>
                <w:sz w:val="18"/>
              </w:rPr>
              <w:t>3,423,741,223</w:t>
            </w:r>
            <w:r>
              <w:rPr>
                <w:rFonts w:ascii="Times New Roman"/>
                <w:spacing w:val="-1"/>
                <w:sz w:val="18"/>
              </w:rPr>
            </w:r>
          </w:p>
        </w:tc>
      </w:tr>
      <w:tr>
        <w:trPr>
          <w:trHeight w:val="32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负债和所有者权益（或股东权益）总计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18"/>
                <w:szCs w:val="18"/>
              </w:rPr>
            </w:pPr>
            <w:r>
              <w:rPr>
                <w:rFonts w:ascii="Times New Roman"/>
                <w:b/>
                <w:spacing w:val="-1"/>
                <w:sz w:val="18"/>
              </w:rPr>
              <w:t>5,751,168,004</w:t>
            </w:r>
            <w:r>
              <w:rPr>
                <w:rFonts w:ascii="Times New Roman"/>
                <w:spacing w:val="-1"/>
                <w:sz w:val="18"/>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18"/>
                <w:szCs w:val="18"/>
              </w:rPr>
            </w:pPr>
            <w:r>
              <w:rPr>
                <w:rFonts w:ascii="Times New Roman"/>
                <w:b/>
                <w:spacing w:val="-1"/>
                <w:sz w:val="18"/>
              </w:rPr>
              <w:t>4,860,990,686</w:t>
            </w:r>
            <w:r>
              <w:rPr>
                <w:rFonts w:ascii="Times New Roman"/>
                <w:spacing w:val="-1"/>
                <w:sz w:val="18"/>
              </w:rPr>
            </w:r>
          </w:p>
        </w:tc>
      </w:tr>
    </w:tbl>
    <w:p>
      <w:pPr>
        <w:spacing w:line="240" w:lineRule="auto" w:before="1"/>
        <w:rPr>
          <w:rFonts w:ascii="宋体" w:hAnsi="宋体" w:cs="宋体" w:eastAsia="宋体" w:hint="default"/>
          <w:b/>
          <w:bCs/>
          <w:sz w:val="11"/>
          <w:szCs w:val="11"/>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12"/>
        <w:rPr>
          <w:rFonts w:ascii="宋体" w:hAnsi="宋体" w:cs="宋体" w:eastAsia="宋体" w:hint="default"/>
          <w:sz w:val="25"/>
          <w:szCs w:val="25"/>
        </w:rPr>
      </w:pPr>
    </w:p>
    <w:p>
      <w:pPr>
        <w:tabs>
          <w:tab w:pos="3267" w:val="left" w:leader="none"/>
          <w:tab w:pos="6417" w:val="left" w:leader="none"/>
        </w:tabs>
        <w:spacing w:before="0"/>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主管会计工作负责人：王莉</w:t>
        <w:tab/>
        <w:t>会计机构负责人：陈雷</w:t>
      </w:r>
    </w:p>
    <w:p>
      <w:pPr>
        <w:spacing w:after="0"/>
        <w:jc w:val="left"/>
        <w:rPr>
          <w:rFonts w:ascii="宋体" w:hAnsi="宋体" w:cs="宋体" w:eastAsia="宋体" w:hint="default"/>
          <w:sz w:val="18"/>
          <w:szCs w:val="18"/>
        </w:rPr>
        <w:sectPr>
          <w:pgSz w:w="11910" w:h="16840"/>
          <w:pgMar w:header="1089" w:footer="1003" w:top="1280" w:bottom="1200" w:left="1680" w:right="1460"/>
        </w:sectPr>
      </w:pPr>
    </w:p>
    <w:p>
      <w:pPr>
        <w:pStyle w:val="Heading6"/>
        <w:spacing w:line="252" w:lineRule="exact" w:before="0"/>
        <w:ind w:left="2184" w:right="2513"/>
        <w:jc w:val="center"/>
        <w:rPr>
          <w:b w:val="0"/>
          <w:bCs w:val="0"/>
        </w:rPr>
      </w:pPr>
      <w:r>
        <w:rPr/>
        <w:t>合并资产负债表</w:t>
      </w:r>
      <w:r>
        <w:rPr>
          <w:b w:val="0"/>
          <w:bCs w:val="0"/>
        </w:rPr>
      </w:r>
    </w:p>
    <w:p>
      <w:pPr>
        <w:spacing w:before="13"/>
        <w:ind w:left="2184" w:right="2513" w:firstLine="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月</w:t>
      </w:r>
      <w:r>
        <w:rPr>
          <w:rFonts w:ascii="宋体" w:hAnsi="宋体" w:cs="宋体" w:eastAsia="宋体" w:hint="default"/>
          <w:b/>
          <w:bCs/>
          <w:spacing w:val="-52"/>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before="40"/>
        <w:ind w:left="2185" w:right="251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7"/>
        <w:rPr>
          <w:rFonts w:ascii="宋体" w:hAnsi="宋体" w:cs="宋体" w:eastAsia="宋体" w:hint="default"/>
          <w:b/>
          <w:bCs/>
          <w:sz w:val="22"/>
          <w:szCs w:val="22"/>
        </w:rPr>
      </w:pPr>
    </w:p>
    <w:tbl>
      <w:tblPr>
        <w:tblW w:w="0" w:type="auto"/>
        <w:jc w:val="left"/>
        <w:tblInd w:w="112" w:type="dxa"/>
        <w:tblLayout w:type="fixed"/>
        <w:tblCellMar>
          <w:top w:w="0" w:type="dxa"/>
          <w:left w:w="0" w:type="dxa"/>
          <w:bottom w:w="0" w:type="dxa"/>
          <w:right w:w="0" w:type="dxa"/>
        </w:tblCellMar>
        <w:tblLook w:val="01E0"/>
      </w:tblPr>
      <w:tblGrid>
        <w:gridCol w:w="3570"/>
        <w:gridCol w:w="1156"/>
        <w:gridCol w:w="1890"/>
        <w:gridCol w:w="1890"/>
      </w:tblGrid>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tabs>
                <w:tab w:pos="539" w:val="left" w:leader="none"/>
              </w:tabs>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资</w:t>
              <w:tab/>
              <w:t>产</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57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578"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281"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（一）</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pacing w:val="-1"/>
                <w:sz w:val="18"/>
              </w:rPr>
              <w:t>1,738,515,965</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4"/>
              <w:jc w:val="right"/>
              <w:rPr>
                <w:rFonts w:ascii="Times New Roman" w:hAnsi="Times New Roman" w:cs="Times New Roman" w:eastAsia="Times New Roman" w:hint="default"/>
                <w:sz w:val="18"/>
                <w:szCs w:val="18"/>
              </w:rPr>
            </w:pPr>
            <w:r>
              <w:rPr>
                <w:rFonts w:ascii="Times New Roman"/>
                <w:spacing w:val="-1"/>
                <w:sz w:val="18"/>
              </w:rPr>
              <w:t>1,690,979,107</w:t>
            </w: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83"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（二）</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863,170</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969,350</w:t>
            </w: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（三）</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36,215,245</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12,798,400</w:t>
            </w:r>
          </w:p>
        </w:tc>
      </w:tr>
      <w:tr>
        <w:trPr>
          <w:trHeight w:val="281"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8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宋体" w:hAnsi="宋体" w:cs="宋体" w:eastAsia="宋体" w:hint="default"/>
                <w:sz w:val="18"/>
                <w:szCs w:val="18"/>
              </w:rPr>
            </w:pPr>
            <w:r>
              <w:rPr>
                <w:rFonts w:ascii="宋体" w:hAnsi="宋体" w:cs="宋体" w:eastAsia="宋体" w:hint="default"/>
                <w:sz w:val="18"/>
                <w:szCs w:val="18"/>
              </w:rPr>
              <w:t>（四）</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spacing w:val="-1"/>
                <w:sz w:val="18"/>
              </w:rPr>
              <w:t>1,161,288,549</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sz w:val="18"/>
              </w:rPr>
              <w:t>959,725,130</w:t>
            </w: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（六）</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57,312,087</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51,875,861</w:t>
            </w: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83"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8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（五）</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179,486,463</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172,339,920</w:t>
            </w: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8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宋体" w:hAnsi="宋体" w:cs="宋体" w:eastAsia="宋体" w:hint="default"/>
                <w:sz w:val="18"/>
                <w:szCs w:val="18"/>
              </w:rPr>
            </w:pPr>
            <w:r>
              <w:rPr>
                <w:rFonts w:ascii="宋体" w:hAnsi="宋体" w:cs="宋体" w:eastAsia="宋体" w:hint="default"/>
                <w:sz w:val="18"/>
                <w:szCs w:val="18"/>
              </w:rPr>
              <w:t>（七）</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sz w:val="18"/>
              </w:rPr>
              <w:t>585,158,868</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sz w:val="18"/>
              </w:rPr>
              <w:t>486,823,705</w:t>
            </w: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（八）</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14,262,836</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10,313,513</w:t>
            </w:r>
          </w:p>
        </w:tc>
      </w:tr>
      <w:tr>
        <w:trPr>
          <w:trHeight w:val="281"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b/>
                <w:spacing w:val="-1"/>
                <w:sz w:val="18"/>
              </w:rPr>
              <w:t>3,773,103,183</w:t>
            </w:r>
            <w:r>
              <w:rPr>
                <w:rFonts w:ascii="Times New Roman"/>
                <w:spacing w:val="-1"/>
                <w:sz w:val="18"/>
              </w:rPr>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b/>
                <w:spacing w:val="-1"/>
                <w:sz w:val="18"/>
              </w:rPr>
              <w:t>3,385,824,986</w:t>
            </w:r>
            <w:r>
              <w:rPr>
                <w:rFonts w:ascii="Times New Roman"/>
                <w:spacing w:val="-1"/>
                <w:sz w:val="18"/>
              </w:rPr>
            </w: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发放委托贷款及垫款</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8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（九）</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401,931,507</w:t>
            </w: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（十）</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150,710,187</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283,406,306</w:t>
            </w:r>
          </w:p>
        </w:tc>
      </w:tr>
      <w:tr>
        <w:trPr>
          <w:trHeight w:val="281"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8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宋体" w:hAnsi="宋体" w:cs="宋体" w:eastAsia="宋体" w:hint="default"/>
                <w:sz w:val="18"/>
                <w:szCs w:val="18"/>
              </w:rPr>
            </w:pPr>
            <w:r>
              <w:rPr>
                <w:rFonts w:ascii="宋体" w:hAnsi="宋体" w:cs="宋体" w:eastAsia="宋体" w:hint="default"/>
                <w:sz w:val="18"/>
                <w:szCs w:val="18"/>
              </w:rPr>
              <w:t>（十二）</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sz w:val="18"/>
              </w:rPr>
              <w:t>703,226,389</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sz w:val="18"/>
              </w:rPr>
              <w:t>614,836,497</w:t>
            </w: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（十三）</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438,134,937</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pacing w:val="-1"/>
                <w:sz w:val="18"/>
              </w:rPr>
              <w:t>437,011,923</w:t>
            </w: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（十四）</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pacing w:val="-1"/>
                <w:sz w:val="18"/>
              </w:rPr>
              <w:t>1,395,400,942</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4"/>
              <w:jc w:val="right"/>
              <w:rPr>
                <w:rFonts w:ascii="Times New Roman" w:hAnsi="Times New Roman" w:cs="Times New Roman" w:eastAsia="Times New Roman" w:hint="default"/>
                <w:sz w:val="18"/>
                <w:szCs w:val="18"/>
              </w:rPr>
            </w:pPr>
            <w:r>
              <w:rPr>
                <w:rFonts w:ascii="Times New Roman"/>
                <w:spacing w:val="-1"/>
                <w:sz w:val="18"/>
              </w:rPr>
              <w:t>1,429,649,069</w:t>
            </w:r>
          </w:p>
        </w:tc>
      </w:tr>
      <w:tr>
        <w:trPr>
          <w:trHeight w:val="281"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8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宋体" w:hAnsi="宋体" w:cs="宋体" w:eastAsia="宋体" w:hint="default"/>
                <w:sz w:val="18"/>
                <w:szCs w:val="18"/>
              </w:rPr>
            </w:pPr>
            <w:r>
              <w:rPr>
                <w:rFonts w:ascii="宋体" w:hAnsi="宋体" w:cs="宋体" w:eastAsia="宋体" w:hint="default"/>
                <w:sz w:val="18"/>
                <w:szCs w:val="18"/>
              </w:rPr>
              <w:t>（十五）</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sz w:val="18"/>
              </w:rPr>
              <w:t>307,799,158</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sz w:val="18"/>
              </w:rPr>
              <w:t>84,731,103</w:t>
            </w: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8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（十六）</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428,316,641</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388,855,100</w:t>
            </w:r>
          </w:p>
        </w:tc>
      </w:tr>
      <w:tr>
        <w:trPr>
          <w:trHeight w:val="281"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8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（十七）</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227,376,502</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144,880,456</w:t>
            </w: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（十八）</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53,694,146</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sz w:val="18"/>
              </w:rPr>
              <w:t>54,917,207</w:t>
            </w:r>
          </w:p>
        </w:tc>
      </w:tr>
      <w:tr>
        <w:trPr>
          <w:trHeight w:val="281"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8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宋体" w:hAnsi="宋体" w:cs="宋体" w:eastAsia="宋体" w:hint="default"/>
                <w:sz w:val="18"/>
                <w:szCs w:val="18"/>
              </w:rPr>
            </w:pPr>
            <w:r>
              <w:rPr>
                <w:rFonts w:ascii="宋体" w:hAnsi="宋体" w:cs="宋体" w:eastAsia="宋体" w:hint="default"/>
                <w:sz w:val="18"/>
                <w:szCs w:val="18"/>
              </w:rPr>
              <w:t>（十九）</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sz w:val="18"/>
              </w:rPr>
              <w:t>45,591,522</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sz w:val="18"/>
              </w:rPr>
              <w:t>34,767,158</w:t>
            </w: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8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
        </w:tc>
      </w:tr>
      <w:tr>
        <w:trPr>
          <w:trHeight w:val="280"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b/>
                <w:spacing w:val="-1"/>
                <w:sz w:val="18"/>
              </w:rPr>
              <w:t>4,152,181,931</w:t>
            </w:r>
            <w:r>
              <w:rPr>
                <w:rFonts w:ascii="Times New Roman"/>
                <w:spacing w:val="-1"/>
                <w:sz w:val="18"/>
              </w:rPr>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18"/>
                <w:szCs w:val="18"/>
              </w:rPr>
            </w:pPr>
            <w:r>
              <w:rPr>
                <w:rFonts w:ascii="Times New Roman"/>
                <w:b/>
                <w:spacing w:val="-1"/>
                <w:sz w:val="18"/>
              </w:rPr>
              <w:t>3,473,054,819</w:t>
            </w:r>
            <w:r>
              <w:rPr>
                <w:rFonts w:ascii="Times New Roman"/>
                <w:spacing w:val="-1"/>
                <w:sz w:val="18"/>
              </w:rPr>
            </w:r>
          </w:p>
        </w:tc>
      </w:tr>
      <w:tr>
        <w:trPr>
          <w:trHeight w:val="281" w:hRule="exact"/>
        </w:trPr>
        <w:tc>
          <w:tcPr>
            <w:tcW w:w="3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1156" w:type="dxa"/>
            <w:tcBorders>
              <w:top w:val="single" w:sz="4" w:space="0" w:color="000000"/>
              <w:left w:val="single" w:sz="4" w:space="0" w:color="000000"/>
              <w:bottom w:val="single" w:sz="4" w:space="0" w:color="000000"/>
              <w:right w:val="single" w:sz="4" w:space="0" w:color="000000"/>
            </w:tcBorders>
          </w:tcPr>
          <w:p>
            <w:pP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Times New Roman" w:hAnsi="Times New Roman" w:cs="Times New Roman" w:eastAsia="Times New Roman" w:hint="default"/>
                <w:sz w:val="18"/>
                <w:szCs w:val="18"/>
              </w:rPr>
            </w:pPr>
            <w:r>
              <w:rPr>
                <w:rFonts w:ascii="Times New Roman"/>
                <w:b/>
                <w:spacing w:val="-1"/>
                <w:sz w:val="18"/>
              </w:rPr>
              <w:t>7,925,285,114</w:t>
            </w:r>
            <w:r>
              <w:rPr>
                <w:rFonts w:ascii="Times New Roman"/>
                <w:spacing w:val="-1"/>
                <w:sz w:val="18"/>
              </w:rPr>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2"/>
              <w:jc w:val="right"/>
              <w:rPr>
                <w:rFonts w:ascii="Times New Roman" w:hAnsi="Times New Roman" w:cs="Times New Roman" w:eastAsia="Times New Roman" w:hint="default"/>
                <w:sz w:val="18"/>
                <w:szCs w:val="18"/>
              </w:rPr>
            </w:pPr>
            <w:r>
              <w:rPr>
                <w:rFonts w:ascii="Times New Roman"/>
                <w:b/>
                <w:spacing w:val="-1"/>
                <w:sz w:val="18"/>
              </w:rPr>
              <w:t>6,858,879,805</w:t>
            </w:r>
            <w:r>
              <w:rPr>
                <w:rFonts w:ascii="Times New Roman"/>
                <w:spacing w:val="-1"/>
                <w:sz w:val="18"/>
              </w:rPr>
            </w:r>
          </w:p>
        </w:tc>
      </w:tr>
    </w:tbl>
    <w:p>
      <w:pPr>
        <w:spacing w:line="240" w:lineRule="auto" w:before="9"/>
        <w:rPr>
          <w:rFonts w:ascii="宋体" w:hAnsi="宋体" w:cs="宋体" w:eastAsia="宋体" w:hint="default"/>
          <w:b/>
          <w:bCs/>
          <w:sz w:val="17"/>
          <w:szCs w:val="17"/>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1"/>
        <w:rPr>
          <w:rFonts w:ascii="宋体" w:hAnsi="宋体" w:cs="宋体" w:eastAsia="宋体" w:hint="default"/>
          <w:sz w:val="24"/>
          <w:szCs w:val="24"/>
        </w:rPr>
      </w:pPr>
    </w:p>
    <w:p>
      <w:pPr>
        <w:tabs>
          <w:tab w:pos="3267" w:val="left" w:leader="none"/>
          <w:tab w:pos="6417" w:val="left" w:leader="none"/>
        </w:tabs>
        <w:spacing w:before="0"/>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主管会计工作负责人：王莉</w:t>
        <w:tab/>
        <w:t>会计机构负责人：陈雷</w:t>
      </w:r>
    </w:p>
    <w:p>
      <w:pPr>
        <w:spacing w:after="0"/>
        <w:jc w:val="left"/>
        <w:rPr>
          <w:rFonts w:ascii="宋体" w:hAnsi="宋体" w:cs="宋体" w:eastAsia="宋体" w:hint="default"/>
          <w:sz w:val="18"/>
          <w:szCs w:val="18"/>
        </w:rPr>
        <w:sectPr>
          <w:pgSz w:w="11910" w:h="16840"/>
          <w:pgMar w:header="1089" w:footer="1003" w:top="1280" w:bottom="1200" w:left="1680" w:right="1480"/>
        </w:sectPr>
      </w:pPr>
    </w:p>
    <w:p>
      <w:pPr>
        <w:pStyle w:val="Heading6"/>
        <w:spacing w:line="271" w:lineRule="exact" w:before="0"/>
        <w:ind w:left="2183" w:right="2533"/>
        <w:jc w:val="center"/>
        <w:rPr>
          <w:b w:val="0"/>
          <w:bCs w:val="0"/>
        </w:rPr>
      </w:pPr>
      <w:r>
        <w:rPr/>
        <w:t>合并资产负债表（续）</w:t>
      </w:r>
      <w:r>
        <w:rPr>
          <w:b w:val="0"/>
          <w:bCs w:val="0"/>
        </w:rPr>
      </w:r>
    </w:p>
    <w:p>
      <w:pPr>
        <w:spacing w:line="290" w:lineRule="exact" w:before="0"/>
        <w:ind w:left="2184" w:right="2533" w:firstLine="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月</w:t>
      </w:r>
      <w:r>
        <w:rPr>
          <w:rFonts w:ascii="宋体" w:hAnsi="宋体" w:cs="宋体" w:eastAsia="宋体" w:hint="default"/>
          <w:b/>
          <w:bCs/>
          <w:spacing w:val="-52"/>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before="34"/>
        <w:ind w:left="2185" w:right="253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1"/>
        <w:rPr>
          <w:rFonts w:ascii="宋体" w:hAnsi="宋体" w:cs="宋体" w:eastAsia="宋体" w:hint="default"/>
          <w:b/>
          <w:bCs/>
          <w:sz w:val="20"/>
          <w:szCs w:val="20"/>
        </w:rPr>
      </w:pPr>
    </w:p>
    <w:tbl>
      <w:tblPr>
        <w:tblW w:w="0" w:type="auto"/>
        <w:jc w:val="left"/>
        <w:tblInd w:w="112" w:type="dxa"/>
        <w:tblLayout w:type="fixed"/>
        <w:tblCellMar>
          <w:top w:w="0" w:type="dxa"/>
          <w:left w:w="0" w:type="dxa"/>
          <w:bottom w:w="0" w:type="dxa"/>
          <w:right w:w="0" w:type="dxa"/>
        </w:tblCellMar>
        <w:tblLook w:val="01E0"/>
      </w:tblPr>
      <w:tblGrid>
        <w:gridCol w:w="3542"/>
        <w:gridCol w:w="1063"/>
        <w:gridCol w:w="1962"/>
        <w:gridCol w:w="1961"/>
      </w:tblGrid>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416"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61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614"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6"/>
                <w:szCs w:val="16"/>
              </w:rPr>
            </w:pPr>
            <w:r>
              <w:rPr>
                <w:rFonts w:ascii="宋体" w:hAnsi="宋体" w:cs="宋体" w:eastAsia="宋体" w:hint="default"/>
                <w:sz w:val="16"/>
                <w:szCs w:val="16"/>
              </w:rPr>
              <w:t>（二十一）</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6"/>
                <w:szCs w:val="16"/>
              </w:rPr>
            </w:pPr>
            <w:r>
              <w:rPr>
                <w:rFonts w:ascii="Times New Roman"/>
                <w:spacing w:val="-1"/>
                <w:sz w:val="16"/>
              </w:rPr>
              <w:t>470,000,000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160,000,000</w:t>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283"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28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宋体" w:hAnsi="宋体" w:cs="宋体" w:eastAsia="宋体" w:hint="default"/>
                <w:sz w:val="16"/>
                <w:szCs w:val="16"/>
              </w:rPr>
            </w:pPr>
            <w:r>
              <w:rPr>
                <w:rFonts w:ascii="宋体" w:hAnsi="宋体" w:cs="宋体" w:eastAsia="宋体" w:hint="default"/>
                <w:sz w:val="16"/>
                <w:szCs w:val="16"/>
              </w:rPr>
              <w:t>（二十二）</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6"/>
                <w:szCs w:val="16"/>
              </w:rPr>
            </w:pPr>
            <w:r>
              <w:rPr>
                <w:rFonts w:ascii="Times New Roman"/>
                <w:spacing w:val="-1"/>
                <w:sz w:val="16"/>
              </w:rPr>
              <w:t>170,567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6"/>
                <w:szCs w:val="16"/>
              </w:rPr>
            </w:pPr>
            <w:r>
              <w:rPr>
                <w:rFonts w:ascii="Times New Roman"/>
                <w:spacing w:val="-1"/>
                <w:sz w:val="16"/>
              </w:rPr>
              <w:t>1,227,304</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6"/>
                <w:szCs w:val="16"/>
              </w:rPr>
            </w:pPr>
            <w:r>
              <w:rPr>
                <w:rFonts w:ascii="宋体" w:hAnsi="宋体" w:cs="宋体" w:eastAsia="宋体" w:hint="default"/>
                <w:sz w:val="16"/>
                <w:szCs w:val="16"/>
              </w:rPr>
              <w:t>（二十三）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6"/>
                <w:szCs w:val="16"/>
              </w:rPr>
            </w:pPr>
            <w:r>
              <w:rPr>
                <w:rFonts w:ascii="Times New Roman"/>
                <w:spacing w:val="-1"/>
                <w:sz w:val="16"/>
              </w:rPr>
              <w:t>83,204,957</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145,564,320</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6"/>
                <w:szCs w:val="16"/>
              </w:rPr>
            </w:pPr>
            <w:r>
              <w:rPr>
                <w:rFonts w:ascii="宋体" w:hAnsi="宋体" w:cs="宋体" w:eastAsia="宋体" w:hint="default"/>
                <w:sz w:val="16"/>
                <w:szCs w:val="16"/>
              </w:rPr>
              <w:t>（二十四）</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6"/>
                <w:szCs w:val="16"/>
              </w:rPr>
            </w:pPr>
            <w:r>
              <w:rPr>
                <w:rFonts w:ascii="Times New Roman"/>
                <w:spacing w:val="-1"/>
                <w:sz w:val="16"/>
              </w:rPr>
              <w:t>543,996,141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566,932,526</w:t>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28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宋体" w:hAnsi="宋体" w:cs="宋体" w:eastAsia="宋体" w:hint="default"/>
                <w:sz w:val="16"/>
                <w:szCs w:val="16"/>
              </w:rPr>
            </w:pPr>
            <w:r>
              <w:rPr>
                <w:rFonts w:ascii="宋体" w:hAnsi="宋体" w:cs="宋体" w:eastAsia="宋体" w:hint="default"/>
                <w:sz w:val="16"/>
                <w:szCs w:val="16"/>
              </w:rPr>
              <w:t>（二十五）</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3"/>
              <w:jc w:val="right"/>
              <w:rPr>
                <w:rFonts w:ascii="Times New Roman" w:hAnsi="Times New Roman" w:cs="Times New Roman" w:eastAsia="Times New Roman" w:hint="default"/>
                <w:sz w:val="16"/>
                <w:szCs w:val="16"/>
              </w:rPr>
            </w:pPr>
            <w:r>
              <w:rPr>
                <w:rFonts w:ascii="Times New Roman"/>
                <w:spacing w:val="-1"/>
                <w:sz w:val="16"/>
              </w:rPr>
              <w:t>452,920,955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6"/>
                <w:szCs w:val="16"/>
              </w:rPr>
            </w:pPr>
            <w:r>
              <w:rPr>
                <w:rFonts w:ascii="Times New Roman"/>
                <w:spacing w:val="-1"/>
                <w:sz w:val="16"/>
              </w:rPr>
              <w:t>437,504,595</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宋体" w:hAnsi="宋体" w:cs="宋体" w:eastAsia="宋体" w:hint="default"/>
                <w:sz w:val="16"/>
                <w:szCs w:val="16"/>
              </w:rPr>
            </w:pPr>
            <w:r>
              <w:rPr>
                <w:rFonts w:ascii="宋体" w:hAnsi="宋体" w:cs="宋体" w:eastAsia="宋体" w:hint="default"/>
                <w:sz w:val="16"/>
                <w:szCs w:val="16"/>
              </w:rPr>
              <w:t>（二十六）</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3"/>
              <w:jc w:val="right"/>
              <w:rPr>
                <w:rFonts w:ascii="Times New Roman" w:hAnsi="Times New Roman" w:cs="Times New Roman" w:eastAsia="Times New Roman" w:hint="default"/>
                <w:sz w:val="16"/>
                <w:szCs w:val="16"/>
              </w:rPr>
            </w:pPr>
            <w:r>
              <w:rPr>
                <w:rFonts w:ascii="Times New Roman"/>
                <w:spacing w:val="-1"/>
                <w:sz w:val="16"/>
              </w:rPr>
              <w:t>292,042,551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6"/>
                <w:szCs w:val="16"/>
              </w:rPr>
            </w:pPr>
            <w:r>
              <w:rPr>
                <w:rFonts w:ascii="Times New Roman"/>
                <w:spacing w:val="-1"/>
                <w:sz w:val="16"/>
              </w:rPr>
              <w:t>229,463,755</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6"/>
                <w:szCs w:val="16"/>
              </w:rPr>
            </w:pPr>
            <w:r>
              <w:rPr>
                <w:rFonts w:ascii="宋体" w:hAnsi="宋体" w:cs="宋体" w:eastAsia="宋体" w:hint="default"/>
                <w:sz w:val="16"/>
                <w:szCs w:val="16"/>
              </w:rPr>
              <w:t>（二十七）</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67,567,092</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685,326</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w w:val="95"/>
                <w:sz w:val="16"/>
              </w:rPr>
              <w:t>205,724</w:t>
            </w:r>
            <w:r>
              <w:rPr>
                <w:rFonts w:ascii="Times New Roman"/>
                <w:sz w:val="16"/>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280,005</w:t>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6"/>
                <w:szCs w:val="16"/>
              </w:rPr>
            </w:pPr>
            <w:r>
              <w:rPr>
                <w:rFonts w:ascii="宋体" w:hAnsi="宋体" w:cs="宋体" w:eastAsia="宋体" w:hint="default"/>
                <w:sz w:val="16"/>
                <w:szCs w:val="16"/>
              </w:rPr>
              <w:t>（二十八）</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149,882,015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160,184,537</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283"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28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宋体" w:hAnsi="宋体" w:cs="宋体" w:eastAsia="宋体" w:hint="default"/>
                <w:sz w:val="16"/>
                <w:szCs w:val="16"/>
              </w:rPr>
            </w:pPr>
            <w:r>
              <w:rPr>
                <w:rFonts w:ascii="宋体" w:hAnsi="宋体" w:cs="宋体" w:eastAsia="宋体" w:hint="default"/>
                <w:sz w:val="16"/>
                <w:szCs w:val="16"/>
              </w:rPr>
              <w:t>（三十）</w:t>
            </w: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6"/>
                <w:szCs w:val="16"/>
              </w:rPr>
            </w:pPr>
            <w:r>
              <w:rPr>
                <w:rFonts w:ascii="Times New Roman"/>
                <w:spacing w:val="-1"/>
                <w:sz w:val="16"/>
              </w:rPr>
              <w:t>136,060,526</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71,666</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21,336</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2"/>
              <w:jc w:val="right"/>
              <w:rPr>
                <w:rFonts w:ascii="Times New Roman" w:hAnsi="Times New Roman" w:cs="Times New Roman" w:eastAsia="Times New Roman" w:hint="default"/>
                <w:sz w:val="16"/>
                <w:szCs w:val="16"/>
              </w:rPr>
            </w:pPr>
            <w:r>
              <w:rPr>
                <w:rFonts w:ascii="Times New Roman"/>
                <w:b/>
                <w:spacing w:val="-1"/>
                <w:sz w:val="16"/>
              </w:rPr>
              <w:t>2,060,061,668</w:t>
            </w:r>
            <w:r>
              <w:rPr>
                <w:rFonts w:ascii="Times New Roman"/>
                <w:spacing w:val="-1"/>
                <w:sz w:val="16"/>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2"/>
              <w:jc w:val="right"/>
              <w:rPr>
                <w:rFonts w:ascii="Times New Roman" w:hAnsi="Times New Roman" w:cs="Times New Roman" w:eastAsia="Times New Roman" w:hint="default"/>
                <w:sz w:val="16"/>
                <w:szCs w:val="16"/>
              </w:rPr>
            </w:pPr>
            <w:r>
              <w:rPr>
                <w:rFonts w:ascii="Times New Roman"/>
                <w:b/>
                <w:spacing w:val="-1"/>
                <w:sz w:val="16"/>
              </w:rPr>
              <w:t>1,837,924,230</w:t>
            </w:r>
            <w:r>
              <w:rPr>
                <w:rFonts w:ascii="Times New Roman"/>
                <w:spacing w:val="-1"/>
                <w:sz w:val="16"/>
              </w:rPr>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6"/>
                <w:szCs w:val="16"/>
              </w:rPr>
            </w:pPr>
            <w:r>
              <w:rPr>
                <w:rFonts w:ascii="宋体" w:hAnsi="宋体" w:cs="宋体" w:eastAsia="宋体" w:hint="default"/>
                <w:sz w:val="16"/>
                <w:szCs w:val="16"/>
              </w:rPr>
              <w:t>（三十一）</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104,000,000</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129,000,000</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6"/>
                <w:szCs w:val="16"/>
              </w:rPr>
            </w:pPr>
            <w:r>
              <w:rPr>
                <w:rFonts w:ascii="宋体" w:hAnsi="宋体" w:cs="宋体" w:eastAsia="宋体" w:hint="default"/>
                <w:sz w:val="16"/>
                <w:szCs w:val="16"/>
              </w:rPr>
              <w:t>（三十二）</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403,658,667</w:t>
            </w: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28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宋体" w:hAnsi="宋体" w:cs="宋体" w:eastAsia="宋体" w:hint="default"/>
                <w:sz w:val="16"/>
                <w:szCs w:val="16"/>
              </w:rPr>
            </w:pPr>
            <w:r>
              <w:rPr>
                <w:rFonts w:ascii="宋体" w:hAnsi="宋体" w:cs="宋体" w:eastAsia="宋体" w:hint="default"/>
                <w:sz w:val="16"/>
                <w:szCs w:val="16"/>
              </w:rPr>
              <w:t>（三十三）</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3"/>
              <w:jc w:val="right"/>
              <w:rPr>
                <w:rFonts w:ascii="Times New Roman" w:hAnsi="Times New Roman" w:cs="Times New Roman" w:eastAsia="Times New Roman" w:hint="default"/>
                <w:sz w:val="16"/>
                <w:szCs w:val="16"/>
              </w:rPr>
            </w:pPr>
            <w:r>
              <w:rPr>
                <w:rFonts w:ascii="Times New Roman"/>
                <w:spacing w:val="-1"/>
                <w:sz w:val="16"/>
              </w:rPr>
              <w:t>134,609,431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6"/>
                <w:szCs w:val="16"/>
              </w:rPr>
            </w:pPr>
            <w:r>
              <w:rPr>
                <w:rFonts w:ascii="Times New Roman"/>
                <w:spacing w:val="-1"/>
                <w:sz w:val="16"/>
              </w:rPr>
              <w:t>134,609,431</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6"/>
                <w:szCs w:val="16"/>
              </w:rPr>
            </w:pPr>
            <w:r>
              <w:rPr>
                <w:rFonts w:ascii="宋体" w:hAnsi="宋体" w:cs="宋体" w:eastAsia="宋体" w:hint="default"/>
                <w:sz w:val="16"/>
                <w:szCs w:val="16"/>
              </w:rPr>
              <w:t>（二十九）</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15,686,425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13,631,955</w:t>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28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宋体" w:hAnsi="宋体" w:cs="宋体" w:eastAsia="宋体" w:hint="default"/>
                <w:sz w:val="16"/>
                <w:szCs w:val="16"/>
              </w:rPr>
            </w:pPr>
            <w:r>
              <w:rPr>
                <w:rFonts w:ascii="宋体" w:hAnsi="宋体" w:cs="宋体" w:eastAsia="宋体" w:hint="default"/>
                <w:sz w:val="16"/>
                <w:szCs w:val="16"/>
              </w:rPr>
              <w:t>（十九）</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6"/>
                <w:szCs w:val="16"/>
              </w:rPr>
            </w:pPr>
            <w:r>
              <w:rPr>
                <w:rFonts w:ascii="Times New Roman"/>
                <w:spacing w:val="-1"/>
                <w:sz w:val="16"/>
              </w:rPr>
              <w:t>2,409,781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6"/>
                <w:szCs w:val="16"/>
              </w:rPr>
            </w:pPr>
            <w:r>
              <w:rPr>
                <w:rFonts w:ascii="Times New Roman"/>
                <w:spacing w:val="-1"/>
                <w:sz w:val="16"/>
              </w:rPr>
              <w:t>2,629,393</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6"/>
                <w:szCs w:val="16"/>
              </w:rPr>
            </w:pPr>
            <w:r>
              <w:rPr>
                <w:rFonts w:ascii="宋体" w:hAnsi="宋体" w:cs="宋体" w:eastAsia="宋体" w:hint="default"/>
                <w:sz w:val="16"/>
                <w:szCs w:val="16"/>
              </w:rPr>
              <w:t>（三十四）</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189,735,874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155,872,325</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2"/>
              <w:jc w:val="right"/>
              <w:rPr>
                <w:rFonts w:ascii="Times New Roman" w:hAnsi="Times New Roman" w:cs="Times New Roman" w:eastAsia="Times New Roman" w:hint="default"/>
                <w:sz w:val="16"/>
                <w:szCs w:val="16"/>
              </w:rPr>
            </w:pPr>
            <w:r>
              <w:rPr>
                <w:rFonts w:ascii="Times New Roman"/>
                <w:b/>
                <w:spacing w:val="-1"/>
                <w:sz w:val="16"/>
              </w:rPr>
              <w:t>850,100,178</w:t>
            </w:r>
            <w:r>
              <w:rPr>
                <w:rFonts w:ascii="Times New Roman"/>
                <w:spacing w:val="-1"/>
                <w:sz w:val="16"/>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2"/>
              <w:jc w:val="right"/>
              <w:rPr>
                <w:rFonts w:ascii="Times New Roman" w:hAnsi="Times New Roman" w:cs="Times New Roman" w:eastAsia="Times New Roman" w:hint="default"/>
                <w:sz w:val="16"/>
                <w:szCs w:val="16"/>
              </w:rPr>
            </w:pPr>
            <w:r>
              <w:rPr>
                <w:rFonts w:ascii="Times New Roman"/>
                <w:b/>
                <w:spacing w:val="-1"/>
                <w:sz w:val="16"/>
              </w:rPr>
              <w:t>435,743,104</w:t>
            </w:r>
            <w:r>
              <w:rPr>
                <w:rFonts w:ascii="Times New Roman"/>
                <w:spacing w:val="-1"/>
                <w:sz w:val="16"/>
              </w:rPr>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2"/>
              <w:jc w:val="right"/>
              <w:rPr>
                <w:rFonts w:ascii="Times New Roman" w:hAnsi="Times New Roman" w:cs="Times New Roman" w:eastAsia="Times New Roman" w:hint="default"/>
                <w:sz w:val="16"/>
                <w:szCs w:val="16"/>
              </w:rPr>
            </w:pPr>
            <w:r>
              <w:rPr>
                <w:rFonts w:ascii="Times New Roman"/>
                <w:b/>
                <w:spacing w:val="-1"/>
                <w:sz w:val="16"/>
              </w:rPr>
              <w:t>2,910,161,846</w:t>
            </w:r>
            <w:r>
              <w:rPr>
                <w:rFonts w:ascii="Times New Roman"/>
                <w:spacing w:val="-1"/>
                <w:sz w:val="16"/>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2"/>
              <w:jc w:val="right"/>
              <w:rPr>
                <w:rFonts w:ascii="Times New Roman" w:hAnsi="Times New Roman" w:cs="Times New Roman" w:eastAsia="Times New Roman" w:hint="default"/>
                <w:sz w:val="16"/>
                <w:szCs w:val="16"/>
              </w:rPr>
            </w:pPr>
            <w:r>
              <w:rPr>
                <w:rFonts w:ascii="Times New Roman"/>
                <w:b/>
                <w:spacing w:val="-1"/>
                <w:sz w:val="16"/>
              </w:rPr>
              <w:t>2,273,667,334</w:t>
            </w:r>
            <w:r>
              <w:rPr>
                <w:rFonts w:ascii="Times New Roman"/>
                <w:spacing w:val="-1"/>
                <w:sz w:val="16"/>
              </w:rPr>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6"/>
                <w:szCs w:val="16"/>
              </w:rPr>
            </w:pPr>
            <w:r>
              <w:rPr>
                <w:rFonts w:ascii="宋体" w:hAnsi="宋体" w:cs="宋体" w:eastAsia="宋体" w:hint="default"/>
                <w:sz w:val="16"/>
                <w:szCs w:val="16"/>
              </w:rPr>
              <w:t>（三十五）</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1,227,594,245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1,227,594,245</w:t>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28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宋体" w:hAnsi="宋体" w:cs="宋体" w:eastAsia="宋体" w:hint="default"/>
                <w:sz w:val="16"/>
                <w:szCs w:val="16"/>
              </w:rPr>
            </w:pPr>
            <w:r>
              <w:rPr>
                <w:rFonts w:ascii="宋体" w:hAnsi="宋体" w:cs="宋体" w:eastAsia="宋体" w:hint="default"/>
                <w:sz w:val="16"/>
                <w:szCs w:val="16"/>
              </w:rPr>
              <w:t>（三十六）</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6"/>
                <w:szCs w:val="16"/>
              </w:rPr>
            </w:pPr>
            <w:r>
              <w:rPr>
                <w:rFonts w:ascii="Times New Roman"/>
                <w:spacing w:val="-1"/>
                <w:sz w:val="16"/>
              </w:rPr>
              <w:t>362,247,201</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6"/>
                <w:szCs w:val="16"/>
              </w:rPr>
            </w:pPr>
            <w:r>
              <w:rPr>
                <w:rFonts w:ascii="Times New Roman"/>
                <w:spacing w:val="-1"/>
                <w:sz w:val="16"/>
              </w:rPr>
              <w:t>363,002,779</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28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宋体" w:hAnsi="宋体" w:cs="宋体" w:eastAsia="宋体" w:hint="default"/>
                <w:sz w:val="16"/>
                <w:szCs w:val="16"/>
              </w:rPr>
            </w:pPr>
            <w:r>
              <w:rPr>
                <w:rFonts w:ascii="宋体" w:hAnsi="宋体" w:cs="宋体" w:eastAsia="宋体" w:hint="default"/>
                <w:sz w:val="16"/>
                <w:szCs w:val="16"/>
              </w:rPr>
              <w:t>（三十七）</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6"/>
                <w:szCs w:val="16"/>
              </w:rPr>
            </w:pPr>
            <w:r>
              <w:rPr>
                <w:rFonts w:ascii="Times New Roman"/>
                <w:spacing w:val="-1"/>
                <w:sz w:val="16"/>
              </w:rPr>
              <w:t>596,703,714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6"/>
                <w:szCs w:val="16"/>
              </w:rPr>
            </w:pPr>
            <w:r>
              <w:rPr>
                <w:rFonts w:ascii="Times New Roman"/>
                <w:spacing w:val="-1"/>
                <w:sz w:val="16"/>
              </w:rPr>
              <w:t>544,513,861</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
        </w:tc>
        <w:tc>
          <w:tcPr>
            <w:tcW w:w="1961"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6"/>
                <w:szCs w:val="16"/>
              </w:rPr>
            </w:pPr>
            <w:r>
              <w:rPr>
                <w:rFonts w:ascii="宋体" w:hAnsi="宋体" w:cs="宋体" w:eastAsia="宋体" w:hint="default"/>
                <w:sz w:val="16"/>
                <w:szCs w:val="16"/>
              </w:rPr>
              <w:t>（三十八）</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2,536,698,174</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2,171,819,047</w:t>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28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6"/>
                <w:szCs w:val="16"/>
              </w:rPr>
            </w:pPr>
            <w:r>
              <w:rPr>
                <w:rFonts w:ascii="Times New Roman"/>
                <w:spacing w:val="-1"/>
                <w:sz w:val="16"/>
              </w:rPr>
              <w:t>-48,565,779</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6"/>
                <w:szCs w:val="16"/>
              </w:rPr>
            </w:pPr>
            <w:r>
              <w:rPr>
                <w:rFonts w:ascii="Times New Roman"/>
                <w:spacing w:val="-1"/>
                <w:sz w:val="16"/>
              </w:rPr>
              <w:t>-26,721,620</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4,674,677,555</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4,280,208,312</w:t>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340,445,713</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6"/>
                <w:szCs w:val="16"/>
              </w:rPr>
            </w:pPr>
            <w:r>
              <w:rPr>
                <w:rFonts w:ascii="Times New Roman"/>
                <w:spacing w:val="-1"/>
                <w:sz w:val="16"/>
              </w:rPr>
              <w:t>305,004,159</w:t>
            </w:r>
          </w:p>
        </w:tc>
      </w:tr>
      <w:tr>
        <w:trPr>
          <w:trHeight w:val="251"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所有者权益（或股东权益）合计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2"/>
              <w:jc w:val="right"/>
              <w:rPr>
                <w:rFonts w:ascii="Times New Roman" w:hAnsi="Times New Roman" w:cs="Times New Roman" w:eastAsia="Times New Roman" w:hint="default"/>
                <w:sz w:val="16"/>
                <w:szCs w:val="16"/>
              </w:rPr>
            </w:pPr>
            <w:r>
              <w:rPr>
                <w:rFonts w:ascii="Times New Roman"/>
                <w:b/>
                <w:spacing w:val="-1"/>
                <w:sz w:val="16"/>
              </w:rPr>
              <w:t>5,015,123,268</w:t>
            </w:r>
            <w:r>
              <w:rPr>
                <w:rFonts w:ascii="Times New Roman"/>
                <w:spacing w:val="-1"/>
                <w:sz w:val="16"/>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2"/>
              <w:jc w:val="right"/>
              <w:rPr>
                <w:rFonts w:ascii="Times New Roman" w:hAnsi="Times New Roman" w:cs="Times New Roman" w:eastAsia="Times New Roman" w:hint="default"/>
                <w:sz w:val="16"/>
                <w:szCs w:val="16"/>
              </w:rPr>
            </w:pPr>
            <w:r>
              <w:rPr>
                <w:rFonts w:ascii="Times New Roman"/>
                <w:b/>
                <w:spacing w:val="-1"/>
                <w:sz w:val="16"/>
              </w:rPr>
              <w:t>4,585,212,471</w:t>
            </w:r>
            <w:r>
              <w:rPr>
                <w:rFonts w:ascii="Times New Roman"/>
                <w:spacing w:val="-1"/>
                <w:sz w:val="16"/>
              </w:rPr>
            </w:r>
          </w:p>
        </w:tc>
      </w:tr>
      <w:tr>
        <w:trPr>
          <w:trHeight w:val="250"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负债和所有者权益（或股东权益）总计</w:t>
            </w:r>
            <w:r>
              <w:rPr>
                <w:rFonts w:ascii="宋体" w:hAnsi="宋体" w:cs="宋体" w:eastAsia="宋体" w:hint="default"/>
                <w:sz w:val="18"/>
                <w:szCs w:val="18"/>
              </w:rPr>
            </w:r>
          </w:p>
        </w:tc>
        <w:tc>
          <w:tcPr>
            <w:tcW w:w="1063" w:type="dxa"/>
            <w:tcBorders>
              <w:top w:val="single" w:sz="4" w:space="0" w:color="000000"/>
              <w:left w:val="single" w:sz="4" w:space="0" w:color="000000"/>
              <w:bottom w:val="single" w:sz="4" w:space="0" w:color="000000"/>
              <w:right w:val="single" w:sz="4" w:space="0" w:color="000000"/>
            </w:tcBorders>
          </w:tcPr>
          <w:p>
            <w:pP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2"/>
              <w:jc w:val="right"/>
              <w:rPr>
                <w:rFonts w:ascii="Times New Roman" w:hAnsi="Times New Roman" w:cs="Times New Roman" w:eastAsia="Times New Roman" w:hint="default"/>
                <w:sz w:val="16"/>
                <w:szCs w:val="16"/>
              </w:rPr>
            </w:pPr>
            <w:r>
              <w:rPr>
                <w:rFonts w:ascii="Times New Roman"/>
                <w:b/>
                <w:spacing w:val="-2"/>
                <w:sz w:val="16"/>
              </w:rPr>
              <w:t>7,925,285,114</w:t>
            </w:r>
            <w:r>
              <w:rPr>
                <w:rFonts w:ascii="Times New Roman"/>
                <w:spacing w:val="-2"/>
                <w:sz w:val="16"/>
              </w:rPr>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2"/>
              <w:jc w:val="right"/>
              <w:rPr>
                <w:rFonts w:ascii="Times New Roman" w:hAnsi="Times New Roman" w:cs="Times New Roman" w:eastAsia="Times New Roman" w:hint="default"/>
                <w:sz w:val="16"/>
                <w:szCs w:val="16"/>
              </w:rPr>
            </w:pPr>
            <w:r>
              <w:rPr>
                <w:rFonts w:ascii="Times New Roman"/>
                <w:b/>
                <w:spacing w:val="-1"/>
                <w:sz w:val="16"/>
              </w:rPr>
              <w:t>6,858,879,805</w:t>
            </w:r>
            <w:r>
              <w:rPr>
                <w:rFonts w:ascii="Times New Roman"/>
                <w:spacing w:val="-1"/>
                <w:sz w:val="16"/>
              </w:rPr>
            </w:r>
          </w:p>
        </w:tc>
      </w:tr>
    </w:tbl>
    <w:p>
      <w:pPr>
        <w:spacing w:line="240" w:lineRule="auto" w:before="4"/>
        <w:rPr>
          <w:rFonts w:ascii="宋体" w:hAnsi="宋体" w:cs="宋体" w:eastAsia="宋体" w:hint="default"/>
          <w:b/>
          <w:bCs/>
          <w:sz w:val="13"/>
          <w:szCs w:val="13"/>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9"/>
        <w:rPr>
          <w:rFonts w:ascii="宋体" w:hAnsi="宋体" w:cs="宋体" w:eastAsia="宋体" w:hint="default"/>
          <w:sz w:val="18"/>
          <w:szCs w:val="18"/>
        </w:rPr>
      </w:pPr>
    </w:p>
    <w:p>
      <w:pPr>
        <w:tabs>
          <w:tab w:pos="3267" w:val="left" w:leader="none"/>
          <w:tab w:pos="6417" w:val="left" w:leader="none"/>
        </w:tabs>
        <w:spacing w:before="0"/>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主管会计工作负责人：王莉</w:t>
        <w:tab/>
        <w:t>会计机构负责人：陈雷</w:t>
      </w:r>
    </w:p>
    <w:p>
      <w:pPr>
        <w:spacing w:after="0"/>
        <w:jc w:val="left"/>
        <w:rPr>
          <w:rFonts w:ascii="宋体" w:hAnsi="宋体" w:cs="宋体" w:eastAsia="宋体" w:hint="default"/>
          <w:sz w:val="18"/>
          <w:szCs w:val="18"/>
        </w:rPr>
        <w:sectPr>
          <w:pgSz w:w="11910" w:h="16840"/>
          <w:pgMar w:header="1089" w:footer="1003" w:top="1280" w:bottom="1200" w:left="1680" w:right="1460"/>
        </w:sectPr>
      </w:pPr>
    </w:p>
    <w:p>
      <w:pPr>
        <w:pStyle w:val="Heading6"/>
        <w:spacing w:line="271" w:lineRule="exact" w:before="0"/>
        <w:ind w:left="2185" w:right="2533"/>
        <w:jc w:val="center"/>
        <w:rPr>
          <w:b w:val="0"/>
          <w:bCs w:val="0"/>
        </w:rPr>
      </w:pPr>
      <w:r>
        <w:rPr/>
        <w:t>利润表</w:t>
      </w:r>
      <w:r>
        <w:rPr>
          <w:b w:val="0"/>
          <w:bCs w:val="0"/>
        </w:rPr>
      </w:r>
    </w:p>
    <w:p>
      <w:pPr>
        <w:spacing w:line="280" w:lineRule="exact" w:before="0"/>
        <w:ind w:left="2184" w:right="2533" w:firstLine="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spacing w:line="266" w:lineRule="exact" w:before="0"/>
        <w:ind w:left="2185" w:right="253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3"/>
        <w:rPr>
          <w:rFonts w:ascii="宋体" w:hAnsi="宋体" w:cs="宋体" w:eastAsia="宋体" w:hint="default"/>
          <w:b/>
          <w:bCs/>
          <w:sz w:val="26"/>
          <w:szCs w:val="26"/>
        </w:rPr>
      </w:pPr>
    </w:p>
    <w:tbl>
      <w:tblPr>
        <w:tblW w:w="0" w:type="auto"/>
        <w:jc w:val="left"/>
        <w:tblInd w:w="112" w:type="dxa"/>
        <w:tblLayout w:type="fixed"/>
        <w:tblCellMar>
          <w:top w:w="0" w:type="dxa"/>
          <w:left w:w="0" w:type="dxa"/>
          <w:bottom w:w="0" w:type="dxa"/>
          <w:right w:w="0" w:type="dxa"/>
        </w:tblCellMar>
        <w:tblLook w:val="01E0"/>
      </w:tblPr>
      <w:tblGrid>
        <w:gridCol w:w="4186"/>
        <w:gridCol w:w="980"/>
        <w:gridCol w:w="1679"/>
        <w:gridCol w:w="1680"/>
      </w:tblGrid>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宋体" w:hAnsi="宋体" w:cs="宋体" w:eastAsia="宋体" w:hint="default"/>
                <w:sz w:val="18"/>
                <w:szCs w:val="18"/>
              </w:rPr>
            </w:pPr>
            <w:r>
              <w:rPr>
                <w:rFonts w:ascii="宋体" w:hAnsi="宋体" w:cs="宋体" w:eastAsia="宋体" w:hint="default"/>
                <w:sz w:val="18"/>
                <w:szCs w:val="18"/>
              </w:rPr>
              <w:t>附注十三</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47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475"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
              <w:jc w:val="center"/>
              <w:rPr>
                <w:rFonts w:ascii="宋体" w:hAnsi="宋体" w:cs="宋体" w:eastAsia="宋体" w:hint="default"/>
                <w:sz w:val="18"/>
                <w:szCs w:val="18"/>
              </w:rPr>
            </w:pPr>
            <w:r>
              <w:rPr>
                <w:rFonts w:ascii="宋体" w:hAnsi="宋体" w:cs="宋体" w:eastAsia="宋体" w:hint="default"/>
                <w:sz w:val="18"/>
                <w:szCs w:val="18"/>
              </w:rPr>
              <w:t>（六）</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pacing w:val="-1"/>
                <w:sz w:val="18"/>
              </w:rPr>
              <w:t>3,027,330,275</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pacing w:val="-1"/>
                <w:sz w:val="18"/>
              </w:rPr>
              <w:t>2,660,986,880</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463"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宋体" w:hAnsi="宋体" w:cs="宋体" w:eastAsia="宋体" w:hint="default"/>
                <w:sz w:val="18"/>
                <w:szCs w:val="18"/>
              </w:rPr>
            </w:pPr>
            <w:r>
              <w:rPr>
                <w:rFonts w:ascii="宋体" w:hAnsi="宋体" w:cs="宋体" w:eastAsia="宋体" w:hint="default"/>
                <w:sz w:val="18"/>
                <w:szCs w:val="18"/>
              </w:rPr>
              <w:t>（六）</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0"/>
              <w:jc w:val="right"/>
              <w:rPr>
                <w:rFonts w:ascii="Times New Roman" w:hAnsi="Times New Roman" w:cs="Times New Roman" w:eastAsia="Times New Roman" w:hint="default"/>
                <w:sz w:val="18"/>
                <w:szCs w:val="18"/>
              </w:rPr>
            </w:pPr>
            <w:r>
              <w:rPr>
                <w:rFonts w:ascii="Times New Roman"/>
                <w:spacing w:val="-1"/>
                <w:sz w:val="18"/>
              </w:rPr>
              <w:t>2,193,319,213</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pacing w:val="-1"/>
                <w:sz w:val="18"/>
              </w:rPr>
              <w:t>1,962,554,694</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82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pacing w:val="-1"/>
                <w:sz w:val="18"/>
              </w:rPr>
              <w:t>55,114,928</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45,005,550</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8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z w:val="18"/>
              </w:rPr>
              <w:t>153,527,526</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pacing w:val="-1"/>
                <w:sz w:val="18"/>
              </w:rPr>
              <w:t>123,679,115</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8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0"/>
              <w:jc w:val="right"/>
              <w:rPr>
                <w:rFonts w:ascii="Times New Roman" w:hAnsi="Times New Roman" w:cs="Times New Roman" w:eastAsia="Times New Roman" w:hint="default"/>
                <w:sz w:val="18"/>
                <w:szCs w:val="18"/>
              </w:rPr>
            </w:pPr>
            <w:r>
              <w:rPr>
                <w:rFonts w:ascii="Times New Roman"/>
                <w:sz w:val="18"/>
              </w:rPr>
              <w:t>354,954,095</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pacing w:val="-1"/>
                <w:sz w:val="18"/>
              </w:rPr>
              <w:t>311,935,243</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8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z w:val="18"/>
              </w:rPr>
              <w:t>5,338,347</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w w:val="95"/>
                <w:sz w:val="18"/>
              </w:rPr>
              <w:t>-9,855,196</w:t>
            </w:r>
            <w:r>
              <w:rPr>
                <w:rFonts w:ascii="Times New Roman"/>
                <w:sz w:val="18"/>
              </w:rPr>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8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z w:val="18"/>
              </w:rPr>
              <w:t>12,104,692</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w w:val="95"/>
                <w:sz w:val="18"/>
              </w:rPr>
              <w:t>-5,822,840</w:t>
            </w:r>
            <w:r>
              <w:rPr>
                <w:rFonts w:ascii="Times New Roman"/>
                <w:sz w:val="18"/>
              </w:rPr>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31"/>
              <w:jc w:val="right"/>
              <w:rPr>
                <w:rFonts w:ascii="宋体" w:hAnsi="宋体" w:cs="宋体" w:eastAsia="宋体" w:hint="default"/>
                <w:sz w:val="18"/>
                <w:szCs w:val="18"/>
              </w:rPr>
            </w:pPr>
            <w:r>
              <w:rPr>
                <w:rFonts w:ascii="宋体" w:hAnsi="宋体" w:cs="宋体" w:eastAsia="宋体" w:hint="default"/>
                <w:spacing w:val="-1"/>
                <w:sz w:val="18"/>
                <w:szCs w:val="18"/>
              </w:rPr>
              <w:t>加：公允价值变动收益（损失以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0"/>
              <w:jc w:val="right"/>
              <w:rPr>
                <w:rFonts w:ascii="Times New Roman" w:hAnsi="Times New Roman" w:cs="Times New Roman" w:eastAsia="Times New Roman" w:hint="default"/>
                <w:sz w:val="18"/>
                <w:szCs w:val="18"/>
              </w:rPr>
            </w:pPr>
            <w:r>
              <w:rPr>
                <w:rFonts w:ascii="Times New Roman"/>
                <w:sz w:val="18"/>
              </w:rPr>
              <w:t>950,557</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w w:val="95"/>
                <w:sz w:val="18"/>
              </w:rPr>
              <w:t>-694,314</w:t>
            </w:r>
            <w:r>
              <w:rPr>
                <w:rFonts w:ascii="Times New Roman"/>
                <w:sz w:val="18"/>
              </w:rPr>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82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
              <w:jc w:val="center"/>
              <w:rPr>
                <w:rFonts w:ascii="宋体" w:hAnsi="宋体" w:cs="宋体" w:eastAsia="宋体" w:hint="default"/>
                <w:sz w:val="18"/>
                <w:szCs w:val="18"/>
              </w:rPr>
            </w:pPr>
            <w:r>
              <w:rPr>
                <w:rFonts w:ascii="宋体" w:hAnsi="宋体" w:cs="宋体" w:eastAsia="宋体" w:hint="default"/>
                <w:sz w:val="18"/>
                <w:szCs w:val="18"/>
              </w:rPr>
              <w:t>（七）</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z w:val="18"/>
              </w:rPr>
              <w:t>14,018,085</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w w:val="95"/>
                <w:sz w:val="18"/>
              </w:rPr>
              <w:t>-9,218,107</w:t>
            </w:r>
            <w:r>
              <w:rPr>
                <w:rFonts w:ascii="Times New Roman"/>
                <w:sz w:val="18"/>
              </w:rPr>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10"/>
              <w:jc w:val="righ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z w:val="18"/>
              </w:rPr>
              <w:t>6,038,618</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7,719,289</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0"/>
              <w:jc w:val="right"/>
              <w:rPr>
                <w:rFonts w:ascii="Times New Roman" w:hAnsi="Times New Roman" w:cs="Times New Roman" w:eastAsia="Times New Roman" w:hint="default"/>
                <w:sz w:val="18"/>
                <w:szCs w:val="18"/>
              </w:rPr>
            </w:pPr>
            <w:r>
              <w:rPr>
                <w:rFonts w:ascii="Times New Roman"/>
                <w:spacing w:val="-1"/>
                <w:sz w:val="18"/>
              </w:rPr>
              <w:t>267,940,116</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z w:val="18"/>
              </w:rPr>
              <w:t>223,577,893</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pacing w:val="-1"/>
                <w:sz w:val="18"/>
              </w:rPr>
              <w:t>115,768,235</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99,196,479</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z w:val="18"/>
              </w:rPr>
              <w:t>3,391,560</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1,609,671</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82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0"/>
              <w:jc w:val="right"/>
              <w:rPr>
                <w:rFonts w:ascii="Times New Roman" w:hAnsi="Times New Roman" w:cs="Times New Roman" w:eastAsia="Times New Roman" w:hint="default"/>
                <w:sz w:val="18"/>
                <w:szCs w:val="18"/>
              </w:rPr>
            </w:pPr>
            <w:r>
              <w:rPr>
                <w:rFonts w:ascii="Times New Roman"/>
                <w:sz w:val="18"/>
              </w:rPr>
              <w:t>1,594,749</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z w:val="18"/>
              </w:rPr>
              <w:t>418,598</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3" w:right="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z w:val="18"/>
              </w:rPr>
              <w:t>380,316,791</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321,164,701</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z w:val="18"/>
              </w:rPr>
              <w:t>32,384,441</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Times New Roman" w:hAnsi="Times New Roman" w:cs="Times New Roman" w:eastAsia="Times New Roman" w:hint="default"/>
                <w:sz w:val="18"/>
                <w:szCs w:val="18"/>
              </w:rPr>
            </w:pPr>
            <w:r>
              <w:rPr>
                <w:rFonts w:ascii="Times New Roman"/>
                <w:sz w:val="18"/>
              </w:rPr>
              <w:t>28,508,127</w:t>
            </w: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0"/>
              <w:jc w:val="right"/>
              <w:rPr>
                <w:rFonts w:ascii="Times New Roman" w:hAnsi="Times New Roman" w:cs="Times New Roman" w:eastAsia="Times New Roman" w:hint="default"/>
                <w:sz w:val="18"/>
                <w:szCs w:val="18"/>
              </w:rPr>
            </w:pPr>
            <w:r>
              <w:rPr>
                <w:rFonts w:ascii="Times New Roman"/>
                <w:sz w:val="18"/>
              </w:rPr>
              <w:t>347,932,350</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1"/>
              <w:jc w:val="right"/>
              <w:rPr>
                <w:rFonts w:ascii="Times New Roman" w:hAnsi="Times New Roman" w:cs="Times New Roman" w:eastAsia="Times New Roman" w:hint="default"/>
                <w:sz w:val="18"/>
                <w:szCs w:val="18"/>
              </w:rPr>
            </w:pPr>
            <w:r>
              <w:rPr>
                <w:rFonts w:ascii="Times New Roman"/>
                <w:sz w:val="18"/>
              </w:rPr>
              <w:t>292,656,574</w:t>
            </w: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3" w:right="0"/>
              <w:jc w:val="left"/>
              <w:rPr>
                <w:rFonts w:ascii="宋体" w:hAnsi="宋体" w:cs="宋体" w:eastAsia="宋体" w:hint="default"/>
                <w:sz w:val="18"/>
                <w:szCs w:val="18"/>
              </w:rPr>
            </w:pPr>
            <w:r>
              <w:rPr>
                <w:rFonts w:ascii="宋体" w:hAnsi="宋体" w:cs="宋体" w:eastAsia="宋体" w:hint="default"/>
                <w:sz w:val="18"/>
                <w:szCs w:val="18"/>
              </w:rPr>
              <w:t>五、每股收益：</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r>
      <w:tr>
        <w:trPr>
          <w:trHeight w:val="463"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03" w:right="0"/>
              <w:jc w:val="left"/>
              <w:rPr>
                <w:rFonts w:ascii="宋体" w:hAnsi="宋体" w:cs="宋体" w:eastAsia="宋体" w:hint="default"/>
                <w:sz w:val="18"/>
                <w:szCs w:val="18"/>
              </w:rPr>
            </w:pPr>
            <w:r>
              <w:rPr>
                <w:rFonts w:ascii="宋体" w:hAnsi="宋体" w:cs="宋体" w:eastAsia="宋体" w:hint="default"/>
                <w:sz w:val="18"/>
                <w:szCs w:val="18"/>
              </w:rPr>
              <w:t>六、其他综合收益</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
        </w:tc>
        <w:tc>
          <w:tcPr>
            <w:tcW w:w="1680" w:type="dxa"/>
            <w:tcBorders>
              <w:top w:val="single" w:sz="4" w:space="0" w:color="000000"/>
              <w:left w:val="single" w:sz="4" w:space="0" w:color="000000"/>
              <w:bottom w:val="single" w:sz="4" w:space="0" w:color="000000"/>
              <w:right w:val="single" w:sz="4" w:space="0" w:color="000000"/>
            </w:tcBorders>
          </w:tcPr>
          <w:p>
            <w:pPr/>
          </w:p>
        </w:tc>
      </w:tr>
      <w:tr>
        <w:trPr>
          <w:trHeight w:val="464"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980" w:type="dxa"/>
            <w:tcBorders>
              <w:top w:val="single" w:sz="4" w:space="0" w:color="000000"/>
              <w:left w:val="single" w:sz="4" w:space="0" w:color="000000"/>
              <w:bottom w:val="single" w:sz="4" w:space="0" w:color="000000"/>
              <w:right w:val="single" w:sz="4" w:space="0" w:color="000000"/>
            </w:tcBorders>
          </w:tcPr>
          <w:p>
            <w:pPr/>
          </w:p>
        </w:tc>
        <w:tc>
          <w:tcPr>
            <w:tcW w:w="16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z w:val="18"/>
              </w:rPr>
              <w:t>347,932,350</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0"/>
              <w:jc w:val="right"/>
              <w:rPr>
                <w:rFonts w:ascii="Times New Roman" w:hAnsi="Times New Roman" w:cs="Times New Roman" w:eastAsia="Times New Roman" w:hint="default"/>
                <w:sz w:val="18"/>
                <w:szCs w:val="18"/>
              </w:rPr>
            </w:pPr>
            <w:r>
              <w:rPr>
                <w:rFonts w:ascii="Times New Roman"/>
                <w:sz w:val="18"/>
              </w:rPr>
              <w:t>292,656,574</w:t>
            </w:r>
          </w:p>
        </w:tc>
      </w:tr>
    </w:tbl>
    <w:p>
      <w:pPr>
        <w:spacing w:line="240" w:lineRule="auto" w:before="3"/>
        <w:rPr>
          <w:rFonts w:ascii="宋体" w:hAnsi="宋体" w:cs="宋体" w:eastAsia="宋体" w:hint="default"/>
          <w:b/>
          <w:bCs/>
          <w:sz w:val="21"/>
          <w:szCs w:val="21"/>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3267" w:val="left" w:leader="none"/>
          <w:tab w:pos="6417" w:val="left" w:leader="none"/>
        </w:tabs>
        <w:spacing w:before="126"/>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主管会计工作负责人：王莉</w:t>
        <w:tab/>
        <w:t>会计机构负责人：陈雷</w:t>
      </w:r>
    </w:p>
    <w:p>
      <w:pPr>
        <w:spacing w:after="0"/>
        <w:jc w:val="left"/>
        <w:rPr>
          <w:rFonts w:ascii="宋体" w:hAnsi="宋体" w:cs="宋体" w:eastAsia="宋体" w:hint="default"/>
          <w:sz w:val="18"/>
          <w:szCs w:val="18"/>
        </w:rPr>
        <w:sectPr>
          <w:pgSz w:w="11910" w:h="16840"/>
          <w:pgMar w:header="1089" w:footer="1003" w:top="1280" w:bottom="1200" w:left="1680" w:right="1460"/>
        </w:sectPr>
      </w:pPr>
    </w:p>
    <w:p>
      <w:pPr>
        <w:pStyle w:val="Heading6"/>
        <w:spacing w:line="271" w:lineRule="exact" w:before="0"/>
        <w:ind w:left="2183" w:right="2533"/>
        <w:jc w:val="center"/>
        <w:rPr>
          <w:b w:val="0"/>
          <w:bCs w:val="0"/>
        </w:rPr>
      </w:pPr>
      <w:r>
        <w:rPr/>
        <w:t>合并利润表</w:t>
      </w:r>
      <w:r>
        <w:rPr>
          <w:b w:val="0"/>
          <w:bCs w:val="0"/>
        </w:rPr>
      </w:r>
    </w:p>
    <w:p>
      <w:pPr>
        <w:spacing w:line="280" w:lineRule="exact" w:before="0"/>
        <w:ind w:left="2184" w:right="2533" w:firstLine="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spacing w:line="266" w:lineRule="exact" w:before="0"/>
        <w:ind w:left="2185" w:right="253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8"/>
        <w:rPr>
          <w:rFonts w:ascii="宋体" w:hAnsi="宋体" w:cs="宋体" w:eastAsia="宋体" w:hint="default"/>
          <w:b/>
          <w:bCs/>
          <w:sz w:val="21"/>
          <w:szCs w:val="21"/>
        </w:rPr>
      </w:pPr>
    </w:p>
    <w:tbl>
      <w:tblPr>
        <w:tblW w:w="0" w:type="auto"/>
        <w:jc w:val="left"/>
        <w:tblInd w:w="112" w:type="dxa"/>
        <w:tblLayout w:type="fixed"/>
        <w:tblCellMar>
          <w:top w:w="0" w:type="dxa"/>
          <w:left w:w="0" w:type="dxa"/>
          <w:bottom w:w="0" w:type="dxa"/>
          <w:right w:w="0" w:type="dxa"/>
        </w:tblCellMar>
        <w:tblLook w:val="01E0"/>
      </w:tblPr>
      <w:tblGrid>
        <w:gridCol w:w="4186"/>
        <w:gridCol w:w="966"/>
        <w:gridCol w:w="1686"/>
        <w:gridCol w:w="1687"/>
      </w:tblGrid>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right="1"/>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77"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78"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6"/>
                <w:szCs w:val="16"/>
              </w:rPr>
            </w:pPr>
            <w:r>
              <w:rPr>
                <w:rFonts w:ascii="Times New Roman"/>
                <w:spacing w:val="-1"/>
                <w:sz w:val="16"/>
              </w:rPr>
              <w:t>5,751,249,330</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6"/>
                <w:szCs w:val="16"/>
              </w:rPr>
            </w:pPr>
            <w:r>
              <w:rPr>
                <w:rFonts w:ascii="Times New Roman"/>
                <w:spacing w:val="-1"/>
                <w:sz w:val="16"/>
              </w:rPr>
              <w:t>4,937,696,440</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（三十九）</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6"/>
                <w:szCs w:val="16"/>
              </w:rPr>
            </w:pPr>
            <w:r>
              <w:rPr>
                <w:rFonts w:ascii="Times New Roman"/>
                <w:spacing w:val="-1"/>
                <w:sz w:val="16"/>
              </w:rPr>
              <w:t>5,751,249,330</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4,937,696,440</w:t>
            </w: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03"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6"/>
                <w:szCs w:val="16"/>
              </w:rPr>
            </w:pPr>
            <w:r>
              <w:rPr>
                <w:rFonts w:ascii="Times New Roman"/>
                <w:spacing w:val="-1"/>
                <w:sz w:val="16"/>
              </w:rPr>
              <w:t>5,484,036,286</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4,575,632,186</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463"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9" w:right="0"/>
              <w:jc w:val="center"/>
              <w:rPr>
                <w:rFonts w:ascii="宋体" w:hAnsi="宋体" w:cs="宋体" w:eastAsia="宋体" w:hint="default"/>
                <w:sz w:val="16"/>
                <w:szCs w:val="16"/>
              </w:rPr>
            </w:pPr>
            <w:r>
              <w:rPr>
                <w:rFonts w:ascii="宋体" w:hAnsi="宋体" w:cs="宋体" w:eastAsia="宋体" w:hint="default"/>
                <w:sz w:val="16"/>
                <w:szCs w:val="16"/>
              </w:rPr>
              <w:t>（三十九）</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6"/>
                <w:szCs w:val="16"/>
              </w:rPr>
            </w:pPr>
            <w:r>
              <w:rPr>
                <w:rFonts w:ascii="Times New Roman"/>
                <w:spacing w:val="-1"/>
                <w:sz w:val="16"/>
              </w:rPr>
              <w:t>4,004,998,405</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6"/>
                <w:szCs w:val="16"/>
              </w:rPr>
            </w:pPr>
            <w:r>
              <w:rPr>
                <w:rFonts w:ascii="Times New Roman"/>
                <w:spacing w:val="-1"/>
                <w:sz w:val="16"/>
              </w:rPr>
              <w:t>3,383,628,845</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03"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03"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9" w:right="0"/>
              <w:jc w:val="center"/>
              <w:rPr>
                <w:rFonts w:ascii="宋体" w:hAnsi="宋体" w:cs="宋体" w:eastAsia="宋体" w:hint="default"/>
                <w:sz w:val="16"/>
                <w:szCs w:val="16"/>
              </w:rPr>
            </w:pPr>
            <w:r>
              <w:rPr>
                <w:rFonts w:ascii="宋体" w:hAnsi="宋体" w:cs="宋体" w:eastAsia="宋体" w:hint="default"/>
                <w:sz w:val="16"/>
                <w:szCs w:val="16"/>
              </w:rPr>
              <w:t>（四十）</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6"/>
                <w:szCs w:val="16"/>
              </w:rPr>
            </w:pPr>
            <w:r>
              <w:rPr>
                <w:rFonts w:ascii="Times New Roman"/>
                <w:spacing w:val="-1"/>
                <w:sz w:val="16"/>
              </w:rPr>
              <w:t>96,105,687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81,195,180</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9" w:right="0"/>
              <w:jc w:val="center"/>
              <w:rPr>
                <w:rFonts w:ascii="宋体" w:hAnsi="宋体" w:cs="宋体" w:eastAsia="宋体" w:hint="default"/>
                <w:sz w:val="16"/>
                <w:szCs w:val="16"/>
              </w:rPr>
            </w:pPr>
            <w:r>
              <w:rPr>
                <w:rFonts w:ascii="宋体" w:hAnsi="宋体" w:cs="宋体" w:eastAsia="宋体" w:hint="default"/>
                <w:sz w:val="16"/>
                <w:szCs w:val="16"/>
              </w:rPr>
              <w:t>（四十一）</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6"/>
                <w:szCs w:val="16"/>
              </w:rPr>
            </w:pPr>
            <w:r>
              <w:rPr>
                <w:rFonts w:ascii="Times New Roman"/>
                <w:spacing w:val="-1"/>
                <w:sz w:val="16"/>
              </w:rPr>
              <w:t>497,920,161</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6"/>
                <w:szCs w:val="16"/>
              </w:rPr>
            </w:pPr>
            <w:r>
              <w:rPr>
                <w:rFonts w:ascii="Times New Roman"/>
                <w:spacing w:val="-1"/>
                <w:sz w:val="16"/>
              </w:rPr>
              <w:t>391,904,135</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（四十二）</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6"/>
                <w:szCs w:val="16"/>
              </w:rPr>
            </w:pPr>
            <w:r>
              <w:rPr>
                <w:rFonts w:ascii="Times New Roman"/>
                <w:spacing w:val="-1"/>
                <w:sz w:val="16"/>
              </w:rPr>
              <w:t>819,957,825</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713,916,675</w:t>
            </w: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（四十三）</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6"/>
                <w:szCs w:val="16"/>
              </w:rPr>
            </w:pPr>
            <w:r>
              <w:rPr>
                <w:rFonts w:ascii="Times New Roman"/>
                <w:spacing w:val="-1"/>
                <w:sz w:val="16"/>
              </w:rPr>
              <w:t>23,649,196</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-356,749</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9" w:right="0"/>
              <w:jc w:val="center"/>
              <w:rPr>
                <w:rFonts w:ascii="宋体" w:hAnsi="宋体" w:cs="宋体" w:eastAsia="宋体" w:hint="default"/>
                <w:sz w:val="16"/>
                <w:szCs w:val="16"/>
              </w:rPr>
            </w:pPr>
            <w:r>
              <w:rPr>
                <w:rFonts w:ascii="宋体" w:hAnsi="宋体" w:cs="宋体" w:eastAsia="宋体" w:hint="default"/>
                <w:sz w:val="16"/>
                <w:szCs w:val="16"/>
              </w:rPr>
              <w:t>（四十六）</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1"/>
                <w:sz w:val="16"/>
              </w:rPr>
              <w:t>41,405,012</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6"/>
                <w:szCs w:val="16"/>
              </w:rPr>
            </w:pPr>
            <w:r>
              <w:rPr>
                <w:rFonts w:ascii="Times New Roman"/>
                <w:spacing w:val="-1"/>
                <w:sz w:val="16"/>
              </w:rPr>
              <w:t>5,344,100</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463"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（四十四）</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6"/>
                <w:szCs w:val="16"/>
              </w:rPr>
            </w:pPr>
            <w:r>
              <w:rPr>
                <w:rFonts w:ascii="Times New Roman"/>
                <w:spacing w:val="-1"/>
                <w:sz w:val="16"/>
              </w:rPr>
              <w:t>950,557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-694,314</w:t>
            </w: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82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（四十五）</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6"/>
                <w:szCs w:val="16"/>
              </w:rPr>
            </w:pPr>
            <w:r>
              <w:rPr>
                <w:rFonts w:ascii="Times New Roman"/>
                <w:spacing w:val="-1"/>
                <w:sz w:val="16"/>
              </w:rPr>
              <w:t>42,136,578</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46,121,940</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82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1"/>
                <w:sz w:val="16"/>
              </w:rPr>
              <w:t>39,714,198</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6"/>
                <w:szCs w:val="16"/>
              </w:rPr>
            </w:pPr>
            <w:r>
              <w:rPr>
                <w:rFonts w:ascii="Times New Roman"/>
                <w:spacing w:val="-1"/>
                <w:sz w:val="16"/>
              </w:rPr>
              <w:t>46,038,503</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03"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6"/>
                <w:szCs w:val="16"/>
              </w:rPr>
            </w:pPr>
            <w:r>
              <w:rPr>
                <w:rFonts w:ascii="Times New Roman"/>
                <w:spacing w:val="-1"/>
                <w:sz w:val="16"/>
              </w:rPr>
              <w:t>310,300,179</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407,491,880</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9" w:right="0"/>
              <w:jc w:val="center"/>
              <w:rPr>
                <w:rFonts w:ascii="宋体" w:hAnsi="宋体" w:cs="宋体" w:eastAsia="宋体" w:hint="default"/>
                <w:sz w:val="16"/>
                <w:szCs w:val="16"/>
              </w:rPr>
            </w:pPr>
            <w:r>
              <w:rPr>
                <w:rFonts w:ascii="宋体" w:hAnsi="宋体" w:cs="宋体" w:eastAsia="宋体" w:hint="default"/>
                <w:sz w:val="16"/>
                <w:szCs w:val="16"/>
              </w:rPr>
              <w:t>（四十七）</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6"/>
                <w:szCs w:val="16"/>
              </w:rPr>
            </w:pPr>
            <w:r>
              <w:rPr>
                <w:rFonts w:ascii="Times New Roman"/>
                <w:spacing w:val="-1"/>
                <w:sz w:val="16"/>
              </w:rPr>
              <w:t>188,085,954</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6"/>
                <w:szCs w:val="16"/>
              </w:rPr>
            </w:pPr>
            <w:r>
              <w:rPr>
                <w:rFonts w:ascii="Times New Roman"/>
                <w:spacing w:val="-1"/>
                <w:sz w:val="16"/>
              </w:rPr>
              <w:t>160,821,056</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（四十八）</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6"/>
                <w:szCs w:val="16"/>
              </w:rPr>
            </w:pPr>
            <w:r>
              <w:rPr>
                <w:rFonts w:ascii="Times New Roman"/>
                <w:spacing w:val="-1"/>
                <w:sz w:val="16"/>
              </w:rPr>
              <w:t>5,499,473</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8,207,608</w:t>
            </w: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82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6"/>
                <w:szCs w:val="16"/>
              </w:rPr>
            </w:pPr>
            <w:r>
              <w:rPr>
                <w:rFonts w:ascii="Times New Roman"/>
                <w:spacing w:val="-1"/>
                <w:sz w:val="16"/>
              </w:rPr>
              <w:t>2,748,601</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2,540,307</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6"/>
                <w:szCs w:val="16"/>
              </w:rPr>
            </w:pPr>
            <w:r>
              <w:rPr>
                <w:rFonts w:ascii="Times New Roman"/>
                <w:spacing w:val="-1"/>
                <w:sz w:val="16"/>
              </w:rPr>
              <w:t>492,886,660</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6"/>
                <w:szCs w:val="16"/>
              </w:rPr>
            </w:pPr>
            <w:r>
              <w:rPr>
                <w:rFonts w:ascii="Times New Roman"/>
                <w:spacing w:val="-1"/>
                <w:sz w:val="16"/>
              </w:rPr>
              <w:t>560,105,328</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9" w:right="0"/>
              <w:jc w:val="center"/>
              <w:rPr>
                <w:rFonts w:ascii="宋体" w:hAnsi="宋体" w:cs="宋体" w:eastAsia="宋体" w:hint="default"/>
                <w:sz w:val="16"/>
                <w:szCs w:val="16"/>
              </w:rPr>
            </w:pPr>
            <w:r>
              <w:rPr>
                <w:rFonts w:ascii="宋体" w:hAnsi="宋体" w:cs="宋体" w:eastAsia="宋体" w:hint="default"/>
                <w:sz w:val="16"/>
                <w:szCs w:val="16"/>
              </w:rPr>
              <w:t>（四十九）</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6"/>
                <w:szCs w:val="16"/>
              </w:rPr>
            </w:pPr>
            <w:r>
              <w:rPr>
                <w:rFonts w:ascii="Times New Roman"/>
                <w:spacing w:val="-1"/>
                <w:sz w:val="16"/>
              </w:rPr>
              <w:t>69,341,108</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52,802,832</w:t>
            </w: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6"/>
                <w:szCs w:val="16"/>
              </w:rPr>
            </w:pPr>
            <w:r>
              <w:rPr>
                <w:rFonts w:ascii="Times New Roman"/>
                <w:spacing w:val="-1"/>
                <w:sz w:val="16"/>
              </w:rPr>
              <w:t>423,545,552</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507,302,496</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463" w:right="0"/>
              <w:jc w:val="left"/>
              <w:rPr>
                <w:rFonts w:ascii="宋体" w:hAnsi="宋体" w:cs="宋体" w:eastAsia="宋体" w:hint="default"/>
                <w:sz w:val="18"/>
                <w:szCs w:val="18"/>
              </w:rPr>
            </w:pPr>
            <w:r>
              <w:rPr>
                <w:rFonts w:ascii="宋体" w:hAnsi="宋体" w:cs="宋体" w:eastAsia="宋体" w:hint="default"/>
                <w:sz w:val="18"/>
                <w:szCs w:val="18"/>
              </w:rPr>
              <w:t>其中：被合并方在合并前实现的净利润</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6"/>
                <w:szCs w:val="16"/>
              </w:rPr>
            </w:pPr>
            <w:r>
              <w:rPr>
                <w:rFonts w:ascii="Times New Roman"/>
                <w:spacing w:val="-1"/>
                <w:sz w:val="16"/>
              </w:rPr>
              <w:t>417,068,980</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484,675,178</w:t>
            </w: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6"/>
                <w:szCs w:val="16"/>
              </w:rPr>
            </w:pPr>
            <w:r>
              <w:rPr>
                <w:rFonts w:ascii="Times New Roman"/>
                <w:spacing w:val="-1"/>
                <w:sz w:val="16"/>
              </w:rPr>
              <w:t>6,476,572</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22,627,318</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
        </w:tc>
        <w:tc>
          <w:tcPr>
            <w:tcW w:w="1687" w:type="dxa"/>
            <w:tcBorders>
              <w:top w:val="single" w:sz="4" w:space="0" w:color="000000"/>
              <w:left w:val="single" w:sz="4" w:space="0" w:color="000000"/>
              <w:bottom w:val="single" w:sz="4" w:space="0" w:color="000000"/>
              <w:right w:val="single" w:sz="4" w:space="0" w:color="000000"/>
            </w:tcBorders>
          </w:tcPr>
          <w:p>
            <w:pP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9" w:right="0"/>
              <w:jc w:val="center"/>
              <w:rPr>
                <w:rFonts w:ascii="宋体" w:hAnsi="宋体" w:cs="宋体" w:eastAsia="宋体" w:hint="default"/>
                <w:sz w:val="16"/>
                <w:szCs w:val="16"/>
              </w:rPr>
            </w:pPr>
            <w:r>
              <w:rPr>
                <w:rFonts w:ascii="宋体" w:hAnsi="宋体" w:cs="宋体" w:eastAsia="宋体" w:hint="default"/>
                <w:sz w:val="16"/>
                <w:szCs w:val="16"/>
              </w:rPr>
              <w:t>（五十）</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0.34</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0.39</w:t>
            </w: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9" w:right="0"/>
              <w:jc w:val="center"/>
              <w:rPr>
                <w:rFonts w:ascii="宋体" w:hAnsi="宋体" w:cs="宋体" w:eastAsia="宋体" w:hint="default"/>
                <w:sz w:val="16"/>
                <w:szCs w:val="16"/>
              </w:rPr>
            </w:pPr>
            <w:r>
              <w:rPr>
                <w:rFonts w:ascii="宋体" w:hAnsi="宋体" w:cs="宋体" w:eastAsia="宋体" w:hint="default"/>
                <w:sz w:val="16"/>
                <w:szCs w:val="16"/>
              </w:rPr>
              <w:t>（五十）</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0.34</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0.39</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9" w:right="0"/>
              <w:jc w:val="center"/>
              <w:rPr>
                <w:rFonts w:ascii="宋体" w:hAnsi="宋体" w:cs="宋体" w:eastAsia="宋体" w:hint="default"/>
                <w:sz w:val="16"/>
                <w:szCs w:val="16"/>
              </w:rPr>
            </w:pPr>
            <w:r>
              <w:rPr>
                <w:rFonts w:ascii="宋体" w:hAnsi="宋体" w:cs="宋体" w:eastAsia="宋体" w:hint="default"/>
                <w:sz w:val="16"/>
                <w:szCs w:val="16"/>
              </w:rPr>
              <w:t>（五十一）</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1"/>
                <w:sz w:val="16"/>
              </w:rPr>
              <w:t>-22,413,285</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6"/>
                <w:szCs w:val="16"/>
              </w:rPr>
            </w:pPr>
            <w:r>
              <w:rPr>
                <w:rFonts w:ascii="Times New Roman"/>
                <w:spacing w:val="-1"/>
                <w:sz w:val="16"/>
              </w:rPr>
              <w:t>-7,899,412</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6"/>
                <w:szCs w:val="16"/>
              </w:rPr>
            </w:pPr>
            <w:r>
              <w:rPr>
                <w:rFonts w:ascii="Times New Roman"/>
                <w:spacing w:val="-1"/>
                <w:sz w:val="16"/>
              </w:rPr>
              <w:t>401,132,267</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499,403,084</w:t>
            </w:r>
          </w:p>
        </w:tc>
      </w:tr>
      <w:tr>
        <w:trPr>
          <w:trHeight w:val="259"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6"/>
                <w:szCs w:val="16"/>
              </w:rPr>
            </w:pPr>
            <w:r>
              <w:rPr>
                <w:rFonts w:ascii="Times New Roman"/>
                <w:spacing w:val="-1"/>
                <w:sz w:val="16"/>
              </w:rPr>
              <w:t>394,468,919</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6"/>
                <w:szCs w:val="16"/>
              </w:rPr>
            </w:pPr>
            <w:r>
              <w:rPr>
                <w:rFonts w:ascii="Times New Roman"/>
                <w:spacing w:val="-1"/>
                <w:sz w:val="16"/>
              </w:rPr>
              <w:t>476,775,766</w:t>
            </w:r>
          </w:p>
        </w:tc>
      </w:tr>
      <w:tr>
        <w:trPr>
          <w:trHeight w:val="260" w:hRule="exact"/>
        </w:trPr>
        <w:tc>
          <w:tcPr>
            <w:tcW w:w="418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966" w:type="dxa"/>
            <w:tcBorders>
              <w:top w:val="single" w:sz="4" w:space="0" w:color="000000"/>
              <w:left w:val="single" w:sz="4" w:space="0" w:color="000000"/>
              <w:bottom w:val="single" w:sz="4" w:space="0" w:color="000000"/>
              <w:right w:val="single" w:sz="4" w:space="0" w:color="000000"/>
            </w:tcBorders>
          </w:tcPr>
          <w:p>
            <w:pP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6"/>
                <w:szCs w:val="16"/>
              </w:rPr>
            </w:pPr>
            <w:r>
              <w:rPr>
                <w:rFonts w:ascii="Times New Roman"/>
                <w:spacing w:val="-1"/>
                <w:sz w:val="16"/>
              </w:rPr>
              <w:t>6,663,348</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6"/>
                <w:szCs w:val="16"/>
              </w:rPr>
            </w:pPr>
            <w:r>
              <w:rPr>
                <w:rFonts w:ascii="Times New Roman"/>
                <w:spacing w:val="-1"/>
                <w:sz w:val="16"/>
              </w:rPr>
              <w:t>22,627,318</w:t>
            </w:r>
          </w:p>
        </w:tc>
      </w:tr>
    </w:tbl>
    <w:p>
      <w:pPr>
        <w:spacing w:line="240" w:lineRule="auto" w:before="0"/>
        <w:rPr>
          <w:rFonts w:ascii="宋体" w:hAnsi="宋体" w:cs="宋体" w:eastAsia="宋体" w:hint="default"/>
          <w:b/>
          <w:bCs/>
          <w:sz w:val="15"/>
          <w:szCs w:val="15"/>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2"/>
        <w:rPr>
          <w:rFonts w:ascii="宋体" w:hAnsi="宋体" w:cs="宋体" w:eastAsia="宋体" w:hint="default"/>
          <w:sz w:val="22"/>
          <w:szCs w:val="22"/>
        </w:rPr>
      </w:pPr>
    </w:p>
    <w:p>
      <w:pPr>
        <w:tabs>
          <w:tab w:pos="3267" w:val="left" w:leader="none"/>
          <w:tab w:pos="6417" w:val="left" w:leader="none"/>
        </w:tabs>
        <w:spacing w:before="0"/>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主管会计工作负责人：王莉</w:t>
        <w:tab/>
        <w:t>会计机构负责人：陈雷</w:t>
      </w:r>
    </w:p>
    <w:p>
      <w:pPr>
        <w:spacing w:after="0"/>
        <w:jc w:val="left"/>
        <w:rPr>
          <w:rFonts w:ascii="宋体" w:hAnsi="宋体" w:cs="宋体" w:eastAsia="宋体" w:hint="default"/>
          <w:sz w:val="18"/>
          <w:szCs w:val="18"/>
        </w:rPr>
        <w:sectPr>
          <w:pgSz w:w="11910" w:h="16840"/>
          <w:pgMar w:header="1089" w:footer="1003" w:top="1280" w:bottom="1200" w:left="1680" w:right="1460"/>
        </w:sectPr>
      </w:pPr>
    </w:p>
    <w:p>
      <w:pPr>
        <w:pStyle w:val="Heading6"/>
        <w:spacing w:line="271" w:lineRule="exact" w:before="0"/>
        <w:ind w:left="2183" w:right="2513"/>
        <w:jc w:val="center"/>
        <w:rPr>
          <w:b w:val="0"/>
          <w:bCs w:val="0"/>
        </w:rPr>
      </w:pPr>
      <w:r>
        <w:rPr/>
        <w:t>现金流量表</w:t>
      </w:r>
      <w:r>
        <w:rPr>
          <w:b w:val="0"/>
          <w:bCs w:val="0"/>
        </w:rPr>
      </w:r>
    </w:p>
    <w:p>
      <w:pPr>
        <w:spacing w:line="280" w:lineRule="exact" w:before="0"/>
        <w:ind w:left="2184" w:right="2513" w:firstLine="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spacing w:line="266" w:lineRule="exact" w:before="0"/>
        <w:ind w:left="2185" w:right="251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tbl>
      <w:tblPr>
        <w:tblW w:w="0" w:type="auto"/>
        <w:jc w:val="left"/>
        <w:tblInd w:w="112" w:type="dxa"/>
        <w:tblLayout w:type="fixed"/>
        <w:tblCellMar>
          <w:top w:w="0" w:type="dxa"/>
          <w:left w:w="0" w:type="dxa"/>
          <w:bottom w:w="0" w:type="dxa"/>
          <w:right w:w="0" w:type="dxa"/>
        </w:tblCellMar>
        <w:tblLook w:val="01E0"/>
      </w:tblPr>
      <w:tblGrid>
        <w:gridCol w:w="4541"/>
        <w:gridCol w:w="1969"/>
        <w:gridCol w:w="1996"/>
      </w:tblGrid>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19"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32"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1969" w:type="dxa"/>
            <w:tcBorders>
              <w:top w:val="single" w:sz="4" w:space="0" w:color="000000"/>
              <w:left w:val="single" w:sz="4" w:space="0" w:color="000000"/>
              <w:bottom w:val="single" w:sz="4" w:space="0" w:color="000000"/>
              <w:right w:val="single" w:sz="4" w:space="0" w:color="000000"/>
            </w:tcBorders>
          </w:tcPr>
          <w:p>
            <w:pP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Times New Roman" w:hAnsi="Times New Roman" w:cs="Times New Roman" w:eastAsia="Times New Roman" w:hint="default"/>
                <w:sz w:val="18"/>
                <w:szCs w:val="18"/>
              </w:rPr>
            </w:pPr>
            <w:r>
              <w:rPr>
                <w:rFonts w:ascii="Times New Roman"/>
                <w:spacing w:val="-1"/>
                <w:sz w:val="18"/>
              </w:rPr>
              <w:t>3,015,281,197</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3"/>
              <w:jc w:val="right"/>
              <w:rPr>
                <w:rFonts w:ascii="Times New Roman" w:hAnsi="Times New Roman" w:cs="Times New Roman" w:eastAsia="Times New Roman" w:hint="default"/>
                <w:sz w:val="18"/>
                <w:szCs w:val="18"/>
              </w:rPr>
            </w:pPr>
            <w:r>
              <w:rPr>
                <w:rFonts w:ascii="Times New Roman"/>
                <w:spacing w:val="-1"/>
                <w:sz w:val="18"/>
              </w:rPr>
              <w:t>2,857,963,512</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spacing w:val="-1"/>
                <w:sz w:val="18"/>
              </w:rPr>
              <w:t>58,520,232</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Times New Roman" w:hAnsi="Times New Roman" w:cs="Times New Roman" w:eastAsia="Times New Roman" w:hint="default"/>
                <w:sz w:val="18"/>
                <w:szCs w:val="18"/>
              </w:rPr>
            </w:pPr>
            <w:r>
              <w:rPr>
                <w:rFonts w:ascii="Times New Roman"/>
                <w:sz w:val="18"/>
              </w:rPr>
              <w:t>27,667,471</w:t>
            </w:r>
          </w:p>
        </w:tc>
      </w:tr>
      <w:tr>
        <w:trPr>
          <w:trHeight w:val="242"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spacing w:val="-1"/>
                <w:sz w:val="18"/>
              </w:rPr>
              <w:t>1,325,930,211</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Times New Roman" w:hAnsi="Times New Roman" w:cs="Times New Roman" w:eastAsia="Times New Roman" w:hint="default"/>
                <w:sz w:val="18"/>
                <w:szCs w:val="18"/>
              </w:rPr>
            </w:pPr>
            <w:r>
              <w:rPr>
                <w:rFonts w:ascii="Times New Roman"/>
                <w:spacing w:val="-1"/>
                <w:sz w:val="18"/>
              </w:rPr>
              <w:t>719,099,113</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8"/>
                <w:szCs w:val="18"/>
              </w:rPr>
            </w:pPr>
            <w:r>
              <w:rPr>
                <w:rFonts w:ascii="Times New Roman"/>
                <w:spacing w:val="-1"/>
                <w:sz w:val="18"/>
              </w:rPr>
              <w:t>4,399,731,640</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4"/>
              <w:jc w:val="right"/>
              <w:rPr>
                <w:rFonts w:ascii="Times New Roman" w:hAnsi="Times New Roman" w:cs="Times New Roman" w:eastAsia="Times New Roman" w:hint="default"/>
                <w:sz w:val="18"/>
                <w:szCs w:val="18"/>
              </w:rPr>
            </w:pPr>
            <w:r>
              <w:rPr>
                <w:rFonts w:ascii="Times New Roman"/>
                <w:spacing w:val="-1"/>
                <w:sz w:val="18"/>
              </w:rPr>
              <w:t>3,604,730,096</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0"/>
              <w:jc w:val="right"/>
              <w:rPr>
                <w:rFonts w:ascii="Times New Roman" w:hAnsi="Times New Roman" w:cs="Times New Roman" w:eastAsia="Times New Roman" w:hint="default"/>
                <w:sz w:val="18"/>
                <w:szCs w:val="18"/>
              </w:rPr>
            </w:pPr>
            <w:r>
              <w:rPr>
                <w:rFonts w:ascii="Times New Roman"/>
                <w:spacing w:val="-1"/>
                <w:sz w:val="18"/>
              </w:rPr>
              <w:t>3,048,007,907</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Times New Roman" w:hAnsi="Times New Roman" w:cs="Times New Roman" w:eastAsia="Times New Roman" w:hint="default"/>
                <w:sz w:val="18"/>
                <w:szCs w:val="18"/>
              </w:rPr>
            </w:pPr>
            <w:r>
              <w:rPr>
                <w:rFonts w:ascii="Times New Roman"/>
                <w:spacing w:val="-1"/>
                <w:sz w:val="18"/>
              </w:rPr>
              <w:t>2,407,717,254</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0"/>
              <w:jc w:val="right"/>
              <w:rPr>
                <w:rFonts w:ascii="Times New Roman" w:hAnsi="Times New Roman" w:cs="Times New Roman" w:eastAsia="Times New Roman" w:hint="default"/>
                <w:sz w:val="18"/>
                <w:szCs w:val="18"/>
              </w:rPr>
            </w:pPr>
            <w:r>
              <w:rPr>
                <w:rFonts w:ascii="Times New Roman"/>
                <w:sz w:val="18"/>
              </w:rPr>
              <w:t>607,331,520</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Times New Roman" w:hAnsi="Times New Roman" w:cs="Times New Roman" w:eastAsia="Times New Roman" w:hint="default"/>
                <w:sz w:val="18"/>
                <w:szCs w:val="18"/>
              </w:rPr>
            </w:pPr>
            <w:r>
              <w:rPr>
                <w:rFonts w:ascii="Times New Roman"/>
                <w:spacing w:val="-1"/>
                <w:sz w:val="18"/>
              </w:rPr>
              <w:t>546,872,113</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spacing w:val="-1"/>
                <w:sz w:val="18"/>
              </w:rPr>
              <w:t>144,833,142</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Times New Roman" w:hAnsi="Times New Roman" w:cs="Times New Roman" w:eastAsia="Times New Roman" w:hint="default"/>
                <w:sz w:val="18"/>
                <w:szCs w:val="18"/>
              </w:rPr>
            </w:pPr>
            <w:r>
              <w:rPr>
                <w:rFonts w:ascii="Times New Roman"/>
                <w:sz w:val="18"/>
              </w:rPr>
              <w:t>163,672,616</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spacing w:val="-1"/>
                <w:sz w:val="18"/>
              </w:rPr>
              <w:t>183,083,465</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Times New Roman" w:hAnsi="Times New Roman" w:cs="Times New Roman" w:eastAsia="Times New Roman" w:hint="default"/>
                <w:sz w:val="18"/>
                <w:szCs w:val="18"/>
              </w:rPr>
            </w:pPr>
            <w:r>
              <w:rPr>
                <w:rFonts w:ascii="Times New Roman"/>
                <w:sz w:val="18"/>
              </w:rPr>
              <w:t>168,163,985</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spacing w:val="-1"/>
                <w:sz w:val="18"/>
              </w:rPr>
              <w:t>3,983,256,034</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4"/>
              <w:jc w:val="right"/>
              <w:rPr>
                <w:rFonts w:ascii="Times New Roman" w:hAnsi="Times New Roman" w:cs="Times New Roman" w:eastAsia="Times New Roman" w:hint="default"/>
                <w:sz w:val="18"/>
                <w:szCs w:val="18"/>
              </w:rPr>
            </w:pPr>
            <w:r>
              <w:rPr>
                <w:rFonts w:ascii="Times New Roman"/>
                <w:spacing w:val="-1"/>
                <w:sz w:val="18"/>
              </w:rPr>
              <w:t>3,286,425,968</w:t>
            </w:r>
          </w:p>
        </w:tc>
      </w:tr>
      <w:tr>
        <w:trPr>
          <w:trHeight w:val="242"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1"/>
              <w:jc w:val="right"/>
              <w:rPr>
                <w:rFonts w:ascii="Times New Roman" w:hAnsi="Times New Roman" w:cs="Times New Roman" w:eastAsia="Times New Roman" w:hint="default"/>
                <w:sz w:val="18"/>
                <w:szCs w:val="18"/>
              </w:rPr>
            </w:pPr>
            <w:r>
              <w:rPr>
                <w:rFonts w:ascii="Times New Roman"/>
                <w:b/>
                <w:spacing w:val="-1"/>
                <w:sz w:val="18"/>
              </w:rPr>
              <w:t>416,475,606</w:t>
            </w:r>
            <w:r>
              <w:rPr>
                <w:rFonts w:ascii="Times New Roman"/>
                <w:spacing w:val="-1"/>
                <w:sz w:val="18"/>
              </w:rPr>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1"/>
              <w:jc w:val="right"/>
              <w:rPr>
                <w:rFonts w:ascii="Times New Roman" w:hAnsi="Times New Roman" w:cs="Times New Roman" w:eastAsia="Times New Roman" w:hint="default"/>
                <w:sz w:val="18"/>
                <w:szCs w:val="18"/>
              </w:rPr>
            </w:pPr>
            <w:r>
              <w:rPr>
                <w:rFonts w:ascii="Times New Roman"/>
                <w:b/>
                <w:sz w:val="18"/>
              </w:rPr>
              <w:t>318,304,128</w:t>
            </w:r>
            <w:r>
              <w:rPr>
                <w:rFonts w:ascii="Times New Roman"/>
                <w:sz w:val="18"/>
              </w:rPr>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1969" w:type="dxa"/>
            <w:tcBorders>
              <w:top w:val="single" w:sz="4" w:space="0" w:color="000000"/>
              <w:left w:val="single" w:sz="4" w:space="0" w:color="000000"/>
              <w:bottom w:val="single" w:sz="4" w:space="0" w:color="000000"/>
              <w:right w:val="single" w:sz="4" w:space="0" w:color="000000"/>
            </w:tcBorders>
          </w:tcPr>
          <w:p>
            <w:pP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969" w:type="dxa"/>
            <w:tcBorders>
              <w:top w:val="single" w:sz="4" w:space="0" w:color="000000"/>
              <w:left w:val="single" w:sz="4" w:space="0" w:color="000000"/>
              <w:bottom w:val="single" w:sz="4" w:space="0" w:color="000000"/>
              <w:right w:val="single" w:sz="4" w:space="0" w:color="000000"/>
            </w:tcBorders>
          </w:tcPr>
          <w:p>
            <w:pP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取得投资收益所收到的现金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8"/>
                <w:szCs w:val="18"/>
              </w:rPr>
            </w:pPr>
            <w:r>
              <w:rPr>
                <w:rFonts w:ascii="Times New Roman"/>
                <w:spacing w:val="-1"/>
                <w:sz w:val="18"/>
              </w:rPr>
              <w:t>6,047,960</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Times New Roman" w:hAnsi="Times New Roman" w:cs="Times New Roman" w:eastAsia="Times New Roman" w:hint="default"/>
                <w:sz w:val="18"/>
                <w:szCs w:val="18"/>
              </w:rPr>
            </w:pPr>
            <w:r>
              <w:rPr>
                <w:rFonts w:ascii="Times New Roman"/>
                <w:sz w:val="18"/>
              </w:rPr>
              <w:t>1,390,458</w:t>
            </w:r>
          </w:p>
        </w:tc>
      </w:tr>
      <w:tr>
        <w:trPr>
          <w:trHeight w:val="476"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5"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金净额</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25,126,894</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387,866</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1969" w:type="dxa"/>
            <w:tcBorders>
              <w:top w:val="single" w:sz="4" w:space="0" w:color="000000"/>
              <w:left w:val="single" w:sz="4" w:space="0" w:color="000000"/>
              <w:bottom w:val="single" w:sz="4" w:space="0" w:color="000000"/>
              <w:right w:val="single" w:sz="4" w:space="0" w:color="000000"/>
            </w:tcBorders>
          </w:tcPr>
          <w:p>
            <w:pP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8"/>
                <w:szCs w:val="18"/>
              </w:rPr>
            </w:pPr>
            <w:r>
              <w:rPr>
                <w:rFonts w:ascii="Times New Roman"/>
                <w:spacing w:val="-1"/>
                <w:sz w:val="18"/>
              </w:rPr>
              <w:t>126,446,883</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Times New Roman" w:hAnsi="Times New Roman" w:cs="Times New Roman" w:eastAsia="Times New Roman" w:hint="default"/>
                <w:sz w:val="18"/>
                <w:szCs w:val="18"/>
              </w:rPr>
            </w:pPr>
            <w:r>
              <w:rPr>
                <w:rFonts w:ascii="Times New Roman"/>
                <w:sz w:val="18"/>
              </w:rPr>
              <w:t>142,366,194</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8"/>
                <w:szCs w:val="18"/>
              </w:rPr>
            </w:pPr>
            <w:r>
              <w:rPr>
                <w:rFonts w:ascii="Times New Roman"/>
                <w:spacing w:val="-1"/>
                <w:sz w:val="18"/>
              </w:rPr>
              <w:t>157,621,737</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Times New Roman" w:hAnsi="Times New Roman" w:cs="Times New Roman" w:eastAsia="Times New Roman" w:hint="default"/>
                <w:sz w:val="18"/>
                <w:szCs w:val="18"/>
              </w:rPr>
            </w:pPr>
            <w:r>
              <w:rPr>
                <w:rFonts w:ascii="Times New Roman"/>
                <w:sz w:val="18"/>
              </w:rPr>
              <w:t>144,144,518</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1"/>
              <w:jc w:val="left"/>
              <w:rPr>
                <w:rFonts w:ascii="宋体" w:hAnsi="宋体" w:cs="宋体" w:eastAsia="宋体" w:hint="default"/>
                <w:sz w:val="18"/>
                <w:szCs w:val="18"/>
              </w:rPr>
            </w:pPr>
            <w:r>
              <w:rPr>
                <w:rFonts w:ascii="宋体" w:hAnsi="宋体" w:cs="宋体" w:eastAsia="宋体" w:hint="default"/>
                <w:spacing w:val="-4"/>
                <w:sz w:val="18"/>
                <w:szCs w:val="18"/>
              </w:rPr>
              <w:t>购建固定资产、无形资产和其他长期资产支付的现金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sz w:val="18"/>
              </w:rPr>
              <w:t>123,858,787</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Times New Roman" w:hAnsi="Times New Roman" w:cs="Times New Roman" w:eastAsia="Times New Roman" w:hint="default"/>
                <w:sz w:val="18"/>
                <w:szCs w:val="18"/>
              </w:rPr>
            </w:pPr>
            <w:r>
              <w:rPr>
                <w:rFonts w:ascii="Times New Roman"/>
                <w:sz w:val="18"/>
              </w:rPr>
              <w:t>68,487,171</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sz w:val="18"/>
              </w:rPr>
              <w:t>400,000,000</w:t>
            </w: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sz w:val="18"/>
              </w:rPr>
              <w:t>544,151,832</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Times New Roman" w:hAnsi="Times New Roman" w:cs="Times New Roman" w:eastAsia="Times New Roman" w:hint="default"/>
                <w:sz w:val="18"/>
                <w:szCs w:val="18"/>
              </w:rPr>
            </w:pPr>
            <w:r>
              <w:rPr>
                <w:rFonts w:ascii="Times New Roman"/>
                <w:sz w:val="18"/>
              </w:rPr>
              <w:t>222,282,520</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sz w:val="18"/>
              </w:rPr>
              <w:t>109,149,331</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Times New Roman" w:hAnsi="Times New Roman" w:cs="Times New Roman" w:eastAsia="Times New Roman" w:hint="default"/>
                <w:sz w:val="18"/>
                <w:szCs w:val="18"/>
              </w:rPr>
            </w:pPr>
            <w:r>
              <w:rPr>
                <w:rFonts w:ascii="Times New Roman"/>
                <w:sz w:val="18"/>
              </w:rPr>
              <w:t>183,299,046</w:t>
            </w:r>
          </w:p>
        </w:tc>
      </w:tr>
      <w:tr>
        <w:trPr>
          <w:trHeight w:val="242"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spacing w:val="-1"/>
                <w:sz w:val="18"/>
              </w:rPr>
              <w:t>1,177,159,950</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Times New Roman" w:hAnsi="Times New Roman" w:cs="Times New Roman" w:eastAsia="Times New Roman" w:hint="default"/>
                <w:sz w:val="18"/>
                <w:szCs w:val="18"/>
              </w:rPr>
            </w:pPr>
            <w:r>
              <w:rPr>
                <w:rFonts w:ascii="Times New Roman"/>
                <w:sz w:val="18"/>
              </w:rPr>
              <w:t>474,068,737</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0"/>
              <w:jc w:val="right"/>
              <w:rPr>
                <w:rFonts w:ascii="Times New Roman" w:hAnsi="Times New Roman" w:cs="Times New Roman" w:eastAsia="Times New Roman" w:hint="default"/>
                <w:sz w:val="18"/>
                <w:szCs w:val="18"/>
              </w:rPr>
            </w:pPr>
            <w:r>
              <w:rPr>
                <w:rFonts w:ascii="Times New Roman"/>
                <w:b/>
                <w:spacing w:val="-1"/>
                <w:sz w:val="18"/>
              </w:rPr>
              <w:t>-1,019,538,213</w:t>
            </w:r>
            <w:r>
              <w:rPr>
                <w:rFonts w:ascii="Times New Roman"/>
                <w:spacing w:val="-1"/>
                <w:sz w:val="18"/>
              </w:rPr>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Times New Roman" w:hAnsi="Times New Roman" w:cs="Times New Roman" w:eastAsia="Times New Roman" w:hint="default"/>
                <w:sz w:val="18"/>
                <w:szCs w:val="18"/>
              </w:rPr>
            </w:pPr>
            <w:r>
              <w:rPr>
                <w:rFonts w:ascii="Times New Roman"/>
                <w:b/>
                <w:w w:val="95"/>
                <w:sz w:val="18"/>
              </w:rPr>
              <w:t>-329,924,219</w:t>
            </w:r>
            <w:r>
              <w:rPr>
                <w:rFonts w:ascii="Times New Roman"/>
                <w:sz w:val="18"/>
              </w:rPr>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1969" w:type="dxa"/>
            <w:tcBorders>
              <w:top w:val="single" w:sz="4" w:space="0" w:color="000000"/>
              <w:left w:val="single" w:sz="4" w:space="0" w:color="000000"/>
              <w:bottom w:val="single" w:sz="4" w:space="0" w:color="000000"/>
              <w:right w:val="single" w:sz="4" w:space="0" w:color="000000"/>
            </w:tcBorders>
          </w:tcPr>
          <w:p>
            <w:pP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969" w:type="dxa"/>
            <w:tcBorders>
              <w:top w:val="single" w:sz="4" w:space="0" w:color="000000"/>
              <w:left w:val="single" w:sz="4" w:space="0" w:color="000000"/>
              <w:bottom w:val="single" w:sz="4" w:space="0" w:color="000000"/>
              <w:right w:val="single" w:sz="4" w:space="0" w:color="000000"/>
            </w:tcBorders>
          </w:tcPr>
          <w:p>
            <w:pP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sz w:val="18"/>
              </w:rPr>
              <w:t>300,000,000</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Times New Roman" w:hAnsi="Times New Roman" w:cs="Times New Roman" w:eastAsia="Times New Roman" w:hint="default"/>
                <w:sz w:val="18"/>
                <w:szCs w:val="18"/>
              </w:rPr>
            </w:pPr>
            <w:r>
              <w:rPr>
                <w:rFonts w:ascii="Times New Roman"/>
                <w:sz w:val="18"/>
              </w:rPr>
              <w:t>130,000,000</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sz w:val="18"/>
              </w:rPr>
              <w:t>400,000,000</w:t>
            </w: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969" w:type="dxa"/>
            <w:tcBorders>
              <w:top w:val="single" w:sz="4" w:space="0" w:color="000000"/>
              <w:left w:val="single" w:sz="4" w:space="0" w:color="000000"/>
              <w:bottom w:val="single" w:sz="4" w:space="0" w:color="000000"/>
              <w:right w:val="single" w:sz="4" w:space="0" w:color="000000"/>
            </w:tcBorders>
          </w:tcPr>
          <w:p>
            <w:pP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sz w:val="18"/>
              </w:rPr>
              <w:t>700,000,000</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Times New Roman" w:hAnsi="Times New Roman" w:cs="Times New Roman" w:eastAsia="Times New Roman" w:hint="default"/>
                <w:sz w:val="18"/>
                <w:szCs w:val="18"/>
              </w:rPr>
            </w:pPr>
            <w:r>
              <w:rPr>
                <w:rFonts w:ascii="Times New Roman"/>
                <w:sz w:val="18"/>
              </w:rPr>
              <w:t>130,000,000</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8"/>
                <w:szCs w:val="18"/>
              </w:rPr>
            </w:pPr>
            <w:r>
              <w:rPr>
                <w:rFonts w:ascii="Times New Roman"/>
                <w:sz w:val="18"/>
              </w:rPr>
              <w:t>180,000,000</w:t>
            </w: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8"/>
                <w:szCs w:val="18"/>
              </w:rPr>
            </w:pPr>
            <w:r>
              <w:rPr>
                <w:rFonts w:ascii="Times New Roman"/>
                <w:sz w:val="18"/>
              </w:rPr>
              <w:t>14,325,313</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Times New Roman" w:hAnsi="Times New Roman" w:cs="Times New Roman" w:eastAsia="Times New Roman" w:hint="default"/>
                <w:sz w:val="18"/>
                <w:szCs w:val="18"/>
              </w:rPr>
            </w:pPr>
            <w:r>
              <w:rPr>
                <w:rFonts w:ascii="Times New Roman"/>
                <w:sz w:val="18"/>
              </w:rPr>
              <w:t>176,224,398</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8"/>
                <w:szCs w:val="18"/>
              </w:rPr>
            </w:pPr>
            <w:r>
              <w:rPr>
                <w:rFonts w:ascii="Times New Roman"/>
                <w:sz w:val="18"/>
              </w:rPr>
              <w:t>1,242,000</w:t>
            </w:r>
          </w:p>
        </w:tc>
        <w:tc>
          <w:tcPr>
            <w:tcW w:w="1996"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sz w:val="18"/>
              </w:rPr>
              <w:t>195,567,313</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Times New Roman" w:hAnsi="Times New Roman" w:cs="Times New Roman" w:eastAsia="Times New Roman" w:hint="default"/>
                <w:sz w:val="18"/>
                <w:szCs w:val="18"/>
              </w:rPr>
            </w:pPr>
            <w:r>
              <w:rPr>
                <w:rFonts w:ascii="Times New Roman"/>
                <w:sz w:val="18"/>
              </w:rPr>
              <w:t>176,224,398</w:t>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1"/>
              <w:jc w:val="right"/>
              <w:rPr>
                <w:rFonts w:ascii="Times New Roman" w:hAnsi="Times New Roman" w:cs="Times New Roman" w:eastAsia="Times New Roman" w:hint="default"/>
                <w:sz w:val="18"/>
                <w:szCs w:val="18"/>
              </w:rPr>
            </w:pPr>
            <w:r>
              <w:rPr>
                <w:rFonts w:ascii="Times New Roman"/>
                <w:b/>
                <w:sz w:val="18"/>
              </w:rPr>
              <w:t>504,432,687</w:t>
            </w:r>
            <w:r>
              <w:rPr>
                <w:rFonts w:ascii="Times New Roman"/>
                <w:sz w:val="18"/>
              </w:rPr>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1"/>
              <w:jc w:val="right"/>
              <w:rPr>
                <w:rFonts w:ascii="Times New Roman" w:hAnsi="Times New Roman" w:cs="Times New Roman" w:eastAsia="Times New Roman" w:hint="default"/>
                <w:sz w:val="18"/>
                <w:szCs w:val="18"/>
              </w:rPr>
            </w:pPr>
            <w:r>
              <w:rPr>
                <w:rFonts w:ascii="Times New Roman"/>
                <w:b/>
                <w:w w:val="95"/>
                <w:sz w:val="18"/>
              </w:rPr>
              <w:t>-46,224,398</w:t>
            </w:r>
            <w:r>
              <w:rPr>
                <w:rFonts w:ascii="Times New Roman"/>
                <w:sz w:val="18"/>
              </w:rPr>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0"/>
              <w:jc w:val="right"/>
              <w:rPr>
                <w:rFonts w:ascii="Times New Roman" w:hAnsi="Times New Roman" w:cs="Times New Roman" w:eastAsia="Times New Roman" w:hint="default"/>
                <w:sz w:val="18"/>
                <w:szCs w:val="18"/>
              </w:rPr>
            </w:pPr>
            <w:r>
              <w:rPr>
                <w:rFonts w:ascii="Times New Roman"/>
                <w:b/>
                <w:w w:val="95"/>
                <w:sz w:val="18"/>
              </w:rPr>
              <w:t>-2,682,913</w:t>
            </w:r>
            <w:r>
              <w:rPr>
                <w:rFonts w:ascii="Times New Roman"/>
                <w:sz w:val="18"/>
              </w:rPr>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1"/>
              <w:jc w:val="right"/>
              <w:rPr>
                <w:rFonts w:ascii="Times New Roman" w:hAnsi="Times New Roman" w:cs="Times New Roman" w:eastAsia="Times New Roman" w:hint="default"/>
                <w:sz w:val="18"/>
                <w:szCs w:val="18"/>
              </w:rPr>
            </w:pPr>
            <w:r>
              <w:rPr>
                <w:rFonts w:ascii="Times New Roman"/>
                <w:b/>
                <w:w w:val="95"/>
                <w:sz w:val="18"/>
              </w:rPr>
              <w:t>-1,524,827</w:t>
            </w:r>
            <w:r>
              <w:rPr>
                <w:rFonts w:ascii="Times New Roman"/>
                <w:sz w:val="18"/>
              </w:rPr>
            </w:r>
          </w:p>
        </w:tc>
      </w:tr>
      <w:tr>
        <w:trPr>
          <w:trHeight w:val="244"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99"/>
              <w:jc w:val="right"/>
              <w:rPr>
                <w:rFonts w:ascii="Times New Roman" w:hAnsi="Times New Roman" w:cs="Times New Roman" w:eastAsia="Times New Roman" w:hint="default"/>
                <w:sz w:val="18"/>
                <w:szCs w:val="18"/>
              </w:rPr>
            </w:pPr>
            <w:r>
              <w:rPr>
                <w:rFonts w:ascii="Times New Roman"/>
                <w:b/>
                <w:w w:val="95"/>
                <w:sz w:val="18"/>
              </w:rPr>
              <w:t>-101,312,833</w:t>
            </w:r>
            <w:r>
              <w:rPr>
                <w:rFonts w:ascii="Times New Roman"/>
                <w:sz w:val="18"/>
              </w:rPr>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1"/>
              <w:jc w:val="right"/>
              <w:rPr>
                <w:rFonts w:ascii="Times New Roman" w:hAnsi="Times New Roman" w:cs="Times New Roman" w:eastAsia="Times New Roman" w:hint="default"/>
                <w:sz w:val="18"/>
                <w:szCs w:val="18"/>
              </w:rPr>
            </w:pPr>
            <w:r>
              <w:rPr>
                <w:rFonts w:ascii="Times New Roman"/>
                <w:b/>
                <w:w w:val="95"/>
                <w:sz w:val="18"/>
              </w:rPr>
              <w:t>-59,369,316</w:t>
            </w:r>
            <w:r>
              <w:rPr>
                <w:rFonts w:ascii="Times New Roman"/>
                <w:sz w:val="18"/>
              </w:rPr>
            </w:r>
          </w:p>
        </w:tc>
      </w:tr>
      <w:tr>
        <w:trPr>
          <w:trHeight w:val="242"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加：年初现金及现金等价物余额</w:t>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sz w:val="18"/>
              </w:rPr>
              <w:t>932,706,502</w:t>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Times New Roman" w:hAnsi="Times New Roman" w:cs="Times New Roman" w:eastAsia="Times New Roman" w:hint="default"/>
                <w:sz w:val="18"/>
                <w:szCs w:val="18"/>
              </w:rPr>
            </w:pPr>
            <w:r>
              <w:rPr>
                <w:rFonts w:ascii="Times New Roman"/>
                <w:sz w:val="18"/>
              </w:rPr>
              <w:t>992,075,818</w:t>
            </w:r>
          </w:p>
        </w:tc>
      </w:tr>
      <w:tr>
        <w:trPr>
          <w:trHeight w:val="245" w:hRule="exact"/>
        </w:trPr>
        <w:tc>
          <w:tcPr>
            <w:tcW w:w="454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1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Times New Roman" w:hAnsi="Times New Roman" w:cs="Times New Roman" w:eastAsia="Times New Roman" w:hint="default"/>
                <w:sz w:val="18"/>
                <w:szCs w:val="18"/>
              </w:rPr>
            </w:pPr>
            <w:r>
              <w:rPr>
                <w:rFonts w:ascii="Times New Roman"/>
                <w:b/>
                <w:sz w:val="18"/>
              </w:rPr>
              <w:t>831,393,669</w:t>
            </w:r>
            <w:r>
              <w:rPr>
                <w:rFonts w:ascii="Times New Roman"/>
                <w:sz w:val="18"/>
              </w:rPr>
            </w:r>
          </w:p>
        </w:tc>
        <w:tc>
          <w:tcPr>
            <w:tcW w:w="1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01"/>
              <w:jc w:val="right"/>
              <w:rPr>
                <w:rFonts w:ascii="Times New Roman" w:hAnsi="Times New Roman" w:cs="Times New Roman" w:eastAsia="Times New Roman" w:hint="default"/>
                <w:sz w:val="18"/>
                <w:szCs w:val="18"/>
              </w:rPr>
            </w:pPr>
            <w:r>
              <w:rPr>
                <w:rFonts w:ascii="Times New Roman"/>
                <w:b/>
                <w:sz w:val="18"/>
              </w:rPr>
              <w:t>932,706,502</w:t>
            </w:r>
            <w:r>
              <w:rPr>
                <w:rFonts w:ascii="Times New Roman"/>
                <w:sz w:val="18"/>
              </w:rPr>
            </w:r>
          </w:p>
        </w:tc>
      </w:tr>
    </w:tbl>
    <w:p>
      <w:pPr>
        <w:spacing w:before="21"/>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3"/>
        <w:rPr>
          <w:rFonts w:ascii="宋体" w:hAnsi="宋体" w:cs="宋体" w:eastAsia="宋体" w:hint="default"/>
          <w:sz w:val="25"/>
          <w:szCs w:val="25"/>
        </w:rPr>
      </w:pPr>
    </w:p>
    <w:p>
      <w:pPr>
        <w:tabs>
          <w:tab w:pos="3267" w:val="left" w:leader="none"/>
          <w:tab w:pos="6417" w:val="left" w:leader="none"/>
        </w:tabs>
        <w:spacing w:before="0"/>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主管会计工作负责人：王莉</w:t>
        <w:tab/>
        <w:t>会计机构负责人：陈雷</w:t>
      </w:r>
    </w:p>
    <w:p>
      <w:pPr>
        <w:spacing w:after="0"/>
        <w:jc w:val="left"/>
        <w:rPr>
          <w:rFonts w:ascii="宋体" w:hAnsi="宋体" w:cs="宋体" w:eastAsia="宋体" w:hint="default"/>
          <w:sz w:val="18"/>
          <w:szCs w:val="18"/>
        </w:rPr>
        <w:sectPr>
          <w:pgSz w:w="11910" w:h="16840"/>
          <w:pgMar w:header="1089" w:footer="1003" w:top="1280" w:bottom="1200" w:left="1680" w:right="1480"/>
        </w:sectPr>
      </w:pPr>
    </w:p>
    <w:p>
      <w:pPr>
        <w:spacing w:line="190" w:lineRule="exact" w:before="0"/>
        <w:ind w:left="2184" w:right="2513" w:firstLine="0"/>
        <w:jc w:val="center"/>
        <w:rPr>
          <w:rFonts w:ascii="宋体" w:hAnsi="宋体" w:cs="宋体" w:eastAsia="宋体" w:hint="default"/>
          <w:sz w:val="20"/>
          <w:szCs w:val="20"/>
        </w:rPr>
      </w:pPr>
      <w:r>
        <w:rPr>
          <w:rFonts w:ascii="宋体" w:hAnsi="宋体" w:cs="宋体" w:eastAsia="宋体" w:hint="default"/>
          <w:b/>
          <w:bCs/>
          <w:sz w:val="20"/>
          <w:szCs w:val="20"/>
        </w:rPr>
        <w:t>合并现金流量表</w:t>
      </w:r>
      <w:r>
        <w:rPr>
          <w:rFonts w:ascii="宋体" w:hAnsi="宋体" w:cs="宋体" w:eastAsia="宋体" w:hint="default"/>
          <w:sz w:val="20"/>
          <w:szCs w:val="20"/>
        </w:rPr>
      </w:r>
    </w:p>
    <w:p>
      <w:pPr>
        <w:pStyle w:val="Heading6"/>
        <w:spacing w:line="281" w:lineRule="exact" w:before="0"/>
        <w:ind w:left="2184" w:right="2513"/>
        <w:jc w:val="center"/>
        <w:rPr>
          <w:b w:val="0"/>
          <w:bCs w:val="0"/>
        </w:rPr>
      </w:pP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3"/>
        </w:rPr>
        <w:t> </w:t>
      </w:r>
      <w:r>
        <w:rPr/>
        <w:t>年度</w:t>
      </w:r>
      <w:r>
        <w:rPr>
          <w:b w:val="0"/>
          <w:bCs w:val="0"/>
        </w:rPr>
      </w:r>
    </w:p>
    <w:p>
      <w:pPr>
        <w:spacing w:before="4"/>
        <w:ind w:left="2184" w:right="2513" w:firstLine="0"/>
        <w:jc w:val="center"/>
        <w:rPr>
          <w:rFonts w:ascii="宋体" w:hAnsi="宋体" w:cs="宋体" w:eastAsia="宋体" w:hint="default"/>
          <w:sz w:val="20"/>
          <w:szCs w:val="20"/>
        </w:rPr>
      </w:pPr>
      <w:r>
        <w:rPr>
          <w:rFonts w:ascii="宋体" w:hAnsi="宋体" w:cs="宋体" w:eastAsia="宋体" w:hint="default"/>
          <w:b/>
          <w:bCs/>
          <w:sz w:val="20"/>
          <w:szCs w:val="20"/>
        </w:rPr>
        <w:t>（除特别注明外，金额单位均为人民币元）</w:t>
      </w:r>
      <w:r>
        <w:rPr>
          <w:rFonts w:ascii="宋体" w:hAnsi="宋体" w:cs="宋体" w:eastAsia="宋体" w:hint="default"/>
          <w:sz w:val="20"/>
          <w:szCs w:val="20"/>
        </w:rPr>
      </w:r>
    </w:p>
    <w:p>
      <w:pPr>
        <w:spacing w:line="240" w:lineRule="auto" w:before="5"/>
        <w:rPr>
          <w:rFonts w:ascii="宋体" w:hAnsi="宋体" w:cs="宋体" w:eastAsia="宋体" w:hint="default"/>
          <w:b/>
          <w:bCs/>
          <w:sz w:val="16"/>
          <w:szCs w:val="16"/>
        </w:rPr>
      </w:pPr>
    </w:p>
    <w:tbl>
      <w:tblPr>
        <w:tblW w:w="0" w:type="auto"/>
        <w:jc w:val="left"/>
        <w:tblInd w:w="112" w:type="dxa"/>
        <w:tblLayout w:type="fixed"/>
        <w:tblCellMar>
          <w:top w:w="0" w:type="dxa"/>
          <w:left w:w="0" w:type="dxa"/>
          <w:bottom w:w="0" w:type="dxa"/>
          <w:right w:w="0" w:type="dxa"/>
        </w:tblCellMar>
        <w:tblLook w:val="01E0"/>
      </w:tblPr>
      <w:tblGrid>
        <w:gridCol w:w="4306"/>
        <w:gridCol w:w="1020"/>
        <w:gridCol w:w="1604"/>
        <w:gridCol w:w="1576"/>
      </w:tblGrid>
      <w:tr>
        <w:trPr>
          <w:trHeight w:val="210"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right="0"/>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73"/>
                <w:sz w:val="15"/>
                <w:szCs w:val="15"/>
              </w:rPr>
              <w:t> </w:t>
            </w:r>
            <w:r>
              <w:rPr>
                <w:rFonts w:ascii="宋体" w:hAnsi="宋体" w:cs="宋体" w:eastAsia="宋体" w:hint="default"/>
                <w:sz w:val="15"/>
                <w:szCs w:val="15"/>
              </w:rPr>
              <w:t>目</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right="1"/>
              <w:jc w:val="center"/>
              <w:rPr>
                <w:rFonts w:ascii="宋体" w:hAnsi="宋体" w:cs="宋体" w:eastAsia="宋体" w:hint="default"/>
                <w:sz w:val="15"/>
                <w:szCs w:val="15"/>
              </w:rPr>
            </w:pPr>
            <w:r>
              <w:rPr>
                <w:rFonts w:ascii="宋体" w:hAnsi="宋体" w:cs="宋体" w:eastAsia="宋体" w:hint="default"/>
                <w:sz w:val="15"/>
                <w:szCs w:val="15"/>
              </w:rPr>
              <w:t>附注五</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95" w:right="0"/>
              <w:jc w:val="left"/>
              <w:rPr>
                <w:rFonts w:ascii="宋体" w:hAnsi="宋体" w:cs="宋体" w:eastAsia="宋体" w:hint="default"/>
                <w:sz w:val="15"/>
                <w:szCs w:val="15"/>
              </w:rPr>
            </w:pPr>
            <w:r>
              <w:rPr>
                <w:rFonts w:ascii="宋体" w:hAnsi="宋体" w:cs="宋体" w:eastAsia="宋体" w:hint="default"/>
                <w:sz w:val="15"/>
                <w:szCs w:val="15"/>
              </w:rPr>
              <w:t>本期金额</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82" w:right="0"/>
              <w:jc w:val="left"/>
              <w:rPr>
                <w:rFonts w:ascii="宋体" w:hAnsi="宋体" w:cs="宋体" w:eastAsia="宋体" w:hint="default"/>
                <w:sz w:val="15"/>
                <w:szCs w:val="15"/>
              </w:rPr>
            </w:pPr>
            <w:r>
              <w:rPr>
                <w:rFonts w:ascii="宋体" w:hAnsi="宋体" w:cs="宋体" w:eastAsia="宋体" w:hint="default"/>
                <w:sz w:val="15"/>
                <w:szCs w:val="15"/>
              </w:rPr>
              <w:t>上期金额</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一、经营活动产生的现金流量</w:t>
            </w:r>
            <w:r>
              <w:rPr>
                <w:rFonts w:ascii="宋体" w:hAnsi="宋体" w:cs="宋体" w:eastAsia="宋体" w:hint="default"/>
                <w:sz w:val="15"/>
                <w:szCs w:val="15"/>
              </w:rPr>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销售商品、提供劳务收到的现金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1"/>
              <w:jc w:val="right"/>
              <w:rPr>
                <w:rFonts w:ascii="Times New Roman" w:hAnsi="Times New Roman" w:cs="Times New Roman" w:eastAsia="Times New Roman" w:hint="default"/>
                <w:sz w:val="15"/>
                <w:szCs w:val="15"/>
              </w:rPr>
            </w:pPr>
            <w:r>
              <w:rPr>
                <w:rFonts w:ascii="Times New Roman"/>
                <w:spacing w:val="-1"/>
                <w:sz w:val="15"/>
              </w:rPr>
              <w:t>5,904,584,629</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2"/>
              <w:jc w:val="right"/>
              <w:rPr>
                <w:rFonts w:ascii="Times New Roman" w:hAnsi="Times New Roman" w:cs="Times New Roman" w:eastAsia="Times New Roman" w:hint="default"/>
                <w:sz w:val="15"/>
                <w:szCs w:val="15"/>
              </w:rPr>
            </w:pPr>
            <w:r>
              <w:rPr>
                <w:rFonts w:ascii="Times New Roman"/>
                <w:spacing w:val="-1"/>
                <w:sz w:val="15"/>
              </w:rPr>
              <w:t>4,981,750,925</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客户存款和同业存放款项净增加额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向中央银行借款净增加额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向其他金融机构拆入资金净增加额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收到原保险合同保费取得的现金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收到再保险业务现金净额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保户储金及投资款净增加额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处置交易性金融资产净增加额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收取利息、手续费及佣金的现金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拆入资金净增加额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回购业务资金净增加额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3" w:right="0"/>
              <w:jc w:val="left"/>
              <w:rPr>
                <w:rFonts w:ascii="宋体" w:hAnsi="宋体" w:cs="宋体" w:eastAsia="宋体" w:hint="default"/>
                <w:sz w:val="15"/>
                <w:szCs w:val="15"/>
              </w:rPr>
            </w:pPr>
            <w:r>
              <w:rPr>
                <w:rFonts w:ascii="宋体" w:hAnsi="宋体" w:cs="宋体" w:eastAsia="宋体" w:hint="default"/>
                <w:sz w:val="15"/>
                <w:szCs w:val="15"/>
              </w:rPr>
              <w:t>收到的税费返还</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4"/>
              <w:jc w:val="right"/>
              <w:rPr>
                <w:rFonts w:ascii="Times New Roman" w:hAnsi="Times New Roman" w:cs="Times New Roman" w:eastAsia="Times New Roman" w:hint="default"/>
                <w:sz w:val="15"/>
                <w:szCs w:val="15"/>
              </w:rPr>
            </w:pPr>
            <w:r>
              <w:rPr>
                <w:rFonts w:ascii="Times New Roman"/>
                <w:spacing w:val="-1"/>
                <w:sz w:val="15"/>
              </w:rPr>
              <w:t>91,508,307</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4"/>
              <w:jc w:val="right"/>
              <w:rPr>
                <w:rFonts w:ascii="Times New Roman" w:hAnsi="Times New Roman" w:cs="Times New Roman" w:eastAsia="Times New Roman" w:hint="default"/>
                <w:sz w:val="15"/>
                <w:szCs w:val="15"/>
              </w:rPr>
            </w:pPr>
            <w:r>
              <w:rPr>
                <w:rFonts w:ascii="Times New Roman"/>
                <w:spacing w:val="-1"/>
                <w:sz w:val="15"/>
              </w:rPr>
              <w:t>47,906,852</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401" w:right="0"/>
              <w:jc w:val="left"/>
              <w:rPr>
                <w:rFonts w:ascii="宋体" w:hAnsi="宋体" w:cs="宋体" w:eastAsia="宋体" w:hint="default"/>
                <w:sz w:val="15"/>
                <w:szCs w:val="15"/>
              </w:rPr>
            </w:pPr>
            <w:r>
              <w:rPr>
                <w:rFonts w:ascii="宋体" w:hAnsi="宋体" w:cs="宋体" w:eastAsia="宋体" w:hint="default"/>
                <w:sz w:val="15"/>
                <w:szCs w:val="15"/>
              </w:rPr>
              <w:t>收到其他与经营活动有关的现金</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51" w:right="0"/>
              <w:jc w:val="center"/>
              <w:rPr>
                <w:rFonts w:ascii="宋体" w:hAnsi="宋体" w:cs="宋体" w:eastAsia="宋体" w:hint="default"/>
                <w:sz w:val="15"/>
                <w:szCs w:val="15"/>
              </w:rPr>
            </w:pPr>
            <w:r>
              <w:rPr>
                <w:rFonts w:ascii="宋体" w:hAnsi="宋体" w:cs="宋体" w:eastAsia="宋体" w:hint="default"/>
                <w:sz w:val="15"/>
                <w:szCs w:val="15"/>
              </w:rPr>
              <w:t>（五十二）</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2"/>
              <w:jc w:val="right"/>
              <w:rPr>
                <w:rFonts w:ascii="Times New Roman" w:hAnsi="Times New Roman" w:cs="Times New Roman" w:eastAsia="Times New Roman" w:hint="default"/>
                <w:sz w:val="15"/>
                <w:szCs w:val="15"/>
              </w:rPr>
            </w:pPr>
            <w:r>
              <w:rPr>
                <w:rFonts w:ascii="Times New Roman"/>
                <w:spacing w:val="-1"/>
                <w:sz w:val="15"/>
              </w:rPr>
              <w:t>341,055,750</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2"/>
              <w:jc w:val="right"/>
              <w:rPr>
                <w:rFonts w:ascii="Times New Roman" w:hAnsi="Times New Roman" w:cs="Times New Roman" w:eastAsia="Times New Roman" w:hint="default"/>
                <w:sz w:val="15"/>
                <w:szCs w:val="15"/>
              </w:rPr>
            </w:pPr>
            <w:r>
              <w:rPr>
                <w:rFonts w:ascii="Times New Roman"/>
                <w:spacing w:val="-1"/>
                <w:sz w:val="15"/>
              </w:rPr>
              <w:t>215,378,655</w:t>
            </w:r>
          </w:p>
        </w:tc>
      </w:tr>
      <w:tr>
        <w:trPr>
          <w:trHeight w:val="174"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经营活动现金流入小计</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2"/>
              <w:jc w:val="right"/>
              <w:rPr>
                <w:rFonts w:ascii="Times New Roman" w:hAnsi="Times New Roman" w:cs="Times New Roman" w:eastAsia="Times New Roman" w:hint="default"/>
                <w:sz w:val="15"/>
                <w:szCs w:val="15"/>
              </w:rPr>
            </w:pPr>
            <w:r>
              <w:rPr>
                <w:rFonts w:ascii="Times New Roman"/>
                <w:spacing w:val="-1"/>
                <w:sz w:val="15"/>
              </w:rPr>
              <w:t>6,337,148,686</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2"/>
              <w:jc w:val="right"/>
              <w:rPr>
                <w:rFonts w:ascii="Times New Roman" w:hAnsi="Times New Roman" w:cs="Times New Roman" w:eastAsia="Times New Roman" w:hint="default"/>
                <w:sz w:val="15"/>
                <w:szCs w:val="15"/>
              </w:rPr>
            </w:pPr>
            <w:r>
              <w:rPr>
                <w:rFonts w:ascii="Times New Roman"/>
                <w:spacing w:val="-1"/>
                <w:sz w:val="15"/>
              </w:rPr>
              <w:t>5,245,036,432</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购买商品、接受劳务支付的现金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2,888,590,902</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4"/>
              <w:jc w:val="right"/>
              <w:rPr>
                <w:rFonts w:ascii="Times New Roman" w:hAnsi="Times New Roman" w:cs="Times New Roman" w:eastAsia="Times New Roman" w:hint="default"/>
                <w:sz w:val="15"/>
                <w:szCs w:val="15"/>
              </w:rPr>
            </w:pPr>
            <w:r>
              <w:rPr>
                <w:rFonts w:ascii="Times New Roman"/>
                <w:spacing w:val="-1"/>
                <w:sz w:val="15"/>
              </w:rPr>
              <w:t>2,166,788,694</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1" w:right="0"/>
              <w:jc w:val="left"/>
              <w:rPr>
                <w:rFonts w:ascii="宋体" w:hAnsi="宋体" w:cs="宋体" w:eastAsia="宋体" w:hint="default"/>
                <w:sz w:val="15"/>
                <w:szCs w:val="15"/>
              </w:rPr>
            </w:pPr>
            <w:r>
              <w:rPr>
                <w:rFonts w:ascii="宋体" w:hAnsi="宋体" w:cs="宋体" w:eastAsia="宋体" w:hint="default"/>
                <w:sz w:val="15"/>
                <w:szCs w:val="15"/>
              </w:rPr>
              <w:t>客户贷款及垫款净增加额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1" w:right="0"/>
              <w:jc w:val="left"/>
              <w:rPr>
                <w:rFonts w:ascii="宋体" w:hAnsi="宋体" w:cs="宋体" w:eastAsia="宋体" w:hint="default"/>
                <w:sz w:val="15"/>
                <w:szCs w:val="15"/>
              </w:rPr>
            </w:pPr>
            <w:r>
              <w:rPr>
                <w:rFonts w:ascii="宋体" w:hAnsi="宋体" w:cs="宋体" w:eastAsia="宋体" w:hint="default"/>
                <w:sz w:val="15"/>
                <w:szCs w:val="15"/>
              </w:rPr>
              <w:t>存放中央银行和同业款项净增加额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1" w:right="0"/>
              <w:jc w:val="left"/>
              <w:rPr>
                <w:rFonts w:ascii="宋体" w:hAnsi="宋体" w:cs="宋体" w:eastAsia="宋体" w:hint="default"/>
                <w:sz w:val="15"/>
                <w:szCs w:val="15"/>
              </w:rPr>
            </w:pPr>
            <w:r>
              <w:rPr>
                <w:rFonts w:ascii="宋体" w:hAnsi="宋体" w:cs="宋体" w:eastAsia="宋体" w:hint="default"/>
                <w:sz w:val="15"/>
                <w:szCs w:val="15"/>
              </w:rPr>
              <w:t>支付原保险合同赔付款项的现金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1" w:right="0"/>
              <w:jc w:val="left"/>
              <w:rPr>
                <w:rFonts w:ascii="宋体" w:hAnsi="宋体" w:cs="宋体" w:eastAsia="宋体" w:hint="default"/>
                <w:sz w:val="15"/>
                <w:szCs w:val="15"/>
              </w:rPr>
            </w:pPr>
            <w:r>
              <w:rPr>
                <w:rFonts w:ascii="宋体" w:hAnsi="宋体" w:cs="宋体" w:eastAsia="宋体" w:hint="default"/>
                <w:sz w:val="15"/>
                <w:szCs w:val="15"/>
              </w:rPr>
              <w:t>支付利息、手续费及佣金的现金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1" w:right="0"/>
              <w:jc w:val="left"/>
              <w:rPr>
                <w:rFonts w:ascii="宋体" w:hAnsi="宋体" w:cs="宋体" w:eastAsia="宋体" w:hint="default"/>
                <w:sz w:val="15"/>
                <w:szCs w:val="15"/>
              </w:rPr>
            </w:pPr>
            <w:r>
              <w:rPr>
                <w:rFonts w:ascii="宋体" w:hAnsi="宋体" w:cs="宋体" w:eastAsia="宋体" w:hint="default"/>
                <w:sz w:val="15"/>
                <w:szCs w:val="15"/>
              </w:rPr>
              <w:t>支付保单红利的现金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支付给职工以及为职工支付的现金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2,327,332,220</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spacing w:val="-1"/>
                <w:sz w:val="15"/>
              </w:rPr>
              <w:t>1,944,537,687</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支付的各项税费</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337,820,086</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spacing w:val="-1"/>
                <w:sz w:val="15"/>
              </w:rPr>
              <w:t>319,780,146</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支付其他与经营活动有关的现金</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51" w:right="0"/>
              <w:jc w:val="center"/>
              <w:rPr>
                <w:rFonts w:ascii="宋体" w:hAnsi="宋体" w:cs="宋体" w:eastAsia="宋体" w:hint="default"/>
                <w:sz w:val="15"/>
                <w:szCs w:val="15"/>
              </w:rPr>
            </w:pPr>
            <w:r>
              <w:rPr>
                <w:rFonts w:ascii="宋体" w:hAnsi="宋体" w:cs="宋体" w:eastAsia="宋体" w:hint="default"/>
                <w:sz w:val="15"/>
                <w:szCs w:val="15"/>
              </w:rPr>
              <w:t>（五十二）</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483,208,874</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4"/>
              <w:jc w:val="right"/>
              <w:rPr>
                <w:rFonts w:ascii="Times New Roman" w:hAnsi="Times New Roman" w:cs="Times New Roman" w:eastAsia="Times New Roman" w:hint="default"/>
                <w:sz w:val="15"/>
                <w:szCs w:val="15"/>
              </w:rPr>
            </w:pPr>
            <w:r>
              <w:rPr>
                <w:rFonts w:ascii="Times New Roman"/>
                <w:spacing w:val="-1"/>
                <w:sz w:val="15"/>
              </w:rPr>
              <w:t>432,040,375</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3" w:right="0"/>
              <w:jc w:val="left"/>
              <w:rPr>
                <w:rFonts w:ascii="宋体" w:hAnsi="宋体" w:cs="宋体" w:eastAsia="宋体" w:hint="default"/>
                <w:sz w:val="15"/>
                <w:szCs w:val="15"/>
              </w:rPr>
            </w:pPr>
            <w:r>
              <w:rPr>
                <w:rFonts w:ascii="宋体" w:hAnsi="宋体" w:cs="宋体" w:eastAsia="宋体" w:hint="default"/>
                <w:sz w:val="15"/>
                <w:szCs w:val="15"/>
              </w:rPr>
              <w:t>经营活动现金流出小计</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6,036,952,082</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4"/>
              <w:jc w:val="right"/>
              <w:rPr>
                <w:rFonts w:ascii="Times New Roman" w:hAnsi="Times New Roman" w:cs="Times New Roman" w:eastAsia="Times New Roman" w:hint="default"/>
                <w:sz w:val="15"/>
                <w:szCs w:val="15"/>
              </w:rPr>
            </w:pPr>
            <w:r>
              <w:rPr>
                <w:rFonts w:ascii="Times New Roman"/>
                <w:spacing w:val="-1"/>
                <w:sz w:val="15"/>
              </w:rPr>
              <w:t>4,863,146,902</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经营活动产生的现金流量净额</w:t>
            </w:r>
            <w:r>
              <w:rPr>
                <w:rFonts w:ascii="宋体" w:hAnsi="宋体" w:cs="宋体" w:eastAsia="宋体" w:hint="default"/>
                <w:sz w:val="15"/>
                <w:szCs w:val="15"/>
              </w:rPr>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b/>
                <w:spacing w:val="-1"/>
                <w:sz w:val="15"/>
              </w:rPr>
              <w:t>300,196,604</w:t>
            </w:r>
            <w:r>
              <w:rPr>
                <w:rFonts w:ascii="Times New Roman"/>
                <w:spacing w:val="-1"/>
                <w:sz w:val="15"/>
              </w:rPr>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4"/>
              <w:jc w:val="right"/>
              <w:rPr>
                <w:rFonts w:ascii="Times New Roman" w:hAnsi="Times New Roman" w:cs="Times New Roman" w:eastAsia="Times New Roman" w:hint="default"/>
                <w:sz w:val="15"/>
                <w:szCs w:val="15"/>
              </w:rPr>
            </w:pPr>
            <w:r>
              <w:rPr>
                <w:rFonts w:ascii="Times New Roman"/>
                <w:b/>
                <w:spacing w:val="-1"/>
                <w:sz w:val="15"/>
              </w:rPr>
              <w:t>381,889,530</w:t>
            </w:r>
            <w:r>
              <w:rPr>
                <w:rFonts w:ascii="Times New Roman"/>
                <w:spacing w:val="-1"/>
                <w:sz w:val="15"/>
              </w:rPr>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二、投资活动产生的现金流量</w:t>
            </w:r>
            <w:r>
              <w:rPr>
                <w:rFonts w:ascii="宋体" w:hAnsi="宋体" w:cs="宋体" w:eastAsia="宋体" w:hint="default"/>
                <w:sz w:val="15"/>
                <w:szCs w:val="15"/>
              </w:rPr>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收回投资收到的现金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spacing w:val="-1"/>
                <w:sz w:val="15"/>
              </w:rPr>
              <w:t>57,143</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取得投资收益所收到的现金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24,010,000</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4"/>
              <w:jc w:val="right"/>
              <w:rPr>
                <w:rFonts w:ascii="Times New Roman" w:hAnsi="Times New Roman" w:cs="Times New Roman" w:eastAsia="Times New Roman" w:hint="default"/>
                <w:sz w:val="15"/>
                <w:szCs w:val="15"/>
              </w:rPr>
            </w:pPr>
            <w:r>
              <w:rPr>
                <w:rFonts w:ascii="Times New Roman"/>
                <w:spacing w:val="-1"/>
                <w:sz w:val="15"/>
              </w:rPr>
              <w:t>24,010,000</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处置固定资产、无形资产和其他长期资产收回的现金净额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158,526,740</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spacing w:val="-1"/>
                <w:w w:val="95"/>
                <w:sz w:val="15"/>
              </w:rPr>
              <w:t>81,113,246</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处置子公司及其他营业单位收到的现金净额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4"/>
              <w:jc w:val="right"/>
              <w:rPr>
                <w:rFonts w:ascii="Times New Roman" w:hAnsi="Times New Roman" w:cs="Times New Roman" w:eastAsia="Times New Roman" w:hint="default"/>
                <w:sz w:val="15"/>
                <w:szCs w:val="15"/>
              </w:rPr>
            </w:pPr>
            <w:r>
              <w:rPr>
                <w:rFonts w:ascii="Times New Roman"/>
                <w:spacing w:val="-1"/>
                <w:sz w:val="15"/>
              </w:rPr>
              <w:t>12,920,000</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1" w:right="0"/>
              <w:jc w:val="left"/>
              <w:rPr>
                <w:rFonts w:ascii="宋体" w:hAnsi="宋体" w:cs="宋体" w:eastAsia="宋体" w:hint="default"/>
                <w:sz w:val="15"/>
                <w:szCs w:val="15"/>
              </w:rPr>
            </w:pPr>
            <w:r>
              <w:rPr>
                <w:rFonts w:ascii="宋体" w:hAnsi="宋体" w:cs="宋体" w:eastAsia="宋体" w:hint="default"/>
                <w:sz w:val="15"/>
                <w:szCs w:val="15"/>
              </w:rPr>
              <w:t>收到其他与投资活动有关的现金</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51" w:right="0"/>
              <w:jc w:val="center"/>
              <w:rPr>
                <w:rFonts w:ascii="宋体" w:hAnsi="宋体" w:cs="宋体" w:eastAsia="宋体" w:hint="default"/>
                <w:sz w:val="15"/>
                <w:szCs w:val="15"/>
              </w:rPr>
            </w:pPr>
            <w:r>
              <w:rPr>
                <w:rFonts w:ascii="宋体" w:hAnsi="宋体" w:cs="宋体" w:eastAsia="宋体" w:hint="default"/>
                <w:sz w:val="15"/>
                <w:szCs w:val="15"/>
              </w:rPr>
              <w:t>（五十二）</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15,905,244</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4"/>
              <w:jc w:val="right"/>
              <w:rPr>
                <w:rFonts w:ascii="Times New Roman" w:hAnsi="Times New Roman" w:cs="Times New Roman" w:eastAsia="Times New Roman" w:hint="default"/>
                <w:sz w:val="15"/>
                <w:szCs w:val="15"/>
              </w:rPr>
            </w:pPr>
            <w:r>
              <w:rPr>
                <w:rFonts w:ascii="Times New Roman"/>
                <w:spacing w:val="-1"/>
                <w:sz w:val="15"/>
              </w:rPr>
              <w:t>24,670,000</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投资活动现金流入小计</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198,441,984</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4"/>
              <w:jc w:val="right"/>
              <w:rPr>
                <w:rFonts w:ascii="Times New Roman" w:hAnsi="Times New Roman" w:cs="Times New Roman" w:eastAsia="Times New Roman" w:hint="default"/>
                <w:sz w:val="15"/>
                <w:szCs w:val="15"/>
              </w:rPr>
            </w:pPr>
            <w:r>
              <w:rPr>
                <w:rFonts w:ascii="Times New Roman"/>
                <w:spacing w:val="-1"/>
                <w:sz w:val="15"/>
              </w:rPr>
              <w:t>142,770,389</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购建固定资产、无形资产和其他长期资产支付的现金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412,253,867</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spacing w:val="-1"/>
                <w:sz w:val="15"/>
              </w:rPr>
              <w:t>333,603,072</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投资支付的现金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400,000,000</w:t>
            </w: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1" w:right="0"/>
              <w:jc w:val="left"/>
              <w:rPr>
                <w:rFonts w:ascii="宋体" w:hAnsi="宋体" w:cs="宋体" w:eastAsia="宋体" w:hint="default"/>
                <w:sz w:val="15"/>
                <w:szCs w:val="15"/>
              </w:rPr>
            </w:pPr>
            <w:r>
              <w:rPr>
                <w:rFonts w:ascii="宋体" w:hAnsi="宋体" w:cs="宋体" w:eastAsia="宋体" w:hint="default"/>
                <w:sz w:val="15"/>
                <w:szCs w:val="15"/>
              </w:rPr>
              <w:t>质押贷款净增加额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取得子公司及其他营业单位支付的现金净额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153,044,444</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4"/>
              <w:jc w:val="right"/>
              <w:rPr>
                <w:rFonts w:ascii="Times New Roman" w:hAnsi="Times New Roman" w:cs="Times New Roman" w:eastAsia="Times New Roman" w:hint="default"/>
                <w:sz w:val="15"/>
                <w:szCs w:val="15"/>
              </w:rPr>
            </w:pPr>
            <w:r>
              <w:rPr>
                <w:rFonts w:ascii="Times New Roman"/>
                <w:spacing w:val="-1"/>
                <w:sz w:val="15"/>
              </w:rPr>
              <w:t>15,100,935</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支付其他与投资活动有关的现金</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51" w:right="0"/>
              <w:jc w:val="center"/>
              <w:rPr>
                <w:rFonts w:ascii="宋体" w:hAnsi="宋体" w:cs="宋体" w:eastAsia="宋体" w:hint="default"/>
                <w:sz w:val="15"/>
                <w:szCs w:val="15"/>
              </w:rPr>
            </w:pPr>
            <w:r>
              <w:rPr>
                <w:rFonts w:ascii="宋体" w:hAnsi="宋体" w:cs="宋体" w:eastAsia="宋体" w:hint="default"/>
                <w:sz w:val="15"/>
                <w:szCs w:val="15"/>
              </w:rPr>
              <w:t>（五十二）</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2,400,926</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4"/>
              <w:jc w:val="right"/>
              <w:rPr>
                <w:rFonts w:ascii="Times New Roman" w:hAnsi="Times New Roman" w:cs="Times New Roman" w:eastAsia="Times New Roman" w:hint="default"/>
                <w:sz w:val="15"/>
                <w:szCs w:val="15"/>
              </w:rPr>
            </w:pPr>
            <w:r>
              <w:rPr>
                <w:rFonts w:ascii="Times New Roman"/>
                <w:spacing w:val="-1"/>
                <w:sz w:val="15"/>
              </w:rPr>
              <w:t>18,630,355</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投资活动现金流出小计</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967,699,237</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4"/>
              <w:jc w:val="right"/>
              <w:rPr>
                <w:rFonts w:ascii="Times New Roman" w:hAnsi="Times New Roman" w:cs="Times New Roman" w:eastAsia="Times New Roman" w:hint="default"/>
                <w:sz w:val="15"/>
                <w:szCs w:val="15"/>
              </w:rPr>
            </w:pPr>
            <w:r>
              <w:rPr>
                <w:rFonts w:ascii="Times New Roman"/>
                <w:spacing w:val="-1"/>
                <w:sz w:val="15"/>
              </w:rPr>
              <w:t>367,334,362</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投资活动产生的现金流量净额</w:t>
            </w:r>
            <w:r>
              <w:rPr>
                <w:rFonts w:ascii="宋体" w:hAnsi="宋体" w:cs="宋体" w:eastAsia="宋体" w:hint="default"/>
                <w:sz w:val="15"/>
                <w:szCs w:val="15"/>
              </w:rPr>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b/>
                <w:spacing w:val="-1"/>
                <w:sz w:val="15"/>
              </w:rPr>
              <w:t>-769,257,253</w:t>
            </w:r>
            <w:r>
              <w:rPr>
                <w:rFonts w:ascii="Times New Roman"/>
                <w:spacing w:val="-1"/>
                <w:sz w:val="15"/>
              </w:rPr>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Times New Roman" w:hAnsi="Times New Roman" w:cs="Times New Roman" w:eastAsia="Times New Roman" w:hint="default"/>
                <w:sz w:val="15"/>
                <w:szCs w:val="15"/>
              </w:rPr>
            </w:pPr>
            <w:r>
              <w:rPr>
                <w:rFonts w:ascii="Times New Roman"/>
                <w:b/>
                <w:spacing w:val="-1"/>
                <w:sz w:val="15"/>
              </w:rPr>
              <w:t>-224,563,973</w:t>
            </w:r>
            <w:r>
              <w:rPr>
                <w:rFonts w:ascii="Times New Roman"/>
                <w:spacing w:val="-1"/>
                <w:sz w:val="15"/>
              </w:rPr>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三、筹资活动产生的现金流量</w:t>
            </w:r>
            <w:r>
              <w:rPr>
                <w:rFonts w:ascii="宋体" w:hAnsi="宋体" w:cs="宋体" w:eastAsia="宋体" w:hint="default"/>
                <w:sz w:val="15"/>
                <w:szCs w:val="15"/>
              </w:rPr>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吸收投资收到的现金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21,561,981</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spacing w:val="-1"/>
                <w:sz w:val="15"/>
              </w:rPr>
              <w:t>2,025,000</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其中：子公司吸收少数股东投资收到的现金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21,561,981</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spacing w:val="-1"/>
                <w:sz w:val="15"/>
              </w:rPr>
              <w:t>2,025,000</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取得借款收到的现金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677,000,000</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spacing w:val="-1"/>
                <w:sz w:val="15"/>
              </w:rPr>
              <w:t>190,000,000</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1" w:right="0"/>
              <w:jc w:val="left"/>
              <w:rPr>
                <w:rFonts w:ascii="宋体" w:hAnsi="宋体" w:cs="宋体" w:eastAsia="宋体" w:hint="default"/>
                <w:sz w:val="15"/>
                <w:szCs w:val="15"/>
              </w:rPr>
            </w:pPr>
            <w:r>
              <w:rPr>
                <w:rFonts w:ascii="宋体" w:hAnsi="宋体" w:cs="宋体" w:eastAsia="宋体" w:hint="default"/>
                <w:sz w:val="15"/>
                <w:szCs w:val="15"/>
              </w:rPr>
              <w:t>发行债券收到的现金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400,000,000</w:t>
            </w: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收到其他与筹资活动有关的现金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3" w:right="0"/>
              <w:jc w:val="left"/>
              <w:rPr>
                <w:rFonts w:ascii="宋体" w:hAnsi="宋体" w:cs="宋体" w:eastAsia="宋体" w:hint="default"/>
                <w:sz w:val="15"/>
                <w:szCs w:val="15"/>
              </w:rPr>
            </w:pPr>
            <w:r>
              <w:rPr>
                <w:rFonts w:ascii="宋体" w:hAnsi="宋体" w:cs="宋体" w:eastAsia="宋体" w:hint="default"/>
                <w:sz w:val="15"/>
                <w:szCs w:val="15"/>
              </w:rPr>
              <w:t>筹资活动现金流入小计</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1,098,561,981</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spacing w:val="-1"/>
                <w:sz w:val="15"/>
              </w:rPr>
              <w:t>192,025,000</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偿还债务支付的现金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533,277,160</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4"/>
              <w:jc w:val="right"/>
              <w:rPr>
                <w:rFonts w:ascii="Times New Roman" w:hAnsi="Times New Roman" w:cs="Times New Roman" w:eastAsia="Times New Roman" w:hint="default"/>
                <w:sz w:val="15"/>
                <w:szCs w:val="15"/>
              </w:rPr>
            </w:pPr>
            <w:r>
              <w:rPr>
                <w:rFonts w:ascii="Times New Roman"/>
                <w:spacing w:val="-1"/>
                <w:sz w:val="15"/>
              </w:rPr>
              <w:t>93,000,000</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分配股利、利润或偿付利息支付的现金</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34,665,024</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spacing w:val="-1"/>
                <w:sz w:val="15"/>
              </w:rPr>
              <w:t>186,612,228</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其中：子公司支付给少数股东的股利、利润</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3,244,741</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4"/>
              <w:jc w:val="right"/>
              <w:rPr>
                <w:rFonts w:ascii="Times New Roman" w:hAnsi="Times New Roman" w:cs="Times New Roman" w:eastAsia="Times New Roman" w:hint="default"/>
                <w:sz w:val="15"/>
                <w:szCs w:val="15"/>
              </w:rPr>
            </w:pPr>
            <w:r>
              <w:rPr>
                <w:rFonts w:ascii="Times New Roman"/>
                <w:spacing w:val="-1"/>
                <w:sz w:val="15"/>
              </w:rPr>
              <w:t>702,246</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支付其他与筹资活动有关的现金</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51" w:right="0"/>
              <w:jc w:val="center"/>
              <w:rPr>
                <w:rFonts w:ascii="宋体" w:hAnsi="宋体" w:cs="宋体" w:eastAsia="宋体" w:hint="default"/>
                <w:sz w:val="15"/>
                <w:szCs w:val="15"/>
              </w:rPr>
            </w:pPr>
            <w:r>
              <w:rPr>
                <w:rFonts w:ascii="宋体" w:hAnsi="宋体" w:cs="宋体" w:eastAsia="宋体" w:hint="default"/>
                <w:sz w:val="15"/>
                <w:szCs w:val="15"/>
              </w:rPr>
              <w:t>（五十二）</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1,242,000</w:t>
            </w:r>
          </w:p>
        </w:tc>
        <w:tc>
          <w:tcPr>
            <w:tcW w:w="1576" w:type="dxa"/>
            <w:tcBorders>
              <w:top w:val="single" w:sz="4" w:space="0" w:color="000000"/>
              <w:left w:val="single" w:sz="4" w:space="0" w:color="000000"/>
              <w:bottom w:val="single" w:sz="4" w:space="0" w:color="000000"/>
              <w:right w:val="single" w:sz="4" w:space="0" w:color="000000"/>
            </w:tcBorders>
          </w:tcPr>
          <w:p>
            <w:pP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3" w:right="0"/>
              <w:jc w:val="left"/>
              <w:rPr>
                <w:rFonts w:ascii="宋体" w:hAnsi="宋体" w:cs="宋体" w:eastAsia="宋体" w:hint="default"/>
                <w:sz w:val="15"/>
                <w:szCs w:val="15"/>
              </w:rPr>
            </w:pPr>
            <w:r>
              <w:rPr>
                <w:rFonts w:ascii="宋体" w:hAnsi="宋体" w:cs="宋体" w:eastAsia="宋体" w:hint="default"/>
                <w:sz w:val="15"/>
                <w:szCs w:val="15"/>
              </w:rPr>
              <w:t>筹资活动现金流出小计</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569,184,184</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spacing w:val="-1"/>
                <w:sz w:val="15"/>
              </w:rPr>
              <w:t>279,612,228</w:t>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筹资活动产生的现金流量净额</w:t>
            </w:r>
            <w:r>
              <w:rPr>
                <w:rFonts w:ascii="宋体" w:hAnsi="宋体" w:cs="宋体" w:eastAsia="宋体" w:hint="default"/>
                <w:sz w:val="15"/>
                <w:szCs w:val="15"/>
              </w:rPr>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b/>
                <w:spacing w:val="-1"/>
                <w:sz w:val="15"/>
              </w:rPr>
              <w:t>529,377,797</w:t>
            </w:r>
            <w:r>
              <w:rPr>
                <w:rFonts w:ascii="Times New Roman"/>
                <w:spacing w:val="-1"/>
                <w:sz w:val="15"/>
              </w:rPr>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b/>
                <w:spacing w:val="-1"/>
                <w:sz w:val="15"/>
              </w:rPr>
              <w:t>-87,587,228</w:t>
            </w:r>
            <w:r>
              <w:rPr>
                <w:rFonts w:ascii="Times New Roman"/>
                <w:spacing w:val="-1"/>
                <w:sz w:val="15"/>
              </w:rPr>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四、汇率变动对现金及现金等价物的影响</w:t>
            </w:r>
            <w:r>
              <w:rPr>
                <w:rFonts w:ascii="宋体" w:hAnsi="宋体" w:cs="宋体" w:eastAsia="宋体" w:hint="default"/>
                <w:sz w:val="15"/>
                <w:szCs w:val="15"/>
              </w:rPr>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b/>
                <w:spacing w:val="-2"/>
                <w:sz w:val="15"/>
              </w:rPr>
              <w:t>-11,589,325</w:t>
            </w:r>
            <w:r>
              <w:rPr>
                <w:rFonts w:ascii="Times New Roman"/>
                <w:spacing w:val="-2"/>
                <w:sz w:val="15"/>
              </w:rPr>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b/>
                <w:spacing w:val="-1"/>
                <w:sz w:val="15"/>
              </w:rPr>
              <w:t>2,251,732</w:t>
            </w:r>
            <w:r>
              <w:rPr>
                <w:rFonts w:ascii="Times New Roman"/>
                <w:spacing w:val="-1"/>
                <w:sz w:val="15"/>
              </w:rPr>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五、现金及现金等价物净增加额</w:t>
            </w:r>
            <w:r>
              <w:rPr>
                <w:rFonts w:ascii="宋体" w:hAnsi="宋体" w:cs="宋体" w:eastAsia="宋体" w:hint="default"/>
                <w:sz w:val="15"/>
                <w:szCs w:val="15"/>
              </w:rPr>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b/>
                <w:spacing w:val="-1"/>
                <w:sz w:val="15"/>
              </w:rPr>
              <w:t>48,727,823</w:t>
            </w:r>
            <w:r>
              <w:rPr>
                <w:rFonts w:ascii="Times New Roman"/>
                <w:spacing w:val="-1"/>
                <w:sz w:val="15"/>
              </w:rPr>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4"/>
              <w:jc w:val="right"/>
              <w:rPr>
                <w:rFonts w:ascii="Times New Roman" w:hAnsi="Times New Roman" w:cs="Times New Roman" w:eastAsia="Times New Roman" w:hint="default"/>
                <w:sz w:val="15"/>
                <w:szCs w:val="15"/>
              </w:rPr>
            </w:pPr>
            <w:r>
              <w:rPr>
                <w:rFonts w:ascii="Times New Roman"/>
                <w:b/>
                <w:spacing w:val="-1"/>
                <w:sz w:val="15"/>
              </w:rPr>
              <w:t>71,990,061</w:t>
            </w:r>
            <w:r>
              <w:rPr>
                <w:rFonts w:ascii="Times New Roman"/>
                <w:spacing w:val="-1"/>
                <w:sz w:val="15"/>
              </w:rPr>
            </w:r>
          </w:p>
        </w:tc>
      </w:tr>
      <w:tr>
        <w:trPr>
          <w:trHeight w:val="198"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403" w:right="0"/>
              <w:jc w:val="left"/>
              <w:rPr>
                <w:rFonts w:ascii="宋体" w:hAnsi="宋体" w:cs="宋体" w:eastAsia="宋体" w:hint="default"/>
                <w:sz w:val="15"/>
                <w:szCs w:val="15"/>
              </w:rPr>
            </w:pPr>
            <w:r>
              <w:rPr>
                <w:rFonts w:ascii="宋体" w:hAnsi="宋体" w:cs="宋体" w:eastAsia="宋体" w:hint="default"/>
                <w:sz w:val="15"/>
                <w:szCs w:val="15"/>
              </w:rPr>
              <w:t>加：年初现金及现金等价物余额</w:t>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1,687,979,107</w:t>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spacing w:val="-1"/>
                <w:sz w:val="15"/>
              </w:rPr>
              <w:t>1,615,989,046</w:t>
            </w:r>
          </w:p>
        </w:tc>
      </w:tr>
      <w:tr>
        <w:trPr>
          <w:trHeight w:val="199"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六、期末现金及现金等价物余额</w:t>
            </w:r>
            <w:r>
              <w:rPr>
                <w:rFonts w:ascii="宋体" w:hAnsi="宋体" w:cs="宋体" w:eastAsia="宋体" w:hint="default"/>
                <w:sz w:val="15"/>
                <w:szCs w:val="15"/>
              </w:rPr>
            </w:r>
          </w:p>
        </w:tc>
        <w:tc>
          <w:tcPr>
            <w:tcW w:w="1020" w:type="dxa"/>
            <w:tcBorders>
              <w:top w:val="single" w:sz="4" w:space="0" w:color="000000"/>
              <w:left w:val="single" w:sz="4" w:space="0" w:color="000000"/>
              <w:bottom w:val="single" w:sz="4" w:space="0" w:color="000000"/>
              <w:right w:val="single" w:sz="4" w:space="0" w:color="000000"/>
            </w:tcBorders>
          </w:tcPr>
          <w:p>
            <w:pP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b/>
                <w:spacing w:val="-1"/>
                <w:sz w:val="15"/>
              </w:rPr>
              <w:t>1,736,706,930</w:t>
            </w:r>
            <w:r>
              <w:rPr>
                <w:rFonts w:ascii="Times New Roman"/>
                <w:spacing w:val="-1"/>
                <w:sz w:val="15"/>
              </w:rPr>
            </w:r>
          </w:p>
        </w:tc>
        <w:tc>
          <w:tcPr>
            <w:tcW w:w="1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15"/>
                <w:szCs w:val="15"/>
              </w:rPr>
            </w:pPr>
            <w:r>
              <w:rPr>
                <w:rFonts w:ascii="Times New Roman"/>
                <w:b/>
                <w:spacing w:val="-1"/>
                <w:sz w:val="15"/>
              </w:rPr>
              <w:t>1,687,979,107</w:t>
            </w:r>
            <w:r>
              <w:rPr>
                <w:rFonts w:ascii="Times New Roman"/>
                <w:spacing w:val="-1"/>
                <w:sz w:val="15"/>
              </w:rPr>
            </w:r>
          </w:p>
        </w:tc>
      </w:tr>
    </w:tbl>
    <w:p>
      <w:pPr>
        <w:spacing w:line="240" w:lineRule="auto" w:before="13"/>
        <w:rPr>
          <w:rFonts w:ascii="宋体" w:hAnsi="宋体" w:cs="宋体" w:eastAsia="宋体" w:hint="default"/>
          <w:b/>
          <w:bCs/>
          <w:sz w:val="7"/>
          <w:szCs w:val="7"/>
        </w:rPr>
      </w:pPr>
    </w:p>
    <w:p>
      <w:pPr>
        <w:spacing w:before="44"/>
        <w:ind w:left="1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8"/>
        <w:rPr>
          <w:rFonts w:ascii="宋体" w:hAnsi="宋体" w:cs="宋体" w:eastAsia="宋体" w:hint="default"/>
          <w:sz w:val="12"/>
          <w:szCs w:val="12"/>
        </w:rPr>
      </w:pPr>
    </w:p>
    <w:p>
      <w:pPr>
        <w:tabs>
          <w:tab w:pos="3177" w:val="left" w:leader="none"/>
          <w:tab w:pos="6327" w:val="left" w:leader="none"/>
        </w:tabs>
        <w:spacing w:before="0"/>
        <w:ind w:left="117"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主管会计工作负责人：王莉</w:t>
        <w:tab/>
        <w:t>会计机构负责人：陈雷</w:t>
      </w:r>
    </w:p>
    <w:p>
      <w:pPr>
        <w:spacing w:after="0"/>
        <w:jc w:val="left"/>
        <w:rPr>
          <w:rFonts w:ascii="宋体" w:hAnsi="宋体" w:cs="宋体" w:eastAsia="宋体" w:hint="default"/>
          <w:sz w:val="18"/>
          <w:szCs w:val="18"/>
        </w:rPr>
        <w:sectPr>
          <w:pgSz w:w="11910" w:h="16840"/>
          <w:pgMar w:header="1089" w:footer="1003" w:top="1260" w:bottom="1200" w:left="1680" w:right="1480"/>
        </w:sectPr>
      </w:pPr>
    </w:p>
    <w:p>
      <w:pPr>
        <w:pStyle w:val="Heading6"/>
        <w:spacing w:line="271" w:lineRule="exact" w:before="0"/>
        <w:ind w:left="5202" w:right="4972"/>
        <w:jc w:val="center"/>
        <w:rPr>
          <w:b w:val="0"/>
          <w:bCs w:val="0"/>
        </w:rPr>
      </w:pPr>
      <w:r>
        <w:rPr/>
        <w:t>所有者权益变动表</w:t>
      </w:r>
      <w:r>
        <w:rPr>
          <w:b w:val="0"/>
          <w:bCs w:val="0"/>
        </w:rPr>
      </w:r>
    </w:p>
    <w:p>
      <w:pPr>
        <w:spacing w:line="280" w:lineRule="exact" w:before="0"/>
        <w:ind w:left="5202" w:right="4970" w:firstLine="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spacing w:line="266" w:lineRule="exact" w:before="0"/>
        <w:ind w:left="5202" w:right="4972"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tbl>
      <w:tblPr>
        <w:tblW w:w="0" w:type="auto"/>
        <w:jc w:val="left"/>
        <w:tblInd w:w="107" w:type="dxa"/>
        <w:tblLayout w:type="fixed"/>
        <w:tblCellMar>
          <w:top w:w="0" w:type="dxa"/>
          <w:left w:w="0" w:type="dxa"/>
          <w:bottom w:w="0" w:type="dxa"/>
          <w:right w:w="0" w:type="dxa"/>
        </w:tblCellMar>
        <w:tblLook w:val="01E0"/>
      </w:tblPr>
      <w:tblGrid>
        <w:gridCol w:w="3364"/>
        <w:gridCol w:w="1516"/>
        <w:gridCol w:w="1304"/>
        <w:gridCol w:w="1202"/>
        <w:gridCol w:w="956"/>
        <w:gridCol w:w="1375"/>
        <w:gridCol w:w="1398"/>
        <w:gridCol w:w="1260"/>
        <w:gridCol w:w="1620"/>
      </w:tblGrid>
      <w:tr>
        <w:trPr>
          <w:trHeight w:val="251" w:hRule="exact"/>
        </w:trPr>
        <w:tc>
          <w:tcPr>
            <w:tcW w:w="3364" w:type="dxa"/>
            <w:vMerge w:val="restart"/>
            <w:tcBorders>
              <w:top w:val="single" w:sz="4" w:space="0" w:color="000000"/>
              <w:left w:val="single" w:sz="4" w:space="0" w:color="000000"/>
              <w:right w:val="single" w:sz="4" w:space="0" w:color="000000"/>
            </w:tcBorders>
          </w:tcPr>
          <w:p>
            <w:pPr>
              <w:pStyle w:val="TableParagraph"/>
              <w:spacing w:line="240" w:lineRule="auto" w:before="119"/>
              <w:ind w:right="1"/>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0632" w:type="dxa"/>
            <w:gridSpan w:val="8"/>
            <w:tcBorders>
              <w:top w:val="single" w:sz="4" w:space="0" w:color="000000"/>
              <w:left w:val="single" w:sz="4" w:space="0" w:color="000000"/>
              <w:bottom w:val="single" w:sz="4" w:space="0" w:color="000000"/>
              <w:right w:val="single" w:sz="4" w:space="0" w:color="000000"/>
            </w:tcBorders>
          </w:tcPr>
          <w:p>
            <w:pPr>
              <w:pStyle w:val="TableParagraph"/>
              <w:spacing w:line="190" w:lineRule="exact"/>
              <w:ind w:right="0"/>
              <w:jc w:val="center"/>
              <w:rPr>
                <w:rFonts w:ascii="宋体" w:hAnsi="宋体" w:cs="宋体" w:eastAsia="宋体" w:hint="default"/>
                <w:sz w:val="15"/>
                <w:szCs w:val="15"/>
              </w:rPr>
            </w:pPr>
            <w:r>
              <w:rPr>
                <w:rFonts w:ascii="宋体" w:hAnsi="宋体" w:cs="宋体" w:eastAsia="宋体" w:hint="default"/>
                <w:sz w:val="15"/>
                <w:szCs w:val="15"/>
              </w:rPr>
              <w:t>本期金额</w:t>
            </w:r>
          </w:p>
        </w:tc>
      </w:tr>
      <w:tr>
        <w:trPr>
          <w:trHeight w:val="250" w:hRule="exact"/>
        </w:trPr>
        <w:tc>
          <w:tcPr>
            <w:tcW w:w="3364" w:type="dxa"/>
            <w:vMerge/>
            <w:tcBorders>
              <w:left w:val="single" w:sz="4" w:space="0" w:color="000000"/>
              <w:bottom w:val="single" w:sz="4" w:space="0" w:color="000000"/>
              <w:right w:val="single" w:sz="4" w:space="0" w:color="000000"/>
            </w:tcBorders>
          </w:tcPr>
          <w:p>
            <w:pP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6"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或股本</w:t>
            </w:r>
            <w:r>
              <w:rPr>
                <w:rFonts w:ascii="Times New Roman" w:hAnsi="Times New Roman" w:cs="Times New Roman" w:eastAsia="Times New Roman" w:hint="default"/>
                <w:sz w:val="15"/>
                <w:szCs w:val="15"/>
              </w:rPr>
              <w:t>)</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46"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20"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72"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382"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43"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49"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79"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6"/>
                <w:szCs w:val="16"/>
              </w:rPr>
            </w:pPr>
            <w:r>
              <w:rPr>
                <w:rFonts w:ascii="Times New Roman"/>
                <w:spacing w:val="-1"/>
                <w:sz w:val="16"/>
              </w:rPr>
              <w:t>1,227,594,245</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391" w:right="0"/>
              <w:jc w:val="left"/>
              <w:rPr>
                <w:rFonts w:ascii="Times New Roman" w:hAnsi="Times New Roman" w:cs="Times New Roman" w:eastAsia="Times New Roman" w:hint="default"/>
                <w:sz w:val="16"/>
                <w:szCs w:val="16"/>
              </w:rPr>
            </w:pPr>
            <w:r>
              <w:rPr>
                <w:rFonts w:ascii="Times New Roman"/>
                <w:sz w:val="16"/>
              </w:rPr>
              <w:t>353,061,885</w:t>
            </w: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16"/>
                <w:szCs w:val="16"/>
              </w:rPr>
            </w:pPr>
            <w:r>
              <w:rPr>
                <w:rFonts w:ascii="Times New Roman"/>
                <w:spacing w:val="-1"/>
                <w:sz w:val="16"/>
              </w:rPr>
              <w:t>536,223,609</w:t>
            </w: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16"/>
                <w:szCs w:val="16"/>
              </w:rPr>
            </w:pPr>
            <w:r>
              <w:rPr>
                <w:rFonts w:ascii="Times New Roman"/>
                <w:spacing w:val="-1"/>
                <w:sz w:val="16"/>
              </w:rPr>
              <w:t>1,306,861,484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16"/>
                <w:szCs w:val="16"/>
              </w:rPr>
            </w:pPr>
            <w:r>
              <w:rPr>
                <w:rFonts w:ascii="Times New Roman"/>
                <w:spacing w:val="-1"/>
                <w:sz w:val="16"/>
              </w:rPr>
              <w:t>3,423,741,223</w:t>
            </w:r>
          </w:p>
        </w:tc>
      </w:tr>
      <w:tr>
        <w:trPr>
          <w:trHeight w:val="251"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2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5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5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6"/>
                <w:szCs w:val="16"/>
              </w:rPr>
            </w:pPr>
            <w:r>
              <w:rPr>
                <w:rFonts w:ascii="Times New Roman"/>
                <w:spacing w:val="-1"/>
                <w:sz w:val="16"/>
              </w:rPr>
              <w:t>1,227,594,245</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391" w:right="0"/>
              <w:jc w:val="left"/>
              <w:rPr>
                <w:rFonts w:ascii="Times New Roman" w:hAnsi="Times New Roman" w:cs="Times New Roman" w:eastAsia="Times New Roman" w:hint="default"/>
                <w:sz w:val="16"/>
                <w:szCs w:val="16"/>
              </w:rPr>
            </w:pPr>
            <w:r>
              <w:rPr>
                <w:rFonts w:ascii="Times New Roman"/>
                <w:sz w:val="16"/>
              </w:rPr>
              <w:t>353,061,885</w:t>
            </w: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16"/>
                <w:szCs w:val="16"/>
              </w:rPr>
            </w:pPr>
            <w:r>
              <w:rPr>
                <w:rFonts w:ascii="Times New Roman"/>
                <w:spacing w:val="-1"/>
                <w:sz w:val="16"/>
              </w:rPr>
              <w:t>536,223,609</w:t>
            </w: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16"/>
                <w:szCs w:val="16"/>
              </w:rPr>
            </w:pPr>
            <w:r>
              <w:rPr>
                <w:rFonts w:ascii="Times New Roman"/>
                <w:spacing w:val="-1"/>
                <w:sz w:val="16"/>
              </w:rPr>
              <w:t>1,306,861,484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16"/>
                <w:szCs w:val="16"/>
              </w:rPr>
            </w:pPr>
            <w:r>
              <w:rPr>
                <w:rFonts w:ascii="Times New Roman"/>
                <w:spacing w:val="-1"/>
                <w:sz w:val="16"/>
              </w:rPr>
              <w:t>3,423,741,223</w:t>
            </w: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16"/>
                <w:szCs w:val="16"/>
              </w:rPr>
            </w:pPr>
            <w:r>
              <w:rPr>
                <w:rFonts w:ascii="Times New Roman"/>
                <w:spacing w:val="-1"/>
                <w:sz w:val="16"/>
              </w:rPr>
              <w:t>52,189,853</w:t>
            </w: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16"/>
                <w:szCs w:val="16"/>
              </w:rPr>
            </w:pPr>
            <w:r>
              <w:rPr>
                <w:rFonts w:ascii="Times New Roman"/>
                <w:spacing w:val="-1"/>
                <w:sz w:val="16"/>
              </w:rPr>
              <w:t>295,742,497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16"/>
                <w:szCs w:val="16"/>
              </w:rPr>
            </w:pPr>
            <w:r>
              <w:rPr>
                <w:rFonts w:ascii="Times New Roman"/>
                <w:spacing w:val="-1"/>
                <w:sz w:val="16"/>
              </w:rPr>
              <w:t>347,932,350</w:t>
            </w: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16"/>
                <w:szCs w:val="16"/>
              </w:rPr>
            </w:pPr>
            <w:r>
              <w:rPr>
                <w:rFonts w:ascii="Times New Roman"/>
                <w:spacing w:val="-1"/>
                <w:sz w:val="16"/>
              </w:rPr>
              <w:t>347,932,350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16"/>
                <w:szCs w:val="16"/>
              </w:rPr>
            </w:pPr>
            <w:r>
              <w:rPr>
                <w:rFonts w:ascii="Times New Roman"/>
                <w:spacing w:val="-1"/>
                <w:sz w:val="16"/>
              </w:rPr>
              <w:t>347,932,350</w:t>
            </w:r>
          </w:p>
        </w:tc>
      </w:tr>
      <w:tr>
        <w:trPr>
          <w:trHeight w:val="251"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16"/>
                <w:szCs w:val="16"/>
              </w:rPr>
            </w:pPr>
            <w:r>
              <w:rPr>
                <w:rFonts w:ascii="Times New Roman"/>
                <w:spacing w:val="-1"/>
                <w:sz w:val="16"/>
              </w:rPr>
              <w:t>347,932,350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16"/>
                <w:szCs w:val="16"/>
              </w:rPr>
            </w:pPr>
            <w:r>
              <w:rPr>
                <w:rFonts w:ascii="Times New Roman"/>
                <w:spacing w:val="-1"/>
                <w:sz w:val="16"/>
              </w:rPr>
              <w:t>347,932,350</w:t>
            </w: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16"/>
                <w:szCs w:val="16"/>
              </w:rPr>
            </w:pPr>
            <w:r>
              <w:rPr>
                <w:rFonts w:ascii="Times New Roman"/>
                <w:spacing w:val="-1"/>
                <w:sz w:val="16"/>
              </w:rPr>
              <w:t>52,189,853</w:t>
            </w: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6"/>
                <w:szCs w:val="16"/>
              </w:rPr>
            </w:pPr>
            <w:r>
              <w:rPr>
                <w:rFonts w:ascii="Times New Roman"/>
                <w:spacing w:val="-1"/>
                <w:sz w:val="16"/>
              </w:rPr>
              <w:t>-52,189,853</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16"/>
                <w:szCs w:val="16"/>
              </w:rPr>
            </w:pPr>
            <w:r>
              <w:rPr>
                <w:rFonts w:ascii="Times New Roman"/>
                <w:spacing w:val="-1"/>
                <w:sz w:val="16"/>
              </w:rPr>
              <w:t>52,189,853</w:t>
            </w: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6"/>
                <w:szCs w:val="16"/>
              </w:rPr>
            </w:pPr>
            <w:r>
              <w:rPr>
                <w:rFonts w:ascii="Times New Roman"/>
                <w:spacing w:val="-1"/>
                <w:sz w:val="16"/>
              </w:rPr>
              <w:t>-52,189,853</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251"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6"/>
                <w:szCs w:val="16"/>
              </w:rPr>
            </w:pPr>
            <w:r>
              <w:rPr>
                <w:rFonts w:ascii="Times New Roman"/>
                <w:spacing w:val="-1"/>
                <w:sz w:val="16"/>
              </w:rPr>
              <w:t>1,227,594,245</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391" w:right="0"/>
              <w:jc w:val="left"/>
              <w:rPr>
                <w:rFonts w:ascii="Times New Roman" w:hAnsi="Times New Roman" w:cs="Times New Roman" w:eastAsia="Times New Roman" w:hint="default"/>
                <w:sz w:val="16"/>
                <w:szCs w:val="16"/>
              </w:rPr>
            </w:pPr>
            <w:r>
              <w:rPr>
                <w:rFonts w:ascii="Times New Roman"/>
                <w:sz w:val="16"/>
              </w:rPr>
              <w:t>353,061,885</w:t>
            </w:r>
          </w:p>
        </w:tc>
        <w:tc>
          <w:tcPr>
            <w:tcW w:w="1202"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1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16"/>
                <w:szCs w:val="16"/>
              </w:rPr>
            </w:pPr>
            <w:r>
              <w:rPr>
                <w:rFonts w:ascii="Times New Roman"/>
                <w:spacing w:val="-1"/>
                <w:sz w:val="16"/>
              </w:rPr>
              <w:t>588,413,462</w:t>
            </w:r>
          </w:p>
        </w:tc>
        <w:tc>
          <w:tcPr>
            <w:tcW w:w="1398"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16"/>
                <w:szCs w:val="16"/>
              </w:rPr>
            </w:pPr>
            <w:r>
              <w:rPr>
                <w:rFonts w:ascii="Times New Roman"/>
                <w:spacing w:val="-1"/>
                <w:sz w:val="16"/>
              </w:rPr>
              <w:t>1,602,603,981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16"/>
                <w:szCs w:val="16"/>
              </w:rPr>
            </w:pPr>
            <w:r>
              <w:rPr>
                <w:rFonts w:ascii="Times New Roman"/>
                <w:spacing w:val="-1"/>
                <w:sz w:val="16"/>
              </w:rPr>
              <w:t>3,771,673,573</w:t>
            </w:r>
          </w:p>
        </w:tc>
      </w:tr>
    </w:tbl>
    <w:p>
      <w:pPr>
        <w:spacing w:line="240" w:lineRule="auto" w:before="9"/>
        <w:rPr>
          <w:rFonts w:ascii="宋体" w:hAnsi="宋体" w:cs="宋体" w:eastAsia="宋体" w:hint="default"/>
          <w:b/>
          <w:bCs/>
          <w:sz w:val="12"/>
          <w:szCs w:val="12"/>
        </w:rPr>
      </w:pPr>
    </w:p>
    <w:p>
      <w:pPr>
        <w:spacing w:before="44"/>
        <w:ind w:left="219"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9"/>
        <w:rPr>
          <w:rFonts w:ascii="宋体" w:hAnsi="宋体" w:cs="宋体" w:eastAsia="宋体" w:hint="default"/>
          <w:sz w:val="15"/>
          <w:szCs w:val="15"/>
        </w:rPr>
      </w:pPr>
    </w:p>
    <w:p>
      <w:pPr>
        <w:tabs>
          <w:tab w:pos="4809" w:val="left" w:leader="none"/>
          <w:tab w:pos="8859" w:val="left" w:leader="none"/>
        </w:tabs>
        <w:spacing w:before="0"/>
        <w:ind w:left="219"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主管会计工作负责人：王莉</w:t>
        <w:tab/>
        <w:t>会计机构负责人：陈雷</w:t>
      </w:r>
    </w:p>
    <w:p>
      <w:pPr>
        <w:spacing w:after="0"/>
        <w:jc w:val="left"/>
        <w:rPr>
          <w:rFonts w:ascii="宋体" w:hAnsi="宋体" w:cs="宋体" w:eastAsia="宋体" w:hint="default"/>
          <w:sz w:val="18"/>
          <w:szCs w:val="18"/>
        </w:rPr>
        <w:sectPr>
          <w:headerReference w:type="default" r:id="rId27"/>
          <w:footerReference w:type="default" r:id="rId28"/>
          <w:pgSz w:w="16840" w:h="11910" w:orient="landscape"/>
          <w:pgMar w:header="1088" w:footer="999" w:top="1280" w:bottom="1180" w:left="1220" w:right="1400"/>
          <w:pgNumType w:start="9"/>
        </w:sectPr>
      </w:pPr>
    </w:p>
    <w:p>
      <w:pPr>
        <w:pStyle w:val="Heading6"/>
        <w:spacing w:line="271" w:lineRule="exact" w:before="0"/>
        <w:ind w:left="5201" w:right="4952"/>
        <w:jc w:val="center"/>
        <w:rPr>
          <w:b w:val="0"/>
          <w:bCs w:val="0"/>
        </w:rPr>
      </w:pPr>
      <w:r>
        <w:rPr/>
        <w:t>所有者权益变动表（续）</w:t>
      </w:r>
      <w:r>
        <w:rPr>
          <w:b w:val="0"/>
          <w:bCs w:val="0"/>
        </w:rPr>
      </w:r>
    </w:p>
    <w:p>
      <w:pPr>
        <w:spacing w:line="280" w:lineRule="exact" w:before="0"/>
        <w:ind w:left="5202" w:right="4950" w:firstLine="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spacing w:line="266" w:lineRule="exact" w:before="0"/>
        <w:ind w:left="5202" w:right="4952"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tbl>
      <w:tblPr>
        <w:tblW w:w="0" w:type="auto"/>
        <w:jc w:val="left"/>
        <w:tblInd w:w="107" w:type="dxa"/>
        <w:tblLayout w:type="fixed"/>
        <w:tblCellMar>
          <w:top w:w="0" w:type="dxa"/>
          <w:left w:w="0" w:type="dxa"/>
          <w:bottom w:w="0" w:type="dxa"/>
          <w:right w:w="0" w:type="dxa"/>
        </w:tblCellMar>
        <w:tblLook w:val="01E0"/>
      </w:tblPr>
      <w:tblGrid>
        <w:gridCol w:w="3364"/>
        <w:gridCol w:w="1516"/>
        <w:gridCol w:w="1319"/>
        <w:gridCol w:w="1156"/>
        <w:gridCol w:w="944"/>
        <w:gridCol w:w="1376"/>
        <w:gridCol w:w="1459"/>
        <w:gridCol w:w="1260"/>
        <w:gridCol w:w="1574"/>
      </w:tblGrid>
      <w:tr>
        <w:trPr>
          <w:trHeight w:val="238" w:hRule="exact"/>
        </w:trPr>
        <w:tc>
          <w:tcPr>
            <w:tcW w:w="3364" w:type="dxa"/>
            <w:vMerge w:val="restart"/>
            <w:tcBorders>
              <w:top w:val="single" w:sz="4" w:space="0" w:color="000000"/>
              <w:left w:val="single" w:sz="4" w:space="0" w:color="000000"/>
              <w:right w:val="single" w:sz="4" w:space="0" w:color="000000"/>
            </w:tcBorders>
          </w:tcPr>
          <w:p>
            <w:pPr>
              <w:pStyle w:val="TableParagraph"/>
              <w:spacing w:line="240" w:lineRule="auto" w:before="120"/>
              <w:ind w:right="1"/>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0604"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
              <w:jc w:val="center"/>
              <w:rPr>
                <w:rFonts w:ascii="宋体" w:hAnsi="宋体" w:cs="宋体" w:eastAsia="宋体" w:hint="default"/>
                <w:sz w:val="15"/>
                <w:szCs w:val="15"/>
              </w:rPr>
            </w:pPr>
            <w:r>
              <w:rPr>
                <w:rFonts w:ascii="宋体" w:hAnsi="宋体" w:cs="宋体" w:eastAsia="宋体" w:hint="default"/>
                <w:sz w:val="15"/>
                <w:szCs w:val="15"/>
              </w:rPr>
              <w:t>上期金额</w:t>
            </w:r>
          </w:p>
        </w:tc>
      </w:tr>
      <w:tr>
        <w:trPr>
          <w:trHeight w:val="236" w:hRule="exact"/>
        </w:trPr>
        <w:tc>
          <w:tcPr>
            <w:tcW w:w="3364" w:type="dxa"/>
            <w:vMerge/>
            <w:tcBorders>
              <w:left w:val="single" w:sz="4" w:space="0" w:color="000000"/>
              <w:bottom w:val="single" w:sz="4" w:space="0" w:color="000000"/>
              <w:right w:val="single" w:sz="4" w:space="0" w:color="000000"/>
            </w:tcBorders>
          </w:tcPr>
          <w:p>
            <w:pP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6"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或股本</w:t>
            </w:r>
            <w:r>
              <w:rPr>
                <w:rFonts w:ascii="Times New Roman" w:hAnsi="Times New Roman" w:cs="Times New Roman" w:eastAsia="Times New Roman" w:hint="default"/>
                <w:sz w:val="15"/>
                <w:szCs w:val="15"/>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53"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96"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65"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82"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274"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248"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255"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38"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16"/>
                <w:szCs w:val="16"/>
              </w:rPr>
            </w:pPr>
            <w:r>
              <w:rPr>
                <w:rFonts w:ascii="Times New Roman"/>
                <w:spacing w:val="-1"/>
                <w:sz w:val="16"/>
              </w:rPr>
              <w:t>944,303,265</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405" w:right="0"/>
              <w:jc w:val="left"/>
              <w:rPr>
                <w:rFonts w:ascii="Times New Roman" w:hAnsi="Times New Roman" w:cs="Times New Roman" w:eastAsia="Times New Roman" w:hint="default"/>
                <w:sz w:val="16"/>
                <w:szCs w:val="16"/>
              </w:rPr>
            </w:pPr>
            <w:r>
              <w:rPr>
                <w:rFonts w:ascii="Times New Roman"/>
                <w:sz w:val="16"/>
              </w:rPr>
              <w:t>636,352,865</w:t>
            </w: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Times New Roman" w:hAnsi="Times New Roman" w:cs="Times New Roman" w:eastAsia="Times New Roman" w:hint="default"/>
                <w:sz w:val="16"/>
                <w:szCs w:val="16"/>
              </w:rPr>
            </w:pPr>
            <w:r>
              <w:rPr>
                <w:rFonts w:ascii="Times New Roman"/>
                <w:spacing w:val="-1"/>
                <w:sz w:val="16"/>
              </w:rPr>
              <w:t>492,325,123</w:t>
            </w: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16"/>
                <w:szCs w:val="16"/>
              </w:rPr>
            </w:pPr>
            <w:r>
              <w:rPr>
                <w:rFonts w:ascii="Times New Roman"/>
                <w:spacing w:val="-1"/>
                <w:sz w:val="16"/>
              </w:rPr>
              <w:t>1,246,964,049</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16"/>
                <w:szCs w:val="16"/>
              </w:rPr>
            </w:pPr>
            <w:r>
              <w:rPr>
                <w:rFonts w:ascii="Times New Roman"/>
                <w:spacing w:val="-1"/>
                <w:sz w:val="16"/>
              </w:rPr>
              <w:t>3,319,945,302</w:t>
            </w:r>
          </w:p>
        </w:tc>
      </w:tr>
      <w:tr>
        <w:trPr>
          <w:trHeight w:val="236"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2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5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5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16"/>
                <w:szCs w:val="16"/>
              </w:rPr>
            </w:pPr>
            <w:r>
              <w:rPr>
                <w:rFonts w:ascii="Times New Roman"/>
                <w:spacing w:val="-1"/>
                <w:sz w:val="16"/>
              </w:rPr>
              <w:t>944,303,265</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405" w:right="0"/>
              <w:jc w:val="left"/>
              <w:rPr>
                <w:rFonts w:ascii="Times New Roman" w:hAnsi="Times New Roman" w:cs="Times New Roman" w:eastAsia="Times New Roman" w:hint="default"/>
                <w:sz w:val="16"/>
                <w:szCs w:val="16"/>
              </w:rPr>
            </w:pPr>
            <w:r>
              <w:rPr>
                <w:rFonts w:ascii="Times New Roman"/>
                <w:sz w:val="16"/>
              </w:rPr>
              <w:t>636,352,865</w:t>
            </w: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Times New Roman" w:hAnsi="Times New Roman" w:cs="Times New Roman" w:eastAsia="Times New Roman" w:hint="default"/>
                <w:sz w:val="16"/>
                <w:szCs w:val="16"/>
              </w:rPr>
            </w:pPr>
            <w:r>
              <w:rPr>
                <w:rFonts w:ascii="Times New Roman"/>
                <w:spacing w:val="-1"/>
                <w:sz w:val="16"/>
              </w:rPr>
              <w:t>492,325,123</w:t>
            </w: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16"/>
                <w:szCs w:val="16"/>
              </w:rPr>
            </w:pPr>
            <w:r>
              <w:rPr>
                <w:rFonts w:ascii="Times New Roman"/>
                <w:spacing w:val="-1"/>
                <w:sz w:val="16"/>
              </w:rPr>
              <w:t>1,246,964,049</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16"/>
                <w:szCs w:val="16"/>
              </w:rPr>
            </w:pPr>
            <w:r>
              <w:rPr>
                <w:rFonts w:ascii="Times New Roman"/>
                <w:spacing w:val="-1"/>
                <w:sz w:val="16"/>
              </w:rPr>
              <w:t>3,319,945,302</w:t>
            </w:r>
          </w:p>
        </w:tc>
      </w:tr>
      <w:tr>
        <w:trPr>
          <w:trHeight w:val="236"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283,290,980</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351" w:right="0"/>
              <w:jc w:val="left"/>
              <w:rPr>
                <w:rFonts w:ascii="Times New Roman" w:hAnsi="Times New Roman" w:cs="Times New Roman" w:eastAsia="Times New Roman" w:hint="default"/>
                <w:sz w:val="16"/>
                <w:szCs w:val="16"/>
              </w:rPr>
            </w:pPr>
            <w:r>
              <w:rPr>
                <w:rFonts w:ascii="Times New Roman"/>
                <w:sz w:val="16"/>
              </w:rPr>
              <w:t>-283,290,980</w:t>
            </w: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sz w:val="16"/>
              </w:rPr>
              <w:t>43,898,486</w:t>
            </w: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sz w:val="16"/>
              </w:rPr>
              <w:t>59,897,435</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sz w:val="16"/>
              </w:rPr>
              <w:t>103,795,921</w:t>
            </w:r>
          </w:p>
        </w:tc>
      </w:tr>
      <w:tr>
        <w:trPr>
          <w:trHeight w:val="238"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Times New Roman" w:hAnsi="Times New Roman" w:cs="Times New Roman" w:eastAsia="Times New Roman" w:hint="default"/>
                <w:sz w:val="16"/>
                <w:szCs w:val="16"/>
              </w:rPr>
            </w:pPr>
            <w:r>
              <w:rPr>
                <w:rFonts w:ascii="Times New Roman"/>
                <w:spacing w:val="-1"/>
                <w:sz w:val="16"/>
              </w:rPr>
              <w:t>292,656,574</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16"/>
                <w:szCs w:val="16"/>
              </w:rPr>
            </w:pPr>
            <w:r>
              <w:rPr>
                <w:rFonts w:ascii="Times New Roman"/>
                <w:spacing w:val="-1"/>
                <w:sz w:val="16"/>
              </w:rPr>
              <w:t>292,656,574</w:t>
            </w:r>
          </w:p>
        </w:tc>
      </w:tr>
      <w:tr>
        <w:trPr>
          <w:trHeight w:val="236"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16"/>
                <w:szCs w:val="16"/>
              </w:rPr>
            </w:pPr>
            <w:r>
              <w:rPr>
                <w:rFonts w:ascii="Times New Roman"/>
                <w:spacing w:val="-1"/>
                <w:sz w:val="16"/>
              </w:rPr>
              <w:t>292,656,574</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16"/>
                <w:szCs w:val="16"/>
              </w:rPr>
            </w:pPr>
            <w:r>
              <w:rPr>
                <w:rFonts w:ascii="Times New Roman"/>
                <w:spacing w:val="-1"/>
                <w:sz w:val="16"/>
              </w:rPr>
              <w:t>292,656,574</w:t>
            </w:r>
          </w:p>
        </w:tc>
      </w:tr>
      <w:tr>
        <w:trPr>
          <w:trHeight w:val="236"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6"/>
                <w:szCs w:val="16"/>
              </w:rPr>
            </w:pPr>
            <w:r>
              <w:rPr>
                <w:rFonts w:ascii="Times New Roman"/>
                <w:spacing w:val="-1"/>
                <w:sz w:val="16"/>
              </w:rPr>
              <w:t>43,898,486</w:t>
            </w: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4"/>
              <w:jc w:val="right"/>
              <w:rPr>
                <w:rFonts w:ascii="Times New Roman" w:hAnsi="Times New Roman" w:cs="Times New Roman" w:eastAsia="Times New Roman" w:hint="default"/>
                <w:sz w:val="16"/>
                <w:szCs w:val="16"/>
              </w:rPr>
            </w:pPr>
            <w:r>
              <w:rPr>
                <w:rFonts w:ascii="Times New Roman"/>
                <w:spacing w:val="-1"/>
                <w:sz w:val="16"/>
              </w:rPr>
              <w:t>-232,759,139</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-188,860,653</w:t>
            </w:r>
          </w:p>
        </w:tc>
      </w:tr>
      <w:tr>
        <w:trPr>
          <w:trHeight w:val="220"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1"/>
              <w:jc w:val="right"/>
              <w:rPr>
                <w:rFonts w:ascii="Times New Roman" w:hAnsi="Times New Roman" w:cs="Times New Roman" w:eastAsia="Times New Roman" w:hint="default"/>
                <w:sz w:val="16"/>
                <w:szCs w:val="16"/>
              </w:rPr>
            </w:pPr>
            <w:r>
              <w:rPr>
                <w:rFonts w:ascii="Times New Roman"/>
                <w:spacing w:val="-1"/>
                <w:sz w:val="16"/>
              </w:rPr>
              <w:t>43,898,486</w:t>
            </w: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4"/>
              <w:jc w:val="right"/>
              <w:rPr>
                <w:rFonts w:ascii="Times New Roman" w:hAnsi="Times New Roman" w:cs="Times New Roman" w:eastAsia="Times New Roman" w:hint="default"/>
                <w:sz w:val="16"/>
                <w:szCs w:val="16"/>
              </w:rPr>
            </w:pPr>
            <w:r>
              <w:rPr>
                <w:rFonts w:ascii="Times New Roman"/>
                <w:spacing w:val="-1"/>
                <w:sz w:val="16"/>
              </w:rPr>
              <w:t>-43,898,486</w:t>
            </w: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4"/>
              <w:jc w:val="right"/>
              <w:rPr>
                <w:rFonts w:ascii="Times New Roman" w:hAnsi="Times New Roman" w:cs="Times New Roman" w:eastAsia="Times New Roman" w:hint="default"/>
                <w:sz w:val="16"/>
                <w:szCs w:val="16"/>
              </w:rPr>
            </w:pPr>
            <w:r>
              <w:rPr>
                <w:rFonts w:ascii="Times New Roman"/>
                <w:spacing w:val="-1"/>
                <w:sz w:val="16"/>
              </w:rPr>
              <w:t>-188,860,653</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-188,860,653</w:t>
            </w:r>
          </w:p>
        </w:tc>
      </w:tr>
      <w:tr>
        <w:trPr>
          <w:trHeight w:val="238"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02"/>
              <w:jc w:val="right"/>
              <w:rPr>
                <w:rFonts w:ascii="Times New Roman" w:hAnsi="Times New Roman" w:cs="Times New Roman" w:eastAsia="Times New Roman" w:hint="default"/>
                <w:sz w:val="16"/>
                <w:szCs w:val="16"/>
              </w:rPr>
            </w:pPr>
            <w:r>
              <w:rPr>
                <w:rFonts w:ascii="Times New Roman"/>
                <w:spacing w:val="-1"/>
                <w:sz w:val="16"/>
              </w:rPr>
              <w:t>283,290,980</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351" w:right="0"/>
              <w:jc w:val="left"/>
              <w:rPr>
                <w:rFonts w:ascii="Times New Roman" w:hAnsi="Times New Roman" w:cs="Times New Roman" w:eastAsia="Times New Roman" w:hint="default"/>
                <w:sz w:val="16"/>
                <w:szCs w:val="16"/>
              </w:rPr>
            </w:pPr>
            <w:r>
              <w:rPr>
                <w:rFonts w:ascii="Times New Roman"/>
                <w:sz w:val="16"/>
              </w:rPr>
              <w:t>-283,290,980</w:t>
            </w: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2"/>
              <w:jc w:val="right"/>
              <w:rPr>
                <w:rFonts w:ascii="Times New Roman" w:hAnsi="Times New Roman" w:cs="Times New Roman" w:eastAsia="Times New Roman" w:hint="default"/>
                <w:sz w:val="16"/>
                <w:szCs w:val="16"/>
              </w:rPr>
            </w:pPr>
            <w:r>
              <w:rPr>
                <w:rFonts w:ascii="Times New Roman"/>
                <w:spacing w:val="-1"/>
                <w:sz w:val="16"/>
              </w:rPr>
              <w:t>283,290,980</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51" w:right="0"/>
              <w:jc w:val="left"/>
              <w:rPr>
                <w:rFonts w:ascii="Times New Roman" w:hAnsi="Times New Roman" w:cs="Times New Roman" w:eastAsia="Times New Roman" w:hint="default"/>
                <w:sz w:val="16"/>
                <w:szCs w:val="16"/>
              </w:rPr>
            </w:pPr>
            <w:r>
              <w:rPr>
                <w:rFonts w:ascii="Times New Roman"/>
                <w:sz w:val="16"/>
              </w:rPr>
              <w:t>-283,290,980</w:t>
            </w: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516" w:type="dxa"/>
            <w:tcBorders>
              <w:top w:val="single" w:sz="4" w:space="0" w:color="000000"/>
              <w:left w:val="single" w:sz="4" w:space="0" w:color="000000"/>
              <w:bottom w:val="single" w:sz="4" w:space="0" w:color="000000"/>
              <w:right w:val="single" w:sz="4" w:space="0" w:color="000000"/>
            </w:tcBorders>
          </w:tcPr>
          <w:p>
            <w:pPr/>
          </w:p>
        </w:tc>
        <w:tc>
          <w:tcPr>
            <w:tcW w:w="1319"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574"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16"/>
                <w:szCs w:val="16"/>
              </w:rPr>
            </w:pPr>
            <w:r>
              <w:rPr>
                <w:rFonts w:ascii="Times New Roman"/>
                <w:spacing w:val="-1"/>
                <w:sz w:val="16"/>
              </w:rPr>
              <w:t>1,227,594,245</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405" w:right="0"/>
              <w:jc w:val="left"/>
              <w:rPr>
                <w:rFonts w:ascii="Times New Roman" w:hAnsi="Times New Roman" w:cs="Times New Roman" w:eastAsia="Times New Roman" w:hint="default"/>
                <w:sz w:val="16"/>
                <w:szCs w:val="16"/>
              </w:rPr>
            </w:pPr>
            <w:r>
              <w:rPr>
                <w:rFonts w:ascii="Times New Roman"/>
                <w:sz w:val="16"/>
              </w:rPr>
              <w:t>353,061,885</w:t>
            </w:r>
          </w:p>
        </w:tc>
        <w:tc>
          <w:tcPr>
            <w:tcW w:w="1156"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Times New Roman" w:hAnsi="Times New Roman" w:cs="Times New Roman" w:eastAsia="Times New Roman" w:hint="default"/>
                <w:sz w:val="16"/>
                <w:szCs w:val="16"/>
              </w:rPr>
            </w:pPr>
            <w:r>
              <w:rPr>
                <w:rFonts w:ascii="Times New Roman"/>
                <w:spacing w:val="-1"/>
                <w:sz w:val="16"/>
              </w:rPr>
              <w:t>536,223,609</w:t>
            </w:r>
          </w:p>
        </w:tc>
        <w:tc>
          <w:tcPr>
            <w:tcW w:w="1459"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16"/>
                <w:szCs w:val="16"/>
              </w:rPr>
            </w:pPr>
            <w:r>
              <w:rPr>
                <w:rFonts w:ascii="Times New Roman"/>
                <w:spacing w:val="-1"/>
                <w:sz w:val="16"/>
              </w:rPr>
              <w:t>1,306,861,484</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Times New Roman" w:hAnsi="Times New Roman" w:cs="Times New Roman" w:eastAsia="Times New Roman" w:hint="default"/>
                <w:sz w:val="16"/>
                <w:szCs w:val="16"/>
              </w:rPr>
            </w:pPr>
            <w:r>
              <w:rPr>
                <w:rFonts w:ascii="Times New Roman"/>
                <w:spacing w:val="-1"/>
                <w:sz w:val="16"/>
              </w:rPr>
              <w:t>3,423,741,223</w:t>
            </w:r>
          </w:p>
        </w:tc>
      </w:tr>
    </w:tbl>
    <w:p>
      <w:pPr>
        <w:spacing w:line="240" w:lineRule="auto" w:before="6"/>
        <w:rPr>
          <w:rFonts w:ascii="宋体" w:hAnsi="宋体" w:cs="宋体" w:eastAsia="宋体" w:hint="default"/>
          <w:b/>
          <w:bCs/>
          <w:sz w:val="9"/>
          <w:szCs w:val="9"/>
        </w:rPr>
      </w:pPr>
    </w:p>
    <w:p>
      <w:pPr>
        <w:spacing w:before="44"/>
        <w:ind w:left="219"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1"/>
        <w:rPr>
          <w:rFonts w:ascii="宋体" w:hAnsi="宋体" w:cs="宋体" w:eastAsia="宋体" w:hint="default"/>
          <w:sz w:val="14"/>
          <w:szCs w:val="14"/>
        </w:rPr>
      </w:pPr>
    </w:p>
    <w:p>
      <w:pPr>
        <w:tabs>
          <w:tab w:pos="4809" w:val="left" w:leader="none"/>
          <w:tab w:pos="9039" w:val="left" w:leader="none"/>
        </w:tabs>
        <w:spacing w:before="0"/>
        <w:ind w:left="219"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tab/>
        <w:t>主管会计工作负责人：王莉</w:t>
        <w:tab/>
        <w:t>会计机构负责人：陈雷</w:t>
      </w:r>
    </w:p>
    <w:p>
      <w:pPr>
        <w:spacing w:after="0"/>
        <w:jc w:val="left"/>
        <w:rPr>
          <w:rFonts w:ascii="宋体" w:hAnsi="宋体" w:cs="宋体" w:eastAsia="宋体" w:hint="default"/>
          <w:sz w:val="18"/>
          <w:szCs w:val="18"/>
        </w:rPr>
        <w:sectPr>
          <w:pgSz w:w="16840" w:h="11910" w:orient="landscape"/>
          <w:pgMar w:header="1088" w:footer="999" w:top="1280" w:bottom="1180" w:left="1220" w:right="1420"/>
        </w:sectPr>
      </w:pPr>
    </w:p>
    <w:p>
      <w:pPr>
        <w:pStyle w:val="Heading6"/>
        <w:spacing w:line="271" w:lineRule="exact" w:before="0"/>
        <w:ind w:left="5202" w:right="4732"/>
        <w:jc w:val="center"/>
        <w:rPr>
          <w:b w:val="0"/>
          <w:bCs w:val="0"/>
        </w:rPr>
      </w:pPr>
      <w:r>
        <w:rPr/>
        <w:t>合并所有者权益变动表</w:t>
      </w:r>
      <w:r>
        <w:rPr>
          <w:b w:val="0"/>
          <w:bCs w:val="0"/>
        </w:rPr>
      </w:r>
    </w:p>
    <w:p>
      <w:pPr>
        <w:spacing w:line="280" w:lineRule="exact" w:before="0"/>
        <w:ind w:left="5202" w:right="4730" w:firstLine="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spacing w:line="266" w:lineRule="exact" w:before="0"/>
        <w:ind w:left="5202" w:right="4732"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tbl>
      <w:tblPr>
        <w:tblW w:w="0" w:type="auto"/>
        <w:jc w:val="left"/>
        <w:tblInd w:w="109" w:type="dxa"/>
        <w:tblLayout w:type="fixed"/>
        <w:tblCellMar>
          <w:top w:w="0" w:type="dxa"/>
          <w:left w:w="0" w:type="dxa"/>
          <w:bottom w:w="0" w:type="dxa"/>
          <w:right w:w="0" w:type="dxa"/>
        </w:tblCellMar>
        <w:tblLook w:val="01E0"/>
      </w:tblPr>
      <w:tblGrid>
        <w:gridCol w:w="2941"/>
        <w:gridCol w:w="1260"/>
        <w:gridCol w:w="1050"/>
        <w:gridCol w:w="944"/>
        <w:gridCol w:w="856"/>
        <w:gridCol w:w="1066"/>
        <w:gridCol w:w="1154"/>
        <w:gridCol w:w="1156"/>
        <w:gridCol w:w="1019"/>
        <w:gridCol w:w="1050"/>
        <w:gridCol w:w="1260"/>
      </w:tblGrid>
      <w:tr>
        <w:trPr>
          <w:trHeight w:val="238" w:hRule="exact"/>
        </w:trPr>
        <w:tc>
          <w:tcPr>
            <w:tcW w:w="2941"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0814" w:type="dxa"/>
            <w:gridSpan w:val="10"/>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0"/>
              <w:jc w:val="center"/>
              <w:rPr>
                <w:rFonts w:ascii="宋体" w:hAnsi="宋体" w:cs="宋体" w:eastAsia="宋体" w:hint="default"/>
                <w:sz w:val="15"/>
                <w:szCs w:val="15"/>
              </w:rPr>
            </w:pPr>
            <w:r>
              <w:rPr>
                <w:rFonts w:ascii="宋体" w:hAnsi="宋体" w:cs="宋体" w:eastAsia="宋体" w:hint="default"/>
                <w:sz w:val="15"/>
                <w:szCs w:val="15"/>
              </w:rPr>
              <w:t>本期金额</w:t>
            </w:r>
          </w:p>
        </w:tc>
      </w:tr>
      <w:tr>
        <w:trPr>
          <w:trHeight w:val="236" w:hRule="exact"/>
        </w:trPr>
        <w:tc>
          <w:tcPr>
            <w:tcW w:w="2941" w:type="dxa"/>
            <w:vMerge/>
            <w:tcBorders>
              <w:left w:val="single" w:sz="4" w:space="0" w:color="000000"/>
              <w:right w:val="single" w:sz="4" w:space="0" w:color="000000"/>
            </w:tcBorders>
          </w:tcPr>
          <w:p>
            <w:pPr/>
          </w:p>
        </w:tc>
        <w:tc>
          <w:tcPr>
            <w:tcW w:w="8504" w:type="dxa"/>
            <w:gridSpan w:val="8"/>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050" w:type="dxa"/>
            <w:vMerge w:val="restart"/>
            <w:tcBorders>
              <w:top w:val="single" w:sz="4" w:space="0" w:color="000000"/>
              <w:left w:val="single" w:sz="4" w:space="0" w:color="000000"/>
              <w:right w:val="single" w:sz="4" w:space="0" w:color="000000"/>
            </w:tcBorders>
          </w:tcPr>
          <w:p>
            <w:pPr>
              <w:pStyle w:val="TableParagraph"/>
              <w:spacing w:line="240" w:lineRule="auto" w:before="95"/>
              <w:ind w:left="69"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260" w:type="dxa"/>
            <w:vMerge w:val="restart"/>
            <w:tcBorders>
              <w:top w:val="single" w:sz="4" w:space="0" w:color="000000"/>
              <w:left w:val="single" w:sz="4" w:space="0" w:color="000000"/>
              <w:right w:val="single" w:sz="4" w:space="0" w:color="000000"/>
            </w:tcBorders>
          </w:tcPr>
          <w:p>
            <w:pPr>
              <w:pStyle w:val="TableParagraph"/>
              <w:spacing w:line="240" w:lineRule="auto" w:before="95"/>
              <w:ind w:left="159"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38" w:hRule="exact"/>
        </w:trPr>
        <w:tc>
          <w:tcPr>
            <w:tcW w:w="2941" w:type="dxa"/>
            <w:vMerge/>
            <w:tcBorders>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85" w:lineRule="exact"/>
              <w:ind w:right="48"/>
              <w:jc w:val="right"/>
              <w:rPr>
                <w:rFonts w:ascii="Times New Roman" w:hAnsi="Times New Roman" w:cs="Times New Roman" w:eastAsia="Times New Roman"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或股本</w:t>
            </w:r>
            <w:r>
              <w:rPr>
                <w:rFonts w:ascii="Times New Roman" w:hAnsi="Times New Roman" w:cs="Times New Roman" w:eastAsia="Times New Roman" w:hint="default"/>
                <w:sz w:val="15"/>
                <w:szCs w:val="15"/>
              </w:rPr>
              <w:t>)</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218"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4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01" w:right="0"/>
              <w:jc w:val="left"/>
              <w:rPr>
                <w:rFonts w:ascii="宋体" w:hAnsi="宋体" w:cs="宋体" w:eastAsia="宋体" w:hint="default"/>
                <w:sz w:val="15"/>
                <w:szCs w:val="15"/>
              </w:rPr>
            </w:pPr>
            <w:r>
              <w:rPr>
                <w:rFonts w:ascii="宋体" w:hAnsi="宋体" w:cs="宋体" w:eastAsia="宋体" w:hint="default"/>
                <w:spacing w:val="-5"/>
                <w:sz w:val="15"/>
                <w:szCs w:val="15"/>
              </w:rPr>
              <w:t>减：库存股</w:t>
            </w: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22"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227"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22"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96"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019"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1"/>
              <w:jc w:val="center"/>
              <w:rPr>
                <w:rFonts w:ascii="宋体" w:hAnsi="宋体" w:cs="宋体" w:eastAsia="宋体" w:hint="default"/>
                <w:sz w:val="15"/>
                <w:szCs w:val="15"/>
              </w:rPr>
            </w:pPr>
            <w:r>
              <w:rPr>
                <w:rFonts w:ascii="宋体" w:hAnsi="宋体" w:cs="宋体" w:eastAsia="宋体" w:hint="default"/>
                <w:sz w:val="15"/>
                <w:szCs w:val="15"/>
              </w:rPr>
              <w:t>其他</w:t>
            </w:r>
          </w:p>
        </w:tc>
        <w:tc>
          <w:tcPr>
            <w:tcW w:w="1050" w:type="dxa"/>
            <w:vMerge/>
            <w:tcBorders>
              <w:left w:val="single" w:sz="4" w:space="0" w:color="000000"/>
              <w:bottom w:val="single" w:sz="4" w:space="0" w:color="000000"/>
              <w:right w:val="single" w:sz="4" w:space="0" w:color="000000"/>
            </w:tcBorders>
          </w:tcPr>
          <w:p>
            <w:pPr/>
          </w:p>
        </w:tc>
        <w:tc>
          <w:tcPr>
            <w:tcW w:w="1260" w:type="dxa"/>
            <w:vMerge/>
            <w:tcBorders>
              <w:left w:val="single" w:sz="4" w:space="0" w:color="000000"/>
              <w:bottom w:val="single" w:sz="4" w:space="0" w:color="000000"/>
              <w:right w:val="single" w:sz="4" w:space="0" w:color="000000"/>
            </w:tcBorders>
          </w:tcPr>
          <w:p>
            <w:pPr/>
          </w:p>
        </w:tc>
      </w:tr>
      <w:tr>
        <w:trPr>
          <w:trHeight w:val="23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16"/>
                <w:szCs w:val="16"/>
              </w:rPr>
            </w:pPr>
            <w:r>
              <w:rPr>
                <w:rFonts w:ascii="Times New Roman"/>
                <w:spacing w:val="-1"/>
                <w:sz w:val="16"/>
              </w:rPr>
              <w:t>1,227,594,245</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16"/>
                <w:szCs w:val="16"/>
              </w:rPr>
            </w:pPr>
            <w:r>
              <w:rPr>
                <w:rFonts w:ascii="Times New Roman"/>
                <w:spacing w:val="-1"/>
                <w:sz w:val="16"/>
              </w:rPr>
              <w:t>363,002,779</w:t>
            </w: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16"/>
                <w:szCs w:val="16"/>
              </w:rPr>
            </w:pPr>
            <w:r>
              <w:rPr>
                <w:rFonts w:ascii="Times New Roman"/>
                <w:spacing w:val="-1"/>
                <w:sz w:val="16"/>
              </w:rPr>
              <w:t>544,513,861</w:t>
            </w: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16"/>
                <w:szCs w:val="16"/>
              </w:rPr>
            </w:pPr>
            <w:r>
              <w:rPr>
                <w:rFonts w:ascii="Times New Roman"/>
                <w:spacing w:val="-1"/>
                <w:sz w:val="16"/>
              </w:rPr>
              <w:t>2,171,819,047</w:t>
            </w:r>
          </w:p>
        </w:tc>
        <w:tc>
          <w:tcPr>
            <w:tcW w:w="1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0" w:right="0"/>
              <w:jc w:val="center"/>
              <w:rPr>
                <w:rFonts w:ascii="Times New Roman" w:hAnsi="Times New Roman" w:cs="Times New Roman" w:eastAsia="Times New Roman" w:hint="default"/>
                <w:sz w:val="16"/>
                <w:szCs w:val="16"/>
              </w:rPr>
            </w:pPr>
            <w:r>
              <w:rPr>
                <w:rFonts w:ascii="Times New Roman"/>
                <w:sz w:val="16"/>
              </w:rPr>
              <w:t>-26,721,620</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99"/>
              <w:jc w:val="right"/>
              <w:rPr>
                <w:rFonts w:ascii="Times New Roman" w:hAnsi="Times New Roman" w:cs="Times New Roman" w:eastAsia="Times New Roman" w:hint="default"/>
                <w:sz w:val="16"/>
                <w:szCs w:val="16"/>
              </w:rPr>
            </w:pPr>
            <w:r>
              <w:rPr>
                <w:rFonts w:ascii="Times New Roman"/>
                <w:spacing w:val="-1"/>
                <w:sz w:val="16"/>
              </w:rPr>
              <w:t>305,004,159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99"/>
              <w:jc w:val="right"/>
              <w:rPr>
                <w:rFonts w:ascii="Times New Roman" w:hAnsi="Times New Roman" w:cs="Times New Roman" w:eastAsia="Times New Roman" w:hint="default"/>
                <w:sz w:val="16"/>
                <w:szCs w:val="16"/>
              </w:rPr>
            </w:pPr>
            <w:r>
              <w:rPr>
                <w:rFonts w:ascii="Times New Roman"/>
                <w:spacing w:val="-1"/>
                <w:sz w:val="16"/>
              </w:rPr>
              <w:t>4,585,212,471</w:t>
            </w:r>
          </w:p>
        </w:tc>
      </w:tr>
      <w:tr>
        <w:trPr>
          <w:trHeight w:val="205"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2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5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205"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5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16"/>
                <w:szCs w:val="16"/>
              </w:rPr>
            </w:pPr>
            <w:r>
              <w:rPr>
                <w:rFonts w:ascii="Times New Roman"/>
                <w:spacing w:val="-1"/>
                <w:sz w:val="16"/>
              </w:rPr>
              <w:t>1,227,594,245</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16"/>
                <w:szCs w:val="16"/>
              </w:rPr>
            </w:pPr>
            <w:r>
              <w:rPr>
                <w:rFonts w:ascii="Times New Roman"/>
                <w:spacing w:val="-1"/>
                <w:sz w:val="16"/>
              </w:rPr>
              <w:t>363,002,779</w:t>
            </w: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16"/>
                <w:szCs w:val="16"/>
              </w:rPr>
            </w:pPr>
            <w:r>
              <w:rPr>
                <w:rFonts w:ascii="Times New Roman"/>
                <w:spacing w:val="-1"/>
                <w:sz w:val="16"/>
              </w:rPr>
              <w:t>544,513,861</w:t>
            </w: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16"/>
                <w:szCs w:val="16"/>
              </w:rPr>
            </w:pPr>
            <w:r>
              <w:rPr>
                <w:rFonts w:ascii="Times New Roman"/>
                <w:spacing w:val="-1"/>
                <w:sz w:val="16"/>
              </w:rPr>
              <w:t>2,171,819,047</w:t>
            </w:r>
          </w:p>
        </w:tc>
        <w:tc>
          <w:tcPr>
            <w:tcW w:w="1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0" w:right="0"/>
              <w:jc w:val="center"/>
              <w:rPr>
                <w:rFonts w:ascii="Times New Roman" w:hAnsi="Times New Roman" w:cs="Times New Roman" w:eastAsia="Times New Roman" w:hint="default"/>
                <w:sz w:val="16"/>
                <w:szCs w:val="16"/>
              </w:rPr>
            </w:pPr>
            <w:r>
              <w:rPr>
                <w:rFonts w:ascii="Times New Roman"/>
                <w:sz w:val="16"/>
              </w:rPr>
              <w:t>-26,721,620</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99"/>
              <w:jc w:val="right"/>
              <w:rPr>
                <w:rFonts w:ascii="Times New Roman" w:hAnsi="Times New Roman" w:cs="Times New Roman" w:eastAsia="Times New Roman" w:hint="default"/>
                <w:sz w:val="16"/>
                <w:szCs w:val="16"/>
              </w:rPr>
            </w:pPr>
            <w:r>
              <w:rPr>
                <w:rFonts w:ascii="Times New Roman"/>
                <w:spacing w:val="-1"/>
                <w:sz w:val="16"/>
              </w:rPr>
              <w:t>305,004,159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99"/>
              <w:jc w:val="right"/>
              <w:rPr>
                <w:rFonts w:ascii="Times New Roman" w:hAnsi="Times New Roman" w:cs="Times New Roman" w:eastAsia="Times New Roman" w:hint="default"/>
                <w:sz w:val="16"/>
                <w:szCs w:val="16"/>
              </w:rPr>
            </w:pPr>
            <w:r>
              <w:rPr>
                <w:rFonts w:ascii="Times New Roman"/>
                <w:spacing w:val="-1"/>
                <w:sz w:val="16"/>
              </w:rPr>
              <w:t>4,585,212,471</w:t>
            </w:r>
          </w:p>
        </w:tc>
      </w:tr>
      <w:tr>
        <w:trPr>
          <w:trHeight w:val="205"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03" w:right="0"/>
              <w:jc w:val="left"/>
              <w:rPr>
                <w:rFonts w:ascii="宋体" w:hAnsi="宋体" w:cs="宋体" w:eastAsia="宋体" w:hint="default"/>
                <w:sz w:val="15"/>
                <w:szCs w:val="15"/>
              </w:rPr>
            </w:pPr>
            <w:r>
              <w:rPr>
                <w:rFonts w:ascii="宋体" w:hAnsi="宋体" w:cs="宋体" w:eastAsia="宋体" w:hint="default"/>
                <w:spacing w:val="-5"/>
                <w:sz w:val="15"/>
                <w:szCs w:val="15"/>
              </w:rPr>
              <w:t>三、本期增减变动金额（减少以</w:t>
            </w:r>
            <w:r>
              <w:rPr>
                <w:rFonts w:ascii="Times New Roman" w:hAnsi="Times New Roman" w:cs="Times New Roman" w:eastAsia="Times New Roman" w:hint="default"/>
                <w:spacing w:val="-5"/>
                <w:sz w:val="15"/>
                <w:szCs w:val="15"/>
              </w:rPr>
              <w:t>“-”</w:t>
            </w:r>
            <w:r>
              <w:rPr>
                <w:rFonts w:ascii="宋体" w:hAnsi="宋体" w:cs="宋体" w:eastAsia="宋体" w:hint="default"/>
                <w:spacing w:val="-5"/>
                <w:sz w:val="15"/>
                <w:szCs w:val="15"/>
              </w:rPr>
              <w:t>号填列）</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01"/>
              <w:jc w:val="right"/>
              <w:rPr>
                <w:rFonts w:ascii="Times New Roman" w:hAnsi="Times New Roman" w:cs="Times New Roman" w:eastAsia="Times New Roman" w:hint="default"/>
                <w:sz w:val="16"/>
                <w:szCs w:val="16"/>
              </w:rPr>
            </w:pPr>
            <w:r>
              <w:rPr>
                <w:rFonts w:ascii="Times New Roman"/>
                <w:spacing w:val="-1"/>
                <w:sz w:val="16"/>
              </w:rPr>
              <w:t>-755,578</w:t>
            </w: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01"/>
              <w:jc w:val="right"/>
              <w:rPr>
                <w:rFonts w:ascii="Times New Roman" w:hAnsi="Times New Roman" w:cs="Times New Roman" w:eastAsia="Times New Roman" w:hint="default"/>
                <w:sz w:val="16"/>
                <w:szCs w:val="16"/>
              </w:rPr>
            </w:pPr>
            <w:r>
              <w:rPr>
                <w:rFonts w:ascii="Times New Roman"/>
                <w:spacing w:val="-1"/>
                <w:sz w:val="16"/>
              </w:rPr>
              <w:t>52,189,853</w:t>
            </w: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01"/>
              <w:jc w:val="right"/>
              <w:rPr>
                <w:rFonts w:ascii="Times New Roman" w:hAnsi="Times New Roman" w:cs="Times New Roman" w:eastAsia="Times New Roman" w:hint="default"/>
                <w:sz w:val="16"/>
                <w:szCs w:val="16"/>
              </w:rPr>
            </w:pPr>
            <w:r>
              <w:rPr>
                <w:rFonts w:ascii="Times New Roman"/>
                <w:spacing w:val="-1"/>
                <w:sz w:val="16"/>
              </w:rPr>
              <w:t>364,879,127</w:t>
            </w:r>
          </w:p>
        </w:tc>
        <w:tc>
          <w:tcPr>
            <w:tcW w:w="1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30" w:right="0"/>
              <w:jc w:val="center"/>
              <w:rPr>
                <w:rFonts w:ascii="Times New Roman" w:hAnsi="Times New Roman" w:cs="Times New Roman" w:eastAsia="Times New Roman" w:hint="default"/>
                <w:sz w:val="16"/>
                <w:szCs w:val="16"/>
              </w:rPr>
            </w:pPr>
            <w:r>
              <w:rPr>
                <w:rFonts w:ascii="Times New Roman"/>
                <w:sz w:val="16"/>
              </w:rPr>
              <w:t>-21,844,159</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00"/>
              <w:jc w:val="right"/>
              <w:rPr>
                <w:rFonts w:ascii="Times New Roman" w:hAnsi="Times New Roman" w:cs="Times New Roman" w:eastAsia="Times New Roman" w:hint="default"/>
                <w:sz w:val="16"/>
                <w:szCs w:val="16"/>
              </w:rPr>
            </w:pPr>
            <w:r>
              <w:rPr>
                <w:rFonts w:ascii="Times New Roman"/>
                <w:spacing w:val="-1"/>
                <w:sz w:val="16"/>
              </w:rPr>
              <w:t>35,441,554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99"/>
              <w:jc w:val="right"/>
              <w:rPr>
                <w:rFonts w:ascii="Times New Roman" w:hAnsi="Times New Roman" w:cs="Times New Roman" w:eastAsia="Times New Roman" w:hint="default"/>
                <w:sz w:val="16"/>
                <w:szCs w:val="16"/>
              </w:rPr>
            </w:pPr>
            <w:r>
              <w:rPr>
                <w:rFonts w:ascii="Times New Roman"/>
                <w:spacing w:val="-1"/>
                <w:sz w:val="16"/>
              </w:rPr>
              <w:t>429,910,797</w:t>
            </w:r>
          </w:p>
        </w:tc>
      </w:tr>
      <w:tr>
        <w:trPr>
          <w:trHeight w:val="23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16"/>
                <w:szCs w:val="16"/>
              </w:rPr>
            </w:pPr>
            <w:r>
              <w:rPr>
                <w:rFonts w:ascii="Times New Roman"/>
                <w:spacing w:val="-1"/>
                <w:sz w:val="16"/>
              </w:rPr>
              <w:t>417,068,980</w:t>
            </w: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0"/>
              <w:jc w:val="right"/>
              <w:rPr>
                <w:rFonts w:ascii="Times New Roman" w:hAnsi="Times New Roman" w:cs="Times New Roman" w:eastAsia="Times New Roman" w:hint="default"/>
                <w:sz w:val="16"/>
                <w:szCs w:val="16"/>
              </w:rPr>
            </w:pPr>
            <w:r>
              <w:rPr>
                <w:rFonts w:ascii="Times New Roman"/>
                <w:spacing w:val="-1"/>
                <w:sz w:val="16"/>
              </w:rPr>
              <w:t>6,476,572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99"/>
              <w:jc w:val="right"/>
              <w:rPr>
                <w:rFonts w:ascii="Times New Roman" w:hAnsi="Times New Roman" w:cs="Times New Roman" w:eastAsia="Times New Roman" w:hint="default"/>
                <w:sz w:val="16"/>
                <w:szCs w:val="16"/>
              </w:rPr>
            </w:pPr>
            <w:r>
              <w:rPr>
                <w:rFonts w:ascii="Times New Roman"/>
                <w:spacing w:val="-1"/>
                <w:sz w:val="16"/>
              </w:rPr>
              <w:t>423,545,552</w:t>
            </w:r>
          </w:p>
        </w:tc>
      </w:tr>
      <w:tr>
        <w:trPr>
          <w:trHeight w:val="23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1"/>
              <w:jc w:val="right"/>
              <w:rPr>
                <w:rFonts w:ascii="Times New Roman" w:hAnsi="Times New Roman" w:cs="Times New Roman" w:eastAsia="Times New Roman" w:hint="default"/>
                <w:sz w:val="16"/>
                <w:szCs w:val="16"/>
              </w:rPr>
            </w:pPr>
            <w:r>
              <w:rPr>
                <w:rFonts w:ascii="Times New Roman"/>
                <w:spacing w:val="-1"/>
                <w:sz w:val="16"/>
              </w:rPr>
              <w:t>-755,902</w:t>
            </w: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30" w:right="0"/>
              <w:jc w:val="center"/>
              <w:rPr>
                <w:rFonts w:ascii="Times New Roman" w:hAnsi="Times New Roman" w:cs="Times New Roman" w:eastAsia="Times New Roman" w:hint="default"/>
                <w:sz w:val="16"/>
                <w:szCs w:val="16"/>
              </w:rPr>
            </w:pPr>
            <w:r>
              <w:rPr>
                <w:rFonts w:ascii="Times New Roman"/>
                <w:sz w:val="16"/>
              </w:rPr>
              <w:t>-21,844,159</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1"/>
              <w:jc w:val="right"/>
              <w:rPr>
                <w:rFonts w:ascii="Times New Roman" w:hAnsi="Times New Roman" w:cs="Times New Roman" w:eastAsia="Times New Roman" w:hint="default"/>
                <w:sz w:val="16"/>
                <w:szCs w:val="16"/>
              </w:rPr>
            </w:pPr>
            <w:r>
              <w:rPr>
                <w:rFonts w:ascii="Times New Roman"/>
                <w:spacing w:val="-1"/>
                <w:sz w:val="16"/>
              </w:rPr>
              <w:t>186,776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0"/>
              <w:jc w:val="right"/>
              <w:rPr>
                <w:rFonts w:ascii="Times New Roman" w:hAnsi="Times New Roman" w:cs="Times New Roman" w:eastAsia="Times New Roman" w:hint="default"/>
                <w:sz w:val="16"/>
                <w:szCs w:val="16"/>
              </w:rPr>
            </w:pPr>
            <w:r>
              <w:rPr>
                <w:rFonts w:ascii="Times New Roman"/>
                <w:spacing w:val="-1"/>
                <w:sz w:val="16"/>
              </w:rPr>
              <w:t>-22,413,285</w:t>
            </w:r>
          </w:p>
        </w:tc>
      </w:tr>
      <w:tr>
        <w:trPr>
          <w:trHeight w:val="23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16"/>
                <w:szCs w:val="16"/>
              </w:rPr>
            </w:pPr>
            <w:r>
              <w:rPr>
                <w:rFonts w:ascii="Times New Roman"/>
                <w:spacing w:val="-1"/>
                <w:sz w:val="16"/>
              </w:rPr>
              <w:t>-755,902</w:t>
            </w: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16"/>
                <w:szCs w:val="16"/>
              </w:rPr>
            </w:pPr>
            <w:r>
              <w:rPr>
                <w:rFonts w:ascii="Times New Roman"/>
                <w:spacing w:val="-1"/>
                <w:sz w:val="16"/>
              </w:rPr>
              <w:t>417,068,980</w:t>
            </w:r>
          </w:p>
        </w:tc>
        <w:tc>
          <w:tcPr>
            <w:tcW w:w="1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0" w:right="0"/>
              <w:jc w:val="center"/>
              <w:rPr>
                <w:rFonts w:ascii="Times New Roman" w:hAnsi="Times New Roman" w:cs="Times New Roman" w:eastAsia="Times New Roman" w:hint="default"/>
                <w:sz w:val="16"/>
                <w:szCs w:val="16"/>
              </w:rPr>
            </w:pPr>
            <w:r>
              <w:rPr>
                <w:rFonts w:ascii="Times New Roman"/>
                <w:sz w:val="16"/>
              </w:rPr>
              <w:t>-21,844,159</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0"/>
              <w:jc w:val="right"/>
              <w:rPr>
                <w:rFonts w:ascii="Times New Roman" w:hAnsi="Times New Roman" w:cs="Times New Roman" w:eastAsia="Times New Roman" w:hint="default"/>
                <w:sz w:val="16"/>
                <w:szCs w:val="16"/>
              </w:rPr>
            </w:pPr>
            <w:r>
              <w:rPr>
                <w:rFonts w:ascii="Times New Roman"/>
                <w:spacing w:val="-1"/>
                <w:sz w:val="16"/>
              </w:rPr>
              <w:t>6,663,348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99"/>
              <w:jc w:val="right"/>
              <w:rPr>
                <w:rFonts w:ascii="Times New Roman" w:hAnsi="Times New Roman" w:cs="Times New Roman" w:eastAsia="Times New Roman" w:hint="default"/>
                <w:sz w:val="16"/>
                <w:szCs w:val="16"/>
              </w:rPr>
            </w:pPr>
            <w:r>
              <w:rPr>
                <w:rFonts w:ascii="Times New Roman"/>
                <w:spacing w:val="-1"/>
                <w:sz w:val="16"/>
              </w:rPr>
              <w:t>401,132,267</w:t>
            </w:r>
          </w:p>
        </w:tc>
      </w:tr>
      <w:tr>
        <w:trPr>
          <w:trHeight w:val="23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1"/>
              <w:jc w:val="right"/>
              <w:rPr>
                <w:rFonts w:ascii="Times New Roman" w:hAnsi="Times New Roman" w:cs="Times New Roman" w:eastAsia="Times New Roman" w:hint="default"/>
                <w:sz w:val="16"/>
                <w:szCs w:val="16"/>
              </w:rPr>
            </w:pPr>
            <w:r>
              <w:rPr>
                <w:rFonts w:ascii="Times New Roman"/>
                <w:w w:val="95"/>
                <w:sz w:val="16"/>
              </w:rPr>
              <w:t>324</w:t>
            </w:r>
            <w:r>
              <w:rPr>
                <w:rFonts w:ascii="Times New Roman"/>
                <w:sz w:val="16"/>
              </w:rPr>
            </w: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0"/>
              <w:jc w:val="right"/>
              <w:rPr>
                <w:rFonts w:ascii="Times New Roman" w:hAnsi="Times New Roman" w:cs="Times New Roman" w:eastAsia="Times New Roman" w:hint="default"/>
                <w:sz w:val="16"/>
                <w:szCs w:val="16"/>
              </w:rPr>
            </w:pPr>
            <w:r>
              <w:rPr>
                <w:rFonts w:ascii="Times New Roman"/>
                <w:spacing w:val="-1"/>
                <w:sz w:val="16"/>
              </w:rPr>
              <w:t>32,022,947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0"/>
              <w:jc w:val="right"/>
              <w:rPr>
                <w:rFonts w:ascii="Times New Roman" w:hAnsi="Times New Roman" w:cs="Times New Roman" w:eastAsia="Times New Roman" w:hint="default"/>
                <w:sz w:val="16"/>
                <w:szCs w:val="16"/>
              </w:rPr>
            </w:pPr>
            <w:r>
              <w:rPr>
                <w:rFonts w:ascii="Times New Roman"/>
                <w:spacing w:val="-1"/>
                <w:sz w:val="16"/>
              </w:rPr>
              <w:t>32,023,271</w:t>
            </w:r>
          </w:p>
        </w:tc>
      </w:tr>
      <w:tr>
        <w:trPr>
          <w:trHeight w:val="23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16"/>
                <w:szCs w:val="16"/>
              </w:rPr>
            </w:pPr>
            <w:r>
              <w:rPr>
                <w:rFonts w:ascii="Times New Roman"/>
                <w:w w:val="95"/>
                <w:sz w:val="16"/>
              </w:rPr>
              <w:t>324</w:t>
            </w:r>
            <w:r>
              <w:rPr>
                <w:rFonts w:ascii="Times New Roman"/>
                <w:sz w:val="16"/>
              </w:rPr>
            </w: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0"/>
              <w:jc w:val="right"/>
              <w:rPr>
                <w:rFonts w:ascii="Times New Roman" w:hAnsi="Times New Roman" w:cs="Times New Roman" w:eastAsia="Times New Roman" w:hint="default"/>
                <w:sz w:val="16"/>
                <w:szCs w:val="16"/>
              </w:rPr>
            </w:pPr>
            <w:r>
              <w:rPr>
                <w:rFonts w:ascii="Times New Roman"/>
                <w:spacing w:val="-1"/>
                <w:sz w:val="16"/>
              </w:rPr>
              <w:t>32,925,491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0"/>
              <w:jc w:val="right"/>
              <w:rPr>
                <w:rFonts w:ascii="Times New Roman" w:hAnsi="Times New Roman" w:cs="Times New Roman" w:eastAsia="Times New Roman" w:hint="default"/>
                <w:sz w:val="16"/>
                <w:szCs w:val="16"/>
              </w:rPr>
            </w:pPr>
            <w:r>
              <w:rPr>
                <w:rFonts w:ascii="Times New Roman"/>
                <w:spacing w:val="-1"/>
                <w:sz w:val="16"/>
              </w:rPr>
              <w:t>32,925,815</w:t>
            </w:r>
          </w:p>
        </w:tc>
      </w:tr>
      <w:tr>
        <w:trPr>
          <w:trHeight w:val="23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99"/>
              <w:jc w:val="right"/>
              <w:rPr>
                <w:rFonts w:ascii="Times New Roman" w:hAnsi="Times New Roman" w:cs="Times New Roman" w:eastAsia="Times New Roman" w:hint="default"/>
                <w:sz w:val="16"/>
                <w:szCs w:val="16"/>
              </w:rPr>
            </w:pPr>
            <w:r>
              <w:rPr>
                <w:rFonts w:ascii="Times New Roman"/>
                <w:spacing w:val="-1"/>
                <w:sz w:val="16"/>
              </w:rPr>
              <w:t>-902,544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99"/>
              <w:jc w:val="right"/>
              <w:rPr>
                <w:rFonts w:ascii="Times New Roman" w:hAnsi="Times New Roman" w:cs="Times New Roman" w:eastAsia="Times New Roman" w:hint="default"/>
                <w:sz w:val="16"/>
                <w:szCs w:val="16"/>
              </w:rPr>
            </w:pPr>
            <w:r>
              <w:rPr>
                <w:rFonts w:ascii="Times New Roman"/>
                <w:spacing w:val="-1"/>
                <w:sz w:val="16"/>
              </w:rPr>
              <w:t>-902,544</w:t>
            </w:r>
          </w:p>
        </w:tc>
      </w:tr>
      <w:tr>
        <w:trPr>
          <w:trHeight w:val="23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1"/>
              <w:jc w:val="right"/>
              <w:rPr>
                <w:rFonts w:ascii="Times New Roman" w:hAnsi="Times New Roman" w:cs="Times New Roman" w:eastAsia="Times New Roman" w:hint="default"/>
                <w:sz w:val="16"/>
                <w:szCs w:val="16"/>
              </w:rPr>
            </w:pPr>
            <w:r>
              <w:rPr>
                <w:rFonts w:ascii="Times New Roman"/>
                <w:spacing w:val="-1"/>
                <w:sz w:val="16"/>
              </w:rPr>
              <w:t>52,189,853</w:t>
            </w: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01"/>
              <w:jc w:val="right"/>
              <w:rPr>
                <w:rFonts w:ascii="Times New Roman" w:hAnsi="Times New Roman" w:cs="Times New Roman" w:eastAsia="Times New Roman" w:hint="default"/>
                <w:sz w:val="16"/>
                <w:szCs w:val="16"/>
              </w:rPr>
            </w:pPr>
            <w:r>
              <w:rPr>
                <w:rFonts w:ascii="Times New Roman"/>
                <w:spacing w:val="-1"/>
                <w:sz w:val="16"/>
              </w:rPr>
              <w:t>-52,189,853</w:t>
            </w: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9"/>
              <w:jc w:val="right"/>
              <w:rPr>
                <w:rFonts w:ascii="Times New Roman" w:hAnsi="Times New Roman" w:cs="Times New Roman" w:eastAsia="Times New Roman" w:hint="default"/>
                <w:sz w:val="16"/>
                <w:szCs w:val="16"/>
              </w:rPr>
            </w:pPr>
            <w:r>
              <w:rPr>
                <w:rFonts w:ascii="Times New Roman"/>
                <w:spacing w:val="-1"/>
                <w:sz w:val="16"/>
              </w:rPr>
              <w:t>-3,244,741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99"/>
              <w:jc w:val="right"/>
              <w:rPr>
                <w:rFonts w:ascii="Times New Roman" w:hAnsi="Times New Roman" w:cs="Times New Roman" w:eastAsia="Times New Roman" w:hint="default"/>
                <w:sz w:val="16"/>
                <w:szCs w:val="16"/>
              </w:rPr>
            </w:pPr>
            <w:r>
              <w:rPr>
                <w:rFonts w:ascii="Times New Roman"/>
                <w:spacing w:val="-1"/>
                <w:sz w:val="16"/>
              </w:rPr>
              <w:t>-3,244,741</w:t>
            </w:r>
          </w:p>
        </w:tc>
      </w:tr>
      <w:tr>
        <w:trPr>
          <w:trHeight w:val="204"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6"/>
                <w:szCs w:val="16"/>
              </w:rPr>
            </w:pPr>
            <w:r>
              <w:rPr>
                <w:rFonts w:ascii="Times New Roman"/>
                <w:spacing w:val="-1"/>
                <w:sz w:val="16"/>
              </w:rPr>
              <w:t>52,189,853</w:t>
            </w: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16"/>
                <w:szCs w:val="16"/>
              </w:rPr>
            </w:pPr>
            <w:r>
              <w:rPr>
                <w:rFonts w:ascii="Times New Roman"/>
                <w:spacing w:val="-1"/>
                <w:sz w:val="16"/>
              </w:rPr>
              <w:t>-52,189,853</w:t>
            </w: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99"/>
              <w:jc w:val="right"/>
              <w:rPr>
                <w:rFonts w:ascii="Times New Roman" w:hAnsi="Times New Roman" w:cs="Times New Roman" w:eastAsia="Times New Roman" w:hint="default"/>
                <w:sz w:val="16"/>
                <w:szCs w:val="16"/>
              </w:rPr>
            </w:pPr>
            <w:r>
              <w:rPr>
                <w:rFonts w:ascii="Times New Roman"/>
                <w:spacing w:val="-1"/>
                <w:sz w:val="16"/>
              </w:rPr>
              <w:t>-3,244,741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99"/>
              <w:jc w:val="right"/>
              <w:rPr>
                <w:rFonts w:ascii="Times New Roman" w:hAnsi="Times New Roman" w:cs="Times New Roman" w:eastAsia="Times New Roman" w:hint="default"/>
                <w:sz w:val="16"/>
                <w:szCs w:val="16"/>
              </w:rPr>
            </w:pPr>
            <w:r>
              <w:rPr>
                <w:rFonts w:ascii="Times New Roman"/>
                <w:spacing w:val="-1"/>
                <w:sz w:val="16"/>
              </w:rPr>
              <w:t>-3,244,741</w:t>
            </w:r>
          </w:p>
        </w:tc>
      </w:tr>
      <w:tr>
        <w:trPr>
          <w:trHeight w:val="205"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88"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260"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1019"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235"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Times New Roman" w:hAnsi="Times New Roman" w:cs="Times New Roman" w:eastAsia="Times New Roman" w:hint="default"/>
                <w:sz w:val="16"/>
                <w:szCs w:val="16"/>
              </w:rPr>
            </w:pPr>
            <w:r>
              <w:rPr>
                <w:rFonts w:ascii="Times New Roman"/>
                <w:spacing w:val="-1"/>
                <w:sz w:val="16"/>
              </w:rPr>
              <w:t>1,227,594,245</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Times New Roman" w:hAnsi="Times New Roman" w:cs="Times New Roman" w:eastAsia="Times New Roman" w:hint="default"/>
                <w:sz w:val="16"/>
                <w:szCs w:val="16"/>
              </w:rPr>
            </w:pPr>
            <w:r>
              <w:rPr>
                <w:rFonts w:ascii="Times New Roman"/>
                <w:spacing w:val="-1"/>
                <w:sz w:val="16"/>
              </w:rPr>
              <w:t>362,247,201</w:t>
            </w:r>
          </w:p>
        </w:tc>
        <w:tc>
          <w:tcPr>
            <w:tcW w:w="944"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Times New Roman" w:hAnsi="Times New Roman" w:cs="Times New Roman" w:eastAsia="Times New Roman" w:hint="default"/>
                <w:sz w:val="16"/>
                <w:szCs w:val="16"/>
              </w:rPr>
            </w:pPr>
            <w:r>
              <w:rPr>
                <w:rFonts w:ascii="Times New Roman"/>
                <w:spacing w:val="-1"/>
                <w:sz w:val="16"/>
              </w:rPr>
              <w:t>596,703,714</w:t>
            </w:r>
          </w:p>
        </w:tc>
        <w:tc>
          <w:tcPr>
            <w:tcW w:w="1154"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1"/>
              <w:jc w:val="right"/>
              <w:rPr>
                <w:rFonts w:ascii="Times New Roman" w:hAnsi="Times New Roman" w:cs="Times New Roman" w:eastAsia="Times New Roman" w:hint="default"/>
                <w:sz w:val="16"/>
                <w:szCs w:val="16"/>
              </w:rPr>
            </w:pPr>
            <w:r>
              <w:rPr>
                <w:rFonts w:ascii="Times New Roman"/>
                <w:spacing w:val="-1"/>
                <w:sz w:val="16"/>
              </w:rPr>
              <w:t>2,536,698,174</w:t>
            </w:r>
          </w:p>
        </w:tc>
        <w:tc>
          <w:tcPr>
            <w:tcW w:w="1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0" w:right="0"/>
              <w:jc w:val="center"/>
              <w:rPr>
                <w:rFonts w:ascii="Times New Roman" w:hAnsi="Times New Roman" w:cs="Times New Roman" w:eastAsia="Times New Roman" w:hint="default"/>
                <w:sz w:val="16"/>
                <w:szCs w:val="16"/>
              </w:rPr>
            </w:pPr>
            <w:r>
              <w:rPr>
                <w:rFonts w:ascii="Times New Roman"/>
                <w:sz w:val="16"/>
              </w:rPr>
              <w:t>-48,565,779</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Times New Roman" w:hAnsi="Times New Roman" w:cs="Times New Roman" w:eastAsia="Times New Roman" w:hint="default"/>
                <w:sz w:val="16"/>
                <w:szCs w:val="16"/>
              </w:rPr>
            </w:pPr>
            <w:r>
              <w:rPr>
                <w:rFonts w:ascii="Times New Roman"/>
                <w:spacing w:val="-1"/>
                <w:sz w:val="16"/>
              </w:rPr>
              <w:t>340,445,713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99"/>
              <w:jc w:val="right"/>
              <w:rPr>
                <w:rFonts w:ascii="Times New Roman" w:hAnsi="Times New Roman" w:cs="Times New Roman" w:eastAsia="Times New Roman" w:hint="default"/>
                <w:sz w:val="16"/>
                <w:szCs w:val="16"/>
              </w:rPr>
            </w:pPr>
            <w:r>
              <w:rPr>
                <w:rFonts w:ascii="Times New Roman"/>
                <w:spacing w:val="-1"/>
                <w:sz w:val="16"/>
              </w:rPr>
              <w:t>5,015,123,268</w:t>
            </w:r>
          </w:p>
        </w:tc>
      </w:tr>
    </w:tbl>
    <w:p>
      <w:pPr>
        <w:spacing w:line="240" w:lineRule="auto" w:before="1"/>
        <w:rPr>
          <w:rFonts w:ascii="宋体" w:hAnsi="宋体" w:cs="宋体" w:eastAsia="宋体" w:hint="default"/>
          <w:b/>
          <w:bCs/>
          <w:sz w:val="15"/>
          <w:szCs w:val="15"/>
        </w:rPr>
      </w:pPr>
    </w:p>
    <w:p>
      <w:pPr>
        <w:spacing w:before="44"/>
        <w:ind w:left="219"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after="0"/>
        <w:jc w:val="left"/>
        <w:rPr>
          <w:rFonts w:ascii="宋体" w:hAnsi="宋体" w:cs="宋体" w:eastAsia="宋体" w:hint="default"/>
          <w:sz w:val="18"/>
          <w:szCs w:val="18"/>
        </w:rPr>
        <w:sectPr>
          <w:footerReference w:type="default" r:id="rId29"/>
          <w:pgSz w:w="16840" w:h="11910" w:orient="landscape"/>
          <w:pgMar w:footer="1546" w:header="1088" w:top="1280" w:bottom="1740" w:left="1220" w:right="1640"/>
          <w:pgNumType w:start="11"/>
        </w:sectPr>
      </w:pPr>
    </w:p>
    <w:p>
      <w:pPr>
        <w:pStyle w:val="Heading6"/>
        <w:spacing w:line="271" w:lineRule="exact" w:before="0"/>
        <w:ind w:left="5463" w:right="5470"/>
        <w:jc w:val="center"/>
        <w:rPr>
          <w:b w:val="0"/>
          <w:bCs w:val="0"/>
        </w:rPr>
      </w:pPr>
      <w:r>
        <w:rPr/>
        <w:t>合并所有者权益变动表（续）</w:t>
      </w:r>
      <w:r>
        <w:rPr>
          <w:b w:val="0"/>
          <w:bCs w:val="0"/>
        </w:rPr>
      </w:r>
    </w:p>
    <w:p>
      <w:pPr>
        <w:spacing w:line="280" w:lineRule="exact" w:before="0"/>
        <w:ind w:left="5463" w:right="5469" w:firstLine="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spacing w:line="266" w:lineRule="exact" w:before="0"/>
        <w:ind w:left="5463" w:right="5470"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tbl>
      <w:tblPr>
        <w:tblW w:w="0" w:type="auto"/>
        <w:jc w:val="left"/>
        <w:tblInd w:w="115" w:type="dxa"/>
        <w:tblLayout w:type="fixed"/>
        <w:tblCellMar>
          <w:top w:w="0" w:type="dxa"/>
          <w:left w:w="0" w:type="dxa"/>
          <w:bottom w:w="0" w:type="dxa"/>
          <w:right w:w="0" w:type="dxa"/>
        </w:tblCellMar>
        <w:tblLook w:val="01E0"/>
      </w:tblPr>
      <w:tblGrid>
        <w:gridCol w:w="3054"/>
        <w:gridCol w:w="1430"/>
        <w:gridCol w:w="1121"/>
        <w:gridCol w:w="992"/>
        <w:gridCol w:w="936"/>
        <w:gridCol w:w="1171"/>
        <w:gridCol w:w="1172"/>
        <w:gridCol w:w="1115"/>
        <w:gridCol w:w="1048"/>
        <w:gridCol w:w="1266"/>
        <w:gridCol w:w="1442"/>
      </w:tblGrid>
      <w:tr>
        <w:trPr>
          <w:trHeight w:val="251" w:hRule="exact"/>
        </w:trPr>
        <w:tc>
          <w:tcPr>
            <w:tcW w:w="3054"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1694" w:type="dxa"/>
            <w:gridSpan w:val="10"/>
            <w:tcBorders>
              <w:top w:val="single" w:sz="4" w:space="0" w:color="000000"/>
              <w:left w:val="single" w:sz="4" w:space="0" w:color="000000"/>
              <w:bottom w:val="single" w:sz="4" w:space="0" w:color="000000"/>
              <w:right w:val="single" w:sz="4" w:space="0" w:color="000000"/>
            </w:tcBorders>
          </w:tcPr>
          <w:p>
            <w:pPr>
              <w:pStyle w:val="TableParagraph"/>
              <w:spacing w:line="190" w:lineRule="exact"/>
              <w:ind w:right="1"/>
              <w:jc w:val="center"/>
              <w:rPr>
                <w:rFonts w:ascii="宋体" w:hAnsi="宋体" w:cs="宋体" w:eastAsia="宋体" w:hint="default"/>
                <w:sz w:val="15"/>
                <w:szCs w:val="15"/>
              </w:rPr>
            </w:pPr>
            <w:r>
              <w:rPr>
                <w:rFonts w:ascii="宋体" w:hAnsi="宋体" w:cs="宋体" w:eastAsia="宋体" w:hint="default"/>
                <w:sz w:val="15"/>
                <w:szCs w:val="15"/>
              </w:rPr>
              <w:t>上期金额</w:t>
            </w:r>
          </w:p>
        </w:tc>
      </w:tr>
      <w:tr>
        <w:trPr>
          <w:trHeight w:val="250" w:hRule="exact"/>
        </w:trPr>
        <w:tc>
          <w:tcPr>
            <w:tcW w:w="3054" w:type="dxa"/>
            <w:vMerge/>
            <w:tcBorders>
              <w:left w:val="single" w:sz="4" w:space="0" w:color="000000"/>
              <w:right w:val="single" w:sz="4" w:space="0" w:color="000000"/>
            </w:tcBorders>
          </w:tcPr>
          <w:p>
            <w:pPr/>
          </w:p>
        </w:tc>
        <w:tc>
          <w:tcPr>
            <w:tcW w:w="8986" w:type="dxa"/>
            <w:gridSpan w:val="8"/>
            <w:tcBorders>
              <w:top w:val="single" w:sz="4" w:space="0" w:color="000000"/>
              <w:left w:val="single" w:sz="4" w:space="0" w:color="000000"/>
              <w:bottom w:val="single" w:sz="4" w:space="0" w:color="000000"/>
              <w:right w:val="single" w:sz="4" w:space="0" w:color="000000"/>
            </w:tcBorders>
          </w:tcPr>
          <w:p>
            <w:pPr>
              <w:pStyle w:val="TableParagraph"/>
              <w:spacing w:line="189" w:lineRule="exact"/>
              <w:ind w:right="1"/>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266" w:type="dxa"/>
            <w:vMerge w:val="restart"/>
            <w:tcBorders>
              <w:top w:val="single" w:sz="4" w:space="0" w:color="000000"/>
              <w:left w:val="single" w:sz="4" w:space="0" w:color="000000"/>
              <w:right w:val="single" w:sz="4" w:space="0" w:color="000000"/>
            </w:tcBorders>
          </w:tcPr>
          <w:p>
            <w:pPr>
              <w:pStyle w:val="TableParagraph"/>
              <w:spacing w:line="240" w:lineRule="auto" w:before="117"/>
              <w:ind w:left="177"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442" w:type="dxa"/>
            <w:vMerge w:val="restart"/>
            <w:tcBorders>
              <w:top w:val="single" w:sz="4" w:space="0" w:color="000000"/>
              <w:left w:val="single" w:sz="4" w:space="0" w:color="000000"/>
              <w:right w:val="single" w:sz="4" w:space="0" w:color="000000"/>
            </w:tcBorders>
          </w:tcPr>
          <w:p>
            <w:pPr>
              <w:pStyle w:val="TableParagraph"/>
              <w:spacing w:line="240" w:lineRule="auto" w:before="117"/>
              <w:ind w:left="190"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50" w:hRule="exact"/>
        </w:trPr>
        <w:tc>
          <w:tcPr>
            <w:tcW w:w="3054" w:type="dxa"/>
            <w:vMerge/>
            <w:tcBorders>
              <w:left w:val="single" w:sz="4" w:space="0" w:color="000000"/>
              <w:bottom w:val="single" w:sz="4" w:space="0" w:color="000000"/>
              <w:right w:val="single" w:sz="4" w:space="0" w:color="000000"/>
            </w:tcBorders>
          </w:tcPr>
          <w:p>
            <w:pP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right="132"/>
              <w:jc w:val="right"/>
              <w:rPr>
                <w:rFonts w:ascii="Times New Roman" w:hAnsi="Times New Roman" w:cs="Times New Roman" w:eastAsia="Times New Roman"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或股本</w:t>
            </w:r>
            <w:r>
              <w:rPr>
                <w:rFonts w:ascii="Times New Roman" w:hAnsi="Times New Roman" w:cs="Times New Roman" w:eastAsia="Times New Roman" w:hint="default"/>
                <w:sz w:val="15"/>
                <w:szCs w:val="15"/>
              </w:rPr>
              <w:t>)</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55"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16"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63"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279"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30"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77"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right="1"/>
              <w:jc w:val="center"/>
              <w:rPr>
                <w:rFonts w:ascii="宋体" w:hAnsi="宋体" w:cs="宋体" w:eastAsia="宋体" w:hint="default"/>
                <w:sz w:val="15"/>
                <w:szCs w:val="15"/>
              </w:rPr>
            </w:pPr>
            <w:r>
              <w:rPr>
                <w:rFonts w:ascii="宋体" w:hAnsi="宋体" w:cs="宋体" w:eastAsia="宋体" w:hint="default"/>
                <w:sz w:val="15"/>
                <w:szCs w:val="15"/>
              </w:rPr>
              <w:t>其他</w:t>
            </w:r>
          </w:p>
        </w:tc>
        <w:tc>
          <w:tcPr>
            <w:tcW w:w="1266" w:type="dxa"/>
            <w:vMerge/>
            <w:tcBorders>
              <w:left w:val="single" w:sz="4" w:space="0" w:color="000000"/>
              <w:bottom w:val="single" w:sz="4" w:space="0" w:color="000000"/>
              <w:right w:val="single" w:sz="4" w:space="0" w:color="000000"/>
            </w:tcBorders>
          </w:tcPr>
          <w:p>
            <w:pPr/>
          </w:p>
        </w:tc>
        <w:tc>
          <w:tcPr>
            <w:tcW w:w="1442" w:type="dxa"/>
            <w:vMerge/>
            <w:tcBorders>
              <w:left w:val="single" w:sz="4" w:space="0" w:color="000000"/>
              <w:bottom w:val="single" w:sz="4" w:space="0" w:color="000000"/>
              <w:right w:val="single" w:sz="4" w:space="0" w:color="000000"/>
            </w:tcBorders>
          </w:tcPr>
          <w:p>
            <w:pPr/>
          </w:p>
        </w:tc>
      </w:tr>
      <w:tr>
        <w:trPr>
          <w:trHeight w:val="238"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5"/>
                <w:szCs w:val="15"/>
              </w:rPr>
            </w:pPr>
            <w:r>
              <w:rPr>
                <w:rFonts w:ascii="Times New Roman"/>
                <w:spacing w:val="-1"/>
                <w:sz w:val="15"/>
              </w:rPr>
              <w:t>944,303,265</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57" w:right="0"/>
              <w:jc w:val="left"/>
              <w:rPr>
                <w:rFonts w:ascii="Times New Roman" w:hAnsi="Times New Roman" w:cs="Times New Roman" w:eastAsia="Times New Roman" w:hint="default"/>
                <w:sz w:val="15"/>
                <w:szCs w:val="15"/>
              </w:rPr>
            </w:pPr>
            <w:r>
              <w:rPr>
                <w:rFonts w:ascii="Times New Roman"/>
                <w:sz w:val="15"/>
              </w:rPr>
              <w:t>646,365,703</w:t>
            </w: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5"/>
                <w:szCs w:val="15"/>
              </w:rPr>
            </w:pPr>
            <w:r>
              <w:rPr>
                <w:rFonts w:ascii="Times New Roman"/>
                <w:spacing w:val="-1"/>
                <w:sz w:val="15"/>
              </w:rPr>
              <w:t>500,615,375</w:t>
            </w: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5"/>
                <w:szCs w:val="15"/>
              </w:rPr>
            </w:pPr>
            <w:r>
              <w:rPr>
                <w:rFonts w:ascii="Times New Roman"/>
                <w:spacing w:val="-1"/>
                <w:sz w:val="15"/>
              </w:rPr>
              <w:t>1,925,100,542</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5"/>
                <w:szCs w:val="15"/>
              </w:rPr>
            </w:pPr>
            <w:r>
              <w:rPr>
                <w:rFonts w:ascii="Times New Roman"/>
                <w:spacing w:val="-1"/>
                <w:sz w:val="15"/>
              </w:rPr>
              <w:t>-18,822,208</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5"/>
                <w:szCs w:val="15"/>
              </w:rPr>
            </w:pPr>
            <w:r>
              <w:rPr>
                <w:rFonts w:ascii="Times New Roman"/>
                <w:spacing w:val="-1"/>
                <w:sz w:val="15"/>
              </w:rPr>
              <w:t>275,328,049</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5"/>
                <w:szCs w:val="15"/>
              </w:rPr>
            </w:pPr>
            <w:r>
              <w:rPr>
                <w:rFonts w:ascii="Times New Roman"/>
                <w:spacing w:val="-1"/>
                <w:sz w:val="15"/>
              </w:rPr>
              <w:t>4,272,890,726</w:t>
            </w:r>
          </w:p>
        </w:tc>
      </w:tr>
      <w:tr>
        <w:trPr>
          <w:trHeight w:val="236"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195" w:lineRule="exact"/>
              <w:ind w:left="251"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5"/>
                <w:szCs w:val="15"/>
              </w:rPr>
            </w:pPr>
            <w:r>
              <w:rPr>
                <w:rFonts w:ascii="Times New Roman"/>
                <w:spacing w:val="-1"/>
                <w:sz w:val="15"/>
              </w:rPr>
              <w:t>26,458</w:t>
            </w: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5"/>
                <w:szCs w:val="15"/>
              </w:rPr>
            </w:pPr>
            <w:r>
              <w:rPr>
                <w:rFonts w:ascii="Times New Roman"/>
                <w:spacing w:val="-1"/>
                <w:sz w:val="15"/>
              </w:rPr>
              <w:t>-26,458</w:t>
            </w: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195" w:lineRule="exact"/>
              <w:ind w:left="551"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195" w:lineRule="exact"/>
              <w:ind w:left="5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5"/>
                <w:szCs w:val="15"/>
              </w:rPr>
            </w:pPr>
            <w:r>
              <w:rPr>
                <w:rFonts w:ascii="Times New Roman"/>
                <w:spacing w:val="-1"/>
                <w:sz w:val="15"/>
              </w:rPr>
              <w:t>944,303,265</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57" w:right="0"/>
              <w:jc w:val="left"/>
              <w:rPr>
                <w:rFonts w:ascii="Times New Roman" w:hAnsi="Times New Roman" w:cs="Times New Roman" w:eastAsia="Times New Roman" w:hint="default"/>
                <w:sz w:val="15"/>
                <w:szCs w:val="15"/>
              </w:rPr>
            </w:pPr>
            <w:r>
              <w:rPr>
                <w:rFonts w:ascii="Times New Roman"/>
                <w:sz w:val="15"/>
              </w:rPr>
              <w:t>646,365,703</w:t>
            </w: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5"/>
                <w:szCs w:val="15"/>
              </w:rPr>
            </w:pPr>
            <w:r>
              <w:rPr>
                <w:rFonts w:ascii="Times New Roman"/>
                <w:spacing w:val="-1"/>
                <w:sz w:val="15"/>
              </w:rPr>
              <w:t>500,615,375</w:t>
            </w: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5"/>
                <w:szCs w:val="15"/>
              </w:rPr>
            </w:pPr>
            <w:r>
              <w:rPr>
                <w:rFonts w:ascii="Times New Roman"/>
                <w:spacing w:val="-1"/>
                <w:sz w:val="15"/>
              </w:rPr>
              <w:t>1,925,127,000</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5"/>
                <w:szCs w:val="15"/>
              </w:rPr>
            </w:pPr>
            <w:r>
              <w:rPr>
                <w:rFonts w:ascii="Times New Roman"/>
                <w:spacing w:val="-1"/>
                <w:sz w:val="15"/>
              </w:rPr>
              <w:t>-18,822,208</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5"/>
                <w:szCs w:val="15"/>
              </w:rPr>
            </w:pPr>
            <w:r>
              <w:rPr>
                <w:rFonts w:ascii="Times New Roman"/>
                <w:spacing w:val="-1"/>
                <w:sz w:val="15"/>
              </w:rPr>
              <w:t>275,301,591</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5"/>
                <w:szCs w:val="15"/>
              </w:rPr>
            </w:pPr>
            <w:r>
              <w:rPr>
                <w:rFonts w:ascii="Times New Roman"/>
                <w:spacing w:val="-1"/>
                <w:sz w:val="15"/>
              </w:rPr>
              <w:t>4,272,890,726</w:t>
            </w:r>
          </w:p>
        </w:tc>
      </w:tr>
      <w:tr>
        <w:trPr>
          <w:trHeight w:val="236"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r>
              <w:rPr>
                <w:rFonts w:ascii="Times New Roman" w:hAnsi="Times New Roman" w:cs="Times New Roman" w:eastAsia="Times New Roman" w:hint="default"/>
                <w:sz w:val="15"/>
                <w:szCs w:val="15"/>
              </w:rPr>
              <w:t>“-”</w:t>
            </w:r>
            <w:r>
              <w:rPr>
                <w:rFonts w:ascii="宋体" w:hAnsi="宋体" w:cs="宋体" w:eastAsia="宋体" w:hint="default"/>
                <w:sz w:val="15"/>
                <w:szCs w:val="15"/>
              </w:rPr>
              <w:t>号填列）</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283,290,980</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06" w:right="0"/>
              <w:jc w:val="left"/>
              <w:rPr>
                <w:rFonts w:ascii="Times New Roman" w:hAnsi="Times New Roman" w:cs="Times New Roman" w:eastAsia="Times New Roman" w:hint="default"/>
                <w:sz w:val="15"/>
                <w:szCs w:val="15"/>
              </w:rPr>
            </w:pPr>
            <w:r>
              <w:rPr>
                <w:rFonts w:ascii="Times New Roman"/>
                <w:sz w:val="15"/>
              </w:rPr>
              <w:t>-283,362,924</w:t>
            </w: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43,898,486</w:t>
            </w: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246,692,047</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-7,899,412</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29,702,568</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312,321,745</w:t>
            </w:r>
          </w:p>
        </w:tc>
      </w:tr>
      <w:tr>
        <w:trPr>
          <w:trHeight w:val="238"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484,675,178</w:t>
            </w: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22,627,318</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507,302,496</w:t>
            </w:r>
          </w:p>
        </w:tc>
      </w:tr>
      <w:tr>
        <w:trPr>
          <w:trHeight w:val="236"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-7,899,412</w:t>
            </w:r>
          </w:p>
        </w:tc>
        <w:tc>
          <w:tcPr>
            <w:tcW w:w="1266"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-7,899,412</w:t>
            </w:r>
          </w:p>
        </w:tc>
      </w:tr>
      <w:tr>
        <w:trPr>
          <w:trHeight w:val="238"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195" w:lineRule="exact"/>
              <w:ind w:left="177"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5"/>
                <w:szCs w:val="15"/>
              </w:rPr>
            </w:pPr>
            <w:r>
              <w:rPr>
                <w:rFonts w:ascii="Times New Roman"/>
                <w:spacing w:val="-1"/>
                <w:sz w:val="15"/>
              </w:rPr>
              <w:t>484,675,178</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-7,899,412</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5"/>
                <w:szCs w:val="15"/>
              </w:rPr>
            </w:pPr>
            <w:r>
              <w:rPr>
                <w:rFonts w:ascii="Times New Roman"/>
                <w:spacing w:val="-1"/>
                <w:sz w:val="15"/>
              </w:rPr>
              <w:t>22,627,318</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499,403,084</w:t>
            </w:r>
          </w:p>
        </w:tc>
      </w:tr>
      <w:tr>
        <w:trPr>
          <w:trHeight w:val="236"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5"/>
                <w:szCs w:val="15"/>
              </w:rPr>
            </w:pPr>
            <w:r>
              <w:rPr>
                <w:rFonts w:ascii="Times New Roman"/>
                <w:spacing w:val="-1"/>
                <w:sz w:val="15"/>
              </w:rPr>
              <w:t>-71,944</w:t>
            </w: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-5,223,992</w:t>
            </w: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7,777,496</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2,481,560</w:t>
            </w:r>
          </w:p>
        </w:tc>
      </w:tr>
      <w:tr>
        <w:trPr>
          <w:trHeight w:val="238"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5"/>
                <w:szCs w:val="15"/>
              </w:rPr>
            </w:pPr>
            <w:r>
              <w:rPr>
                <w:rFonts w:ascii="Times New Roman"/>
                <w:spacing w:val="-1"/>
                <w:sz w:val="15"/>
              </w:rPr>
              <w:t>-71,944</w:t>
            </w: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-5,223,992</w:t>
            </w: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8,133,230</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2,837,294</w:t>
            </w:r>
          </w:p>
        </w:tc>
      </w:tr>
      <w:tr>
        <w:trPr>
          <w:trHeight w:val="236"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-355,734</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-355,734</w:t>
            </w:r>
          </w:p>
        </w:tc>
      </w:tr>
      <w:tr>
        <w:trPr>
          <w:trHeight w:val="236"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5"/>
                <w:szCs w:val="15"/>
              </w:rPr>
            </w:pPr>
            <w:r>
              <w:rPr>
                <w:rFonts w:ascii="Times New Roman"/>
                <w:spacing w:val="-1"/>
                <w:sz w:val="15"/>
              </w:rPr>
              <w:t>43,898,486</w:t>
            </w: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-232,759,139</w:t>
            </w: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-702,246</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-189,562,899</w:t>
            </w:r>
          </w:p>
        </w:tc>
      </w:tr>
      <w:tr>
        <w:trPr>
          <w:trHeight w:val="238"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5"/>
                <w:szCs w:val="15"/>
              </w:rPr>
            </w:pPr>
            <w:r>
              <w:rPr>
                <w:rFonts w:ascii="Times New Roman"/>
                <w:spacing w:val="-1"/>
                <w:sz w:val="15"/>
              </w:rPr>
              <w:t>43,898,486</w:t>
            </w: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-43,898,486</w:t>
            </w: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-188,860,653</w:t>
            </w: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-702,246</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-189,562,899</w:t>
            </w:r>
          </w:p>
        </w:tc>
      </w:tr>
      <w:tr>
        <w:trPr>
          <w:trHeight w:val="236"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15"/>
                <w:szCs w:val="15"/>
              </w:rPr>
            </w:pPr>
            <w:r>
              <w:rPr>
                <w:rFonts w:ascii="Times New Roman"/>
                <w:spacing w:val="-1"/>
                <w:sz w:val="15"/>
              </w:rPr>
              <w:t>283,290,980</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06" w:right="0"/>
              <w:jc w:val="left"/>
              <w:rPr>
                <w:rFonts w:ascii="Times New Roman" w:hAnsi="Times New Roman" w:cs="Times New Roman" w:eastAsia="Times New Roman" w:hint="default"/>
                <w:sz w:val="15"/>
                <w:szCs w:val="15"/>
              </w:rPr>
            </w:pPr>
            <w:r>
              <w:rPr>
                <w:rFonts w:ascii="Times New Roman"/>
                <w:sz w:val="15"/>
              </w:rPr>
              <w:t>-283,290,980</w:t>
            </w: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5"/>
                <w:szCs w:val="15"/>
              </w:rPr>
            </w:pPr>
            <w:r>
              <w:rPr>
                <w:rFonts w:ascii="Times New Roman"/>
                <w:spacing w:val="-1"/>
                <w:sz w:val="15"/>
              </w:rPr>
              <w:t>283,290,980</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06" w:right="0"/>
              <w:jc w:val="left"/>
              <w:rPr>
                <w:rFonts w:ascii="Times New Roman" w:hAnsi="Times New Roman" w:cs="Times New Roman" w:eastAsia="Times New Roman" w:hint="default"/>
                <w:sz w:val="15"/>
                <w:szCs w:val="15"/>
              </w:rPr>
            </w:pPr>
            <w:r>
              <w:rPr>
                <w:rFonts w:ascii="Times New Roman"/>
                <w:sz w:val="15"/>
              </w:rPr>
              <w:t>-283,290,980</w:t>
            </w: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192" w:lineRule="exact"/>
              <w:ind w:left="177"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36"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38"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181" w:lineRule="exact"/>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43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
        </w:tc>
        <w:tc>
          <w:tcPr>
            <w:tcW w:w="1048" w:type="dxa"/>
            <w:tcBorders>
              <w:top w:val="single" w:sz="4" w:space="0" w:color="000000"/>
              <w:left w:val="single" w:sz="4" w:space="0" w:color="000000"/>
              <w:bottom w:val="single" w:sz="4" w:space="0" w:color="000000"/>
              <w:right w:val="single" w:sz="4" w:space="0" w:color="000000"/>
            </w:tcBorders>
          </w:tcPr>
          <w:p>
            <w:pPr/>
          </w:p>
        </w:tc>
        <w:tc>
          <w:tcPr>
            <w:tcW w:w="1266" w:type="dxa"/>
            <w:tcBorders>
              <w:top w:val="single" w:sz="4" w:space="0" w:color="000000"/>
              <w:left w:val="single" w:sz="4" w:space="0" w:color="000000"/>
              <w:bottom w:val="single" w:sz="4" w:space="0" w:color="000000"/>
              <w:right w:val="single" w:sz="4" w:space="0" w:color="000000"/>
            </w:tcBorders>
          </w:tcPr>
          <w:p>
            <w:pPr/>
          </w:p>
        </w:tc>
        <w:tc>
          <w:tcPr>
            <w:tcW w:w="1442"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054" w:type="dxa"/>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5"/>
                <w:szCs w:val="15"/>
              </w:rPr>
            </w:pPr>
            <w:r>
              <w:rPr>
                <w:rFonts w:ascii="Times New Roman"/>
                <w:spacing w:val="-1"/>
                <w:sz w:val="15"/>
              </w:rPr>
              <w:t>1,227,594,245</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256" w:right="0"/>
              <w:jc w:val="left"/>
              <w:rPr>
                <w:rFonts w:ascii="Times New Roman" w:hAnsi="Times New Roman" w:cs="Times New Roman" w:eastAsia="Times New Roman" w:hint="default"/>
                <w:sz w:val="15"/>
                <w:szCs w:val="15"/>
              </w:rPr>
            </w:pPr>
            <w:r>
              <w:rPr>
                <w:rFonts w:ascii="Times New Roman"/>
                <w:sz w:val="15"/>
              </w:rPr>
              <w:t>363,002,779</w:t>
            </w:r>
          </w:p>
        </w:tc>
        <w:tc>
          <w:tcPr>
            <w:tcW w:w="992"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00"/>
              <w:jc w:val="right"/>
              <w:rPr>
                <w:rFonts w:ascii="Times New Roman" w:hAnsi="Times New Roman" w:cs="Times New Roman" w:eastAsia="Times New Roman" w:hint="default"/>
                <w:sz w:val="15"/>
                <w:szCs w:val="15"/>
              </w:rPr>
            </w:pPr>
            <w:r>
              <w:rPr>
                <w:rFonts w:ascii="Times New Roman"/>
                <w:spacing w:val="-1"/>
                <w:sz w:val="15"/>
              </w:rPr>
              <w:t>544,513,861</w:t>
            </w:r>
          </w:p>
        </w:tc>
        <w:tc>
          <w:tcPr>
            <w:tcW w:w="1172" w:type="dxa"/>
            <w:tcBorders>
              <w:top w:val="single" w:sz="4" w:space="0" w:color="000000"/>
              <w:left w:val="single" w:sz="4" w:space="0" w:color="000000"/>
              <w:bottom w:val="single" w:sz="4" w:space="0" w:color="000000"/>
              <w:right w:val="single" w:sz="4" w:space="0" w:color="000000"/>
            </w:tcBorders>
          </w:tcPr>
          <w:p>
            <w:pP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00"/>
              <w:jc w:val="right"/>
              <w:rPr>
                <w:rFonts w:ascii="Times New Roman" w:hAnsi="Times New Roman" w:cs="Times New Roman" w:eastAsia="Times New Roman" w:hint="default"/>
                <w:sz w:val="15"/>
                <w:szCs w:val="15"/>
              </w:rPr>
            </w:pPr>
            <w:r>
              <w:rPr>
                <w:rFonts w:ascii="Times New Roman"/>
                <w:spacing w:val="-1"/>
                <w:sz w:val="15"/>
              </w:rPr>
              <w:t>2,171,819,047</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00"/>
              <w:jc w:val="right"/>
              <w:rPr>
                <w:rFonts w:ascii="Times New Roman" w:hAnsi="Times New Roman" w:cs="Times New Roman" w:eastAsia="Times New Roman" w:hint="default"/>
                <w:sz w:val="15"/>
                <w:szCs w:val="15"/>
              </w:rPr>
            </w:pPr>
            <w:r>
              <w:rPr>
                <w:rFonts w:ascii="Times New Roman"/>
                <w:spacing w:val="-1"/>
                <w:sz w:val="15"/>
              </w:rPr>
              <w:t>-26,721,620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5"/>
                <w:szCs w:val="15"/>
              </w:rPr>
            </w:pPr>
            <w:r>
              <w:rPr>
                <w:rFonts w:ascii="Times New Roman"/>
                <w:spacing w:val="-1"/>
                <w:sz w:val="15"/>
              </w:rPr>
              <w:t>305,004,159</w:t>
            </w:r>
          </w:p>
        </w:tc>
        <w:tc>
          <w:tcPr>
            <w:tcW w:w="1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5"/>
                <w:szCs w:val="15"/>
              </w:rPr>
            </w:pPr>
            <w:r>
              <w:rPr>
                <w:rFonts w:ascii="Times New Roman"/>
                <w:spacing w:val="-1"/>
                <w:sz w:val="15"/>
              </w:rPr>
              <w:t>4,585,212,471</w:t>
            </w:r>
          </w:p>
        </w:tc>
      </w:tr>
    </w:tbl>
    <w:p>
      <w:pPr>
        <w:spacing w:line="240" w:lineRule="auto" w:before="9"/>
        <w:rPr>
          <w:rFonts w:ascii="宋体" w:hAnsi="宋体" w:cs="宋体" w:eastAsia="宋体" w:hint="default"/>
          <w:b/>
          <w:bCs/>
          <w:sz w:val="12"/>
          <w:szCs w:val="12"/>
        </w:rPr>
      </w:pPr>
    </w:p>
    <w:p>
      <w:pPr>
        <w:spacing w:before="44"/>
        <w:ind w:left="479"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after="0"/>
        <w:jc w:val="left"/>
        <w:rPr>
          <w:rFonts w:ascii="宋体" w:hAnsi="宋体" w:cs="宋体" w:eastAsia="宋体" w:hint="default"/>
          <w:sz w:val="18"/>
          <w:szCs w:val="18"/>
        </w:rPr>
        <w:sectPr>
          <w:pgSz w:w="16840" w:h="11910" w:orient="landscape"/>
          <w:pgMar w:header="1088" w:footer="1546" w:top="1280" w:bottom="1740" w:left="960" w:right="900"/>
        </w:sectPr>
      </w:pPr>
    </w:p>
    <w:p>
      <w:pPr>
        <w:spacing w:line="240" w:lineRule="auto" w:before="7"/>
        <w:rPr>
          <w:rFonts w:ascii="宋体" w:hAnsi="宋体" w:cs="宋体" w:eastAsia="宋体" w:hint="default"/>
          <w:sz w:val="3"/>
          <w:szCs w:val="3"/>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466.9pt;height:.5pt;mso-position-horizontal-relative:char;mso-position-vertical-relative:line" coordorigin="0,0" coordsize="9338,10">
            <v:group style="position:absolute;left:5;top:5;width:9328;height:2" coordorigin="5,5" coordsize="9328,2">
              <v:shape style="position:absolute;left:5;top:5;width:9328;height:2" coordorigin="5,5" coordsize="9328,0" path="m5,5l9332,5e" filled="false" stroked="true" strokeweight=".47998pt" strokecolor="#000000">
                <v:path arrowok="t"/>
              </v:shape>
            </v:group>
          </v:group>
        </w:pict>
      </w:r>
      <w:r>
        <w:rPr>
          <w:rFonts w:ascii="宋体" w:hAnsi="宋体" w:cs="宋体" w:eastAsia="宋体" w:hint="default"/>
          <w:sz w:val="2"/>
          <w:szCs w:val="2"/>
        </w:rPr>
      </w:r>
    </w:p>
    <w:p>
      <w:pPr>
        <w:pStyle w:val="Heading2"/>
        <w:spacing w:line="240" w:lineRule="auto" w:before="0"/>
        <w:ind w:left="3038" w:right="3042"/>
        <w:jc w:val="center"/>
        <w:rPr>
          <w:rFonts w:ascii="宋体" w:hAnsi="宋体" w:cs="宋体" w:eastAsia="宋体" w:hint="default"/>
          <w:b w:val="0"/>
          <w:bCs w:val="0"/>
        </w:rPr>
      </w:pPr>
      <w:r>
        <w:rPr>
          <w:rFonts w:ascii="宋体" w:hAnsi="宋体" w:cs="宋体" w:eastAsia="宋体" w:hint="default"/>
        </w:rPr>
        <w:t>东软集团股份有限公司</w:t>
      </w:r>
      <w:r>
        <w:rPr>
          <w:rFonts w:ascii="宋体" w:hAnsi="宋体" w:cs="宋体" w:eastAsia="宋体" w:hint="default"/>
          <w:b w:val="0"/>
          <w:bCs w:val="0"/>
        </w:rPr>
      </w:r>
    </w:p>
    <w:p>
      <w:pPr>
        <w:spacing w:before="23"/>
        <w:ind w:left="3038" w:right="3042" w:firstLine="0"/>
        <w:jc w:val="center"/>
        <w:rPr>
          <w:rFonts w:ascii="宋体" w:hAnsi="宋体" w:cs="宋体" w:eastAsia="宋体" w:hint="default"/>
          <w:sz w:val="28"/>
          <w:szCs w:val="28"/>
        </w:rPr>
      </w:pPr>
      <w:r>
        <w:rPr>
          <w:rFonts w:ascii="宋体" w:hAnsi="宋体" w:cs="宋体" w:eastAsia="宋体" w:hint="default"/>
          <w:b/>
          <w:bCs/>
          <w:sz w:val="28"/>
          <w:szCs w:val="28"/>
        </w:rPr>
        <w:t>二</w:t>
      </w:r>
      <w:r>
        <w:rPr>
          <w:rFonts w:ascii="宋体" w:hAnsi="宋体" w:cs="宋体" w:eastAsia="宋体" w:hint="default"/>
          <w:b/>
          <w:bCs/>
          <w:spacing w:val="-74"/>
          <w:sz w:val="28"/>
          <w:szCs w:val="28"/>
        </w:rPr>
        <w:t> </w:t>
      </w:r>
      <w:r>
        <w:rPr>
          <w:rFonts w:ascii="Times New Roman" w:hAnsi="Times New Roman" w:cs="Times New Roman" w:eastAsia="Times New Roman" w:hint="default"/>
          <w:b/>
          <w:bCs/>
          <w:sz w:val="28"/>
          <w:szCs w:val="28"/>
        </w:rPr>
        <w:t>O</w:t>
      </w:r>
      <w:r>
        <w:rPr>
          <w:rFonts w:ascii="Times New Roman" w:hAnsi="Times New Roman" w:cs="Times New Roman" w:eastAsia="Times New Roman" w:hint="default"/>
          <w:b/>
          <w:bCs/>
          <w:spacing w:val="-4"/>
          <w:sz w:val="28"/>
          <w:szCs w:val="28"/>
        </w:rPr>
        <w:t> </w:t>
      </w:r>
      <w:r>
        <w:rPr>
          <w:rFonts w:ascii="宋体" w:hAnsi="宋体" w:cs="宋体" w:eastAsia="宋体" w:hint="default"/>
          <w:b/>
          <w:bCs/>
          <w:sz w:val="28"/>
          <w:szCs w:val="28"/>
        </w:rPr>
        <w:t>一一年度财务报表附注</w:t>
      </w:r>
      <w:r>
        <w:rPr>
          <w:rFonts w:ascii="宋体" w:hAnsi="宋体" w:cs="宋体" w:eastAsia="宋体" w:hint="default"/>
          <w:sz w:val="28"/>
          <w:szCs w:val="28"/>
        </w:rPr>
      </w:r>
    </w:p>
    <w:p>
      <w:pPr>
        <w:spacing w:line="240" w:lineRule="auto" w:before="10"/>
        <w:rPr>
          <w:rFonts w:ascii="宋体" w:hAnsi="宋体" w:cs="宋体" w:eastAsia="宋体" w:hint="default"/>
          <w:b/>
          <w:bCs/>
          <w:sz w:val="37"/>
          <w:szCs w:val="37"/>
        </w:rPr>
      </w:pPr>
    </w:p>
    <w:p>
      <w:pPr>
        <w:pStyle w:val="Heading6"/>
        <w:tabs>
          <w:tab w:pos="859" w:val="left" w:leader="none"/>
        </w:tabs>
        <w:spacing w:line="240" w:lineRule="auto" w:before="0"/>
        <w:ind w:left="131" w:right="137"/>
        <w:jc w:val="left"/>
        <w:rPr>
          <w:b w:val="0"/>
          <w:bCs w:val="0"/>
        </w:rPr>
      </w:pPr>
      <w:r>
        <w:rPr>
          <w:w w:val="95"/>
        </w:rPr>
        <w:t>一、</w:t>
        <w:tab/>
      </w:r>
      <w:r>
        <w:rPr/>
        <w:t>公司基本情况</w:t>
      </w:r>
      <w:r>
        <w:rPr>
          <w:b w:val="0"/>
          <w:bCs w:val="0"/>
        </w:rPr>
      </w:r>
    </w:p>
    <w:p>
      <w:pPr>
        <w:pStyle w:val="BodyText"/>
        <w:spacing w:line="326" w:lineRule="auto" w:before="115"/>
        <w:ind w:left="863" w:right="137"/>
        <w:jc w:val="left"/>
      </w:pPr>
      <w:r>
        <w:rPr>
          <w:spacing w:val="-1"/>
        </w:rPr>
        <w:t>东软集团股份有限公司（以下简称</w:t>
      </w:r>
      <w:r>
        <w:rPr>
          <w:rFonts w:ascii="Times New Roman" w:hAnsi="Times New Roman" w:cs="Times New Roman" w:eastAsia="Times New Roman" w:hint="default"/>
          <w:spacing w:val="-1"/>
        </w:rPr>
        <w:t>“</w:t>
      </w:r>
      <w:r>
        <w:rPr>
          <w:spacing w:val="-1"/>
        </w:rPr>
        <w:t>本公司</w:t>
      </w:r>
      <w:r>
        <w:rPr>
          <w:rFonts w:ascii="Times New Roman" w:hAnsi="Times New Roman" w:cs="Times New Roman" w:eastAsia="Times New Roman" w:hint="default"/>
          <w:spacing w:val="-1"/>
        </w:rPr>
        <w:t>”</w:t>
      </w:r>
      <w:r>
        <w:rPr>
          <w:spacing w:val="-1"/>
        </w:rPr>
        <w:t>或</w:t>
      </w:r>
      <w:r>
        <w:rPr>
          <w:rFonts w:ascii="Times New Roman" w:hAnsi="Times New Roman" w:cs="Times New Roman" w:eastAsia="Times New Roman" w:hint="default"/>
          <w:spacing w:val="-1"/>
        </w:rPr>
        <w:t>“</w:t>
      </w:r>
      <w:r>
        <w:rPr>
          <w:spacing w:val="-1"/>
        </w:rPr>
        <w:t>公司</w:t>
      </w:r>
      <w:r>
        <w:rPr>
          <w:rFonts w:ascii="Times New Roman" w:hAnsi="Times New Roman" w:cs="Times New Roman" w:eastAsia="Times New Roman" w:hint="default"/>
          <w:spacing w:val="-1"/>
        </w:rPr>
        <w:t>”</w:t>
      </w:r>
      <w:r>
        <w:rPr>
          <w:spacing w:val="-1"/>
        </w:rPr>
        <w:t>）原名为沈阳东软软件股份有限公司，系</w:t>
      </w:r>
      <w:r>
        <w:rPr>
          <w:spacing w:val="-78"/>
        </w:rPr>
        <w:t> </w:t>
      </w:r>
      <w:r>
        <w:rPr>
          <w:spacing w:val="-78"/>
        </w:rPr>
      </w:r>
      <w:r>
        <w:rPr/>
        <w:t>于</w:t>
      </w:r>
      <w:r>
        <w:rPr>
          <w:spacing w:val="-45"/>
        </w:rPr>
        <w:t> </w:t>
      </w:r>
      <w:r>
        <w:rPr>
          <w:rFonts w:ascii="Times New Roman" w:hAnsi="Times New Roman" w:cs="Times New Roman" w:eastAsia="Times New Roman" w:hint="default"/>
        </w:rPr>
        <w:t>1993</w:t>
      </w:r>
      <w:r>
        <w:rPr>
          <w:rFonts w:ascii="Times New Roman" w:hAnsi="Times New Roman" w:cs="Times New Roman" w:eastAsia="Times New Roman" w:hint="default"/>
          <w:spacing w:val="8"/>
        </w:rPr>
        <w:t> </w:t>
      </w:r>
      <w:r>
        <w:rPr/>
        <w:t>年</w:t>
      </w:r>
      <w:r>
        <w:rPr>
          <w:spacing w:val="-45"/>
        </w:rPr>
        <w:t> </w:t>
      </w:r>
      <w:r>
        <w:rPr>
          <w:rFonts w:ascii="Times New Roman" w:hAnsi="Times New Roman" w:cs="Times New Roman" w:eastAsia="Times New Roman" w:hint="default"/>
        </w:rPr>
        <w:t>6</w:t>
      </w:r>
      <w:r>
        <w:rPr>
          <w:rFonts w:ascii="Times New Roman" w:hAnsi="Times New Roman" w:cs="Times New Roman" w:eastAsia="Times New Roman" w:hint="default"/>
          <w:spacing w:val="7"/>
        </w:rPr>
        <w:t> </w:t>
      </w:r>
      <w:r>
        <w:rPr/>
        <w:t>月</w:t>
      </w:r>
      <w:r>
        <w:rPr>
          <w:spacing w:val="-45"/>
        </w:rPr>
        <w:t> </w:t>
      </w:r>
      <w:r>
        <w:rPr>
          <w:rFonts w:ascii="Times New Roman" w:hAnsi="Times New Roman" w:cs="Times New Roman" w:eastAsia="Times New Roman" w:hint="default"/>
        </w:rPr>
        <w:t>7</w:t>
      </w:r>
      <w:r>
        <w:rPr>
          <w:rFonts w:ascii="Times New Roman" w:hAnsi="Times New Roman" w:cs="Times New Roman" w:eastAsia="Times New Roman" w:hint="default"/>
          <w:spacing w:val="8"/>
        </w:rPr>
        <w:t> </w:t>
      </w:r>
      <w:r>
        <w:rPr/>
        <w:t>日经沈阳市体改委体改发</w:t>
      </w:r>
      <w:r>
        <w:rPr>
          <w:rFonts w:ascii="Times New Roman" w:hAnsi="Times New Roman" w:cs="Times New Roman" w:eastAsia="Times New Roman" w:hint="default"/>
        </w:rPr>
        <w:t>(1993)47</w:t>
      </w:r>
      <w:r>
        <w:rPr>
          <w:rFonts w:ascii="Times New Roman" w:hAnsi="Times New Roman" w:cs="Times New Roman" w:eastAsia="Times New Roman" w:hint="default"/>
          <w:spacing w:val="7"/>
        </w:rPr>
        <w:t> </w:t>
      </w:r>
      <w:r>
        <w:rPr/>
        <w:t>号文批准在中华人民共和国注册成立的中 外合资股份有限公司。公司的企业法人营业执照注册号：</w:t>
      </w:r>
      <w:r>
        <w:rPr>
          <w:rFonts w:ascii="Times New Roman" w:hAnsi="Times New Roman" w:cs="Times New Roman" w:eastAsia="Times New Roman" w:hint="default"/>
        </w:rPr>
        <w:t>210100402001491</w:t>
      </w:r>
      <w:r>
        <w:rPr/>
        <w:t>。</w:t>
      </w:r>
      <w:r>
        <w:rPr>
          <w:rFonts w:ascii="Times New Roman" w:hAnsi="Times New Roman" w:cs="Times New Roman" w:eastAsia="Times New Roman" w:hint="default"/>
        </w:rPr>
        <w:t>1996</w:t>
      </w:r>
      <w:r>
        <w:rPr>
          <w:rFonts w:ascii="Times New Roman" w:hAnsi="Times New Roman" w:cs="Times New Roman" w:eastAsia="Times New Roman" w:hint="default"/>
          <w:spacing w:val="-7"/>
        </w:rPr>
        <w:t> </w:t>
      </w:r>
      <w:r>
        <w:rPr/>
        <w:t>年</w:t>
      </w:r>
      <w:r>
        <w:rPr>
          <w:spacing w:val="-59"/>
        </w:rPr>
        <w:t> </w:t>
      </w:r>
      <w:r>
        <w:rPr>
          <w:rFonts w:ascii="Times New Roman" w:hAnsi="Times New Roman" w:cs="Times New Roman" w:eastAsia="Times New Roman" w:hint="default"/>
        </w:rPr>
        <w:t>6</w:t>
      </w:r>
      <w:r>
        <w:rPr>
          <w:rFonts w:ascii="Times New Roman" w:hAnsi="Times New Roman" w:cs="Times New Roman" w:eastAsia="Times New Roman" w:hint="default"/>
          <w:spacing w:val="-6"/>
        </w:rPr>
        <w:t> </w:t>
      </w:r>
      <w:r>
        <w:rPr/>
        <w:t>月在上 海证券交易所上市。所属行业为</w:t>
      </w:r>
      <w:r>
        <w:rPr>
          <w:spacing w:val="-53"/>
        </w:rPr>
        <w:t> </w:t>
      </w:r>
      <w:r>
        <w:rPr>
          <w:rFonts w:ascii="Times New Roman" w:hAnsi="Times New Roman" w:cs="Times New Roman" w:eastAsia="Times New Roman" w:hint="default"/>
        </w:rPr>
        <w:t>IT </w:t>
      </w:r>
      <w:r>
        <w:rPr/>
        <w:t>类。 </w:t>
      </w:r>
      <w:r>
        <w:rPr>
          <w:spacing w:val="-2"/>
        </w:rPr>
        <w:t>本公司的前身是东北大学下属的两家公司：沈阳东大开放软件系统股份有限公司和沈阳东大阿</w:t>
      </w:r>
      <w:r>
        <w:rPr>
          <w:spacing w:val="-85"/>
        </w:rPr>
        <w:t> </w:t>
      </w:r>
      <w:r>
        <w:rPr>
          <w:spacing w:val="-85"/>
        </w:rPr>
      </w:r>
      <w:r>
        <w:rPr/>
        <w:t>尔派软件有限公司，前者成立于</w:t>
      </w:r>
      <w:r>
        <w:rPr>
          <w:spacing w:val="-43"/>
        </w:rPr>
        <w:t> </w:t>
      </w:r>
      <w:r>
        <w:rPr>
          <w:rFonts w:ascii="Times New Roman" w:hAnsi="Times New Roman" w:cs="Times New Roman" w:eastAsia="Times New Roman" w:hint="default"/>
        </w:rPr>
        <w:t>1991</w:t>
      </w:r>
      <w:r>
        <w:rPr>
          <w:rFonts w:ascii="Times New Roman" w:hAnsi="Times New Roman" w:cs="Times New Roman" w:eastAsia="Times New Roman" w:hint="default"/>
          <w:spacing w:val="10"/>
        </w:rPr>
        <w:t> </w:t>
      </w:r>
      <w:r>
        <w:rPr/>
        <w:t>年</w:t>
      </w:r>
      <w:r>
        <w:rPr>
          <w:spacing w:val="-43"/>
        </w:rPr>
        <w:t> </w:t>
      </w:r>
      <w:r>
        <w:rPr>
          <w:rFonts w:ascii="Times New Roman" w:hAnsi="Times New Roman" w:cs="Times New Roman" w:eastAsia="Times New Roman" w:hint="default"/>
        </w:rPr>
        <w:t>4</w:t>
      </w:r>
      <w:r>
        <w:rPr>
          <w:rFonts w:ascii="Times New Roman" w:hAnsi="Times New Roman" w:cs="Times New Roman" w:eastAsia="Times New Roman" w:hint="default"/>
          <w:spacing w:val="10"/>
        </w:rPr>
        <w:t> </w:t>
      </w:r>
      <w:r>
        <w:rPr/>
        <w:t>月，是沈阳市南湖科技开发区最早进行股份制试点</w:t>
      </w:r>
    </w:p>
    <w:p>
      <w:pPr>
        <w:pStyle w:val="BodyText"/>
        <w:spacing w:line="240" w:lineRule="auto" w:before="15"/>
        <w:ind w:left="863" w:right="0"/>
        <w:jc w:val="both"/>
      </w:pPr>
      <w:r>
        <w:rPr>
          <w:spacing w:val="-3"/>
        </w:rPr>
        <w:t>的高科技企业，后者于</w:t>
      </w:r>
      <w:r>
        <w:rPr>
          <w:spacing w:val="-58"/>
        </w:rPr>
        <w:t> </w:t>
      </w:r>
      <w:r>
        <w:rPr>
          <w:rFonts w:ascii="Times New Roman" w:hAnsi="Times New Roman" w:cs="Times New Roman" w:eastAsia="Times New Roman" w:hint="default"/>
        </w:rPr>
        <w:t>1991</w:t>
      </w:r>
      <w:r>
        <w:rPr>
          <w:rFonts w:ascii="Times New Roman" w:hAnsi="Times New Roman" w:cs="Times New Roman" w:eastAsia="Times New Roman" w:hint="default"/>
          <w:spacing w:val="-5"/>
        </w:rPr>
        <w:t> </w:t>
      </w:r>
      <w:r>
        <w:rPr/>
        <w:t>年</w:t>
      </w:r>
      <w:r>
        <w:rPr>
          <w:spacing w:val="-59"/>
        </w:rPr>
        <w:t> </w:t>
      </w:r>
      <w:r>
        <w:rPr>
          <w:rFonts w:ascii="Times New Roman" w:hAnsi="Times New Roman" w:cs="Times New Roman" w:eastAsia="Times New Roman" w:hint="default"/>
        </w:rPr>
        <w:t>6</w:t>
      </w:r>
      <w:r>
        <w:rPr>
          <w:rFonts w:ascii="Times New Roman" w:hAnsi="Times New Roman" w:cs="Times New Roman" w:eastAsia="Times New Roman" w:hint="default"/>
          <w:spacing w:val="-5"/>
        </w:rPr>
        <w:t> </w:t>
      </w:r>
      <w:r>
        <w:rPr/>
        <w:t>月与日本阿尔派株式会社合资成立。本公司于</w:t>
      </w:r>
      <w:r>
        <w:rPr>
          <w:spacing w:val="-58"/>
        </w:rPr>
        <w:t> </w:t>
      </w:r>
      <w:r>
        <w:rPr>
          <w:rFonts w:ascii="Times New Roman" w:hAnsi="Times New Roman" w:cs="Times New Roman" w:eastAsia="Times New Roman" w:hint="default"/>
        </w:rPr>
        <w:t>1993</w:t>
      </w:r>
      <w:r>
        <w:rPr>
          <w:rFonts w:ascii="Times New Roman" w:hAnsi="Times New Roman" w:cs="Times New Roman" w:eastAsia="Times New Roman" w:hint="default"/>
          <w:spacing w:val="-6"/>
        </w:rPr>
        <w:t> </w:t>
      </w:r>
      <w:r>
        <w:rPr/>
        <w:t>年</w:t>
      </w:r>
      <w:r>
        <w:rPr>
          <w:spacing w:val="-58"/>
        </w:rPr>
        <w:t> </w:t>
      </w:r>
      <w:r>
        <w:rPr>
          <w:rFonts w:ascii="Times New Roman" w:hAnsi="Times New Roman" w:cs="Times New Roman" w:eastAsia="Times New Roman" w:hint="default"/>
        </w:rPr>
        <w:t>6</w:t>
      </w:r>
      <w:r>
        <w:rPr>
          <w:rFonts w:ascii="Times New Roman" w:hAnsi="Times New Roman" w:cs="Times New Roman" w:eastAsia="Times New Roman" w:hint="default"/>
          <w:spacing w:val="-5"/>
        </w:rPr>
        <w:t> </w:t>
      </w:r>
      <w:r>
        <w:rPr/>
        <w:t>月进</w:t>
      </w:r>
    </w:p>
    <w:p>
      <w:pPr>
        <w:pStyle w:val="BodyText"/>
        <w:spacing w:line="240" w:lineRule="auto" w:before="99"/>
        <w:ind w:left="863" w:right="0"/>
        <w:jc w:val="both"/>
      </w:pPr>
      <w:r>
        <w:rPr/>
        <w:t>行股份制改造，于</w:t>
      </w:r>
      <w:r>
        <w:rPr>
          <w:spacing w:val="-46"/>
        </w:rPr>
        <w:t> </w:t>
      </w:r>
      <w:r>
        <w:rPr>
          <w:rFonts w:ascii="Times New Roman" w:hAnsi="Times New Roman" w:cs="Times New Roman" w:eastAsia="Times New Roman" w:hint="default"/>
        </w:rPr>
        <w:t>1996</w:t>
      </w:r>
      <w:r>
        <w:rPr>
          <w:rFonts w:ascii="Times New Roman" w:hAnsi="Times New Roman" w:cs="Times New Roman" w:eastAsia="Times New Roman" w:hint="default"/>
          <w:spacing w:val="5"/>
        </w:rPr>
        <w:t> </w:t>
      </w:r>
      <w:r>
        <w:rPr/>
        <w:t>年</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7"/>
        </w:rPr>
        <w:t> </w:t>
      </w:r>
      <w:r>
        <w:rPr/>
        <w:t>月</w:t>
      </w:r>
      <w:r>
        <w:rPr>
          <w:spacing w:val="-48"/>
        </w:rPr>
        <w:t> </w:t>
      </w:r>
      <w:r>
        <w:rPr>
          <w:rFonts w:ascii="Times New Roman" w:hAnsi="Times New Roman" w:cs="Times New Roman" w:eastAsia="Times New Roman" w:hint="default"/>
        </w:rPr>
        <w:t>9</w:t>
      </w:r>
      <w:r>
        <w:rPr>
          <w:rFonts w:ascii="Times New Roman" w:hAnsi="Times New Roman" w:cs="Times New Roman" w:eastAsia="Times New Roman" w:hint="default"/>
          <w:spacing w:val="7"/>
        </w:rPr>
        <w:t> </w:t>
      </w:r>
      <w:r>
        <w:rPr/>
        <w:t>日经中国证券监督管理委员会批准，首次向社会公众发行人</w:t>
      </w:r>
    </w:p>
    <w:p>
      <w:pPr>
        <w:pStyle w:val="BodyText"/>
        <w:spacing w:line="240" w:lineRule="auto" w:before="99"/>
        <w:ind w:left="863" w:right="0"/>
        <w:jc w:val="both"/>
      </w:pPr>
      <w:r>
        <w:rPr/>
        <w:t>民币普通股</w:t>
      </w:r>
      <w:r>
        <w:rPr>
          <w:spacing w:val="-38"/>
        </w:rPr>
        <w:t> </w:t>
      </w:r>
      <w:r>
        <w:rPr>
          <w:rFonts w:ascii="Times New Roman" w:hAnsi="Times New Roman" w:cs="Times New Roman" w:eastAsia="Times New Roman" w:hint="default"/>
        </w:rPr>
        <w:t>1,500</w:t>
      </w:r>
      <w:r>
        <w:rPr>
          <w:rFonts w:ascii="Times New Roman" w:hAnsi="Times New Roman" w:cs="Times New Roman" w:eastAsia="Times New Roman" w:hint="default"/>
          <w:spacing w:val="15"/>
        </w:rPr>
        <w:t> </w:t>
      </w:r>
      <w:r>
        <w:rPr/>
        <w:t>万股，皆为向境内投资人发行的以人民币认购的内资股，并于</w:t>
      </w:r>
      <w:r>
        <w:rPr>
          <w:spacing w:val="-38"/>
        </w:rPr>
        <w:t> </w:t>
      </w:r>
      <w:r>
        <w:rPr>
          <w:rFonts w:ascii="Times New Roman" w:hAnsi="Times New Roman" w:cs="Times New Roman" w:eastAsia="Times New Roman" w:hint="default"/>
        </w:rPr>
        <w:t>1996</w:t>
      </w:r>
      <w:r>
        <w:rPr>
          <w:rFonts w:ascii="Times New Roman" w:hAnsi="Times New Roman" w:cs="Times New Roman" w:eastAsia="Times New Roman" w:hint="default"/>
          <w:spacing w:val="15"/>
        </w:rPr>
        <w:t> </w:t>
      </w:r>
      <w:r>
        <w:rPr/>
        <w:t>年</w:t>
      </w:r>
      <w:r>
        <w:rPr>
          <w:spacing w:val="-38"/>
        </w:rPr>
        <w:t> </w:t>
      </w:r>
      <w:r>
        <w:rPr>
          <w:rFonts w:ascii="Times New Roman" w:hAnsi="Times New Roman" w:cs="Times New Roman" w:eastAsia="Times New Roman" w:hint="default"/>
        </w:rPr>
        <w:t>6</w:t>
      </w:r>
      <w:r>
        <w:rPr>
          <w:rFonts w:ascii="Times New Roman" w:hAnsi="Times New Roman" w:cs="Times New Roman" w:eastAsia="Times New Roman" w:hint="default"/>
          <w:spacing w:val="15"/>
        </w:rPr>
        <w:t> </w:t>
      </w:r>
      <w:r>
        <w:rPr/>
        <w:t>月</w:t>
      </w:r>
    </w:p>
    <w:p>
      <w:pPr>
        <w:pStyle w:val="BodyText"/>
        <w:spacing w:line="331" w:lineRule="auto" w:before="99"/>
        <w:ind w:left="863" w:right="149"/>
        <w:jc w:val="both"/>
        <w:rPr>
          <w:rFonts w:ascii="Times New Roman" w:hAnsi="Times New Roman" w:cs="Times New Roman" w:eastAsia="Times New Roman" w:hint="default"/>
        </w:rPr>
      </w:pPr>
      <w:r>
        <w:rPr>
          <w:rFonts w:ascii="Times New Roman" w:hAnsi="Times New Roman" w:cs="Times New Roman" w:eastAsia="Times New Roman" w:hint="default"/>
        </w:rPr>
        <w:t>18</w:t>
      </w:r>
      <w:r>
        <w:rPr>
          <w:rFonts w:ascii="Times New Roman" w:hAnsi="Times New Roman" w:cs="Times New Roman" w:eastAsia="Times New Roman" w:hint="default"/>
          <w:spacing w:val="7"/>
        </w:rPr>
        <w:t> </w:t>
      </w:r>
      <w:r>
        <w:rPr/>
        <w:t>日在上海证券交易所挂牌上市。</w:t>
      </w:r>
      <w:r>
        <w:rPr>
          <w:rFonts w:ascii="Times New Roman" w:hAnsi="Times New Roman" w:cs="Times New Roman" w:eastAsia="Times New Roman" w:hint="default"/>
        </w:rPr>
        <w:t>2004</w:t>
      </w:r>
      <w:r>
        <w:rPr>
          <w:rFonts w:ascii="Times New Roman" w:hAnsi="Times New Roman" w:cs="Times New Roman" w:eastAsia="Times New Roman" w:hint="default"/>
          <w:spacing w:val="7"/>
        </w:rPr>
        <w:t> </w:t>
      </w:r>
      <w:r>
        <w:rPr/>
        <w:t>年</w:t>
      </w:r>
      <w:r>
        <w:rPr>
          <w:spacing w:val="-46"/>
        </w:rPr>
        <w:t> </w:t>
      </w:r>
      <w:r>
        <w:rPr>
          <w:rFonts w:ascii="Times New Roman" w:hAnsi="Times New Roman" w:cs="Times New Roman" w:eastAsia="Times New Roman" w:hint="default"/>
        </w:rPr>
        <w:t>2</w:t>
      </w:r>
      <w:r>
        <w:rPr>
          <w:rFonts w:ascii="Times New Roman" w:hAnsi="Times New Roman" w:cs="Times New Roman" w:eastAsia="Times New Roman" w:hint="default"/>
          <w:spacing w:val="5"/>
        </w:rPr>
        <w:t> </w:t>
      </w:r>
      <w:r>
        <w:rPr/>
        <w:t>月</w:t>
      </w:r>
      <w:r>
        <w:rPr>
          <w:spacing w:val="-48"/>
        </w:rPr>
        <w:t> </w:t>
      </w:r>
      <w:r>
        <w:rPr>
          <w:rFonts w:ascii="Times New Roman" w:hAnsi="Times New Roman" w:cs="Times New Roman" w:eastAsia="Times New Roman" w:hint="default"/>
        </w:rPr>
        <w:t>5</w:t>
      </w:r>
      <w:r>
        <w:rPr>
          <w:rFonts w:ascii="Times New Roman" w:hAnsi="Times New Roman" w:cs="Times New Roman" w:eastAsia="Times New Roman" w:hint="default"/>
          <w:spacing w:val="7"/>
        </w:rPr>
        <w:t> </w:t>
      </w:r>
      <w:r>
        <w:rPr/>
        <w:t>日，本公司原控股股东东软集团有限公司向 </w:t>
      </w:r>
      <w:r>
        <w:rPr>
          <w:spacing w:val="-2"/>
        </w:rPr>
        <w:t>本公司原第二大股东阿尔派电子（中国）有限公司协议收购其所持有的本公司外资法人股，并</w:t>
      </w:r>
      <w:r>
        <w:rPr>
          <w:spacing w:val="-86"/>
        </w:rPr>
        <w:t> </w:t>
      </w:r>
      <w:r>
        <w:rPr>
          <w:spacing w:val="-86"/>
        </w:rPr>
      </w:r>
      <w:r>
        <w:rPr/>
        <w:t>于</w:t>
      </w:r>
      <w:r>
        <w:rPr>
          <w:spacing w:val="-46"/>
        </w:rPr>
        <w:t> </w:t>
      </w:r>
      <w:r>
        <w:rPr>
          <w:rFonts w:ascii="Times New Roman" w:hAnsi="Times New Roman" w:cs="Times New Roman" w:eastAsia="Times New Roman" w:hint="default"/>
        </w:rPr>
        <w:t>2004</w:t>
      </w:r>
      <w:r>
        <w:rPr>
          <w:rFonts w:ascii="Times New Roman" w:hAnsi="Times New Roman" w:cs="Times New Roman" w:eastAsia="Times New Roman" w:hint="default"/>
          <w:spacing w:val="7"/>
        </w:rPr>
        <w:t> </w:t>
      </w:r>
      <w:r>
        <w:rPr/>
        <w:t>年</w:t>
      </w:r>
      <w:r>
        <w:rPr>
          <w:spacing w:val="-48"/>
        </w:rPr>
        <w:t> </w:t>
      </w:r>
      <w:r>
        <w:rPr>
          <w:rFonts w:ascii="Times New Roman" w:hAnsi="Times New Roman" w:cs="Times New Roman" w:eastAsia="Times New Roman" w:hint="default"/>
        </w:rPr>
        <w:t>3</w:t>
      </w:r>
      <w:r>
        <w:rPr>
          <w:rFonts w:ascii="Times New Roman" w:hAnsi="Times New Roman" w:cs="Times New Roman" w:eastAsia="Times New Roman" w:hint="default"/>
          <w:spacing w:val="5"/>
        </w:rPr>
        <w:t> </w:t>
      </w:r>
      <w:r>
        <w:rPr/>
        <w:t>月</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7"/>
        </w:rPr>
        <w:t> </w:t>
      </w:r>
      <w:r>
        <w:rPr/>
        <w:t>日办理完成工商登记变更手续，本公司由此变更为内资股份有限公司。</w:t>
      </w:r>
      <w:r>
        <w:rPr>
          <w:rFonts w:ascii="Times New Roman" w:hAnsi="Times New Roman" w:cs="Times New Roman" w:eastAsia="Times New Roman" w:hint="default"/>
        </w:rPr>
        <w:t>2006</w:t>
      </w:r>
    </w:p>
    <w:p>
      <w:pPr>
        <w:pStyle w:val="BodyText"/>
        <w:spacing w:line="240" w:lineRule="auto" w:before="11"/>
        <w:ind w:left="863" w:right="0"/>
        <w:jc w:val="both"/>
      </w:pPr>
      <w:r>
        <w:rPr/>
        <w:t>年</w:t>
      </w:r>
      <w:r>
        <w:rPr>
          <w:spacing w:val="-43"/>
        </w:rPr>
        <w:t> </w:t>
      </w:r>
      <w:r>
        <w:rPr>
          <w:rFonts w:ascii="Times New Roman" w:hAnsi="Times New Roman" w:cs="Times New Roman" w:eastAsia="Times New Roman" w:hint="default"/>
        </w:rPr>
        <w:t>3</w:t>
      </w:r>
      <w:r>
        <w:rPr>
          <w:rFonts w:ascii="Times New Roman" w:hAnsi="Times New Roman" w:cs="Times New Roman" w:eastAsia="Times New Roman" w:hint="default"/>
          <w:spacing w:val="10"/>
        </w:rPr>
        <w:t> </w:t>
      </w:r>
      <w:r>
        <w:rPr/>
        <w:t>月</w:t>
      </w:r>
      <w:r>
        <w:rPr>
          <w:spacing w:val="-43"/>
        </w:rPr>
        <w:t> </w:t>
      </w:r>
      <w:r>
        <w:rPr>
          <w:rFonts w:ascii="Times New Roman" w:hAnsi="Times New Roman" w:cs="Times New Roman" w:eastAsia="Times New Roman" w:hint="default"/>
        </w:rPr>
        <w:t>27</w:t>
      </w:r>
      <w:r>
        <w:rPr>
          <w:rFonts w:ascii="Times New Roman" w:hAnsi="Times New Roman" w:cs="Times New Roman" w:eastAsia="Times New Roman" w:hint="default"/>
          <w:spacing w:val="10"/>
        </w:rPr>
        <w:t> </w:t>
      </w:r>
      <w:r>
        <w:rPr/>
        <w:t>日，公司股权分置改革相关股东会议审议通过了《沈阳东软软件股份有限公司股权</w:t>
      </w:r>
    </w:p>
    <w:p>
      <w:pPr>
        <w:pStyle w:val="BodyText"/>
        <w:spacing w:line="240" w:lineRule="auto" w:before="99"/>
        <w:ind w:left="863" w:right="0"/>
        <w:jc w:val="both"/>
      </w:pPr>
      <w:r>
        <w:rPr/>
        <w:t>分置改革方案</w:t>
      </w:r>
      <w:r>
        <w:rPr>
          <w:spacing w:val="-105"/>
        </w:rPr>
        <w:t>》</w:t>
      </w:r>
      <w:r>
        <w:rPr>
          <w:spacing w:val="-5"/>
        </w:rPr>
        <w:t>，</w:t>
      </w: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06</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4 </w:t>
      </w:r>
      <w:r>
        <w:rPr/>
        <w:t>月</w:t>
      </w:r>
      <w:r>
        <w:rPr>
          <w:spacing w:val="-54"/>
        </w:rPr>
        <w:t> </w:t>
      </w:r>
      <w:r>
        <w:rPr>
          <w:rFonts w:ascii="Times New Roman" w:hAnsi="Times New Roman" w:cs="Times New Roman" w:eastAsia="Times New Roman" w:hint="default"/>
        </w:rPr>
        <w:t>7 </w:t>
      </w:r>
      <w:r>
        <w:rPr>
          <w:spacing w:val="-2"/>
        </w:rPr>
        <w:t>日</w:t>
      </w:r>
      <w:r>
        <w:rPr>
          <w:spacing w:val="-5"/>
        </w:rPr>
        <w:t>，</w:t>
      </w:r>
      <w:r>
        <w:rPr/>
        <w:t>公司原控股股东东软集团有限公司完成了向流通股股东的</w:t>
      </w:r>
    </w:p>
    <w:p>
      <w:pPr>
        <w:pStyle w:val="BodyText"/>
        <w:spacing w:line="240" w:lineRule="auto" w:before="99"/>
        <w:ind w:left="863" w:right="0"/>
        <w:jc w:val="both"/>
      </w:pPr>
      <w:r>
        <w:rPr/>
        <w:t>对价支付，共向流通股股东支付</w:t>
      </w:r>
      <w:r>
        <w:rPr>
          <w:spacing w:val="-48"/>
        </w:rPr>
        <w:t> </w:t>
      </w:r>
      <w:r>
        <w:rPr>
          <w:rFonts w:ascii="Times New Roman" w:hAnsi="Times New Roman" w:cs="Times New Roman" w:eastAsia="Times New Roman" w:hint="default"/>
        </w:rPr>
        <w:t>28,314,574</w:t>
      </w:r>
      <w:r>
        <w:rPr>
          <w:rFonts w:ascii="Times New Roman" w:hAnsi="Times New Roman" w:cs="Times New Roman" w:eastAsia="Times New Roman" w:hint="default"/>
          <w:spacing w:val="4"/>
        </w:rPr>
        <w:t> </w:t>
      </w:r>
      <w:r>
        <w:rPr/>
        <w:t>股和</w:t>
      </w:r>
      <w:r>
        <w:rPr>
          <w:spacing w:val="-50"/>
        </w:rPr>
        <w:t> </w:t>
      </w:r>
      <w:r>
        <w:rPr>
          <w:rFonts w:ascii="Times New Roman" w:hAnsi="Times New Roman" w:cs="Times New Roman" w:eastAsia="Times New Roman" w:hint="default"/>
        </w:rPr>
        <w:t>41,339,277</w:t>
      </w:r>
      <w:r>
        <w:rPr>
          <w:rFonts w:ascii="Times New Roman" w:hAnsi="Times New Roman" w:cs="Times New Roman" w:eastAsia="Times New Roman" w:hint="default"/>
          <w:spacing w:val="5"/>
        </w:rPr>
        <w:t> </w:t>
      </w:r>
      <w:r>
        <w:rPr/>
        <w:t>元现金对价，即每</w:t>
      </w:r>
      <w:r>
        <w:rPr>
          <w:spacing w:val="-48"/>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t>股流通股获</w:t>
      </w:r>
    </w:p>
    <w:p>
      <w:pPr>
        <w:pStyle w:val="BodyText"/>
        <w:spacing w:line="240" w:lineRule="auto" w:before="99"/>
        <w:ind w:left="863" w:right="0"/>
        <w:jc w:val="both"/>
      </w:pPr>
      <w:r>
        <w:rPr/>
        <w:t>付</w:t>
      </w:r>
      <w:r>
        <w:rPr>
          <w:spacing w:val="-47"/>
        </w:rPr>
        <w:t> </w:t>
      </w:r>
      <w:r>
        <w:rPr>
          <w:rFonts w:ascii="Times New Roman" w:hAnsi="Times New Roman" w:cs="Times New Roman" w:eastAsia="Times New Roman" w:hint="default"/>
        </w:rPr>
        <w:t>2.5</w:t>
      </w:r>
      <w:r>
        <w:rPr>
          <w:rFonts w:ascii="Times New Roman" w:hAnsi="Times New Roman" w:cs="Times New Roman" w:eastAsia="Times New Roman" w:hint="default"/>
          <w:spacing w:val="6"/>
        </w:rPr>
        <w:t> </w:t>
      </w:r>
      <w:r>
        <w:rPr/>
        <w:t>股股票和</w:t>
      </w:r>
      <w:r>
        <w:rPr>
          <w:spacing w:val="-47"/>
        </w:rPr>
        <w:t> </w:t>
      </w:r>
      <w:r>
        <w:rPr>
          <w:rFonts w:ascii="Times New Roman" w:hAnsi="Times New Roman" w:cs="Times New Roman" w:eastAsia="Times New Roman" w:hint="default"/>
        </w:rPr>
        <w:t>3.65</w:t>
      </w:r>
      <w:r>
        <w:rPr>
          <w:rFonts w:ascii="Times New Roman" w:hAnsi="Times New Roman" w:cs="Times New Roman" w:eastAsia="Times New Roman" w:hint="default"/>
          <w:spacing w:val="6"/>
        </w:rPr>
        <w:t> </w:t>
      </w:r>
      <w:r>
        <w:rPr>
          <w:spacing w:val="-3"/>
        </w:rPr>
        <w:t>元现金，该股权分置改革实施后，公司股份总数不变，股份结构发生相应</w:t>
      </w:r>
    </w:p>
    <w:p>
      <w:pPr>
        <w:pStyle w:val="BodyText"/>
        <w:spacing w:line="240" w:lineRule="auto" w:before="99"/>
        <w:ind w:left="863" w:right="0"/>
        <w:jc w:val="both"/>
      </w:pPr>
      <w:r>
        <w:rPr/>
        <w:t>变化。</w:t>
      </w: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16</w:t>
      </w:r>
      <w:r>
        <w:rPr>
          <w:rFonts w:ascii="Times New Roman" w:hAnsi="Times New Roman" w:cs="Times New Roman" w:eastAsia="Times New Roman" w:hint="default"/>
          <w:spacing w:val="-3"/>
        </w:rPr>
        <w:t> </w:t>
      </w:r>
      <w:r>
        <w:rPr/>
        <w:t>日，经中国证券监督管理委员会批准，本公司吸收合并原控股股东东软</w:t>
      </w:r>
    </w:p>
    <w:p>
      <w:pPr>
        <w:pStyle w:val="BodyText"/>
        <w:spacing w:line="331" w:lineRule="auto" w:before="99"/>
        <w:ind w:left="863" w:right="147"/>
        <w:jc w:val="both"/>
      </w:pPr>
      <w:r>
        <w:rPr>
          <w:spacing w:val="-4"/>
        </w:rPr>
        <w:t>集团有限公司，于</w:t>
      </w:r>
      <w:r>
        <w:rPr>
          <w:spacing w:val="-5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6"/>
        </w:rPr>
        <w:t> </w:t>
      </w:r>
      <w:r>
        <w:rPr/>
        <w:t>年</w:t>
      </w:r>
      <w:r>
        <w:rPr>
          <w:spacing w:val="-58"/>
        </w:rPr>
        <w:t> </w:t>
      </w:r>
      <w:r>
        <w:rPr>
          <w:rFonts w:ascii="Times New Roman" w:hAnsi="Times New Roman" w:cs="Times New Roman" w:eastAsia="Times New Roman" w:hint="default"/>
        </w:rPr>
        <w:t>3</w:t>
      </w:r>
      <w:r>
        <w:rPr>
          <w:rFonts w:ascii="Times New Roman" w:hAnsi="Times New Roman" w:cs="Times New Roman" w:eastAsia="Times New Roman" w:hint="default"/>
          <w:spacing w:val="-5"/>
        </w:rPr>
        <w:t> </w:t>
      </w:r>
      <w:r>
        <w:rPr/>
        <w:t>月</w:t>
      </w:r>
      <w:r>
        <w:rPr>
          <w:spacing w:val="-58"/>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5"/>
        </w:rPr>
        <w:t> </w:t>
      </w:r>
      <w:r>
        <w:rPr/>
        <w:t>日，本公司在中国证券登记结算有限公司上海分公司办理完 </w:t>
      </w:r>
      <w:r>
        <w:rPr>
          <w:spacing w:val="3"/>
        </w:rPr>
        <w:t>成了换股吸收合并的股份登记及注销原东软集团有限公司所持有的本公司全部股份的相关手</w:t>
      </w:r>
      <w:r>
        <w:rPr>
          <w:spacing w:val="-99"/>
        </w:rPr>
        <w:t> </w:t>
      </w:r>
      <w:r>
        <w:rPr>
          <w:spacing w:val="-99"/>
        </w:rPr>
      </w:r>
      <w:r>
        <w:rPr>
          <w:spacing w:val="-8"/>
        </w:rPr>
        <w:t>续，并于</w:t>
      </w:r>
      <w:r>
        <w:rPr>
          <w:spacing w:val="-5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6"/>
        </w:rPr>
        <w:t> </w:t>
      </w:r>
      <w:r>
        <w:rPr/>
        <w:t>年</w:t>
      </w:r>
      <w:r>
        <w:rPr>
          <w:spacing w:val="-59"/>
        </w:rPr>
        <w:t> </w:t>
      </w:r>
      <w:r>
        <w:rPr>
          <w:rFonts w:ascii="Times New Roman" w:hAnsi="Times New Roman" w:cs="Times New Roman" w:eastAsia="Times New Roman" w:hint="default"/>
        </w:rPr>
        <w:t>4</w:t>
      </w:r>
      <w:r>
        <w:rPr>
          <w:rFonts w:ascii="Times New Roman" w:hAnsi="Times New Roman" w:cs="Times New Roman" w:eastAsia="Times New Roman" w:hint="default"/>
          <w:spacing w:val="-6"/>
        </w:rPr>
        <w:t> </w:t>
      </w:r>
      <w:r>
        <w:rPr/>
        <w:t>月</w:t>
      </w:r>
      <w:r>
        <w:rPr>
          <w:spacing w:val="-59"/>
        </w:rPr>
        <w:t> </w:t>
      </w:r>
      <w:r>
        <w:rPr>
          <w:rFonts w:ascii="Times New Roman" w:hAnsi="Times New Roman" w:cs="Times New Roman" w:eastAsia="Times New Roman" w:hint="default"/>
        </w:rPr>
        <w:t>28</w:t>
      </w:r>
      <w:r>
        <w:rPr>
          <w:rFonts w:ascii="Times New Roman" w:hAnsi="Times New Roman" w:cs="Times New Roman" w:eastAsia="Times New Roman" w:hint="default"/>
          <w:spacing w:val="-6"/>
        </w:rPr>
        <w:t> </w:t>
      </w:r>
      <w:r>
        <w:rPr/>
        <w:t>日办理完成工商注销登记手续，本次变更后外资股东合计持股比例为</w:t>
      </w:r>
    </w:p>
    <w:p>
      <w:pPr>
        <w:pStyle w:val="BodyText"/>
        <w:spacing w:line="321" w:lineRule="auto" w:before="11"/>
        <w:ind w:left="863" w:right="148"/>
        <w:jc w:val="both"/>
        <w:rPr>
          <w:rFonts w:ascii="Times New Roman" w:hAnsi="Times New Roman" w:cs="Times New Roman" w:eastAsia="Times New Roman" w:hint="default"/>
        </w:rPr>
      </w:pPr>
      <w:r>
        <w:rPr>
          <w:rFonts w:ascii="Times New Roman" w:hAnsi="Times New Roman" w:cs="Times New Roman" w:eastAsia="Times New Roman" w:hint="default"/>
        </w:rPr>
        <w:t>28.62%</w:t>
      </w:r>
      <w:r>
        <w:rPr/>
        <w:t>，本公司由此变更为中外合资股份有限公司。</w:t>
      </w:r>
      <w:r>
        <w:rPr>
          <w:rFonts w:ascii="Times New Roman" w:hAnsi="Times New Roman" w:cs="Times New Roman" w:eastAsia="Times New Roman" w:hint="default"/>
        </w:rPr>
        <w:t>2008</w:t>
      </w:r>
      <w:r>
        <w:rPr>
          <w:rFonts w:ascii="Times New Roman" w:hAnsi="Times New Roman" w:cs="Times New Roman" w:eastAsia="Times New Roman" w:hint="default"/>
          <w:spacing w:val="9"/>
        </w:rPr>
        <w:t> </w:t>
      </w:r>
      <w:r>
        <w:rPr/>
        <w:t>年</w:t>
      </w:r>
      <w:r>
        <w:rPr>
          <w:spacing w:val="-43"/>
        </w:rPr>
        <w:t> </w:t>
      </w:r>
      <w:r>
        <w:rPr>
          <w:rFonts w:ascii="Times New Roman" w:hAnsi="Times New Roman" w:cs="Times New Roman" w:eastAsia="Times New Roman" w:hint="default"/>
        </w:rPr>
        <w:t>5</w:t>
      </w:r>
      <w:r>
        <w:rPr>
          <w:rFonts w:ascii="Times New Roman" w:hAnsi="Times New Roman" w:cs="Times New Roman" w:eastAsia="Times New Roman" w:hint="default"/>
          <w:spacing w:val="10"/>
        </w:rPr>
        <w:t> </w:t>
      </w:r>
      <w:r>
        <w:rPr/>
        <w:t>月</w:t>
      </w:r>
      <w:r>
        <w:rPr>
          <w:spacing w:val="-43"/>
        </w:rPr>
        <w:t> </w:t>
      </w:r>
      <w:r>
        <w:rPr>
          <w:rFonts w:ascii="Times New Roman" w:hAnsi="Times New Roman" w:cs="Times New Roman" w:eastAsia="Times New Roman" w:hint="default"/>
        </w:rPr>
        <w:t>30</w:t>
      </w:r>
      <w:r>
        <w:rPr>
          <w:rFonts w:ascii="Times New Roman" w:hAnsi="Times New Roman" w:cs="Times New Roman" w:eastAsia="Times New Roman" w:hint="default"/>
          <w:spacing w:val="10"/>
        </w:rPr>
        <w:t> </w:t>
      </w:r>
      <w:r>
        <w:rPr/>
        <w:t>日，公司</w:t>
      </w:r>
      <w:r>
        <w:rPr>
          <w:spacing w:val="-43"/>
        </w:rPr>
        <w:t> </w:t>
      </w:r>
      <w:r>
        <w:rPr>
          <w:rFonts w:ascii="Times New Roman" w:hAnsi="Times New Roman" w:cs="Times New Roman" w:eastAsia="Times New Roman" w:hint="default"/>
        </w:rPr>
        <w:t>2007</w:t>
      </w:r>
      <w:r>
        <w:rPr>
          <w:rFonts w:ascii="Times New Roman" w:hAnsi="Times New Roman" w:cs="Times New Roman" w:eastAsia="Times New Roman" w:hint="default"/>
          <w:spacing w:val="9"/>
        </w:rPr>
        <w:t> </w:t>
      </w:r>
      <w:r>
        <w:rPr/>
        <w:t>年度股东 </w:t>
      </w:r>
      <w:r>
        <w:rPr>
          <w:spacing w:val="-1"/>
        </w:rPr>
        <w:t>大会审议通过公司名称由</w:t>
      </w:r>
      <w:r>
        <w:rPr>
          <w:rFonts w:ascii="Times New Roman" w:hAnsi="Times New Roman" w:cs="Times New Roman" w:eastAsia="Times New Roman" w:hint="default"/>
          <w:spacing w:val="-1"/>
        </w:rPr>
        <w:t>“</w:t>
      </w:r>
      <w:r>
        <w:rPr>
          <w:spacing w:val="-1"/>
        </w:rPr>
        <w:t>沈阳东软软件股份有限公司</w:t>
      </w:r>
      <w:r>
        <w:rPr>
          <w:rFonts w:ascii="Times New Roman" w:hAnsi="Times New Roman" w:cs="Times New Roman" w:eastAsia="Times New Roman" w:hint="default"/>
          <w:spacing w:val="-1"/>
        </w:rPr>
        <w:t>”</w:t>
      </w:r>
      <w:r>
        <w:rPr>
          <w:spacing w:val="-1"/>
        </w:rPr>
        <w:t>变更为</w:t>
      </w:r>
      <w:r>
        <w:rPr>
          <w:rFonts w:ascii="Times New Roman" w:hAnsi="Times New Roman" w:cs="Times New Roman" w:eastAsia="Times New Roman" w:hint="default"/>
          <w:spacing w:val="-1"/>
        </w:rPr>
        <w:t>“</w:t>
      </w:r>
      <w:r>
        <w:rPr>
          <w:spacing w:val="-1"/>
        </w:rPr>
        <w:t>东软集团股份有限公司</w:t>
      </w:r>
      <w:r>
        <w:rPr>
          <w:rFonts w:ascii="Times New Roman" w:hAnsi="Times New Roman" w:cs="Times New Roman" w:eastAsia="Times New Roman" w:hint="default"/>
          <w:spacing w:val="-1"/>
        </w:rPr>
        <w:t>”</w:t>
      </w:r>
      <w:r>
        <w:rPr>
          <w:spacing w:val="-1"/>
        </w:rPr>
        <w:t>，</w:t>
      </w:r>
      <w:r>
        <w:rPr>
          <w:rFonts w:ascii="Times New Roman" w:hAnsi="Times New Roman" w:cs="Times New Roman" w:eastAsia="Times New Roman" w:hint="default"/>
          <w:spacing w:val="-1"/>
        </w:rPr>
        <w:t>2008</w:t>
      </w:r>
      <w:r>
        <w:rPr>
          <w:rFonts w:ascii="Times New Roman" w:hAnsi="Times New Roman" w:cs="Times New Roman" w:eastAsia="Times New Roman" w:hint="default"/>
          <w:spacing w:val="-24"/>
        </w:rPr>
        <w:t> </w:t>
      </w:r>
      <w:r>
        <w:rPr>
          <w:rFonts w:ascii="Times New Roman" w:hAnsi="Times New Roman" w:cs="Times New Roman" w:eastAsia="Times New Roman" w:hint="default"/>
          <w:spacing w:val="-24"/>
        </w:rPr>
      </w:r>
      <w:r>
        <w:rPr/>
        <w:t>年 </w:t>
      </w:r>
      <w:r>
        <w:rPr>
          <w:rFonts w:ascii="Times New Roman" w:hAnsi="Times New Roman" w:cs="Times New Roman" w:eastAsia="Times New Roman" w:hint="default"/>
        </w:rPr>
        <w:t>6 </w:t>
      </w:r>
      <w:r>
        <w:rPr/>
        <w:t>月 </w:t>
      </w:r>
      <w:r>
        <w:rPr>
          <w:rFonts w:ascii="Times New Roman" w:hAnsi="Times New Roman" w:cs="Times New Roman" w:eastAsia="Times New Roman" w:hint="default"/>
        </w:rPr>
        <w:t>5 </w:t>
      </w:r>
      <w:r>
        <w:rPr/>
        <w:t>日，本公司办理完成了公司名称、住所变更的工商变更登记手续。</w:t>
      </w: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10 </w:t>
      </w:r>
      <w:r>
        <w:rPr/>
        <w:t>月</w:t>
      </w:r>
      <w:r>
        <w:rPr>
          <w:spacing w:val="-71"/>
        </w:rPr>
        <w:t> </w:t>
      </w:r>
      <w:r>
        <w:rPr>
          <w:rFonts w:ascii="Times New Roman" w:hAnsi="Times New Roman" w:cs="Times New Roman" w:eastAsia="Times New Roman" w:hint="default"/>
        </w:rPr>
        <w:t>29</w:t>
      </w:r>
    </w:p>
    <w:p>
      <w:pPr>
        <w:pStyle w:val="BodyText"/>
        <w:spacing w:line="240" w:lineRule="auto" w:before="20"/>
        <w:ind w:left="863" w:right="0"/>
        <w:jc w:val="both"/>
      </w:pPr>
      <w:r>
        <w:rPr/>
        <w:t>日，本公司实施完成 </w:t>
      </w:r>
      <w:r>
        <w:rPr>
          <w:rFonts w:ascii="Times New Roman" w:hAnsi="Times New Roman" w:cs="Times New Roman" w:eastAsia="Times New Roman" w:hint="default"/>
        </w:rPr>
        <w:t>2008  </w:t>
      </w:r>
      <w:r>
        <w:rPr/>
        <w:t>年半年度利润分配及转增股本方案，以 </w:t>
      </w: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6  </w:t>
      </w:r>
      <w:r>
        <w:rPr/>
        <w:t>月 </w:t>
      </w:r>
      <w:r>
        <w:rPr>
          <w:rFonts w:ascii="Times New Roman" w:hAnsi="Times New Roman" w:cs="Times New Roman" w:eastAsia="Times New Roman" w:hint="default"/>
        </w:rPr>
        <w:t>30 </w:t>
      </w:r>
      <w:r>
        <w:rPr>
          <w:rFonts w:ascii="Times New Roman" w:hAnsi="Times New Roman" w:cs="Times New Roman" w:eastAsia="Times New Roman" w:hint="default"/>
          <w:spacing w:val="31"/>
        </w:rPr>
        <w:t> </w:t>
      </w:r>
      <w:r>
        <w:rPr/>
        <w:t>日股本</w:t>
      </w:r>
    </w:p>
    <w:p>
      <w:pPr>
        <w:pStyle w:val="BodyText"/>
        <w:spacing w:line="240" w:lineRule="auto" w:before="99"/>
        <w:ind w:left="863" w:right="0"/>
        <w:jc w:val="both"/>
      </w:pPr>
      <w:r>
        <w:rPr>
          <w:rFonts w:ascii="Times New Roman" w:hAnsi="Times New Roman" w:cs="Times New Roman" w:eastAsia="Times New Roman" w:hint="default"/>
        </w:rPr>
        <w:t>524,612,925</w:t>
      </w:r>
      <w:r>
        <w:rPr>
          <w:rFonts w:ascii="Times New Roman" w:hAnsi="Times New Roman" w:cs="Times New Roman" w:eastAsia="Times New Roman" w:hint="default"/>
          <w:spacing w:val="-4"/>
        </w:rPr>
        <w:t> </w:t>
      </w:r>
      <w:r>
        <w:rPr/>
        <w:t>股为基数，向全体股东每</w:t>
      </w:r>
      <w:r>
        <w:rPr>
          <w:spacing w:val="-56"/>
        </w:rPr>
        <w:t> </w:t>
      </w:r>
      <w:r>
        <w:rPr>
          <w:rFonts w:ascii="Times New Roman" w:hAnsi="Times New Roman" w:cs="Times New Roman" w:eastAsia="Times New Roman" w:hint="default"/>
        </w:rPr>
        <w:t>10</w:t>
      </w:r>
      <w:r>
        <w:rPr>
          <w:rFonts w:ascii="Times New Roman" w:hAnsi="Times New Roman" w:cs="Times New Roman" w:eastAsia="Times New Roman" w:hint="default"/>
          <w:spacing w:val="-4"/>
        </w:rPr>
        <w:t> </w:t>
      </w:r>
      <w:r>
        <w:rPr/>
        <w:t>股送</w:t>
      </w:r>
      <w:r>
        <w:rPr>
          <w:spacing w:val="-57"/>
        </w:rPr>
        <w:t> </w:t>
      </w:r>
      <w:r>
        <w:rPr>
          <w:rFonts w:ascii="Times New Roman" w:hAnsi="Times New Roman" w:cs="Times New Roman" w:eastAsia="Times New Roman" w:hint="default"/>
        </w:rPr>
        <w:t>2</w:t>
      </w:r>
      <w:r>
        <w:rPr>
          <w:rFonts w:ascii="Times New Roman" w:hAnsi="Times New Roman" w:cs="Times New Roman" w:eastAsia="Times New Roman" w:hint="default"/>
          <w:spacing w:val="-4"/>
        </w:rPr>
        <w:t> </w:t>
      </w:r>
      <w:r>
        <w:rPr/>
        <w:t>股红股，以资本公积金转增股本方式，向全体</w:t>
      </w:r>
    </w:p>
    <w:p>
      <w:pPr>
        <w:pStyle w:val="BodyText"/>
        <w:spacing w:line="240" w:lineRule="auto" w:before="99"/>
        <w:ind w:left="863" w:right="0"/>
        <w:jc w:val="both"/>
      </w:pPr>
      <w:r>
        <w:rPr>
          <w:spacing w:val="5"/>
        </w:rPr>
        <w:t>股东每 </w:t>
      </w:r>
      <w:r>
        <w:rPr>
          <w:rFonts w:ascii="Times New Roman" w:hAnsi="Times New Roman" w:cs="Times New Roman" w:eastAsia="Times New Roman" w:hint="default"/>
        </w:rPr>
        <w:t>10  </w:t>
      </w:r>
      <w:r>
        <w:rPr>
          <w:spacing w:val="5"/>
        </w:rPr>
        <w:t>股转增 </w:t>
      </w:r>
      <w:r>
        <w:rPr>
          <w:rFonts w:ascii="Times New Roman" w:hAnsi="Times New Roman" w:cs="Times New Roman" w:eastAsia="Times New Roman" w:hint="default"/>
        </w:rPr>
        <w:t>6  </w:t>
      </w:r>
      <w:r>
        <w:rPr>
          <w:spacing w:val="6"/>
        </w:rPr>
        <w:t>股，共计送股和转增股份 </w:t>
      </w:r>
      <w:r>
        <w:rPr>
          <w:rFonts w:ascii="Times New Roman" w:hAnsi="Times New Roman" w:cs="Times New Roman" w:eastAsia="Times New Roman" w:hint="default"/>
        </w:rPr>
        <w:t>419,690,340 </w:t>
      </w:r>
      <w:r>
        <w:rPr>
          <w:rFonts w:ascii="Times New Roman" w:hAnsi="Times New Roman" w:cs="Times New Roman" w:eastAsia="Times New Roman" w:hint="default"/>
          <w:spacing w:val="41"/>
        </w:rPr>
        <w:t> </w:t>
      </w:r>
      <w:r>
        <w:rPr>
          <w:spacing w:val="7"/>
        </w:rPr>
        <w:t>股，公司注册资本增至人民币</w:t>
      </w:r>
      <w:r>
        <w:rPr/>
      </w:r>
    </w:p>
    <w:p>
      <w:pPr>
        <w:pStyle w:val="BodyText"/>
        <w:spacing w:line="240" w:lineRule="auto" w:before="99"/>
        <w:ind w:left="863" w:right="0"/>
        <w:jc w:val="both"/>
        <w:rPr>
          <w:rFonts w:ascii="Times New Roman" w:hAnsi="Times New Roman" w:cs="Times New Roman" w:eastAsia="Times New Roman" w:hint="default"/>
        </w:rPr>
      </w:pPr>
      <w:r>
        <w:rPr>
          <w:rFonts w:ascii="Times New Roman" w:hAnsi="Times New Roman" w:cs="Times New Roman" w:eastAsia="Times New Roman" w:hint="default"/>
        </w:rPr>
        <w:t>944,303,265 </w:t>
      </w:r>
      <w:r>
        <w:rPr/>
        <w:t>元。</w:t>
      </w:r>
      <w:r>
        <w:rPr>
          <w:rFonts w:ascii="Times New Roman" w:hAnsi="Times New Roman" w:cs="Times New Roman" w:eastAsia="Times New Roman" w:hint="default"/>
        </w:rPr>
        <w:t>2010 </w:t>
      </w:r>
      <w:r>
        <w:rPr/>
        <w:t>年 </w:t>
      </w:r>
      <w:r>
        <w:rPr>
          <w:rFonts w:ascii="Times New Roman" w:hAnsi="Times New Roman" w:cs="Times New Roman" w:eastAsia="Times New Roman" w:hint="default"/>
        </w:rPr>
        <w:t>7 </w:t>
      </w:r>
      <w:r>
        <w:rPr/>
        <w:t>月，本公司实施完成 </w:t>
      </w:r>
      <w:r>
        <w:rPr>
          <w:rFonts w:ascii="Times New Roman" w:hAnsi="Times New Roman" w:cs="Times New Roman" w:eastAsia="Times New Roman" w:hint="default"/>
        </w:rPr>
        <w:t>2009 </w:t>
      </w:r>
      <w:r>
        <w:rPr/>
        <w:t>年度利润分配及转增股本方案，以</w:t>
      </w:r>
      <w:r>
        <w:rPr>
          <w:spacing w:val="-72"/>
        </w:rPr>
        <w:t> </w:t>
      </w:r>
      <w:r>
        <w:rPr>
          <w:rFonts w:ascii="Times New Roman" w:hAnsi="Times New Roman" w:cs="Times New Roman" w:eastAsia="Times New Roman" w:hint="default"/>
        </w:rPr>
        <w:t>2009</w:t>
      </w:r>
    </w:p>
    <w:p>
      <w:pPr>
        <w:pStyle w:val="BodyText"/>
        <w:spacing w:line="240" w:lineRule="auto" w:before="99"/>
        <w:ind w:left="863" w:right="0"/>
        <w:jc w:val="both"/>
      </w:pPr>
      <w:r>
        <w:rPr/>
        <w:t>年</w:t>
      </w:r>
      <w:r>
        <w:rPr>
          <w:spacing w:val="-53"/>
        </w:rPr>
        <w:t> </w:t>
      </w:r>
      <w:r>
        <w:rPr>
          <w:rFonts w:ascii="Times New Roman" w:hAnsi="Times New Roman" w:cs="Times New Roman" w:eastAsia="Times New Roman" w:hint="default"/>
        </w:rPr>
        <w:t>12 </w:t>
      </w:r>
      <w:r>
        <w:rPr/>
        <w:t>月</w:t>
      </w:r>
      <w:r>
        <w:rPr>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日总股本</w:t>
      </w:r>
      <w:r>
        <w:rPr>
          <w:spacing w:val="-53"/>
        </w:rPr>
        <w:t> </w:t>
      </w:r>
      <w:r>
        <w:rPr>
          <w:rFonts w:ascii="Times New Roman" w:hAnsi="Times New Roman" w:cs="Times New Roman" w:eastAsia="Times New Roman" w:hint="default"/>
        </w:rPr>
        <w:t>944,303,265 </w:t>
      </w:r>
      <w:r>
        <w:rPr>
          <w:spacing w:val="-3"/>
        </w:rPr>
        <w:t>股为基数，以资本公积金转增股本方式，向全体股东每</w:t>
      </w:r>
      <w:r>
        <w:rPr>
          <w:spacing w:val="-53"/>
        </w:rPr>
        <w:t> </w:t>
      </w:r>
      <w:r>
        <w:rPr>
          <w:rFonts w:ascii="Times New Roman" w:hAnsi="Times New Roman" w:cs="Times New Roman" w:eastAsia="Times New Roman" w:hint="default"/>
        </w:rPr>
        <w:t>10 </w:t>
      </w:r>
      <w:r>
        <w:rPr/>
        <w:t>股</w:t>
      </w:r>
    </w:p>
    <w:p>
      <w:pPr>
        <w:pStyle w:val="BodyText"/>
        <w:spacing w:line="240" w:lineRule="auto" w:before="99"/>
        <w:ind w:left="863" w:right="0"/>
        <w:jc w:val="both"/>
        <w:rPr>
          <w:rFonts w:ascii="Times New Roman" w:hAnsi="Times New Roman" w:cs="Times New Roman" w:eastAsia="Times New Roman" w:hint="default"/>
        </w:rPr>
      </w:pPr>
      <w:r>
        <w:rPr/>
        <w:t>转增</w:t>
      </w:r>
      <w:r>
        <w:rPr>
          <w:spacing w:val="-57"/>
        </w:rPr>
        <w:t> </w:t>
      </w:r>
      <w:r>
        <w:rPr>
          <w:rFonts w:ascii="Times New Roman" w:hAnsi="Times New Roman" w:cs="Times New Roman" w:eastAsia="Times New Roman" w:hint="default"/>
        </w:rPr>
        <w:t>3</w:t>
      </w:r>
      <w:r>
        <w:rPr>
          <w:rFonts w:ascii="Times New Roman" w:hAnsi="Times New Roman" w:cs="Times New Roman" w:eastAsia="Times New Roman" w:hint="default"/>
          <w:spacing w:val="-4"/>
        </w:rPr>
        <w:t> </w:t>
      </w:r>
      <w:r>
        <w:rPr/>
        <w:t>股，共转增</w:t>
      </w:r>
      <w:r>
        <w:rPr>
          <w:spacing w:val="-57"/>
        </w:rPr>
        <w:t> </w:t>
      </w:r>
      <w:r>
        <w:rPr>
          <w:rFonts w:ascii="Times New Roman" w:hAnsi="Times New Roman" w:cs="Times New Roman" w:eastAsia="Times New Roman" w:hint="default"/>
        </w:rPr>
        <w:t>283,290,980</w:t>
      </w:r>
      <w:r>
        <w:rPr>
          <w:rFonts w:ascii="Times New Roman" w:hAnsi="Times New Roman" w:cs="Times New Roman" w:eastAsia="Times New Roman" w:hint="default"/>
          <w:spacing w:val="-4"/>
        </w:rPr>
        <w:t> </w:t>
      </w:r>
      <w:r>
        <w:rPr/>
        <w:t>股，转增后的公司注册资本变更为</w:t>
      </w:r>
      <w:r>
        <w:rPr>
          <w:spacing w:val="-57"/>
        </w:rPr>
        <w:t> </w:t>
      </w:r>
      <w:r>
        <w:rPr>
          <w:rFonts w:ascii="Times New Roman" w:hAnsi="Times New Roman" w:cs="Times New Roman" w:eastAsia="Times New Roman" w:hint="default"/>
        </w:rPr>
        <w:t>1,227,594,245</w:t>
      </w:r>
      <w:r>
        <w:rPr>
          <w:rFonts w:ascii="Times New Roman" w:hAnsi="Times New Roman" w:cs="Times New Roman" w:eastAsia="Times New Roman" w:hint="default"/>
          <w:spacing w:val="-4"/>
        </w:rPr>
        <w:t> </w:t>
      </w:r>
      <w:r>
        <w:rPr/>
        <w:t>元。</w:t>
      </w:r>
      <w:r>
        <w:rPr>
          <w:rFonts w:ascii="Times New Roman" w:hAnsi="Times New Roman" w:cs="Times New Roman" w:eastAsia="Times New Roman" w:hint="default"/>
        </w:rPr>
        <w:t>2011</w:t>
      </w:r>
      <w:r>
        <w:rPr>
          <w:rFonts w:ascii="Times New Roman" w:hAnsi="Times New Roman" w:cs="Times New Roman" w:eastAsia="Times New Roman" w:hint="default"/>
          <w:spacing w:val="-4"/>
        </w:rPr>
        <w:t> </w:t>
      </w:r>
      <w:r>
        <w:rPr/>
        <w:t>年</w:t>
      </w:r>
      <w:r>
        <w:rPr>
          <w:spacing w:val="-57"/>
        </w:rPr>
        <w:t> </w:t>
      </w:r>
      <w:r>
        <w:rPr>
          <w:rFonts w:ascii="Times New Roman" w:hAnsi="Times New Roman" w:cs="Times New Roman" w:eastAsia="Times New Roman" w:hint="default"/>
        </w:rPr>
        <w:t>3</w:t>
      </w:r>
    </w:p>
    <w:p>
      <w:pPr>
        <w:pStyle w:val="BodyText"/>
        <w:spacing w:line="240" w:lineRule="auto" w:before="99"/>
        <w:ind w:left="863" w:right="0"/>
        <w:jc w:val="both"/>
      </w:pPr>
      <w:r>
        <w:rPr/>
        <w:t>月</w:t>
      </w:r>
      <w:r>
        <w:rPr>
          <w:spacing w:val="-51"/>
        </w:rPr>
        <w:t> </w:t>
      </w:r>
      <w:r>
        <w:rPr>
          <w:rFonts w:ascii="Times New Roman" w:hAnsi="Times New Roman" w:cs="Times New Roman" w:eastAsia="Times New Roman" w:hint="default"/>
        </w:rPr>
        <w:t>14</w:t>
      </w:r>
      <w:r>
        <w:rPr>
          <w:rFonts w:ascii="Times New Roman" w:hAnsi="Times New Roman" w:cs="Times New Roman" w:eastAsia="Times New Roman" w:hint="default"/>
          <w:spacing w:val="2"/>
        </w:rPr>
        <w:t> </w:t>
      </w:r>
      <w:r>
        <w:rPr>
          <w:spacing w:val="-3"/>
        </w:rPr>
        <w:t>日，东北大学科技产业集团有限公司等本公司股东所持有的</w:t>
      </w:r>
      <w:r>
        <w:rPr>
          <w:spacing w:val="-51"/>
        </w:rPr>
        <w:t> </w:t>
      </w:r>
      <w:r>
        <w:rPr>
          <w:rFonts w:ascii="Times New Roman" w:hAnsi="Times New Roman" w:cs="Times New Roman" w:eastAsia="Times New Roman" w:hint="default"/>
        </w:rPr>
        <w:t>900,294,040</w:t>
      </w:r>
      <w:r>
        <w:rPr>
          <w:rFonts w:ascii="Times New Roman" w:hAnsi="Times New Roman" w:cs="Times New Roman" w:eastAsia="Times New Roman" w:hint="default"/>
          <w:spacing w:val="2"/>
        </w:rPr>
        <w:t> </w:t>
      </w:r>
      <w:r>
        <w:rPr/>
        <w:t>股有限售条件的</w:t>
      </w:r>
    </w:p>
    <w:p>
      <w:pPr>
        <w:pStyle w:val="BodyText"/>
        <w:spacing w:line="240" w:lineRule="auto" w:before="99"/>
        <w:ind w:left="863" w:right="0"/>
        <w:jc w:val="both"/>
      </w:pPr>
      <w:r>
        <w:rPr/>
        <w:t>流通股上市流通。至此，本公司总股本</w:t>
      </w:r>
      <w:r>
        <w:rPr>
          <w:spacing w:val="-57"/>
        </w:rPr>
        <w:t> </w:t>
      </w:r>
      <w:r>
        <w:rPr>
          <w:rFonts w:ascii="Times New Roman" w:hAnsi="Times New Roman" w:cs="Times New Roman" w:eastAsia="Times New Roman" w:hint="default"/>
        </w:rPr>
        <w:t>1,227,594,245</w:t>
      </w:r>
      <w:r>
        <w:rPr>
          <w:rFonts w:ascii="Times New Roman" w:hAnsi="Times New Roman" w:cs="Times New Roman" w:eastAsia="Times New Roman" w:hint="default"/>
          <w:spacing w:val="-4"/>
        </w:rPr>
        <w:t> </w:t>
      </w:r>
      <w:r>
        <w:rPr/>
        <w:t>股全部为无限售条件的流通股。</w:t>
      </w:r>
    </w:p>
    <w:p>
      <w:pPr>
        <w:spacing w:after="0" w:line="240" w:lineRule="auto"/>
        <w:jc w:val="both"/>
        <w:sectPr>
          <w:headerReference w:type="default" r:id="rId30"/>
          <w:footerReference w:type="default" r:id="rId31"/>
          <w:pgSz w:w="11910" w:h="16840"/>
          <w:pgMar w:header="883" w:footer="1003" w:top="1540" w:bottom="1200" w:left="1220" w:right="1120"/>
          <w:pgNumType w:start="1"/>
        </w:sectPr>
      </w:pPr>
    </w:p>
    <w:p>
      <w:pPr>
        <w:spacing w:line="240" w:lineRule="auto" w:before="7"/>
        <w:rPr>
          <w:rFonts w:ascii="宋体" w:hAnsi="宋体" w:cs="宋体" w:eastAsia="宋体" w:hint="default"/>
          <w:sz w:val="3"/>
          <w:szCs w:val="3"/>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466.9pt;height:.5pt;mso-position-horizontal-relative:char;mso-position-vertical-relative:line" coordorigin="0,0" coordsize="9338,10">
            <v:group style="position:absolute;left:5;top:5;width:9328;height:2" coordorigin="5,5" coordsize="9328,2">
              <v:shape style="position:absolute;left:5;top:5;width:9328;height:2" coordorigin="5,5" coordsize="9328,0" path="m5,5l9332,5e" filled="false" stroked="true" strokeweight=".47998pt" strokecolor="#000000">
                <v:path arrowok="t"/>
              </v:shape>
            </v:group>
          </v:group>
        </w:pict>
      </w:r>
      <w:r>
        <w:rPr>
          <w:rFonts w:ascii="宋体" w:hAnsi="宋体" w:cs="宋体" w:eastAsia="宋体" w:hint="default"/>
          <w:sz w:val="2"/>
          <w:szCs w:val="2"/>
        </w:rPr>
      </w:r>
    </w:p>
    <w:p>
      <w:pPr>
        <w:pStyle w:val="BodyText"/>
        <w:spacing w:line="338" w:lineRule="auto" w:before="82"/>
        <w:ind w:left="863" w:right="209" w:hanging="1"/>
        <w:jc w:val="both"/>
      </w:pPr>
      <w:r>
        <w:rPr/>
        <w:t>截至</w:t>
      </w:r>
      <w:r>
        <w:rPr>
          <w:spacing w:val="-43"/>
        </w:rPr>
        <w:t> </w:t>
      </w:r>
      <w:r>
        <w:rPr>
          <w:rFonts w:ascii="Times New Roman" w:hAnsi="Times New Roman" w:cs="Times New Roman" w:eastAsia="Times New Roman" w:hint="default"/>
        </w:rPr>
        <w:t>2011</w:t>
      </w:r>
      <w:r>
        <w:rPr>
          <w:rFonts w:ascii="Times New Roman" w:hAnsi="Times New Roman" w:cs="Times New Roman" w:eastAsia="Times New Roman" w:hint="default"/>
          <w:spacing w:val="9"/>
        </w:rPr>
        <w:t> </w:t>
      </w:r>
      <w:r>
        <w:rPr/>
        <w:t>年</w:t>
      </w:r>
      <w:r>
        <w:rPr>
          <w:spacing w:val="-43"/>
        </w:rPr>
        <w:t> </w:t>
      </w:r>
      <w:r>
        <w:rPr>
          <w:rFonts w:ascii="Times New Roman" w:hAnsi="Times New Roman" w:cs="Times New Roman" w:eastAsia="Times New Roman" w:hint="default"/>
        </w:rPr>
        <w:t>12</w:t>
      </w:r>
      <w:r>
        <w:rPr>
          <w:rFonts w:ascii="Times New Roman" w:hAnsi="Times New Roman" w:cs="Times New Roman" w:eastAsia="Times New Roman" w:hint="default"/>
          <w:spacing w:val="10"/>
        </w:rPr>
        <w:t> </w:t>
      </w:r>
      <w:r>
        <w:rPr/>
        <w:t>月</w:t>
      </w:r>
      <w:r>
        <w:rPr>
          <w:spacing w:val="-43"/>
        </w:rPr>
        <w:t> </w:t>
      </w:r>
      <w:r>
        <w:rPr>
          <w:rFonts w:ascii="Times New Roman" w:hAnsi="Times New Roman" w:cs="Times New Roman" w:eastAsia="Times New Roman" w:hint="default"/>
        </w:rPr>
        <w:t>31</w:t>
      </w:r>
      <w:r>
        <w:rPr>
          <w:rFonts w:ascii="Times New Roman" w:hAnsi="Times New Roman" w:cs="Times New Roman" w:eastAsia="Times New Roman" w:hint="default"/>
          <w:spacing w:val="9"/>
        </w:rPr>
        <w:t> </w:t>
      </w:r>
      <w:r>
        <w:rPr/>
        <w:t>日，本公司及纳入合并范围的子公司（以下简称</w:t>
      </w:r>
      <w:r>
        <w:rPr>
          <w:rFonts w:ascii="Times New Roman" w:hAnsi="Times New Roman" w:cs="Times New Roman" w:eastAsia="Times New Roman" w:hint="default"/>
        </w:rPr>
        <w:t>“</w:t>
      </w:r>
      <w:r>
        <w:rPr/>
        <w:t>本集团</w:t>
      </w:r>
      <w:r>
        <w:rPr>
          <w:rFonts w:ascii="Times New Roman" w:hAnsi="Times New Roman" w:cs="Times New Roman" w:eastAsia="Times New Roman" w:hint="default"/>
        </w:rPr>
        <w:t>”</w:t>
      </w:r>
      <w:r>
        <w:rPr/>
        <w:t>）是以软件开 </w:t>
      </w:r>
      <w:r>
        <w:rPr>
          <w:spacing w:val="-2"/>
        </w:rPr>
        <w:t>发和软件服务、系统集成及提供全面解决方案、医疗系统产品生产和销售为主要业务领域的高</w:t>
      </w:r>
      <w:r>
        <w:rPr>
          <w:spacing w:val="-84"/>
        </w:rPr>
        <w:t> </w:t>
      </w:r>
      <w:r>
        <w:rPr>
          <w:spacing w:val="-84"/>
        </w:rPr>
      </w:r>
      <w:r>
        <w:rPr>
          <w:spacing w:val="-2"/>
        </w:rPr>
        <w:t>科技企业。软件开发及系统集成主要面向各基础行业提供全面解决方案；医疗系统产品主要是</w:t>
      </w:r>
      <w:r>
        <w:rPr>
          <w:spacing w:val="-84"/>
        </w:rPr>
        <w:t> </w:t>
      </w:r>
      <w:r>
        <w:rPr>
          <w:spacing w:val="-84"/>
        </w:rPr>
      </w:r>
      <w:r>
        <w:rPr/>
        <w:t>充分发挥公司在软件方面的技术优势，向医疗行业提供 </w:t>
      </w:r>
      <w:r>
        <w:rPr>
          <w:rFonts w:ascii="Times New Roman" w:hAnsi="Times New Roman" w:cs="Times New Roman" w:eastAsia="Times New Roman" w:hint="default"/>
        </w:rPr>
        <w:t>CT</w:t>
      </w:r>
      <w:r>
        <w:rPr/>
        <w:t>、</w:t>
      </w:r>
      <w:r>
        <w:rPr>
          <w:rFonts w:ascii="Times New Roman" w:hAnsi="Times New Roman" w:cs="Times New Roman" w:eastAsia="Times New Roman" w:hint="default"/>
        </w:rPr>
        <w:t>X</w:t>
      </w:r>
      <w:r>
        <w:rPr>
          <w:rFonts w:ascii="Times New Roman" w:hAnsi="Times New Roman" w:cs="Times New Roman" w:eastAsia="Times New Roman" w:hint="default"/>
          <w:spacing w:val="-11"/>
        </w:rPr>
        <w:t> </w:t>
      </w:r>
      <w:r>
        <w:rPr/>
        <w:t>光机、彩超、核磁共振等高智 能的数字化医疗产品。公司注册地：沈阳市浑南新区新秀街</w:t>
      </w:r>
      <w:r>
        <w:rPr>
          <w:spacing w:val="-64"/>
        </w:rPr>
        <w:t> </w:t>
      </w:r>
      <w:r>
        <w:rPr>
          <w:rFonts w:ascii="Times New Roman" w:hAnsi="Times New Roman" w:cs="Times New Roman" w:eastAsia="Times New Roman" w:hint="default"/>
        </w:rPr>
        <w:t>2</w:t>
      </w:r>
      <w:r>
        <w:rPr>
          <w:rFonts w:ascii="Times New Roman" w:hAnsi="Times New Roman" w:cs="Times New Roman" w:eastAsia="Times New Roman" w:hint="default"/>
          <w:spacing w:val="-11"/>
        </w:rPr>
        <w:t> </w:t>
      </w:r>
      <w:r>
        <w:rPr>
          <w:spacing w:val="-3"/>
        </w:rPr>
        <w:t>号，总部办公地址：沈阳市浑南</w:t>
      </w:r>
      <w:r>
        <w:rPr/>
        <w:t> 新区新秀街 </w:t>
      </w:r>
      <w:r>
        <w:rPr>
          <w:rFonts w:ascii="Times New Roman" w:hAnsi="Times New Roman" w:cs="Times New Roman" w:eastAsia="Times New Roman" w:hint="default"/>
        </w:rPr>
        <w:t>2 </w:t>
      </w:r>
      <w:r>
        <w:rPr/>
        <w:t>号</w:t>
      </w:r>
      <w:r>
        <w:rPr>
          <w:spacing w:val="-55"/>
        </w:rPr>
        <w:t> </w:t>
      </w:r>
      <w:r>
        <w:rPr/>
        <w:t>东软软件园。</w:t>
      </w:r>
    </w:p>
    <w:p>
      <w:pPr>
        <w:pStyle w:val="BodyText"/>
        <w:spacing w:line="240" w:lineRule="auto" w:before="13"/>
        <w:ind w:left="863" w:right="0"/>
        <w:jc w:val="both"/>
      </w:pPr>
      <w:r>
        <w:rPr/>
        <w:t>于</w:t>
      </w:r>
      <w:r>
        <w:rPr>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12 </w:t>
      </w:r>
      <w:r>
        <w:rPr/>
        <w:t>月</w:t>
      </w:r>
      <w:r>
        <w:rPr>
          <w:spacing w:val="-54"/>
        </w:rPr>
        <w:t> </w:t>
      </w:r>
      <w:r>
        <w:rPr>
          <w:rFonts w:ascii="Times New Roman" w:hAnsi="Times New Roman" w:cs="Times New Roman" w:eastAsia="Times New Roman" w:hint="default"/>
        </w:rPr>
        <w:t>31 </w:t>
      </w:r>
      <w:r>
        <w:rPr/>
        <w:t>日，本公司的基本法律架构如下：</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6"/>
          <w:szCs w:val="16"/>
        </w:rPr>
      </w:pPr>
    </w:p>
    <w:p>
      <w:pPr>
        <w:spacing w:line="2689" w:lineRule="exact"/>
        <w:ind w:left="272" w:right="0" w:firstLine="0"/>
        <w:rPr>
          <w:rFonts w:ascii="宋体" w:hAnsi="宋体" w:cs="宋体" w:eastAsia="宋体" w:hint="default"/>
          <w:sz w:val="20"/>
          <w:szCs w:val="20"/>
        </w:rPr>
      </w:pPr>
      <w:r>
        <w:rPr>
          <w:rFonts w:ascii="宋体" w:hAnsi="宋体" w:cs="宋体" w:eastAsia="宋体" w:hint="default"/>
          <w:position w:val="-53"/>
          <w:sz w:val="20"/>
          <w:szCs w:val="20"/>
        </w:rPr>
        <w:pict>
          <v:group style="width:422.25pt;height:134.5pt;mso-position-horizontal-relative:char;mso-position-vertical-relative:line" coordorigin="0,0" coordsize="8445,2690">
            <v:group style="position:absolute;left:3368;top:8;width:1728;height:540" coordorigin="3368,8" coordsize="1728,540">
              <v:shape style="position:absolute;left:3368;top:8;width:1728;height:540" coordorigin="3368,8" coordsize="1728,540" path="m5096,8l3368,8,3368,548,5096,548,5096,8xe" filled="false" stroked="true" strokeweight=".75pt" strokecolor="#000000">
                <v:path arrowok="t"/>
              </v:shape>
            </v:group>
            <v:group style="position:absolute;left:4258;top:594;width:2;height:492" coordorigin="4258,594" coordsize="2,492">
              <v:shape style="position:absolute;left:4258;top:594;width:2;height:492" coordorigin="4258,594" coordsize="0,492" path="m4258,594l4258,1086e" filled="false" stroked="true" strokeweight=".75pt" strokecolor="#000000">
                <v:path arrowok="t"/>
              </v:shape>
            </v:group>
            <v:group style="position:absolute;left:1046;top:750;width:6480;height:2" coordorigin="1046,750" coordsize="6480,2">
              <v:shape style="position:absolute;left:1046;top:750;width:6480;height:2" coordorigin="1046,750" coordsize="6480,0" path="m1046,750l7526,750e" filled="false" stroked="true" strokeweight=".75pt" strokecolor="#000000">
                <v:path arrowok="t"/>
              </v:shape>
            </v:group>
            <v:group style="position:absolute;left:7510;top:749;width:2;height:328" coordorigin="7510,749" coordsize="2,328">
              <v:shape style="position:absolute;left:7510;top:749;width:2;height:328" coordorigin="7510,749" coordsize="0,328" path="m7510,1077l7510,749e" filled="false" stroked="true" strokeweight=".75pt" strokecolor="#000000">
                <v:path arrowok="t"/>
              </v:shape>
            </v:group>
            <v:group style="position:absolute;left:1030;top:749;width:2;height:312" coordorigin="1030,749" coordsize="2,312">
              <v:shape style="position:absolute;left:1030;top:749;width:2;height:312" coordorigin="1030,749" coordsize="0,312" path="m1030,749l1030,1061e" filled="false" stroked="true" strokeweight=".75pt" strokecolor="#000000">
                <v:path arrowok="t"/>
              </v:shape>
            </v:group>
            <v:group style="position:absolute;left:3278;top:1122;width:1980;height:1404" coordorigin="3278,1122" coordsize="1980,1404">
              <v:shape style="position:absolute;left:3278;top:1122;width:1980;height:1404" coordorigin="3278,1122" coordsize="1980,1404" path="m5258,1122l3278,1122,3278,2526,5258,2526,5258,1122xe" filled="false" stroked="true" strokeweight=".75pt" strokecolor="#000000">
                <v:path arrowok="t"/>
              </v:shape>
            </v:group>
            <v:group style="position:absolute;left:8;top:1061;width:1980;height:1622" coordorigin="8,1061" coordsize="1980,1622">
              <v:shape style="position:absolute;left:8;top:1061;width:1980;height:1622" coordorigin="8,1061" coordsize="1980,1622" path="m1988,1061l8,1061,8,2682,1988,2682,1988,1061xe" filled="false" stroked="true" strokeweight=".75pt" strokecolor="#000000">
                <v:path arrowok="t"/>
              </v:shape>
            </v:group>
            <v:group style="position:absolute;left:6818;top:1122;width:1620;height:1311" coordorigin="6818,1122" coordsize="1620,1311">
              <v:shape style="position:absolute;left:6818;top:1122;width:1620;height:1311" coordorigin="6818,1122" coordsize="1620,1311" path="m8438,1122l6818,1122,6818,2433,8438,2433,8438,1122xe" filled="false" stroked="true" strokeweight=".75pt" strokecolor="#000000">
                <v:path arrowok="t"/>
              </v:shape>
              <v:shape style="position:absolute;left:3323;top:8;width:1773;height:540" type="#_x0000_t202" filled="false" stroked="false">
                <v:textbox inset="0,0,0,0">
                  <w:txbxContent>
                    <w:p>
                      <w:pPr>
                        <w:spacing w:before="64"/>
                        <w:ind w:left="594" w:right="0" w:firstLine="0"/>
                        <w:jc w:val="left"/>
                        <w:rPr>
                          <w:rFonts w:ascii="宋体" w:hAnsi="宋体" w:cs="宋体" w:eastAsia="宋体" w:hint="default"/>
                          <w:sz w:val="21"/>
                          <w:szCs w:val="21"/>
                        </w:rPr>
                      </w:pPr>
                      <w:r>
                        <w:rPr>
                          <w:rFonts w:ascii="宋体" w:hAnsi="宋体" w:cs="宋体" w:eastAsia="宋体" w:hint="default"/>
                          <w:sz w:val="21"/>
                          <w:szCs w:val="21"/>
                        </w:rPr>
                        <w:t>本公司</w:t>
                      </w:r>
                    </w:p>
                  </w:txbxContent>
                </v:textbox>
                <w10:wrap type="none"/>
              </v:shape>
              <v:shape style="position:absolute;left:8;top:1099;width:1980;height:1583" type="#_x0000_t202" filled="false" stroked="false">
                <v:textbox inset="0,0,0,0">
                  <w:txbxContent>
                    <w:p>
                      <w:pPr>
                        <w:spacing w:line="259" w:lineRule="auto" w:before="26"/>
                        <w:ind w:left="465" w:right="462" w:firstLine="0"/>
                        <w:jc w:val="center"/>
                        <w:rPr>
                          <w:rFonts w:ascii="宋体" w:hAnsi="宋体" w:cs="宋体" w:eastAsia="宋体" w:hint="default"/>
                          <w:sz w:val="21"/>
                          <w:szCs w:val="21"/>
                        </w:rPr>
                      </w:pPr>
                      <w:r>
                        <w:rPr>
                          <w:rFonts w:ascii="Arial" w:hAnsi="Arial" w:cs="Arial" w:eastAsia="Arial" w:hint="default"/>
                          <w:sz w:val="21"/>
                          <w:szCs w:val="21"/>
                        </w:rPr>
                        <w:t>40</w:t>
                      </w:r>
                      <w:r>
                        <w:rPr>
                          <w:rFonts w:ascii="Arial" w:hAnsi="Arial" w:cs="Arial" w:eastAsia="Arial" w:hint="default"/>
                          <w:spacing w:val="-7"/>
                          <w:sz w:val="21"/>
                          <w:szCs w:val="21"/>
                        </w:rPr>
                        <w:t> </w:t>
                      </w:r>
                      <w:r>
                        <w:rPr>
                          <w:rFonts w:ascii="宋体" w:hAnsi="宋体" w:cs="宋体" w:eastAsia="宋体" w:hint="default"/>
                          <w:sz w:val="21"/>
                          <w:szCs w:val="21"/>
                        </w:rPr>
                        <w:t>家直接 控股子公司</w:t>
                      </w:r>
                    </w:p>
                    <w:p>
                      <w:pPr>
                        <w:spacing w:line="338" w:lineRule="auto" w:before="60"/>
                        <w:ind w:left="90" w:right="88" w:firstLine="0"/>
                        <w:jc w:val="center"/>
                        <w:rPr>
                          <w:rFonts w:ascii="宋体" w:hAnsi="宋体" w:cs="宋体" w:eastAsia="宋体" w:hint="default"/>
                          <w:sz w:val="16"/>
                          <w:szCs w:val="16"/>
                        </w:rPr>
                      </w:pPr>
                      <w:r>
                        <w:rPr>
                          <w:rFonts w:ascii="宋体" w:hAnsi="宋体" w:cs="宋体" w:eastAsia="宋体" w:hint="default"/>
                          <w:sz w:val="16"/>
                          <w:szCs w:val="16"/>
                        </w:rPr>
                        <w:t>（持有权益占</w:t>
                      </w:r>
                      <w:r>
                        <w:rPr>
                          <w:rFonts w:ascii="宋体" w:hAnsi="宋体" w:cs="宋体" w:eastAsia="宋体" w:hint="default"/>
                          <w:spacing w:val="-43"/>
                          <w:sz w:val="16"/>
                          <w:szCs w:val="16"/>
                        </w:rPr>
                        <w:t> </w:t>
                      </w:r>
                      <w:r>
                        <w:rPr>
                          <w:rFonts w:ascii="Arial" w:hAnsi="Arial" w:cs="Arial" w:eastAsia="Arial" w:hint="default"/>
                          <w:sz w:val="16"/>
                          <w:szCs w:val="16"/>
                        </w:rPr>
                        <w:t>50%</w:t>
                      </w:r>
                      <w:r>
                        <w:rPr>
                          <w:rFonts w:ascii="宋体" w:hAnsi="宋体" w:cs="宋体" w:eastAsia="宋体" w:hint="default"/>
                          <w:sz w:val="16"/>
                          <w:szCs w:val="16"/>
                        </w:rPr>
                        <w:t>以上或</w:t>
                      </w:r>
                      <w:r>
                        <w:rPr>
                          <w:rFonts w:ascii="宋体" w:hAnsi="宋体" w:cs="宋体" w:eastAsia="宋体" w:hint="default"/>
                          <w:w w:val="99"/>
                          <w:sz w:val="16"/>
                          <w:szCs w:val="16"/>
                        </w:rPr>
                        <w:t> </w:t>
                      </w:r>
                      <w:r>
                        <w:rPr>
                          <w:rFonts w:ascii="宋体" w:hAnsi="宋体" w:cs="宋体" w:eastAsia="宋体" w:hint="default"/>
                          <w:sz w:val="16"/>
                          <w:szCs w:val="16"/>
                        </w:rPr>
                        <w:t>持股</w:t>
                      </w:r>
                      <w:r>
                        <w:rPr>
                          <w:rFonts w:ascii="宋体" w:hAnsi="宋体" w:cs="宋体" w:eastAsia="宋体" w:hint="default"/>
                          <w:spacing w:val="-42"/>
                          <w:sz w:val="16"/>
                          <w:szCs w:val="16"/>
                        </w:rPr>
                        <w:t> </w:t>
                      </w:r>
                      <w:r>
                        <w:rPr>
                          <w:rFonts w:ascii="Arial" w:hAnsi="Arial" w:cs="Arial" w:eastAsia="Arial" w:hint="default"/>
                          <w:sz w:val="16"/>
                          <w:szCs w:val="16"/>
                        </w:rPr>
                        <w:t>50%</w:t>
                      </w:r>
                      <w:r>
                        <w:rPr>
                          <w:rFonts w:ascii="宋体" w:hAnsi="宋体" w:cs="宋体" w:eastAsia="宋体" w:hint="default"/>
                          <w:sz w:val="16"/>
                          <w:szCs w:val="16"/>
                        </w:rPr>
                        <w:t>以下但</w:t>
                      </w:r>
                      <w:r>
                        <w:rPr>
                          <w:rFonts w:ascii="宋体" w:hAnsi="宋体" w:cs="宋体" w:eastAsia="宋体" w:hint="default"/>
                          <w:w w:val="99"/>
                          <w:sz w:val="16"/>
                          <w:szCs w:val="16"/>
                        </w:rPr>
                        <w:t> </w:t>
                      </w:r>
                      <w:r>
                        <w:rPr>
                          <w:rFonts w:ascii="宋体" w:hAnsi="宋体" w:cs="宋体" w:eastAsia="宋体" w:hint="default"/>
                          <w:sz w:val="16"/>
                          <w:szCs w:val="16"/>
                        </w:rPr>
                        <w:t>具有实际控制权）</w:t>
                      </w:r>
                    </w:p>
                  </w:txbxContent>
                </v:textbox>
                <w10:wrap type="none"/>
              </v:shape>
              <v:shape style="position:absolute;left:3323;top:1099;width:1935;height:1427" type="#_x0000_t202" filled="false" stroked="false">
                <v:textbox inset="0,0,0,0">
                  <w:txbxContent>
                    <w:p>
                      <w:pPr>
                        <w:spacing w:line="240" w:lineRule="auto" w:before="9"/>
                        <w:rPr>
                          <w:rFonts w:ascii="宋体" w:hAnsi="宋体" w:cs="宋体" w:eastAsia="宋体" w:hint="default"/>
                          <w:sz w:val="18"/>
                          <w:szCs w:val="18"/>
                        </w:rPr>
                      </w:pPr>
                    </w:p>
                    <w:p>
                      <w:pPr>
                        <w:spacing w:before="0"/>
                        <w:ind w:left="0" w:right="41" w:firstLine="0"/>
                        <w:jc w:val="center"/>
                        <w:rPr>
                          <w:rFonts w:ascii="宋体" w:hAnsi="宋体" w:cs="宋体" w:eastAsia="宋体" w:hint="default"/>
                          <w:sz w:val="21"/>
                          <w:szCs w:val="21"/>
                        </w:rPr>
                      </w:pPr>
                      <w:r>
                        <w:rPr>
                          <w:rFonts w:ascii="Arial" w:hAnsi="Arial" w:cs="Arial" w:eastAsia="Arial" w:hint="default"/>
                          <w:sz w:val="21"/>
                          <w:szCs w:val="21"/>
                        </w:rPr>
                        <w:t>10</w:t>
                      </w:r>
                      <w:r>
                        <w:rPr>
                          <w:rFonts w:ascii="Arial" w:hAnsi="Arial" w:cs="Arial" w:eastAsia="Arial" w:hint="default"/>
                          <w:spacing w:val="-8"/>
                          <w:sz w:val="21"/>
                          <w:szCs w:val="21"/>
                        </w:rPr>
                        <w:t> </w:t>
                      </w:r>
                      <w:r>
                        <w:rPr>
                          <w:rFonts w:ascii="宋体" w:hAnsi="宋体" w:cs="宋体" w:eastAsia="宋体" w:hint="default"/>
                          <w:sz w:val="21"/>
                          <w:szCs w:val="21"/>
                        </w:rPr>
                        <w:t>家直接持股</w:t>
                      </w:r>
                    </w:p>
                    <w:p>
                      <w:pPr>
                        <w:spacing w:line="273" w:lineRule="auto" w:before="178"/>
                        <w:ind w:left="106" w:right="146" w:firstLine="0"/>
                        <w:jc w:val="center"/>
                        <w:rPr>
                          <w:rFonts w:ascii="宋体" w:hAnsi="宋体" w:cs="宋体" w:eastAsia="宋体" w:hint="default"/>
                          <w:sz w:val="21"/>
                          <w:szCs w:val="21"/>
                        </w:rPr>
                      </w:pPr>
                      <w:r>
                        <w:rPr>
                          <w:rFonts w:ascii="宋体" w:hAnsi="宋体" w:cs="宋体" w:eastAsia="宋体" w:hint="default"/>
                          <w:sz w:val="21"/>
                          <w:szCs w:val="21"/>
                        </w:rPr>
                        <w:t>联营公司及其他被 投资单位</w:t>
                      </w:r>
                    </w:p>
                  </w:txbxContent>
                </v:textbox>
                <w10:wrap type="none"/>
              </v:shape>
              <v:shape style="position:absolute;left:6818;top:1099;width:1620;height:1334" type="#_x0000_t202" filled="false" stroked="false">
                <v:textbox inset="0,0,0,0">
                  <w:txbxContent>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19"/>
                          <w:szCs w:val="19"/>
                        </w:rPr>
                      </w:pPr>
                    </w:p>
                    <w:p>
                      <w:pPr>
                        <w:spacing w:before="0"/>
                        <w:ind w:left="306" w:right="0" w:firstLine="0"/>
                        <w:jc w:val="left"/>
                        <w:rPr>
                          <w:rFonts w:ascii="宋体" w:hAnsi="宋体" w:cs="宋体" w:eastAsia="宋体" w:hint="default"/>
                          <w:sz w:val="21"/>
                          <w:szCs w:val="21"/>
                        </w:rPr>
                      </w:pPr>
                      <w:r>
                        <w:rPr>
                          <w:rFonts w:ascii="Arial" w:hAnsi="Arial" w:cs="Arial" w:eastAsia="Arial" w:hint="default"/>
                          <w:sz w:val="21"/>
                          <w:szCs w:val="21"/>
                        </w:rPr>
                        <w:t>1</w:t>
                      </w:r>
                      <w:r>
                        <w:rPr>
                          <w:rFonts w:ascii="Arial" w:hAnsi="Arial" w:cs="Arial" w:eastAsia="Arial" w:hint="default"/>
                          <w:spacing w:val="-7"/>
                          <w:sz w:val="21"/>
                          <w:szCs w:val="21"/>
                        </w:rPr>
                        <w:t> </w:t>
                      </w:r>
                      <w:r>
                        <w:rPr>
                          <w:rFonts w:ascii="宋体" w:hAnsi="宋体" w:cs="宋体" w:eastAsia="宋体" w:hint="default"/>
                          <w:sz w:val="21"/>
                          <w:szCs w:val="21"/>
                        </w:rPr>
                        <w:t>家分公司</w:t>
                      </w:r>
                    </w:p>
                  </w:txbxContent>
                </v:textbox>
                <w10:wrap type="none"/>
              </v:shape>
            </v:group>
          </v:group>
        </w:pict>
      </w:r>
      <w:r>
        <w:rPr>
          <w:rFonts w:ascii="宋体" w:hAnsi="宋体" w:cs="宋体" w:eastAsia="宋体" w:hint="default"/>
          <w:position w:val="-53"/>
          <w:sz w:val="20"/>
          <w:szCs w:val="20"/>
        </w:rPr>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9"/>
          <w:szCs w:val="19"/>
        </w:rPr>
      </w:pPr>
    </w:p>
    <w:p>
      <w:pPr>
        <w:pStyle w:val="Heading6"/>
        <w:tabs>
          <w:tab w:pos="859" w:val="left" w:leader="none"/>
        </w:tabs>
        <w:spacing w:line="240" w:lineRule="auto" w:before="0"/>
        <w:ind w:left="131" w:right="194"/>
        <w:jc w:val="left"/>
        <w:rPr>
          <w:b w:val="0"/>
          <w:bCs w:val="0"/>
        </w:rPr>
      </w:pPr>
      <w:r>
        <w:rPr>
          <w:w w:val="95"/>
        </w:rPr>
        <w:t>二、</w:t>
        <w:tab/>
      </w:r>
      <w:r>
        <w:rPr/>
        <w:t>主要会计政策、会计估计和前期差错</w:t>
      </w:r>
      <w:r>
        <w:rPr>
          <w:b w:val="0"/>
          <w:bCs w:val="0"/>
        </w:rPr>
      </w:r>
    </w:p>
    <w:p>
      <w:pPr>
        <w:tabs>
          <w:tab w:pos="859" w:val="left" w:leader="none"/>
        </w:tabs>
        <w:spacing w:before="125"/>
        <w:ind w:left="131" w:right="19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财务报表的编制基础</w:t>
      </w:r>
      <w:r>
        <w:rPr>
          <w:rFonts w:ascii="宋体" w:hAnsi="宋体" w:cs="宋体" w:eastAsia="宋体" w:hint="default"/>
          <w:sz w:val="21"/>
          <w:szCs w:val="21"/>
        </w:rPr>
      </w:r>
    </w:p>
    <w:p>
      <w:pPr>
        <w:pStyle w:val="BodyText"/>
        <w:spacing w:line="240" w:lineRule="auto" w:before="109"/>
        <w:ind w:left="863" w:right="0"/>
        <w:jc w:val="both"/>
      </w:pPr>
      <w:r>
        <w:rPr/>
        <w:t>公司以持续经营为基础，根据实际发生的交易和事项，按照财政部于</w:t>
      </w:r>
      <w:r>
        <w:rPr>
          <w:spacing w:val="-64"/>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1"/>
        </w:rPr>
        <w:t> </w:t>
      </w:r>
      <w:r>
        <w:rPr/>
        <w:t>年</w:t>
      </w:r>
      <w:r>
        <w:rPr>
          <w:spacing w:val="-65"/>
        </w:rPr>
        <w:t> </w:t>
      </w:r>
      <w:r>
        <w:rPr>
          <w:rFonts w:ascii="Times New Roman" w:hAnsi="Times New Roman" w:cs="Times New Roman" w:eastAsia="Times New Roman" w:hint="default"/>
        </w:rPr>
        <w:t>2</w:t>
      </w:r>
      <w:r>
        <w:rPr>
          <w:rFonts w:ascii="Times New Roman" w:hAnsi="Times New Roman" w:cs="Times New Roman" w:eastAsia="Times New Roman" w:hint="default"/>
          <w:spacing w:val="-11"/>
        </w:rPr>
        <w:t> </w:t>
      </w:r>
      <w:r>
        <w:rPr/>
        <w:t>月</w:t>
      </w:r>
      <w:r>
        <w:rPr>
          <w:spacing w:val="-65"/>
        </w:rPr>
        <w:t> </w:t>
      </w:r>
      <w:r>
        <w:rPr>
          <w:rFonts w:ascii="Times New Roman" w:hAnsi="Times New Roman" w:cs="Times New Roman" w:eastAsia="Times New Roman" w:hint="default"/>
        </w:rPr>
        <w:t>15</w:t>
      </w:r>
      <w:r>
        <w:rPr>
          <w:rFonts w:ascii="Times New Roman" w:hAnsi="Times New Roman" w:cs="Times New Roman" w:eastAsia="Times New Roman" w:hint="default"/>
          <w:spacing w:val="-11"/>
        </w:rPr>
        <w:t> </w:t>
      </w:r>
      <w:r>
        <w:rPr/>
        <w:t>日颁布的</w:t>
      </w:r>
    </w:p>
    <w:p>
      <w:pPr>
        <w:pStyle w:val="BodyText"/>
        <w:spacing w:line="328" w:lineRule="auto" w:before="110"/>
        <w:ind w:left="863" w:right="194"/>
        <w:jc w:val="left"/>
      </w:pPr>
      <w:r>
        <w:rPr/>
        <w:t>《企业会计准则</w:t>
      </w:r>
      <w:r>
        <w:rPr>
          <w:rFonts w:ascii="Times New Roman" w:hAnsi="Times New Roman" w:cs="Times New Roman" w:eastAsia="Times New Roman" w:hint="default"/>
        </w:rPr>
        <w:t>——</w:t>
      </w:r>
      <w:r>
        <w:rPr/>
        <w:t>基本准则》和 </w:t>
      </w:r>
      <w:r>
        <w:rPr>
          <w:rFonts w:ascii="Times New Roman" w:hAnsi="Times New Roman" w:cs="Times New Roman" w:eastAsia="Times New Roman" w:hint="default"/>
        </w:rPr>
        <w:t>38</w:t>
      </w:r>
      <w:r>
        <w:rPr>
          <w:rFonts w:ascii="Times New Roman" w:hAnsi="Times New Roman" w:cs="Times New Roman" w:eastAsia="Times New Roman" w:hint="default"/>
          <w:spacing w:val="-11"/>
        </w:rPr>
        <w:t> </w:t>
      </w:r>
      <w:r>
        <w:rPr/>
        <w:t>项具体会计准则、其后颁布的企业会计准则应用指南、 企业会计准则解释及其他相关规定</w:t>
      </w:r>
      <w:r>
        <w:rPr>
          <w:rFonts w:ascii="Times New Roman" w:hAnsi="Times New Roman" w:cs="Times New Roman" w:eastAsia="Times New Roman" w:hint="default"/>
        </w:rPr>
        <w:t>(</w:t>
      </w:r>
      <w:r>
        <w:rPr/>
        <w:t>以下合称</w:t>
      </w:r>
      <w:r>
        <w:rPr>
          <w:rFonts w:ascii="Times New Roman" w:hAnsi="Times New Roman" w:cs="Times New Roman" w:eastAsia="Times New Roman" w:hint="default"/>
        </w:rPr>
        <w:t>“</w:t>
      </w:r>
      <w:r>
        <w:rPr/>
        <w:t>企业会计准则</w:t>
      </w:r>
      <w:r>
        <w:rPr>
          <w:rFonts w:ascii="Times New Roman" w:hAnsi="Times New Roman" w:cs="Times New Roman" w:eastAsia="Times New Roman" w:hint="default"/>
        </w:rPr>
        <w:t>”)</w:t>
      </w:r>
      <w:r>
        <w:rPr/>
        <w:t>、以及中国证券监督管理委员会</w:t>
      </w:r>
    </w:p>
    <w:p>
      <w:pPr>
        <w:pStyle w:val="BodyText"/>
        <w:spacing w:line="331" w:lineRule="auto" w:before="23"/>
        <w:ind w:left="863" w:right="197"/>
        <w:jc w:val="left"/>
      </w:pPr>
      <w:r>
        <w:rPr/>
        <w:t>《公开发行证券的公司信息披露编报规则第 </w:t>
      </w:r>
      <w:r>
        <w:rPr>
          <w:rFonts w:ascii="Times New Roman" w:hAnsi="Times New Roman" w:cs="Times New Roman" w:eastAsia="Times New Roman" w:hint="default"/>
        </w:rPr>
        <w:t>15 </w:t>
      </w:r>
      <w:r>
        <w:rPr/>
        <w:t>号</w:t>
      </w:r>
      <w:r>
        <w:rPr>
          <w:rFonts w:ascii="Times New Roman" w:hAnsi="Times New Roman" w:cs="Times New Roman" w:eastAsia="Times New Roman" w:hint="default"/>
        </w:rPr>
        <w:t>——</w:t>
      </w:r>
      <w:r>
        <w:rPr/>
        <w:t>财务报告的一般规定》</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年修订</w:t>
      </w:r>
      <w:r>
        <w:rPr>
          <w:rFonts w:ascii="Times New Roman" w:hAnsi="Times New Roman" w:cs="Times New Roman" w:eastAsia="Times New Roman" w:hint="default"/>
        </w:rPr>
        <w:t>)</w:t>
      </w:r>
      <w:r>
        <w:rPr/>
        <w:t>的 披露规定编制财务报表。</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859" w:val="left" w:leader="none"/>
        </w:tabs>
        <w:spacing w:line="340" w:lineRule="auto" w:before="0"/>
        <w:ind w:left="863" w:right="104"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遵循企业会计准则的声明</w:t>
      </w:r>
      <w:r>
        <w:rPr>
          <w:rFonts w:ascii="宋体" w:hAnsi="宋体" w:cs="宋体" w:eastAsia="宋体" w:hint="default"/>
          <w:b/>
          <w:bCs/>
          <w:w w:val="99"/>
          <w:sz w:val="21"/>
          <w:szCs w:val="21"/>
        </w:rPr>
        <w:t> </w:t>
      </w:r>
      <w:r>
        <w:rPr>
          <w:rFonts w:ascii="宋体" w:hAnsi="宋体" w:cs="宋体" w:eastAsia="宋体" w:hint="default"/>
          <w:spacing w:val="-4"/>
          <w:sz w:val="21"/>
          <w:szCs w:val="21"/>
        </w:rPr>
        <w:t>公司所编制的财务报表符合企业会计准则的要求，真实、完整地反映了报告期公司的财务状况、</w:t>
      </w:r>
      <w:r>
        <w:rPr>
          <w:rFonts w:ascii="宋体" w:hAnsi="宋体" w:cs="宋体" w:eastAsia="宋体" w:hint="default"/>
          <w:sz w:val="21"/>
          <w:szCs w:val="21"/>
        </w:rPr>
        <w:t> 经营成果、现金流量等有关信息。</w:t>
      </w:r>
    </w:p>
    <w:p>
      <w:pPr>
        <w:spacing w:line="240" w:lineRule="auto" w:before="0"/>
        <w:rPr>
          <w:rFonts w:ascii="宋体" w:hAnsi="宋体" w:cs="宋体" w:eastAsia="宋体" w:hint="default"/>
          <w:sz w:val="20"/>
          <w:szCs w:val="20"/>
        </w:rPr>
      </w:pPr>
    </w:p>
    <w:p>
      <w:pPr>
        <w:pStyle w:val="Heading6"/>
        <w:tabs>
          <w:tab w:pos="859" w:val="left" w:leader="none"/>
        </w:tabs>
        <w:spacing w:line="240" w:lineRule="auto" w:before="175"/>
        <w:ind w:left="131" w:right="194"/>
        <w:jc w:val="left"/>
        <w:rPr>
          <w:b w:val="0"/>
          <w:bCs w:val="0"/>
        </w:rPr>
      </w:pP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spacing w:val="1"/>
        </w:rPr>
        <w:t>会计期间</w:t>
      </w:r>
      <w:r>
        <w:rPr>
          <w:b w:val="0"/>
          <w:bCs w:val="0"/>
        </w:rPr>
      </w:r>
    </w:p>
    <w:p>
      <w:pPr>
        <w:pStyle w:val="BodyText"/>
        <w:spacing w:line="240" w:lineRule="auto" w:before="109"/>
        <w:ind w:left="863" w:right="0"/>
        <w:jc w:val="both"/>
      </w:pPr>
      <w:r>
        <w:rPr/>
        <w:t>自公历</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日至</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日止为一个会计年度。</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859" w:val="left" w:leader="none"/>
        </w:tabs>
        <w:spacing w:line="328" w:lineRule="auto" w:before="0"/>
        <w:ind w:left="863" w:right="6239"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记账本位币</w:t>
      </w:r>
      <w:r>
        <w:rPr>
          <w:rFonts w:ascii="宋体" w:hAnsi="宋体" w:cs="宋体" w:eastAsia="宋体" w:hint="default"/>
          <w:b/>
          <w:bCs/>
          <w:w w:val="99"/>
          <w:sz w:val="21"/>
          <w:szCs w:val="21"/>
        </w:rPr>
        <w:t> </w:t>
      </w:r>
      <w:r>
        <w:rPr>
          <w:rFonts w:ascii="宋体" w:hAnsi="宋体" w:cs="宋体" w:eastAsia="宋体" w:hint="default"/>
          <w:sz w:val="21"/>
          <w:szCs w:val="21"/>
        </w:rPr>
        <w:t>采用人民币为记账本位币。</w:t>
      </w:r>
    </w:p>
    <w:p>
      <w:pPr>
        <w:pStyle w:val="BodyText"/>
        <w:spacing w:line="240" w:lineRule="auto" w:before="47"/>
        <w:ind w:left="863" w:right="0"/>
        <w:jc w:val="both"/>
      </w:pPr>
      <w:r>
        <w:rPr/>
        <w:t>境外公司按所在国货地地区的货币为记账本位币，编制财务报表时折算为人民币。</w:t>
      </w:r>
    </w:p>
    <w:p>
      <w:pPr>
        <w:spacing w:after="0" w:line="240" w:lineRule="auto"/>
        <w:jc w:val="both"/>
        <w:sectPr>
          <w:pgSz w:w="11910" w:h="16840"/>
          <w:pgMar w:header="883" w:footer="1003" w:top="1540" w:bottom="1200" w:left="1220" w:right="1060"/>
        </w:sectPr>
      </w:pPr>
    </w:p>
    <w:p>
      <w:pPr>
        <w:spacing w:line="240" w:lineRule="auto" w:before="13"/>
        <w:rPr>
          <w:rFonts w:ascii="宋体" w:hAnsi="宋体" w:cs="宋体" w:eastAsia="宋体" w:hint="default"/>
          <w:sz w:val="7"/>
          <w:szCs w:val="7"/>
        </w:rPr>
      </w:pPr>
    </w:p>
    <w:p>
      <w:pPr>
        <w:pStyle w:val="Heading6"/>
        <w:tabs>
          <w:tab w:pos="859" w:val="left" w:leader="none"/>
        </w:tabs>
        <w:spacing w:line="240" w:lineRule="auto"/>
        <w:ind w:left="131" w:right="194"/>
        <w:jc w:val="left"/>
        <w:rPr>
          <w:b w:val="0"/>
          <w:bCs w:val="0"/>
        </w:rPr>
      </w:pPr>
      <w:r>
        <w:rPr>
          <w:rFonts w:ascii="Times New Roman" w:hAnsi="Times New Roman" w:cs="Times New Roman" w:eastAsia="Times New Roman" w:hint="default"/>
          <w:w w:val="95"/>
        </w:rPr>
        <w:t>(</w:t>
      </w:r>
      <w:r>
        <w:rPr>
          <w:w w:val="95"/>
        </w:rPr>
        <w:t>五</w:t>
      </w:r>
      <w:r>
        <w:rPr>
          <w:rFonts w:ascii="Times New Roman" w:hAnsi="Times New Roman" w:cs="Times New Roman" w:eastAsia="Times New Roman" w:hint="default"/>
          <w:w w:val="95"/>
        </w:rPr>
        <w:t>)</w:t>
        <w:tab/>
      </w:r>
      <w:r>
        <w:rPr/>
        <w:t>同一控制下和非同一控制下企业合并的会计处理方法</w:t>
      </w:r>
      <w:r>
        <w:rPr>
          <w:b w:val="0"/>
          <w:bCs w:val="0"/>
        </w:rPr>
      </w:r>
    </w:p>
    <w:p>
      <w:pPr>
        <w:pStyle w:val="BodyText"/>
        <w:tabs>
          <w:tab w:pos="1401" w:val="left" w:leader="none"/>
        </w:tabs>
        <w:spacing w:line="338" w:lineRule="auto" w:before="99"/>
        <w:ind w:right="104" w:hanging="543"/>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同一控制下企业合并</w:t>
      </w:r>
      <w:r>
        <w:rPr>
          <w:rFonts w:ascii="宋体" w:hAnsi="宋体" w:cs="宋体" w:eastAsia="宋体" w:hint="default"/>
          <w:b/>
          <w:bCs/>
          <w:spacing w:val="1"/>
          <w:w w:val="99"/>
        </w:rPr>
        <w:t> </w:t>
      </w:r>
      <w:r>
        <w:rPr/>
        <w:t>本公司在企业合并中取得的资产和负债，按照合并日在被合并方的账面价值计量。被合</w:t>
      </w:r>
      <w:r>
        <w:rPr>
          <w:spacing w:val="1"/>
        </w:rPr>
        <w:t> </w:t>
      </w:r>
      <w:r>
        <w:rPr/>
        <w:t>并各方采用的会计政策与本公司不一致的，本公司在合并日按照本公司会计政策进行调</w:t>
      </w:r>
      <w:r>
        <w:rPr>
          <w:spacing w:val="1"/>
        </w:rPr>
        <w:t> </w:t>
      </w:r>
      <w:r>
        <w:rPr/>
        <w:t>整，在此基础上按照调整后的账面价值确认。</w:t>
      </w:r>
      <w:r>
        <w:rPr/>
        <w:t> 在合并中取得的净资产账面价值与支付的合并对价账面价值（或发行股份面值总额）的</w:t>
      </w:r>
      <w:r>
        <w:rPr>
          <w:spacing w:val="1"/>
        </w:rPr>
        <w:t> </w:t>
      </w:r>
      <w:r>
        <w:rPr>
          <w:spacing w:val="-3"/>
        </w:rPr>
        <w:t>差额，调整资本公积中的股本溢价，资本公积中的股本溢价不足冲减的，调整留存收益。</w:t>
      </w:r>
      <w:r>
        <w:rPr/>
        <w:t> 本公司为进行企业合并而发生的各项直接相关费用，包括为进行企业合并而支付的审计</w:t>
      </w:r>
      <w:r>
        <w:rPr>
          <w:spacing w:val="1"/>
        </w:rPr>
        <w:t> </w:t>
      </w:r>
      <w:r>
        <w:rPr/>
        <w:t>费用、评估费用、法律服务费等，于发生时计入当期损益。</w:t>
      </w:r>
      <w:r>
        <w:rPr/>
        <w:t> 企业合并中发行权益性证券发生的手续费、佣金等，抵减权益性证券溢价收入，溢价收</w:t>
      </w:r>
      <w:r>
        <w:rPr>
          <w:spacing w:val="1"/>
        </w:rPr>
        <w:t> </w:t>
      </w:r>
      <w:r>
        <w:rPr/>
        <w:t>入不足冲减的，冲减留存收益。</w:t>
      </w:r>
    </w:p>
    <w:p>
      <w:pPr>
        <w:spacing w:line="240" w:lineRule="auto" w:before="0"/>
        <w:rPr>
          <w:rFonts w:ascii="宋体" w:hAnsi="宋体" w:cs="宋体" w:eastAsia="宋体" w:hint="default"/>
          <w:sz w:val="20"/>
          <w:szCs w:val="20"/>
        </w:rPr>
      </w:pPr>
    </w:p>
    <w:p>
      <w:pPr>
        <w:pStyle w:val="BodyText"/>
        <w:tabs>
          <w:tab w:pos="1401" w:val="left" w:leader="none"/>
        </w:tabs>
        <w:spacing w:line="338" w:lineRule="auto" w:before="157"/>
        <w:ind w:right="104" w:hanging="543"/>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非同一控制下的企业合并</w:t>
      </w:r>
      <w:r>
        <w:rPr>
          <w:rFonts w:ascii="宋体" w:hAnsi="宋体" w:cs="宋体" w:eastAsia="宋体" w:hint="default"/>
          <w:b/>
          <w:bCs/>
          <w:w w:val="99"/>
        </w:rPr>
        <w:t> </w:t>
      </w:r>
      <w:r>
        <w:rPr>
          <w:spacing w:val="-2"/>
        </w:rPr>
        <w:t>本公司在购买日对作为企业合并对价付出的资产、发生或承担的负债按照公允价值计量。</w:t>
      </w:r>
      <w:r>
        <w:rPr/>
        <w:t> 公允价值与其账面价值的差额，计入当期损益。 本公司在购买日对合并成本进行分配，确认所取得的被购买方各项可辨认资产、负债及</w:t>
      </w:r>
      <w:r>
        <w:rPr>
          <w:spacing w:val="1"/>
        </w:rPr>
        <w:t> </w:t>
      </w:r>
      <w:r>
        <w:rPr/>
        <w:t>或有负债的公允价值。</w:t>
      </w:r>
      <w:r>
        <w:rPr/>
        <w:t> 本公司对合并成本大于合并中取得的被购买方可辨认净资产公允价值份额的差额，确认</w:t>
      </w:r>
      <w:r>
        <w:rPr>
          <w:spacing w:val="1"/>
        </w:rPr>
        <w:t> </w:t>
      </w:r>
      <w:r>
        <w:rPr/>
        <w:t>为商誉；合并成本小于合并中取得的被购买方可辨认净资产公允价值份额的差额，经复</w:t>
      </w:r>
      <w:r>
        <w:rPr>
          <w:spacing w:val="1"/>
        </w:rPr>
        <w:t> </w:t>
      </w:r>
      <w:r>
        <w:rPr/>
        <w:t>核后，计入当期损益。</w:t>
      </w:r>
      <w:r>
        <w:rPr/>
        <w:t> 企业合并中取得的被购买方除无形资产外的其他各项资产（不仅限于被购买方原已确认</w:t>
      </w:r>
      <w:r>
        <w:rPr>
          <w:spacing w:val="1"/>
        </w:rPr>
        <w:t> </w:t>
      </w:r>
      <w:r>
        <w:rPr>
          <w:spacing w:val="-5"/>
        </w:rPr>
        <w:t>的资产），其所带来的经济利益很可能流入本公司且公允价值能够可靠计量的，单独确认</w:t>
      </w:r>
      <w:r>
        <w:rPr/>
        <w:t> 并按公允价值计量；公允价值能够可靠计量的无形资产，单独确认为无形资产并按公允</w:t>
      </w:r>
      <w:r>
        <w:rPr>
          <w:spacing w:val="1"/>
        </w:rPr>
        <w:t> </w:t>
      </w:r>
      <w:r>
        <w:rPr/>
        <w:t>价值计量；取得的被购买方除或有负债以外的其他各项负债，履行有关义务很可能导致</w:t>
      </w:r>
      <w:r>
        <w:rPr>
          <w:spacing w:val="1"/>
        </w:rPr>
        <w:t> </w:t>
      </w:r>
      <w:r>
        <w:rPr/>
        <w:t>经济利益流出本公司且公允价值能够可靠计量的，单独确认并按照公允价值计量；取得</w:t>
      </w:r>
      <w:r>
        <w:rPr>
          <w:spacing w:val="1"/>
        </w:rPr>
        <w:t> </w:t>
      </w:r>
      <w:r>
        <w:rPr>
          <w:spacing w:val="-3"/>
        </w:rPr>
        <w:t>的被购买方或有负债，其公允价值能可靠计量的，单独确认为负债并按照公允价值计量。</w:t>
      </w:r>
      <w:r>
        <w:rPr/>
        <w:t> 本公司在企业合并中取得的被购买方的可抵扣暂时性差异，在购买日不符合递延所得税</w:t>
      </w:r>
      <w:r>
        <w:rPr>
          <w:spacing w:val="1"/>
        </w:rPr>
        <w:t> </w:t>
      </w:r>
      <w:r>
        <w:rPr>
          <w:spacing w:val="-3"/>
        </w:rPr>
        <w:t>资产确认条件的，不予以确认。购买日后</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个月内，如取得新的或进一步的信息表明购 买日的相关情况已经存在，预期被购买方在购买日可抵扣暂时性差异带来的经济利益能</w:t>
      </w:r>
      <w:r>
        <w:rPr>
          <w:spacing w:val="1"/>
        </w:rPr>
        <w:t> </w:t>
      </w:r>
      <w:r>
        <w:rPr/>
        <w:t>够实现的，确认相关的递延所得税资产，同时减少商誉，商誉不足冲减的，差额部分确</w:t>
      </w:r>
      <w:r>
        <w:rPr>
          <w:spacing w:val="1"/>
        </w:rPr>
        <w:t> </w:t>
      </w:r>
      <w:r>
        <w:rPr/>
        <w:t>认为当期损益；除上述情况以外，确认与企业合并相关的递延所得税资产，计入当期损</w:t>
      </w:r>
      <w:r>
        <w:rPr>
          <w:spacing w:val="1"/>
        </w:rPr>
        <w:t> </w:t>
      </w:r>
      <w:r>
        <w:rPr/>
        <w:t>益。</w:t>
      </w:r>
      <w:r>
        <w:rPr/>
        <w:t> 非同一控制下企业合并，购买方为企业合并发生的审计、法律服务、评估咨询等中介费</w:t>
      </w:r>
      <w:r>
        <w:rPr>
          <w:spacing w:val="1"/>
        </w:rPr>
        <w:t> </w:t>
      </w:r>
      <w:r>
        <w:rPr/>
        <w:t>用以及其他相关管理费用，应当于发生时计入当期损益；购买方作为合并对价发行的权</w:t>
      </w:r>
      <w:r>
        <w:rPr>
          <w:spacing w:val="1"/>
        </w:rPr>
        <w:t> </w:t>
      </w:r>
      <w:r>
        <w:rPr>
          <w:spacing w:val="-2"/>
        </w:rPr>
        <w:t>益性证券或债务性证券的交易费用，应当计入权益性证券或债务性证券的初始确认金额。</w:t>
      </w:r>
    </w:p>
    <w:p>
      <w:pPr>
        <w:spacing w:after="0" w:line="338" w:lineRule="auto"/>
        <w:jc w:val="left"/>
        <w:sectPr>
          <w:pgSz w:w="11910" w:h="16840"/>
          <w:pgMar w:header="883" w:footer="1003" w:top="1540" w:bottom="1200" w:left="1220" w:right="1060"/>
        </w:sectPr>
      </w:pPr>
    </w:p>
    <w:p>
      <w:pPr>
        <w:pStyle w:val="BodyText"/>
        <w:tabs>
          <w:tab w:pos="859" w:val="left" w:leader="none"/>
        </w:tabs>
        <w:spacing w:line="331" w:lineRule="auto" w:before="129"/>
        <w:ind w:left="863" w:right="104" w:hanging="732"/>
        <w:jc w:val="left"/>
      </w:pPr>
      <w:r>
        <w:rPr>
          <w:rFonts w:ascii="Times New Roman" w:hAnsi="Times New Roman" w:cs="Times New Roman" w:eastAsia="Times New Roman" w:hint="default"/>
          <w:b/>
          <w:bCs/>
          <w:w w:val="95"/>
        </w:rPr>
        <w:t>(</w:t>
      </w:r>
      <w:r>
        <w:rPr>
          <w:rFonts w:ascii="宋体" w:hAnsi="宋体" w:cs="宋体" w:eastAsia="宋体" w:hint="default"/>
          <w:b/>
          <w:bCs/>
          <w:w w:val="95"/>
        </w:rPr>
        <w:t>六</w:t>
      </w:r>
      <w:r>
        <w:rPr>
          <w:rFonts w:ascii="Times New Roman" w:hAnsi="Times New Roman" w:cs="Times New Roman" w:eastAsia="Times New Roman" w:hint="default"/>
          <w:b/>
          <w:bCs/>
          <w:w w:val="95"/>
        </w:rPr>
        <w:t>)</w:t>
        <w:tab/>
      </w:r>
      <w:r>
        <w:rPr>
          <w:rFonts w:ascii="宋体" w:hAnsi="宋体" w:cs="宋体" w:eastAsia="宋体" w:hint="default"/>
          <w:b/>
          <w:bCs/>
        </w:rPr>
        <w:t>合并财务报表的编制方法</w:t>
      </w:r>
      <w:r>
        <w:rPr>
          <w:rFonts w:ascii="宋体" w:hAnsi="宋体" w:cs="宋体" w:eastAsia="宋体" w:hint="default"/>
          <w:b/>
          <w:bCs/>
          <w:w w:val="99"/>
        </w:rPr>
        <w:t> </w:t>
      </w:r>
      <w:r>
        <w:rPr/>
        <w:t>本公司合并财务报表的合并范围以控制为基础确定，所有子公司均纳入合并财务报表。 所有纳入合并财务报表合并范围的子公司所采用的会计政策、会计期间与本公司一致，如子公 司采用的会计政策、会计期间与本公司不一致的，在编制合并财务报表时，按本公司的会计政 策、会计期间进行必要的调整。对于非同一控制下企业合并取得的子公司，以购买日可辨认净 资产公允价值为基础对其财务报表进行调整。合并财务报表以本公司及子公司的财务报表为基 础，根据其他有关资料，按照权益法调整对子公司的长期股权投资后，由本公司编制。 </w:t>
      </w:r>
      <w:r>
        <w:rPr>
          <w:spacing w:val="3"/>
        </w:rPr>
        <w:t>合并财务报表时抵销本公司与各子公司、各子公司相互之间发生的内部交易对合并资产负债</w:t>
      </w:r>
      <w:r>
        <w:rPr>
          <w:spacing w:val="3"/>
        </w:rPr>
        <w:t> </w:t>
      </w:r>
      <w:r>
        <w:rPr/>
        <w:t>表、合并利润表、合并现金流量表、合并所有者权益变动表的影响。</w:t>
      </w:r>
      <w:r>
        <w:rPr/>
        <w:t> </w:t>
      </w:r>
      <w:r>
        <w:rPr>
          <w:spacing w:val="3"/>
        </w:rPr>
        <w:t>子公司少数股东应占的权益和损益分别在合并资产负债表中所有者权益项目下和合并利润表</w:t>
      </w:r>
      <w:r>
        <w:rPr>
          <w:spacing w:val="3"/>
        </w:rPr>
        <w:t> </w:t>
      </w:r>
      <w:r>
        <w:rPr/>
        <w:t>中净利润项目下单独列示。子公司少数股东分担的当期亏损超过了少数股东在该子公司期初所</w:t>
      </w:r>
      <w:r>
        <w:rPr/>
        <w:t> 有者权益中所享有份额而形成的余额，冲减少数股东权益。 在报告期内，若因同一控制下企业合并增加子公司的，则调整合并资产负债表的期初数；将子 公司合并当期期初至报告期末的收入、费用、利润纳入合并利润表；将子公司合并当期期初至 报告期末的现金流量纳入合并现金流量表。 在报告期内，若因非同一控制下企业合并增加子公司的，则不调整合并资产负债表期初数；将 子公司自购买日至报告期末的收入、费用、利润纳入合并利润表；该子公司自购买日至报告期 末的现金流量纳入合并现金流量表。通过多次交易分步实现非同一控制下企业合并时，对于购 买日之前持有的被购买方的股权，本公司按照该股权在购买日的公允价值进行重新计量，公允 价值与其账面价值的差额计入当期投资收益。购买日之前持有的被购买方的股权涉及其他综合 收益的，与其相关的其他综合收益转为购买日所属当期投资收益。 在报告期内，本公司处置子公司，则该子公司期初至处置日的收入、费用、利润纳入合并利润 表；该子公司期初至处置日的现金流量纳入合并现金流量表。因处置部分股权投资或其他原因 丧失了对原有子公司控制权时，对于处置后的剩余股权投资，本公司按照其在丧失控制权日的 公允价值进行重新计量。处置股权取得的对价与剩余股权公允价值之和，减去按原持股比例计 算应享有原有子公司自购买日开始持续计算的净资产的份额之间的差额，计入丧失控制权当期 </w:t>
      </w:r>
      <w:r>
        <w:rPr>
          <w:spacing w:val="-4"/>
        </w:rPr>
        <w:t>的投资收益。与原有子公司股权投资相关的其他综合收益，在丧失控制权时转为当期投资收益。</w:t>
      </w:r>
      <w:r>
        <w:rPr/>
        <w:t> </w:t>
      </w:r>
      <w:r>
        <w:rPr>
          <w:spacing w:val="3"/>
        </w:rPr>
        <w:t>本公司因购买少数股权新取得的长期股权投资与按照新增持股比例计算应享有子公司的可辨</w:t>
      </w:r>
      <w:r>
        <w:rPr>
          <w:spacing w:val="3"/>
        </w:rPr>
        <w:t> </w:t>
      </w:r>
      <w:r>
        <w:rPr/>
        <w:t>认净资产份额之间的差额，以及在不丧失控制权的情况下因部分处置对子公司的股权投资而取</w:t>
      </w:r>
      <w:r>
        <w:rPr/>
        <w:t> 得的处置价款与处置长期股权投资相对应享有子公司净资产份额的差额，均调整合并资产负债 表中的资本公积中的股本溢价，资本公积中的股本溢价不足冲减的，调整留存收益。</w:t>
      </w:r>
    </w:p>
    <w:p>
      <w:pPr>
        <w:spacing w:line="240" w:lineRule="auto" w:before="0"/>
        <w:rPr>
          <w:rFonts w:ascii="宋体" w:hAnsi="宋体" w:cs="宋体" w:eastAsia="宋体" w:hint="default"/>
          <w:sz w:val="20"/>
          <w:szCs w:val="20"/>
        </w:rPr>
      </w:pPr>
    </w:p>
    <w:p>
      <w:pPr>
        <w:pStyle w:val="BodyText"/>
        <w:tabs>
          <w:tab w:pos="859" w:val="left" w:leader="none"/>
        </w:tabs>
        <w:spacing w:line="326" w:lineRule="auto" w:before="144"/>
        <w:ind w:left="863" w:right="208" w:hanging="732"/>
        <w:jc w:val="left"/>
      </w:pPr>
      <w:r>
        <w:rPr>
          <w:rFonts w:ascii="Times New Roman" w:hAnsi="Times New Roman" w:cs="Times New Roman" w:eastAsia="Times New Roman" w:hint="default"/>
          <w:b/>
          <w:bCs/>
          <w:w w:val="95"/>
        </w:rPr>
        <w:t>(</w:t>
      </w:r>
      <w:r>
        <w:rPr>
          <w:rFonts w:ascii="宋体" w:hAnsi="宋体" w:cs="宋体" w:eastAsia="宋体" w:hint="default"/>
          <w:b/>
          <w:bCs/>
          <w:w w:val="95"/>
        </w:rPr>
        <w:t>七</w:t>
      </w:r>
      <w:r>
        <w:rPr>
          <w:rFonts w:ascii="Times New Roman" w:hAnsi="Times New Roman" w:cs="Times New Roman" w:eastAsia="Times New Roman" w:hint="default"/>
          <w:b/>
          <w:bCs/>
          <w:w w:val="95"/>
        </w:rPr>
        <w:t>)</w:t>
        <w:tab/>
      </w:r>
      <w:r>
        <w:rPr>
          <w:rFonts w:ascii="宋体" w:hAnsi="宋体" w:cs="宋体" w:eastAsia="宋体" w:hint="default"/>
          <w:b/>
          <w:bCs/>
        </w:rPr>
        <w:t>现金及现金等价物的确定标准</w:t>
      </w:r>
      <w:r>
        <w:rPr>
          <w:rFonts w:ascii="宋体" w:hAnsi="宋体" w:cs="宋体" w:eastAsia="宋体" w:hint="default"/>
          <w:b/>
          <w:bCs/>
          <w:spacing w:val="1"/>
          <w:w w:val="99"/>
        </w:rPr>
        <w:t> </w:t>
      </w:r>
      <w:r>
        <w:rPr>
          <w:spacing w:val="-2"/>
        </w:rPr>
        <w:t>在编制现金流量表时，将本公司库存现金以及可以随时用于支付的存款确认为现金。将同时具</w:t>
      </w:r>
      <w:r>
        <w:rPr/>
        <w:t> </w:t>
      </w:r>
      <w:r>
        <w:rPr>
          <w:spacing w:val="-2"/>
        </w:rPr>
        <w:t>备期限短（从购买日起三个月内到期）、流动性强、易于转换为已知现金、价值变动风险很小</w:t>
      </w:r>
      <w:r>
        <w:rPr/>
        <w:t> 四个条件的投资，确定为现金等价物。</w:t>
      </w:r>
    </w:p>
    <w:p>
      <w:pPr>
        <w:spacing w:after="0" w:line="326" w:lineRule="auto"/>
        <w:jc w:val="left"/>
        <w:sectPr>
          <w:pgSz w:w="11910" w:h="16840"/>
          <w:pgMar w:header="883" w:footer="1003" w:top="1540" w:bottom="1200" w:left="1220" w:right="1060"/>
        </w:sectPr>
      </w:pPr>
    </w:p>
    <w:p>
      <w:pPr>
        <w:spacing w:line="240" w:lineRule="auto" w:before="10"/>
        <w:rPr>
          <w:rFonts w:ascii="宋体" w:hAnsi="宋体" w:cs="宋体" w:eastAsia="宋体" w:hint="default"/>
          <w:sz w:val="8"/>
          <w:szCs w:val="8"/>
        </w:rPr>
      </w:pPr>
    </w:p>
    <w:p>
      <w:pPr>
        <w:pStyle w:val="Heading6"/>
        <w:tabs>
          <w:tab w:pos="859" w:val="left" w:leader="none"/>
        </w:tabs>
        <w:spacing w:line="240" w:lineRule="auto"/>
        <w:ind w:left="131" w:right="137"/>
        <w:jc w:val="left"/>
        <w:rPr>
          <w:b w:val="0"/>
          <w:bCs w:val="0"/>
        </w:rPr>
      </w:pPr>
      <w:r>
        <w:rPr>
          <w:rFonts w:ascii="Times New Roman" w:hAnsi="Times New Roman" w:cs="Times New Roman" w:eastAsia="Times New Roman" w:hint="default"/>
          <w:w w:val="95"/>
        </w:rPr>
        <w:t>(</w:t>
      </w:r>
      <w:r>
        <w:rPr>
          <w:w w:val="95"/>
        </w:rPr>
        <w:t>八</w:t>
      </w:r>
      <w:r>
        <w:rPr>
          <w:rFonts w:ascii="Times New Roman" w:hAnsi="Times New Roman" w:cs="Times New Roman" w:eastAsia="Times New Roman" w:hint="default"/>
          <w:w w:val="95"/>
        </w:rPr>
        <w:t>)</w:t>
        <w:tab/>
      </w:r>
      <w:r>
        <w:rPr/>
        <w:t>外币业务和外币报表折算</w:t>
      </w:r>
      <w:r>
        <w:rPr>
          <w:b w:val="0"/>
          <w:bCs w:val="0"/>
        </w:rPr>
      </w:r>
    </w:p>
    <w:p>
      <w:pPr>
        <w:tabs>
          <w:tab w:pos="1401" w:val="left" w:leader="none"/>
        </w:tabs>
        <w:spacing w:before="110"/>
        <w:ind w:left="863" w:right="137"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外币业务</w:t>
      </w:r>
      <w:r>
        <w:rPr>
          <w:rFonts w:ascii="宋体" w:hAnsi="宋体" w:cs="宋体" w:eastAsia="宋体" w:hint="default"/>
          <w:sz w:val="21"/>
          <w:szCs w:val="21"/>
        </w:rPr>
      </w:r>
    </w:p>
    <w:p>
      <w:pPr>
        <w:pStyle w:val="BodyText"/>
        <w:spacing w:line="350" w:lineRule="auto" w:before="109"/>
        <w:ind w:right="137"/>
        <w:jc w:val="left"/>
      </w:pPr>
      <w:r>
        <w:rPr/>
        <w:t>外币业务采用交易发生日的即期汇率作为折算汇率将外币金额折合成人民币记账。 外币货币性项目余额按资产负债表日即期汇率折算，由此产生的汇兑差额，除属于与购</w:t>
      </w:r>
      <w:r>
        <w:rPr>
          <w:spacing w:val="-82"/>
        </w:rPr>
        <w:t> </w:t>
      </w:r>
      <w:r>
        <w:rPr>
          <w:spacing w:val="-82"/>
        </w:rPr>
      </w:r>
      <w:r>
        <w:rPr/>
        <w:t>建符合资本化条件的资产相关的外币专门借款产生的汇兑差额按照借款费用资本化的原</w:t>
      </w:r>
      <w:r>
        <w:rPr>
          <w:spacing w:val="-82"/>
        </w:rPr>
        <w:t> </w:t>
      </w:r>
      <w:r>
        <w:rPr>
          <w:spacing w:val="-82"/>
        </w:rPr>
      </w:r>
      <w:r>
        <w:rPr/>
        <w:t>则处理外，均计入当期损益。以历史成本计量的外币非货币性项目，仍采用交易发生日</w:t>
      </w:r>
      <w:r>
        <w:rPr>
          <w:spacing w:val="-82"/>
        </w:rPr>
        <w:t> </w:t>
      </w:r>
      <w:r>
        <w:rPr>
          <w:spacing w:val="-82"/>
        </w:rPr>
      </w:r>
      <w:r>
        <w:rPr/>
        <w:t>的即期汇率折算，不改变其记账本位币金额。以公允价值计量的外币非货币性项目，采</w:t>
      </w:r>
      <w:r>
        <w:rPr>
          <w:spacing w:val="-82"/>
        </w:rPr>
        <w:t> </w:t>
      </w:r>
      <w:r>
        <w:rPr>
          <w:spacing w:val="-82"/>
        </w:rPr>
      </w:r>
      <w:r>
        <w:rPr/>
        <w:t>用公允价值确定日的即期汇率折算，由此产生的汇兑差额计入当期损益或资本公积。</w:t>
      </w:r>
      <w:r>
        <w:rPr/>
        <w:t> 境外子公司以其所在国家或地区的货币为记账本位币。外币业务按业务发生当日的汇率</w:t>
      </w:r>
      <w:r>
        <w:rPr>
          <w:spacing w:val="-82"/>
        </w:rPr>
        <w:t> </w:t>
      </w:r>
      <w:r>
        <w:rPr>
          <w:spacing w:val="-82"/>
        </w:rPr>
      </w:r>
      <w:r>
        <w:rPr/>
        <w:t>折算为所在国家或地区的货币入账。境外子公司对于资产负债表日以外币为单位的货币</w:t>
      </w:r>
      <w:r>
        <w:rPr>
          <w:spacing w:val="-82"/>
        </w:rPr>
        <w:t> </w:t>
      </w:r>
      <w:r>
        <w:rPr>
          <w:spacing w:val="-82"/>
        </w:rPr>
      </w:r>
      <w:r>
        <w:rPr/>
        <w:t>性资产和负债，按该日的汇率折算为所在国家或地区的货币，所产生的折算差额直接计</w:t>
      </w:r>
      <w:r>
        <w:rPr>
          <w:spacing w:val="-82"/>
        </w:rPr>
        <w:t> </w:t>
      </w:r>
      <w:r>
        <w:rPr>
          <w:spacing w:val="-82"/>
        </w:rPr>
      </w:r>
      <w:r>
        <w:rPr/>
        <w:t>入当期损益。</w:t>
      </w:r>
    </w:p>
    <w:p>
      <w:pPr>
        <w:spacing w:line="240" w:lineRule="auto" w:before="0"/>
        <w:rPr>
          <w:rFonts w:ascii="宋体" w:hAnsi="宋体" w:cs="宋体" w:eastAsia="宋体" w:hint="default"/>
          <w:sz w:val="20"/>
          <w:szCs w:val="20"/>
        </w:rPr>
      </w:pPr>
    </w:p>
    <w:p>
      <w:pPr>
        <w:pStyle w:val="BodyText"/>
        <w:tabs>
          <w:tab w:pos="1401" w:val="left" w:leader="none"/>
        </w:tabs>
        <w:spacing w:line="343" w:lineRule="auto" w:before="167"/>
        <w:ind w:right="148" w:hanging="543"/>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外币财务报表的折算</w:t>
      </w:r>
      <w:r>
        <w:rPr>
          <w:rFonts w:ascii="宋体" w:hAnsi="宋体" w:cs="宋体" w:eastAsia="宋体" w:hint="default"/>
          <w:b/>
          <w:bCs/>
          <w:spacing w:val="1"/>
          <w:w w:val="99"/>
        </w:rPr>
        <w:t> </w:t>
      </w:r>
      <w:r>
        <w:rPr/>
        <w:t>纳入本公司财务报表合并范围的境外子公司的外币资产负债表中的资产和负债项目，采</w:t>
      </w:r>
      <w:r>
        <w:rPr>
          <w:spacing w:val="1"/>
        </w:rPr>
        <w:t> </w:t>
      </w:r>
      <w:r>
        <w:rPr/>
        <w:t>用资产负债表日的即期汇率折算；所有者权益项目除</w:t>
      </w:r>
      <w:r>
        <w:rPr>
          <w:rFonts w:ascii="Times New Roman" w:hAnsi="Times New Roman" w:cs="Times New Roman" w:eastAsia="Times New Roman" w:hint="default"/>
        </w:rPr>
        <w:t>“</w:t>
      </w:r>
      <w:r>
        <w:rPr/>
        <w:t>未分配利润</w:t>
      </w:r>
      <w:r>
        <w:rPr>
          <w:rFonts w:ascii="Times New Roman" w:hAnsi="Times New Roman" w:cs="Times New Roman" w:eastAsia="Times New Roman" w:hint="default"/>
        </w:rPr>
        <w:t>”</w:t>
      </w:r>
      <w:r>
        <w:rPr/>
        <w:t>项目外，其他项目采</w:t>
      </w:r>
      <w:r>
        <w:rPr>
          <w:spacing w:val="1"/>
        </w:rPr>
        <w:t> </w:t>
      </w:r>
      <w:r>
        <w:rPr/>
        <w:t>用发生时的即期汇率折算。利润表中的收入和费用项目，采用报告期平均汇率折算。按</w:t>
      </w:r>
      <w:r>
        <w:rPr>
          <w:spacing w:val="1"/>
        </w:rPr>
        <w:t> </w:t>
      </w:r>
      <w:r>
        <w:rPr/>
        <w:t>照上述折算产生的外币财务报表折算差额，在资产负债表所有者权益项目下单独列示。</w:t>
      </w:r>
      <w:r>
        <w:rPr/>
        <w:t> 处置境外经营时，将资产负债表中所有者权益项目下列示的、与该境外经营相关的外币</w:t>
      </w:r>
      <w:r>
        <w:rPr>
          <w:spacing w:val="1"/>
        </w:rPr>
        <w:t> </w:t>
      </w:r>
      <w:r>
        <w:rPr/>
        <w:t>财务报表折算差额，自所有者权益项目转入处置当期损益；部分处置境外经营的，按处</w:t>
      </w:r>
      <w:r>
        <w:rPr>
          <w:spacing w:val="1"/>
        </w:rPr>
        <w:t> </w:t>
      </w:r>
      <w:r>
        <w:rPr/>
        <w:t>置的比例计算处置部分的外币财务报表折算差额，转入处置当期损益。</w:t>
      </w:r>
    </w:p>
    <w:p>
      <w:pPr>
        <w:spacing w:line="240" w:lineRule="auto" w:before="0"/>
        <w:rPr>
          <w:rFonts w:ascii="宋体" w:hAnsi="宋体" w:cs="宋体" w:eastAsia="宋体" w:hint="default"/>
          <w:sz w:val="20"/>
          <w:szCs w:val="20"/>
        </w:rPr>
      </w:pPr>
    </w:p>
    <w:p>
      <w:pPr>
        <w:tabs>
          <w:tab w:pos="859" w:val="left" w:leader="none"/>
          <w:tab w:pos="1401" w:val="left" w:leader="none"/>
        </w:tabs>
        <w:spacing w:line="338" w:lineRule="auto" w:before="173"/>
        <w:ind w:left="863" w:right="4289"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九</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金融工具</w:t>
      </w:r>
      <w:r>
        <w:rPr>
          <w:rFonts w:ascii="宋体" w:hAnsi="宋体" w:cs="宋体" w:eastAsia="宋体" w:hint="default"/>
          <w:b/>
          <w:bCs/>
          <w:spacing w:val="1"/>
          <w:w w:val="99"/>
          <w:sz w:val="21"/>
          <w:szCs w:val="21"/>
        </w:rPr>
        <w:t> </w:t>
      </w:r>
      <w:r>
        <w:rPr>
          <w:rFonts w:ascii="宋体" w:hAnsi="宋体" w:cs="宋体" w:eastAsia="宋体" w:hint="default"/>
          <w:sz w:val="21"/>
          <w:szCs w:val="21"/>
        </w:rPr>
        <w:t>金融工具包括金融资产、金融负债和权益工具。 </w: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金融工具的分类</w:t>
      </w:r>
      <w:r>
        <w:rPr>
          <w:rFonts w:ascii="宋体" w:hAnsi="宋体" w:cs="宋体" w:eastAsia="宋体" w:hint="default"/>
          <w:sz w:val="21"/>
          <w:szCs w:val="21"/>
        </w:rPr>
      </w:r>
    </w:p>
    <w:p>
      <w:pPr>
        <w:pStyle w:val="BodyText"/>
        <w:spacing w:line="350" w:lineRule="auto" w:before="14"/>
        <w:ind w:right="145"/>
        <w:jc w:val="both"/>
      </w:pPr>
      <w:r>
        <w:rPr/>
        <w:t>管理层按照取得持有金融资产和承担金融负债的目的，将其划分为：以公允价值计量且</w:t>
      </w:r>
      <w:r>
        <w:rPr>
          <w:spacing w:val="-82"/>
        </w:rPr>
        <w:t> </w:t>
      </w:r>
      <w:r>
        <w:rPr>
          <w:spacing w:val="-82"/>
        </w:rPr>
      </w:r>
      <w:r>
        <w:rPr/>
        <w:t>其变动计入当期损益的金融资产或金融负债，包括交易性金融资产或金融负债（和直接</w:t>
      </w:r>
      <w:r>
        <w:rPr>
          <w:spacing w:val="-82"/>
        </w:rPr>
        <w:t> </w:t>
      </w:r>
      <w:r>
        <w:rPr>
          <w:spacing w:val="-82"/>
        </w:rPr>
      </w:r>
      <w:r>
        <w:rPr/>
        <w:t>指定为以公允价值计量且其变动计入当期损益的金融资产或金融负债）；持有至到期投</w:t>
      </w:r>
      <w:r>
        <w:rPr>
          <w:spacing w:val="-97"/>
        </w:rPr>
        <w:t> </w:t>
      </w:r>
      <w:r>
        <w:rPr>
          <w:spacing w:val="-97"/>
        </w:rPr>
      </w:r>
      <w:r>
        <w:rPr/>
        <w:t>资；贷款和应收款项；可供出售金融资产；其他金融负债等。</w:t>
      </w:r>
    </w:p>
    <w:p>
      <w:pPr>
        <w:spacing w:line="240" w:lineRule="auto" w:before="0"/>
        <w:rPr>
          <w:rFonts w:ascii="宋体" w:hAnsi="宋体" w:cs="宋体" w:eastAsia="宋体" w:hint="default"/>
          <w:sz w:val="20"/>
          <w:szCs w:val="20"/>
        </w:rPr>
      </w:pPr>
    </w:p>
    <w:p>
      <w:pPr>
        <w:pStyle w:val="Heading6"/>
        <w:tabs>
          <w:tab w:pos="1401" w:val="left" w:leader="none"/>
        </w:tabs>
        <w:spacing w:line="240" w:lineRule="auto" w:before="166"/>
        <w:ind w:left="863" w:right="137"/>
        <w:jc w:val="left"/>
        <w:rPr>
          <w:b w:val="0"/>
          <w:bCs w:val="0"/>
        </w:rPr>
      </w:pPr>
      <w:r>
        <w:rPr>
          <w:rFonts w:ascii="Times New Roman" w:hAnsi="Times New Roman" w:cs="Times New Roman" w:eastAsia="Times New Roman" w:hint="default"/>
          <w:w w:val="95"/>
        </w:rPr>
        <w:t>2</w:t>
      </w:r>
      <w:r>
        <w:rPr>
          <w:w w:val="95"/>
        </w:rPr>
        <w:t>、</w:t>
        <w:tab/>
      </w:r>
      <w:r>
        <w:rPr/>
        <w:t>金融工具的确认依据和计量方法</w:t>
      </w:r>
      <w:r>
        <w:rPr>
          <w:b w:val="0"/>
          <w:bCs w:val="0"/>
        </w:rPr>
      </w:r>
    </w:p>
    <w:p>
      <w:pPr>
        <w:pStyle w:val="BodyText"/>
        <w:spacing w:line="338" w:lineRule="auto" w:before="110"/>
        <w:ind w:right="137" w:hanging="1"/>
        <w:jc w:val="left"/>
      </w:pPr>
      <w:r>
        <w:rPr/>
        <w:t>（</w:t>
      </w:r>
      <w:r>
        <w:rPr>
          <w:rFonts w:ascii="Times New Roman" w:hAnsi="Times New Roman" w:cs="Times New Roman" w:eastAsia="Times New Roman" w:hint="default"/>
        </w:rPr>
        <w:t>1</w:t>
      </w:r>
      <w:r>
        <w:rPr/>
        <w:t>）以公允价值计量且其变动计入当期损益的金融资产（金融负债） 取得时以公允价值（扣除已宣告但尚未发放的现金股利或已到付息期但尚未领取的债券</w:t>
      </w:r>
      <w:r>
        <w:rPr>
          <w:spacing w:val="-83"/>
        </w:rPr>
        <w:t> </w:t>
      </w:r>
      <w:r>
        <w:rPr>
          <w:spacing w:val="-83"/>
        </w:rPr>
      </w:r>
      <w:r>
        <w:rPr/>
        <w:t>利息）作为初始确认金额，相关的交易费用计入当期损益。</w:t>
      </w:r>
    </w:p>
    <w:p>
      <w:pPr>
        <w:spacing w:after="0" w:line="338" w:lineRule="auto"/>
        <w:jc w:val="left"/>
        <w:sectPr>
          <w:pgSz w:w="11910" w:h="16840"/>
          <w:pgMar w:header="883" w:footer="1003" w:top="1540" w:bottom="1200" w:left="1220" w:right="1120"/>
        </w:sectPr>
      </w:pPr>
    </w:p>
    <w:p>
      <w:pPr>
        <w:spacing w:line="240" w:lineRule="auto" w:before="10"/>
        <w:rPr>
          <w:rFonts w:ascii="宋体" w:hAnsi="宋体" w:cs="宋体" w:eastAsia="宋体" w:hint="default"/>
          <w:sz w:val="8"/>
          <w:szCs w:val="8"/>
        </w:rPr>
      </w:pPr>
    </w:p>
    <w:p>
      <w:pPr>
        <w:pStyle w:val="BodyText"/>
        <w:spacing w:line="350" w:lineRule="auto"/>
        <w:ind w:right="88" w:hanging="1"/>
        <w:jc w:val="left"/>
      </w:pPr>
      <w:r>
        <w:rPr>
          <w:spacing w:val="-2"/>
        </w:rPr>
        <w:t>持有期间将取得的利息或现金股利确认为投资收益，期末将公允价值变动计入当期损益。</w:t>
      </w:r>
      <w:r>
        <w:rPr/>
        <w:t> 处置时，其公允价值与初始入账金额之间的差额确认为投资收益，同时调整公允价值变</w:t>
      </w:r>
      <w:r>
        <w:rPr>
          <w:spacing w:val="-83"/>
        </w:rPr>
        <w:t> </w:t>
      </w:r>
      <w:r>
        <w:rPr>
          <w:spacing w:val="-83"/>
        </w:rPr>
      </w:r>
      <w:r>
        <w:rPr/>
        <w:t>动损益。</w:t>
      </w:r>
    </w:p>
    <w:p>
      <w:pPr>
        <w:spacing w:line="240" w:lineRule="auto" w:before="0"/>
        <w:rPr>
          <w:rFonts w:ascii="宋体" w:hAnsi="宋体" w:cs="宋体" w:eastAsia="宋体" w:hint="default"/>
          <w:sz w:val="20"/>
          <w:szCs w:val="20"/>
        </w:rPr>
      </w:pPr>
    </w:p>
    <w:p>
      <w:pPr>
        <w:pStyle w:val="BodyText"/>
        <w:spacing w:line="345" w:lineRule="auto" w:before="167"/>
        <w:ind w:right="204" w:hanging="1"/>
        <w:jc w:val="left"/>
      </w:pPr>
      <w:r>
        <w:rPr/>
        <w:t>（</w:t>
      </w:r>
      <w:r>
        <w:rPr>
          <w:rFonts w:ascii="Times New Roman" w:hAnsi="Times New Roman" w:cs="Times New Roman" w:eastAsia="Times New Roman" w:hint="default"/>
        </w:rPr>
        <w:t>2</w:t>
      </w:r>
      <w:r>
        <w:rPr/>
        <w:t>）持有至到期投资 取得时按公允价值（扣除已到付息期但尚未领取的债券利息）和相关交易费用之和作为</w:t>
      </w:r>
      <w:r>
        <w:rPr>
          <w:spacing w:val="-83"/>
        </w:rPr>
        <w:t> </w:t>
      </w:r>
      <w:r>
        <w:rPr>
          <w:spacing w:val="-83"/>
        </w:rPr>
      </w:r>
      <w:r>
        <w:rPr/>
        <w:t>初始确认金额。</w:t>
      </w:r>
      <w:r>
        <w:rPr/>
        <w:t> 持有期间按照摊余成本和实际利率（如实际利率与票面利率差别较小的，按票面利率）</w:t>
      </w:r>
      <w:r>
        <w:rPr>
          <w:spacing w:val="-83"/>
        </w:rPr>
        <w:t> </w:t>
      </w:r>
      <w:r>
        <w:rPr>
          <w:spacing w:val="-83"/>
        </w:rPr>
      </w:r>
      <w:r>
        <w:rPr/>
        <w:t>计算确认利息收入，计入投资收益。实际利率在取得时确定，在该预期存续期间或适用</w:t>
      </w:r>
      <w:r>
        <w:rPr>
          <w:spacing w:val="-83"/>
        </w:rPr>
        <w:t> </w:t>
      </w:r>
      <w:r>
        <w:rPr>
          <w:spacing w:val="-83"/>
        </w:rPr>
      </w:r>
      <w:r>
        <w:rPr/>
        <w:t>的更短期间内保持不变。</w:t>
      </w:r>
      <w:r>
        <w:rPr/>
        <w:t> 处置时，将所取得价款与该投资账面价值之间的差额计入投资收益。 如果公司于到期日前出售或重分类了较大金额的持有至到期类投资（较大金额是指相对</w:t>
      </w:r>
      <w:r>
        <w:rPr>
          <w:spacing w:val="-83"/>
        </w:rPr>
        <w:t> </w:t>
      </w:r>
      <w:r>
        <w:rPr>
          <w:spacing w:val="-83"/>
        </w:rPr>
      </w:r>
      <w:r>
        <w:rPr>
          <w:spacing w:val="-5"/>
        </w:rPr>
        <w:t>该类投资出售或重分类前的总金额而言），则公司将该类投资的剩余部分重分类为可供出</w:t>
      </w:r>
      <w:r>
        <w:rPr>
          <w:spacing w:val="-96"/>
        </w:rPr>
        <w:t> </w:t>
      </w:r>
      <w:r>
        <w:rPr>
          <w:spacing w:val="-96"/>
        </w:rPr>
      </w:r>
      <w:r>
        <w:rPr/>
        <w:t>售金融资产，且在本会计期间或以后两个完整会计年度内不再将任何金融资产分类为持</w:t>
      </w:r>
      <w:r>
        <w:rPr>
          <w:spacing w:val="-83"/>
        </w:rPr>
        <w:t> </w:t>
      </w:r>
      <w:r>
        <w:rPr>
          <w:spacing w:val="-83"/>
        </w:rPr>
      </w:r>
      <w:r>
        <w:rPr/>
        <w:t>有至到期，但下列情况除外：</w:t>
      </w:r>
      <w:r>
        <w:rPr/>
        <w:t> </w:t>
      </w:r>
      <w:r>
        <w:rPr>
          <w:rFonts w:ascii="Times New Roman" w:hAnsi="Times New Roman" w:cs="Times New Roman" w:eastAsia="Times New Roman" w:hint="default"/>
          <w:spacing w:val="-4"/>
        </w:rPr>
        <w:t>a.</w:t>
      </w:r>
      <w:r>
        <w:rPr>
          <w:spacing w:val="-4"/>
        </w:rPr>
        <w:t>出售日或重分类日距离该项投资到期日或赎回日较近（如到期前三个月内），市场利率</w:t>
      </w:r>
      <w:r>
        <w:rPr>
          <w:spacing w:val="-69"/>
        </w:rPr>
        <w:t> </w:t>
      </w:r>
      <w:r>
        <w:rPr>
          <w:spacing w:val="-69"/>
        </w:rPr>
      </w:r>
      <w:r>
        <w:rPr/>
        <w:t>变化对该项投资的公允价值没有显著影响； </w:t>
      </w:r>
      <w:r>
        <w:rPr>
          <w:rFonts w:ascii="Times New Roman" w:hAnsi="Times New Roman" w:cs="Times New Roman" w:eastAsia="Times New Roman" w:hint="default"/>
        </w:rPr>
        <w:t>b.</w:t>
      </w:r>
      <w:r>
        <w:rPr/>
        <w:t>根据合同约定的定期偿付或提前还款方式收回该投资几乎所有初始本金后，将剩余部</w:t>
      </w:r>
      <w:r>
        <w:rPr>
          <w:spacing w:val="-39"/>
        </w:rPr>
        <w:t> </w:t>
      </w:r>
      <w:r>
        <w:rPr>
          <w:spacing w:val="-39"/>
        </w:rPr>
      </w:r>
      <w:r>
        <w:rPr/>
        <w:t>分予以出售或重分类；</w:t>
      </w:r>
      <w:r>
        <w:rPr/>
        <w:t> </w:t>
      </w:r>
      <w:r>
        <w:rPr>
          <w:rFonts w:ascii="Times New Roman" w:hAnsi="Times New Roman" w:cs="Times New Roman" w:eastAsia="Times New Roman" w:hint="default"/>
        </w:rPr>
        <w:t>c.</w:t>
      </w:r>
      <w:r>
        <w:rPr/>
        <w:t>出售或重分类是由于企业无法控制、预期不会重复发生且难以合理预计的独立事项所</w:t>
      </w:r>
      <w:r>
        <w:rPr>
          <w:spacing w:val="-32"/>
        </w:rPr>
        <w:t> </w:t>
      </w:r>
      <w:r>
        <w:rPr>
          <w:spacing w:val="-32"/>
        </w:rPr>
      </w:r>
      <w:r>
        <w:rPr/>
        <w:t>引起。</w:t>
      </w:r>
    </w:p>
    <w:p>
      <w:pPr>
        <w:spacing w:line="240" w:lineRule="auto" w:before="0"/>
        <w:rPr>
          <w:rFonts w:ascii="宋体" w:hAnsi="宋体" w:cs="宋体" w:eastAsia="宋体" w:hint="default"/>
          <w:sz w:val="20"/>
          <w:szCs w:val="20"/>
        </w:rPr>
      </w:pPr>
    </w:p>
    <w:p>
      <w:pPr>
        <w:pStyle w:val="BodyText"/>
        <w:spacing w:line="345" w:lineRule="auto" w:before="171"/>
        <w:ind w:right="104" w:hanging="1"/>
        <w:jc w:val="left"/>
      </w:pPr>
      <w:r>
        <w:rPr/>
        <w:t>（</w:t>
      </w:r>
      <w:r>
        <w:rPr>
          <w:rFonts w:ascii="Times New Roman" w:hAnsi="Times New Roman" w:cs="Times New Roman" w:eastAsia="Times New Roman" w:hint="default"/>
        </w:rPr>
        <w:t>3</w:t>
      </w:r>
      <w:r>
        <w:rPr/>
        <w:t>）应收款项 公司对外销售商品或提供劳务形成的应收债权，以及公司持有的其他企业的不包括在活</w:t>
      </w:r>
      <w:r>
        <w:rPr>
          <w:spacing w:val="-83"/>
        </w:rPr>
        <w:t> </w:t>
      </w:r>
      <w:r>
        <w:rPr>
          <w:spacing w:val="-83"/>
        </w:rPr>
      </w:r>
      <w:r>
        <w:rPr>
          <w:spacing w:val="-3"/>
        </w:rPr>
        <w:t>跃市场上有报价的债务工具的债权，包括应收账款、其他应收款、应收票据、预付账款、</w:t>
      </w:r>
      <w:r>
        <w:rPr>
          <w:spacing w:val="-69"/>
        </w:rPr>
        <w:t> </w:t>
      </w:r>
      <w:r>
        <w:rPr>
          <w:spacing w:val="-69"/>
        </w:rPr>
      </w:r>
      <w:r>
        <w:rPr/>
        <w:t>长期应收款）等，以向购货方应收的合同或协议价款作为初始确认金额；具有融资性质</w:t>
      </w:r>
      <w:r>
        <w:rPr>
          <w:spacing w:val="-83"/>
        </w:rPr>
        <w:t> </w:t>
      </w:r>
      <w:r>
        <w:rPr>
          <w:spacing w:val="-83"/>
        </w:rPr>
      </w:r>
      <w:r>
        <w:rPr/>
        <w:t>的，按其现值进行初始确认。</w:t>
      </w:r>
      <w:r>
        <w:rPr/>
        <w:t> 收回或处置时，将取得的价款与该应收款项账面价值之间的差额计入当期损益。</w:t>
      </w:r>
    </w:p>
    <w:p>
      <w:pPr>
        <w:spacing w:line="240" w:lineRule="auto" w:before="0"/>
        <w:rPr>
          <w:rFonts w:ascii="宋体" w:hAnsi="宋体" w:cs="宋体" w:eastAsia="宋体" w:hint="default"/>
          <w:sz w:val="20"/>
          <w:szCs w:val="20"/>
        </w:rPr>
      </w:pPr>
    </w:p>
    <w:p>
      <w:pPr>
        <w:pStyle w:val="BodyText"/>
        <w:spacing w:line="345" w:lineRule="auto" w:before="171"/>
        <w:ind w:right="194" w:hanging="1"/>
        <w:jc w:val="left"/>
      </w:pPr>
      <w:r>
        <w:rPr/>
        <w:t>（</w:t>
      </w:r>
      <w:r>
        <w:rPr>
          <w:rFonts w:ascii="Times New Roman" w:hAnsi="Times New Roman" w:cs="Times New Roman" w:eastAsia="Times New Roman" w:hint="default"/>
        </w:rPr>
        <w:t>4</w:t>
      </w:r>
      <w:r>
        <w:rPr/>
        <w:t>）可供出售金融资产 取得时按公允价值（扣除已宣告但尚未发放的现金股利或已到付息期但尚未领取的债券</w:t>
      </w:r>
      <w:r>
        <w:rPr>
          <w:spacing w:val="-83"/>
        </w:rPr>
        <w:t> </w:t>
      </w:r>
      <w:r>
        <w:rPr>
          <w:spacing w:val="-83"/>
        </w:rPr>
      </w:r>
      <w:r>
        <w:rPr/>
        <w:t>利息）和相关交易费用之和作为初始确认金额。</w:t>
      </w:r>
      <w:r>
        <w:rPr/>
        <w:t> 持有期间将取得的利息或现金股利确认为投资收益。期末以公允价值计量且将公允价值</w:t>
      </w:r>
      <w:r>
        <w:rPr>
          <w:spacing w:val="-83"/>
        </w:rPr>
        <w:t> </w:t>
      </w:r>
      <w:r>
        <w:rPr>
          <w:spacing w:val="-83"/>
        </w:rPr>
      </w:r>
      <w:r>
        <w:rPr>
          <w:spacing w:val="-7"/>
        </w:rPr>
        <w:t>变动计入资本公积（其他资本公积）。</w:t>
      </w:r>
    </w:p>
    <w:p>
      <w:pPr>
        <w:spacing w:after="0" w:line="345" w:lineRule="auto"/>
        <w:jc w:val="left"/>
        <w:sectPr>
          <w:pgSz w:w="11910" w:h="16840"/>
          <w:pgMar w:header="883" w:footer="1003" w:top="1540" w:bottom="1200" w:left="1220" w:right="1060"/>
        </w:sectPr>
      </w:pPr>
    </w:p>
    <w:p>
      <w:pPr>
        <w:spacing w:line="240" w:lineRule="auto" w:before="10"/>
        <w:rPr>
          <w:rFonts w:ascii="宋体" w:hAnsi="宋体" w:cs="宋体" w:eastAsia="宋体" w:hint="default"/>
          <w:sz w:val="8"/>
          <w:szCs w:val="8"/>
        </w:rPr>
      </w:pPr>
    </w:p>
    <w:p>
      <w:pPr>
        <w:pStyle w:val="BodyText"/>
        <w:spacing w:line="350" w:lineRule="auto"/>
        <w:ind w:right="194"/>
        <w:jc w:val="left"/>
      </w:pPr>
      <w:r>
        <w:rPr/>
        <w:t>处置时，将取得的价款与该金融资产账面价值之间的差额，计入投资损益；同时，将原</w:t>
      </w:r>
      <w:r>
        <w:rPr>
          <w:spacing w:val="-82"/>
        </w:rPr>
        <w:t> </w:t>
      </w:r>
      <w:r>
        <w:rPr>
          <w:spacing w:val="-82"/>
        </w:rPr>
      </w:r>
      <w:r>
        <w:rPr/>
        <w:t>直接计入所有者权益的公允价值变动累计额对应处置部分的金额转出，计入投资损益。</w:t>
      </w:r>
    </w:p>
    <w:p>
      <w:pPr>
        <w:pStyle w:val="BodyText"/>
        <w:spacing w:line="328" w:lineRule="auto" w:before="28"/>
        <w:ind w:right="429" w:hanging="1"/>
        <w:jc w:val="left"/>
      </w:pPr>
      <w:r>
        <w:rPr/>
        <w:t>（</w:t>
      </w:r>
      <w:r>
        <w:rPr>
          <w:rFonts w:ascii="Times New Roman" w:hAnsi="Times New Roman" w:cs="Times New Roman" w:eastAsia="Times New Roman" w:hint="default"/>
        </w:rPr>
        <w:t>5</w:t>
      </w:r>
      <w:r>
        <w:rPr/>
        <w:t>）其他金融负债 按其公允价值和相关交易费用之和作为初始确认金额。采用摊余成本进行后续计量。</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tabs>
          <w:tab w:pos="1401" w:val="left" w:leader="none"/>
        </w:tabs>
        <w:spacing w:line="345" w:lineRule="auto" w:before="0"/>
        <w:ind w:right="104" w:hanging="543"/>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金融资产转移的确认依据和计量方法</w:t>
      </w:r>
      <w:r>
        <w:rPr>
          <w:rFonts w:ascii="宋体" w:hAnsi="宋体" w:cs="宋体" w:eastAsia="宋体" w:hint="default"/>
          <w:b/>
          <w:bCs/>
          <w:w w:val="99"/>
        </w:rPr>
        <w:t> </w:t>
      </w:r>
      <w:r>
        <w:rPr/>
        <w:t>公司发生金融资产转移时，如已将金融资产所有权上几乎所有的风险和报酬转移给转入</w:t>
      </w:r>
      <w:r>
        <w:rPr>
          <w:spacing w:val="1"/>
        </w:rPr>
        <w:t> </w:t>
      </w:r>
      <w:r>
        <w:rPr/>
        <w:t>方，则终止确认该金融资产；如保留了金融资产所有权上几乎所有的风险和报酬的，则</w:t>
      </w:r>
      <w:r>
        <w:rPr>
          <w:spacing w:val="1"/>
        </w:rPr>
        <w:t> </w:t>
      </w:r>
      <w:r>
        <w:rPr/>
        <w:t>不终止确认该金融资产。</w:t>
      </w:r>
      <w:r>
        <w:rPr/>
        <w:t> </w:t>
      </w:r>
      <w:r>
        <w:rPr>
          <w:spacing w:val="-2"/>
        </w:rPr>
        <w:t>在判断金融资产转移是否满足上述金融资产终止确认条件时，采用实质重于形式的原则。</w:t>
      </w:r>
      <w:r>
        <w:rPr/>
        <w:t> 公司将金融资产转移区分为金融资产整体转移和部分转移。金融资产整体转移满足终止</w:t>
      </w:r>
      <w:r>
        <w:rPr>
          <w:spacing w:val="1"/>
        </w:rPr>
        <w:t> </w:t>
      </w:r>
      <w:r>
        <w:rPr/>
        <w:t>确认条件的，将下列两项金额的差额计入当期损益：</w:t>
      </w:r>
    </w:p>
    <w:p>
      <w:pPr>
        <w:pStyle w:val="BodyText"/>
        <w:spacing w:line="240" w:lineRule="auto" w:before="32"/>
        <w:ind w:right="194"/>
        <w:jc w:val="left"/>
      </w:pPr>
      <w:r>
        <w:rPr/>
        <w:t>（</w:t>
      </w:r>
      <w:r>
        <w:rPr>
          <w:rFonts w:ascii="Times New Roman" w:hAnsi="Times New Roman" w:cs="Times New Roman" w:eastAsia="Times New Roman" w:hint="default"/>
        </w:rPr>
        <w:t>1</w:t>
      </w:r>
      <w:r>
        <w:rPr/>
        <w:t>）所转移金融资产的账面价值；</w:t>
      </w:r>
    </w:p>
    <w:p>
      <w:pPr>
        <w:pStyle w:val="BodyText"/>
        <w:spacing w:line="345" w:lineRule="auto" w:before="110"/>
        <w:ind w:right="194"/>
        <w:jc w:val="left"/>
      </w:pPr>
      <w:r>
        <w:rPr>
          <w:spacing w:val="-3"/>
        </w:rPr>
        <w:t>（</w:t>
      </w:r>
      <w:r>
        <w:rPr>
          <w:rFonts w:ascii="Times New Roman" w:hAnsi="Times New Roman" w:cs="Times New Roman" w:eastAsia="Times New Roman" w:hint="default"/>
          <w:spacing w:val="-3"/>
        </w:rPr>
        <w:t>2</w:t>
      </w:r>
      <w:r>
        <w:rPr>
          <w:spacing w:val="-3"/>
        </w:rPr>
        <w:t>）因转移而收到的对价，与原直接计入所有者权益的公允价值变动累计额（涉及转移</w:t>
      </w:r>
      <w:r>
        <w:rPr>
          <w:spacing w:val="-69"/>
        </w:rPr>
        <w:t> </w:t>
      </w:r>
      <w:r>
        <w:rPr>
          <w:spacing w:val="-69"/>
        </w:rPr>
      </w:r>
      <w:r>
        <w:rPr/>
        <w:t>的金融资产为可供出售金融资产的情形）之和。 金融资产部分转移满足终止确认条件的，将所转移金融资产整体的账面价值，在终止确</w:t>
      </w:r>
      <w:r>
        <w:rPr>
          <w:spacing w:val="-82"/>
        </w:rPr>
        <w:t> </w:t>
      </w:r>
      <w:r>
        <w:rPr>
          <w:spacing w:val="-82"/>
        </w:rPr>
      </w:r>
      <w:r>
        <w:rPr/>
        <w:t>认部分和未终止确认部分之间，按照各自的相对公允价值进行分摊，并将下列两项金额</w:t>
      </w:r>
      <w:r>
        <w:rPr>
          <w:spacing w:val="-82"/>
        </w:rPr>
        <w:t> </w:t>
      </w:r>
      <w:r>
        <w:rPr>
          <w:spacing w:val="-82"/>
        </w:rPr>
      </w:r>
      <w:r>
        <w:rPr/>
        <w:t>的差额计入当期损益：</w:t>
      </w:r>
    </w:p>
    <w:p>
      <w:pPr>
        <w:pStyle w:val="BodyText"/>
        <w:spacing w:line="240" w:lineRule="auto" w:before="32"/>
        <w:ind w:right="194"/>
        <w:jc w:val="left"/>
      </w:pPr>
      <w:r>
        <w:rPr/>
        <w:t>（</w:t>
      </w:r>
      <w:r>
        <w:rPr>
          <w:rFonts w:ascii="Times New Roman" w:hAnsi="Times New Roman" w:cs="Times New Roman" w:eastAsia="Times New Roman" w:hint="default"/>
        </w:rPr>
        <w:t>1</w:t>
      </w:r>
      <w:r>
        <w:rPr/>
        <w:t>）终止确认部分的账面价值；</w:t>
      </w:r>
    </w:p>
    <w:p>
      <w:pPr>
        <w:pStyle w:val="BodyText"/>
        <w:spacing w:line="343" w:lineRule="auto" w:before="110"/>
        <w:ind w:right="194"/>
        <w:jc w:val="left"/>
      </w:pPr>
      <w:r>
        <w:rPr>
          <w:spacing w:val="-3"/>
        </w:rPr>
        <w:t>（</w:t>
      </w:r>
      <w:r>
        <w:rPr>
          <w:rFonts w:ascii="Times New Roman" w:hAnsi="Times New Roman" w:cs="Times New Roman" w:eastAsia="Times New Roman" w:hint="default"/>
          <w:spacing w:val="-3"/>
        </w:rPr>
        <w:t>2</w:t>
      </w:r>
      <w:r>
        <w:rPr>
          <w:spacing w:val="-3"/>
        </w:rPr>
        <w:t>）终止确认部分的对价，与原直接计入所有者权益的公允价值变动累计额中对应终止</w:t>
      </w:r>
      <w:r>
        <w:rPr>
          <w:spacing w:val="-70"/>
        </w:rPr>
        <w:t> </w:t>
      </w:r>
      <w:r>
        <w:rPr>
          <w:spacing w:val="-70"/>
        </w:rPr>
      </w:r>
      <w:r>
        <w:rPr/>
        <w:t>确认部分的金额（涉及转移的金融资产为可供出售金融资产的情形）之和。 金融资产转移不满足终止确认条件的，继续确认该金融资产，所收到的对价确认为一项</w:t>
      </w:r>
      <w:r>
        <w:rPr>
          <w:spacing w:val="-82"/>
        </w:rPr>
        <w:t> </w:t>
      </w:r>
      <w:r>
        <w:rPr>
          <w:spacing w:val="-82"/>
        </w:rPr>
      </w:r>
      <w:r>
        <w:rPr/>
        <w:t>金融负债。</w:t>
      </w:r>
    </w:p>
    <w:p>
      <w:pPr>
        <w:spacing w:line="240" w:lineRule="auto" w:before="0"/>
        <w:rPr>
          <w:rFonts w:ascii="宋体" w:hAnsi="宋体" w:cs="宋体" w:eastAsia="宋体" w:hint="default"/>
          <w:sz w:val="20"/>
          <w:szCs w:val="20"/>
        </w:rPr>
      </w:pPr>
    </w:p>
    <w:p>
      <w:pPr>
        <w:pStyle w:val="BodyText"/>
        <w:tabs>
          <w:tab w:pos="1401" w:val="left" w:leader="none"/>
        </w:tabs>
        <w:spacing w:line="348" w:lineRule="auto" w:before="172"/>
        <w:ind w:right="208" w:hanging="543"/>
        <w:jc w:val="left"/>
      </w:pP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金融负债终止确认条件</w:t>
      </w:r>
      <w:r>
        <w:rPr>
          <w:rFonts w:ascii="宋体" w:hAnsi="宋体" w:cs="宋体" w:eastAsia="宋体" w:hint="default"/>
          <w:b/>
          <w:bCs/>
          <w:w w:val="99"/>
        </w:rPr>
        <w:t> </w:t>
      </w:r>
      <w:r>
        <w:rPr/>
        <w:t>金融负债的现时义务全部或部分已经解除的，则终止确认该金融负债或其一部分；本公</w:t>
      </w:r>
      <w:r>
        <w:rPr>
          <w:spacing w:val="1"/>
        </w:rPr>
        <w:t> </w:t>
      </w:r>
      <w:r>
        <w:rPr/>
        <w:t>司若与债权人签定协议，以承担新金融负债方式替换现存金融负债，且新金融负债与现</w:t>
      </w:r>
      <w:r>
        <w:rPr>
          <w:spacing w:val="1"/>
        </w:rPr>
        <w:t> </w:t>
      </w:r>
      <w:r>
        <w:rPr/>
        <w:t>存金融负债的合同条款实质上不同的，则终止确认现存金融负债，并同时确认新金融负</w:t>
      </w:r>
      <w:r>
        <w:rPr>
          <w:spacing w:val="1"/>
        </w:rPr>
        <w:t> </w:t>
      </w:r>
      <w:r>
        <w:rPr/>
        <w:t>债。</w:t>
      </w:r>
      <w:r>
        <w:rPr/>
        <w:t> 对现存金融负债全部或部分合同条款作出实质性修改的，则终止确认现存金融负债或其</w:t>
      </w:r>
      <w:r>
        <w:rPr>
          <w:spacing w:val="1"/>
        </w:rPr>
        <w:t> </w:t>
      </w:r>
      <w:r>
        <w:rPr/>
        <w:t>一部分，同时将修改条款后的金融负债确认为一项新金融负债。</w:t>
      </w:r>
      <w:r>
        <w:rPr/>
        <w:t> 金融负债全部或部分终止确认时，终止确认的金融负债账面价值与支付对价（包括转出</w:t>
      </w:r>
      <w:r>
        <w:rPr>
          <w:spacing w:val="1"/>
        </w:rPr>
        <w:t> </w:t>
      </w:r>
      <w:r>
        <w:rPr/>
        <w:t>的非现金资产或承担的新金融负债）之间的差额，计入当期损益。</w:t>
      </w:r>
    </w:p>
    <w:p>
      <w:pPr>
        <w:spacing w:after="0" w:line="348" w:lineRule="auto"/>
        <w:jc w:val="left"/>
        <w:sectPr>
          <w:pgSz w:w="11910" w:h="16840"/>
          <w:pgMar w:header="883" w:footer="1003" w:top="1540" w:bottom="1200" w:left="1220" w:right="1060"/>
        </w:sectPr>
      </w:pPr>
    </w:p>
    <w:p>
      <w:pPr>
        <w:spacing w:line="240" w:lineRule="auto" w:before="11"/>
        <w:rPr>
          <w:rFonts w:ascii="宋体" w:hAnsi="宋体" w:cs="宋体" w:eastAsia="宋体" w:hint="default"/>
          <w:sz w:val="7"/>
          <w:szCs w:val="7"/>
        </w:rPr>
      </w:pPr>
    </w:p>
    <w:p>
      <w:pPr>
        <w:pStyle w:val="BodyText"/>
        <w:spacing w:line="338" w:lineRule="auto"/>
        <w:ind w:right="148"/>
        <w:jc w:val="both"/>
      </w:pPr>
      <w:r>
        <w:rPr/>
        <w:t>本公司若回购部分金融负债的，在回购日按照继续确认部分与终止确认部分的相对公允</w:t>
      </w:r>
      <w:r>
        <w:rPr>
          <w:spacing w:val="-82"/>
        </w:rPr>
        <w:t> </w:t>
      </w:r>
      <w:r>
        <w:rPr>
          <w:spacing w:val="-82"/>
        </w:rPr>
      </w:r>
      <w:r>
        <w:rPr/>
        <w:t>价值，将该金融负债整体的账面价值进行分配。分配给终止确认部分的账面价值与支付</w:t>
      </w:r>
      <w:r>
        <w:rPr>
          <w:spacing w:val="-82"/>
        </w:rPr>
        <w:t> </w:t>
      </w:r>
      <w:r>
        <w:rPr>
          <w:spacing w:val="-82"/>
        </w:rPr>
      </w:r>
      <w:r>
        <w:rPr/>
        <w:t>的对价（包括转出的非现金资产或承担的新金融负债）之间的差额，计入当期损益。</w:t>
      </w:r>
    </w:p>
    <w:p>
      <w:pPr>
        <w:spacing w:line="240" w:lineRule="auto" w:before="0"/>
        <w:rPr>
          <w:rFonts w:ascii="宋体" w:hAnsi="宋体" w:cs="宋体" w:eastAsia="宋体" w:hint="default"/>
          <w:sz w:val="20"/>
          <w:szCs w:val="20"/>
        </w:rPr>
      </w:pPr>
    </w:p>
    <w:p>
      <w:pPr>
        <w:pStyle w:val="BodyText"/>
        <w:tabs>
          <w:tab w:pos="1401" w:val="left" w:leader="none"/>
        </w:tabs>
        <w:spacing w:line="333" w:lineRule="auto" w:before="152"/>
        <w:ind w:right="148" w:hanging="543"/>
        <w:jc w:val="left"/>
      </w:pPr>
      <w:r>
        <w:rPr>
          <w:rFonts w:ascii="Times New Roman" w:hAnsi="Times New Roman" w:cs="Times New Roman" w:eastAsia="Times New Roman" w:hint="default"/>
          <w:b/>
          <w:bCs/>
          <w:w w:val="95"/>
        </w:rPr>
        <w:t>5</w:t>
      </w:r>
      <w:r>
        <w:rPr>
          <w:rFonts w:ascii="宋体" w:hAnsi="宋体" w:cs="宋体" w:eastAsia="宋体" w:hint="default"/>
          <w:b/>
          <w:bCs/>
          <w:w w:val="95"/>
        </w:rPr>
        <w:t>、</w:t>
        <w:tab/>
      </w:r>
      <w:r>
        <w:rPr>
          <w:rFonts w:ascii="宋体" w:hAnsi="宋体" w:cs="宋体" w:eastAsia="宋体" w:hint="default"/>
          <w:b/>
          <w:bCs/>
        </w:rPr>
        <w:t>金融资产和金融负债公允价值的确定方法</w:t>
      </w:r>
      <w:r>
        <w:rPr>
          <w:rFonts w:ascii="宋体" w:hAnsi="宋体" w:cs="宋体" w:eastAsia="宋体" w:hint="default"/>
          <w:b/>
          <w:bCs/>
          <w:spacing w:val="1"/>
          <w:w w:val="99"/>
        </w:rPr>
        <w:t> </w:t>
      </w:r>
      <w:r>
        <w:rPr/>
        <w:t>本公司采用公允价值计量的金融资产和金融负债全部直接参考活跃市场中的报价。报告</w:t>
      </w:r>
      <w:r>
        <w:rPr>
          <w:spacing w:val="1"/>
        </w:rPr>
        <w:t> </w:t>
      </w:r>
      <w:r>
        <w:rPr/>
        <w:t>期末根据公开市场的汇率报价计算外币远期结汇合同的预计损益，如果为预计收益，将</w:t>
      </w:r>
      <w:r>
        <w:rPr>
          <w:spacing w:val="1"/>
        </w:rPr>
        <w:t> </w:t>
      </w:r>
      <w:r>
        <w:rPr/>
        <w:t>预计的收益计入公允价值变动损益及交易性金融资产；如果为预计损失，将预计的损失</w:t>
      </w:r>
      <w:r>
        <w:rPr>
          <w:spacing w:val="1"/>
        </w:rPr>
        <w:t> </w:t>
      </w:r>
      <w:r>
        <w:rPr/>
        <w:t>计入公允价值变动损益及交易性金融负债。</w:t>
      </w:r>
    </w:p>
    <w:p>
      <w:pPr>
        <w:spacing w:line="240" w:lineRule="auto" w:before="0"/>
        <w:rPr>
          <w:rFonts w:ascii="宋体" w:hAnsi="宋体" w:cs="宋体" w:eastAsia="宋体" w:hint="default"/>
          <w:sz w:val="20"/>
          <w:szCs w:val="20"/>
        </w:rPr>
      </w:pPr>
    </w:p>
    <w:p>
      <w:pPr>
        <w:tabs>
          <w:tab w:pos="1401" w:val="left" w:leader="none"/>
        </w:tabs>
        <w:spacing w:line="333" w:lineRule="auto" w:before="156"/>
        <w:ind w:left="1405" w:right="148"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金融资产（不含应收款项）减值准备计提</w:t>
      </w:r>
      <w:r>
        <w:rPr>
          <w:rFonts w:ascii="宋体" w:hAnsi="宋体" w:cs="宋体" w:eastAsia="宋体" w:hint="default"/>
          <w:b/>
          <w:bCs/>
          <w:spacing w:val="1"/>
          <w:w w:val="99"/>
          <w:sz w:val="21"/>
          <w:szCs w:val="21"/>
        </w:rPr>
        <w:t> </w:t>
      </w:r>
      <w:r>
        <w:rPr>
          <w:rFonts w:ascii="宋体" w:hAnsi="宋体" w:cs="宋体" w:eastAsia="宋体" w:hint="default"/>
          <w:sz w:val="21"/>
          <w:szCs w:val="21"/>
        </w:rPr>
        <w:t>除以公允价值计量且其变动计入当期损益的金融资产外，本公司于资产负债表日对金融</w:t>
      </w:r>
      <w:r>
        <w:rPr>
          <w:rFonts w:ascii="宋体" w:hAnsi="宋体" w:cs="宋体" w:eastAsia="宋体" w:hint="default"/>
          <w:spacing w:val="1"/>
          <w:sz w:val="21"/>
          <w:szCs w:val="21"/>
        </w:rPr>
        <w:t> </w:t>
      </w:r>
      <w:r>
        <w:rPr>
          <w:rFonts w:ascii="宋体" w:hAnsi="宋体" w:cs="宋体" w:eastAsia="宋体" w:hint="default"/>
          <w:sz w:val="21"/>
          <w:szCs w:val="21"/>
        </w:rPr>
        <w:t>资产的账面价值进行检查，如果有客观证据表明某项金融资产发生减值的，计提减值准</w:t>
      </w:r>
      <w:r>
        <w:rPr>
          <w:rFonts w:ascii="宋体" w:hAnsi="宋体" w:cs="宋体" w:eastAsia="宋体" w:hint="default"/>
          <w:spacing w:val="1"/>
          <w:sz w:val="21"/>
          <w:szCs w:val="21"/>
        </w:rPr>
        <w:t> </w:t>
      </w:r>
      <w:r>
        <w:rPr>
          <w:rFonts w:ascii="宋体" w:hAnsi="宋体" w:cs="宋体" w:eastAsia="宋体" w:hint="default"/>
          <w:sz w:val="21"/>
          <w:szCs w:val="21"/>
        </w:rPr>
        <w:t>备。</w:t>
      </w:r>
    </w:p>
    <w:p>
      <w:pPr>
        <w:pStyle w:val="BodyText"/>
        <w:spacing w:line="333" w:lineRule="auto" w:before="32"/>
        <w:ind w:right="137" w:hanging="1"/>
        <w:jc w:val="left"/>
      </w:pPr>
      <w:r>
        <w:rPr/>
        <w:t>（</w:t>
      </w:r>
      <w:r>
        <w:rPr>
          <w:rFonts w:ascii="Times New Roman" w:hAnsi="Times New Roman" w:cs="Times New Roman" w:eastAsia="Times New Roman" w:hint="default"/>
        </w:rPr>
        <w:t>1</w:t>
      </w:r>
      <w:r>
        <w:rPr/>
        <w:t>）可供出售金融资产的减值准备： 期末如果可供出售金融资产的公允价值发生较大幅度下降，或在综合考虑各种相关因素</w:t>
      </w:r>
      <w:r>
        <w:rPr>
          <w:spacing w:val="-83"/>
        </w:rPr>
        <w:t> </w:t>
      </w:r>
      <w:r>
        <w:rPr>
          <w:spacing w:val="-83"/>
        </w:rPr>
      </w:r>
      <w:r>
        <w:rPr/>
        <w:t>后，预期这种下降趋势属于非暂时性的，就认定其已发生减值，将原直接计入所有者权</w:t>
      </w:r>
      <w:r>
        <w:rPr>
          <w:spacing w:val="-83"/>
        </w:rPr>
        <w:t> </w:t>
      </w:r>
      <w:r>
        <w:rPr>
          <w:spacing w:val="-83"/>
        </w:rPr>
      </w:r>
      <w:r>
        <w:rPr/>
        <w:t>益的公允价值下降形成的累计损失一并转出，确认减值损失。</w:t>
      </w:r>
    </w:p>
    <w:p>
      <w:pPr>
        <w:pStyle w:val="BodyText"/>
        <w:spacing w:line="319" w:lineRule="auto" w:before="31"/>
        <w:ind w:right="1629" w:hanging="1"/>
        <w:jc w:val="left"/>
      </w:pPr>
      <w:r>
        <w:rPr/>
        <w:t>（</w:t>
      </w:r>
      <w:r>
        <w:rPr>
          <w:rFonts w:ascii="Times New Roman" w:hAnsi="Times New Roman" w:cs="Times New Roman" w:eastAsia="Times New Roman" w:hint="default"/>
        </w:rPr>
        <w:t>2</w:t>
      </w:r>
      <w:r>
        <w:rPr/>
        <w:t>）持有至到期投资的减值准备： 持有至到期投资减值损失的计量比照应收款项减值损失计量方法处理。</w:t>
      </w:r>
    </w:p>
    <w:p>
      <w:pPr>
        <w:spacing w:line="240" w:lineRule="auto" w:before="0"/>
        <w:rPr>
          <w:rFonts w:ascii="宋体" w:hAnsi="宋体" w:cs="宋体" w:eastAsia="宋体" w:hint="default"/>
          <w:sz w:val="20"/>
          <w:szCs w:val="20"/>
        </w:rPr>
      </w:pPr>
    </w:p>
    <w:p>
      <w:pPr>
        <w:pStyle w:val="Heading6"/>
        <w:tabs>
          <w:tab w:pos="859" w:val="left" w:leader="none"/>
        </w:tabs>
        <w:spacing w:line="240" w:lineRule="auto" w:before="170"/>
        <w:ind w:left="131" w:right="137"/>
        <w:jc w:val="left"/>
        <w:rPr>
          <w:b w:val="0"/>
          <w:bCs w:val="0"/>
        </w:rPr>
      </w:pPr>
      <w:r>
        <w:rPr>
          <w:rFonts w:ascii="Times New Roman" w:hAnsi="Times New Roman" w:cs="Times New Roman" w:eastAsia="Times New Roman" w:hint="default"/>
          <w:w w:val="95"/>
        </w:rPr>
        <w:t>(</w:t>
      </w:r>
      <w:r>
        <w:rPr>
          <w:w w:val="95"/>
        </w:rPr>
        <w:t>十</w:t>
      </w:r>
      <w:r>
        <w:rPr>
          <w:rFonts w:ascii="Times New Roman" w:hAnsi="Times New Roman" w:cs="Times New Roman" w:eastAsia="Times New Roman" w:hint="default"/>
          <w:w w:val="95"/>
        </w:rPr>
        <w:t>)</w:t>
        <w:tab/>
      </w:r>
      <w:r>
        <w:rPr/>
        <w:t>应收款项坏账准备</w:t>
      </w:r>
      <w:r>
        <w:rPr>
          <w:b w:val="0"/>
          <w:bCs w:val="0"/>
        </w:rPr>
      </w:r>
    </w:p>
    <w:p>
      <w:pPr>
        <w:tabs>
          <w:tab w:pos="1401" w:val="left" w:leader="none"/>
        </w:tabs>
        <w:spacing w:before="97"/>
        <w:ind w:left="863" w:right="137"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单项金额重大的应收款项坏账准备计提：</w:t>
      </w:r>
      <w:r>
        <w:rPr>
          <w:rFonts w:ascii="宋体" w:hAnsi="宋体" w:cs="宋体" w:eastAsia="宋体" w:hint="default"/>
          <w:sz w:val="21"/>
          <w:szCs w:val="21"/>
        </w:rPr>
      </w:r>
    </w:p>
    <w:p>
      <w:pPr>
        <w:spacing w:line="2010" w:lineRule="exact"/>
        <w:ind w:left="683"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36.5pt;height:100.5pt;mso-position-horizontal-relative:char;mso-position-vertical-relative:line" coordorigin="0,0" coordsize="8730,2010">
            <v:group style="position:absolute;left:29;top:15;width:8676;height:2" coordorigin="29,15" coordsize="8676,2">
              <v:shape style="position:absolute;left:29;top:15;width:8676;height:2" coordorigin="29,15" coordsize="8676,0" path="m29,15l8705,15e" filled="false" stroked="true" strokeweight="1.5pt" strokecolor="#000000">
                <v:path arrowok="t"/>
              </v:shape>
            </v:group>
            <v:group style="position:absolute;left:15;top:1995;width:3166;height:2" coordorigin="15,1995" coordsize="3166,2">
              <v:shape style="position:absolute;left:15;top:1995;width:3166;height:2" coordorigin="15,1995" coordsize="3166,0" path="m15,1995l3181,1995e" filled="false" stroked="true" strokeweight="1.5pt" strokecolor="#000000">
                <v:path arrowok="t"/>
              </v:shape>
              <v:shape style="position:absolute;left:1;top:30;width:8729;height:1975" type="#_x0000_t75" stroked="false">
                <v:imagedata r:id="rId32" o:title=""/>
              </v:shape>
            </v:group>
            <v:group style="position:absolute;left:3181;top:1995;width:5525;height:2" coordorigin="3181,1995" coordsize="5525,2">
              <v:shape style="position:absolute;left:3181;top:1995;width:5525;height:2" coordorigin="3181,1995" coordsize="5525,0" path="m3181,1995l8705,1995e" filled="false" stroked="true" strokeweight="1.5pt" strokecolor="#000000">
                <v:path arrowok="t"/>
              </v:shape>
              <v:shape style="position:absolute;left:136;top:210;width:8512;height:966" type="#_x0000_t202" filled="false" stroked="false">
                <v:textbox inset="0,0,0,0">
                  <w:txbxContent>
                    <w:p>
                      <w:pPr>
                        <w:tabs>
                          <w:tab w:pos="3157" w:val="left" w:leader="none"/>
                        </w:tabs>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tab/>
                        <w:t>应收账款余额在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万元以上，其他应收款余额在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 </w:t>
                      </w:r>
                      <w:r>
                        <w:rPr>
                          <w:rFonts w:ascii="宋体" w:hAnsi="宋体" w:cs="宋体" w:eastAsia="宋体" w:hint="default"/>
                          <w:sz w:val="18"/>
                          <w:szCs w:val="18"/>
                        </w:rPr>
                        <w:t>万元以上。</w:t>
                      </w:r>
                    </w:p>
                    <w:p>
                      <w:pPr>
                        <w:tabs>
                          <w:tab w:pos="3157" w:val="left" w:leader="none"/>
                        </w:tabs>
                        <w:spacing w:line="388" w:lineRule="exact" w:before="48"/>
                        <w:ind w:left="0" w:right="132" w:firstLine="3157"/>
                        <w:jc w:val="left"/>
                        <w:rPr>
                          <w:rFonts w:ascii="宋体" w:hAnsi="宋体" w:cs="宋体" w:eastAsia="宋体" w:hint="default"/>
                          <w:sz w:val="18"/>
                          <w:szCs w:val="18"/>
                        </w:rPr>
                      </w:pPr>
                      <w:r>
                        <w:rPr>
                          <w:rFonts w:ascii="宋体" w:hAnsi="宋体" w:cs="宋体" w:eastAsia="宋体" w:hint="default"/>
                          <w:sz w:val="18"/>
                          <w:szCs w:val="18"/>
                        </w:rPr>
                        <w:t>年末对于单项金额重大的应收款项单独进行减值测试。根据其未来 </w:t>
                      </w:r>
                      <w:r>
                        <w:rPr>
                          <w:rFonts w:ascii="宋体" w:hAnsi="宋体" w:cs="宋体" w:eastAsia="宋体" w:hint="default"/>
                          <w:spacing w:val="3"/>
                          <w:w w:val="95"/>
                          <w:sz w:val="18"/>
                          <w:szCs w:val="18"/>
                        </w:rPr>
                        <w:t>单项金额重大并单项计提坏账准备的</w:t>
                        <w:tab/>
                      </w:r>
                      <w:r>
                        <w:rPr>
                          <w:rFonts w:ascii="宋体" w:hAnsi="宋体" w:cs="宋体" w:eastAsia="宋体" w:hint="default"/>
                          <w:sz w:val="18"/>
                          <w:szCs w:val="18"/>
                        </w:rPr>
                        <w:t>现金流量现值低于其账面价值的差额，确认减值损失，计提坏账准</w:t>
                      </w:r>
                    </w:p>
                  </w:txbxContent>
                </v:textbox>
                <w10:wrap type="none"/>
              </v:shape>
              <v:shape style="position:absolute;left:136;top:138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计提方法</w:t>
                      </w:r>
                    </w:p>
                  </w:txbxContent>
                </v:textbox>
                <w10:wrap type="none"/>
              </v:shape>
              <v:shape style="position:absolute;left:3293;top:1384;width:52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备。如减值测试后，预计未来现金流量现值不低于其账面价值的，</w:t>
                      </w:r>
                    </w:p>
                  </w:txbxContent>
                </v:textbox>
                <w10:wrap type="none"/>
              </v:shape>
              <v:shape style="position:absolute;left:3293;top:1771;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则按账龄分析法计提坏账准备。</w:t>
                      </w:r>
                    </w:p>
                  </w:txbxContent>
                </v:textbox>
                <w10:wrap type="none"/>
              </v:shape>
            </v:group>
          </v:group>
        </w:pict>
      </w:r>
      <w:r>
        <w:rPr>
          <w:rFonts w:ascii="宋体" w:hAnsi="宋体" w:cs="宋体" w:eastAsia="宋体" w:hint="default"/>
          <w:position w:val="-39"/>
          <w:sz w:val="20"/>
          <w:szCs w:val="2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p>
      <w:pPr>
        <w:tabs>
          <w:tab w:pos="1401" w:val="left" w:leader="none"/>
        </w:tabs>
        <w:spacing w:before="35"/>
        <w:ind w:left="863" w:right="137"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按组合计提坏账准备应收款项：</w:t>
      </w:r>
      <w:r>
        <w:rPr>
          <w:rFonts w:ascii="宋体" w:hAnsi="宋体" w:cs="宋体" w:eastAsia="宋体" w:hint="default"/>
          <w:sz w:val="21"/>
          <w:szCs w:val="21"/>
        </w:rPr>
      </w:r>
    </w:p>
    <w:p>
      <w:pPr>
        <w:spacing w:line="30" w:lineRule="exact"/>
        <w:ind w:left="698" w:right="0" w:firstLine="0"/>
        <w:rPr>
          <w:rFonts w:ascii="宋体" w:hAnsi="宋体" w:cs="宋体" w:eastAsia="宋体" w:hint="default"/>
          <w:sz w:val="3"/>
          <w:szCs w:val="3"/>
        </w:rPr>
      </w:pPr>
      <w:r>
        <w:rPr>
          <w:rFonts w:ascii="宋体" w:hAnsi="宋体" w:cs="宋体" w:eastAsia="宋体" w:hint="default"/>
          <w:position w:val="0"/>
          <w:sz w:val="3"/>
          <w:szCs w:val="3"/>
        </w:rPr>
        <w:pict>
          <v:group style="width:435.3pt;height:1.5pt;mso-position-horizontal-relative:char;mso-position-vertical-relative:line" coordorigin="0,0" coordsize="8706,30">
            <v:group style="position:absolute;left:15;top:15;width:8676;height:2" coordorigin="15,15" coordsize="8676,2">
              <v:shape style="position:absolute;left:15;top:15;width:8676;height:2" coordorigin="15,15" coordsize="8676,0" path="m15,15l8691,15e" filled="false" stroked="true" strokeweight="1.5pt" strokecolor="#000000">
                <v:path arrowok="t"/>
              </v:shape>
            </v:group>
          </v:group>
        </w:pict>
      </w:r>
      <w:r>
        <w:rPr>
          <w:rFonts w:ascii="宋体" w:hAnsi="宋体" w:cs="宋体" w:eastAsia="宋体" w:hint="default"/>
          <w:position w:val="0"/>
          <w:sz w:val="3"/>
          <w:szCs w:val="3"/>
        </w:rPr>
      </w:r>
    </w:p>
    <w:p>
      <w:pPr>
        <w:spacing w:line="240" w:lineRule="auto" w:before="4"/>
        <w:rPr>
          <w:rFonts w:ascii="宋体" w:hAnsi="宋体" w:cs="宋体" w:eastAsia="宋体" w:hint="default"/>
          <w:b/>
          <w:bCs/>
          <w:sz w:val="7"/>
          <w:szCs w:val="7"/>
        </w:rPr>
      </w:pPr>
    </w:p>
    <w:p>
      <w:pPr>
        <w:spacing w:before="44"/>
        <w:ind w:left="3038" w:right="2503" w:firstLine="0"/>
        <w:jc w:val="center"/>
        <w:rPr>
          <w:rFonts w:ascii="宋体" w:hAnsi="宋体" w:cs="宋体" w:eastAsia="宋体" w:hint="default"/>
          <w:sz w:val="18"/>
          <w:szCs w:val="18"/>
        </w:rPr>
      </w:pPr>
      <w:r>
        <w:rPr>
          <w:rFonts w:ascii="宋体" w:hAnsi="宋体" w:cs="宋体" w:eastAsia="宋体" w:hint="default"/>
          <w:sz w:val="18"/>
          <w:szCs w:val="18"/>
        </w:rPr>
        <w:t>确定组合的依据</w:t>
      </w:r>
    </w:p>
    <w:p>
      <w:pPr>
        <w:spacing w:line="853" w:lineRule="exact"/>
        <w:ind w:left="684"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36.9pt;height:42.7pt;mso-position-horizontal-relative:char;mso-position-vertical-relative:line" coordorigin="0,0" coordsize="8738,854">
            <v:shape style="position:absolute;left:0;top:0;width:8737;height:853" type="#_x0000_t75" stroked="false">
              <v:imagedata r:id="rId33" o:title=""/>
            </v:shape>
            <v:shape style="position:absolute;left:1610;top:219;width:698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根据以前年度与之相同或类似的，具有应收款项按账龄段划分的类似信用风险特征组合的</w:t>
                    </w:r>
                  </w:p>
                </w:txbxContent>
              </v:textbox>
              <w10:wrap type="none"/>
            </v:shape>
            <v:shape style="position:absolute;left:136;top:4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账龄组合</w:t>
                    </w:r>
                  </w:p>
                </w:txbxContent>
              </v:textbox>
              <w10:wrap type="none"/>
            </v:shape>
            <v:shape style="position:absolute;left:1610;top:606;width:66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实际损失率为基础，结合现时情况确定应收款项不同账龄组合坏账准备的计提比例。</w:t>
                    </w:r>
                  </w:p>
                </w:txbxContent>
              </v:textbox>
              <w10:wrap type="none"/>
            </v:shape>
          </v:group>
        </w:pict>
      </w:r>
      <w:r>
        <w:rPr>
          <w:rFonts w:ascii="宋体" w:hAnsi="宋体" w:cs="宋体" w:eastAsia="宋体" w:hint="default"/>
          <w:position w:val="-16"/>
          <w:sz w:val="20"/>
          <w:szCs w:val="20"/>
        </w:rPr>
      </w:r>
    </w:p>
    <w:p>
      <w:pPr>
        <w:spacing w:before="96"/>
        <w:ind w:left="3038" w:right="2503" w:firstLine="0"/>
        <w:jc w:val="center"/>
        <w:rPr>
          <w:rFonts w:ascii="宋体" w:hAnsi="宋体" w:cs="宋体" w:eastAsia="宋体" w:hint="default"/>
          <w:sz w:val="18"/>
          <w:szCs w:val="18"/>
        </w:rPr>
      </w:pPr>
      <w:r>
        <w:rPr>
          <w:rFonts w:ascii="宋体" w:hAnsi="宋体" w:cs="宋体" w:eastAsia="宋体" w:hint="default"/>
          <w:sz w:val="18"/>
          <w:szCs w:val="18"/>
        </w:rPr>
        <w:t>按组合计提坏账准备的计提方法</w:t>
      </w:r>
    </w:p>
    <w:p>
      <w:pPr>
        <w:spacing w:line="457" w:lineRule="exact"/>
        <w:ind w:left="683"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36.05pt;height:22.9pt;mso-position-horizontal-relative:char;mso-position-vertical-relative:line" coordorigin="0,0" coordsize="8721,458">
            <v:group style="position:absolute;left:15;top:442;width:1485;height:2" coordorigin="15,442" coordsize="1485,2">
              <v:shape style="position:absolute;left:15;top:442;width:1485;height:2" coordorigin="15,442" coordsize="1485,0" path="m15,442l1499,442e" filled="false" stroked="true" strokeweight="1.5pt" strokecolor="#000000">
                <v:path arrowok="t"/>
              </v:shape>
              <v:shape style="position:absolute;left:1;top:0;width:8718;height:427" type="#_x0000_t75" stroked="false">
                <v:imagedata r:id="rId34" o:title=""/>
              </v:shape>
            </v:group>
            <v:group style="position:absolute;left:1499;top:442;width:7206;height:2" coordorigin="1499,442" coordsize="7206,2">
              <v:shape style="position:absolute;left:1499;top:442;width:7206;height:2" coordorigin="1499,442" coordsize="7206,0" path="m1499,442l8705,442e" filled="false" stroked="true" strokeweight="1.5pt" strokecolor="#000000">
                <v:path arrowok="t"/>
              </v:shape>
              <v:shape style="position:absolute;left:136;top:22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账龄组合</w:t>
                      </w:r>
                    </w:p>
                  </w:txbxContent>
                </v:textbox>
                <w10:wrap type="none"/>
              </v:shape>
              <v:shape style="position:absolute;left:1611;top:22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账龄分析法</w:t>
                      </w:r>
                    </w:p>
                  </w:txbxContent>
                </v:textbox>
                <w10:wrap type="none"/>
              </v:shape>
            </v:group>
          </v:group>
        </w:pict>
      </w:r>
      <w:r>
        <w:rPr>
          <w:rFonts w:ascii="宋体" w:hAnsi="宋体" w:cs="宋体" w:eastAsia="宋体" w:hint="default"/>
          <w:position w:val="-8"/>
          <w:sz w:val="20"/>
          <w:szCs w:val="20"/>
        </w:rPr>
      </w:r>
    </w:p>
    <w:p>
      <w:pPr>
        <w:spacing w:after="0" w:line="457" w:lineRule="exact"/>
        <w:rPr>
          <w:rFonts w:ascii="宋体" w:hAnsi="宋体" w:cs="宋体" w:eastAsia="宋体" w:hint="default"/>
          <w:sz w:val="20"/>
          <w:szCs w:val="20"/>
        </w:rPr>
        <w:sectPr>
          <w:pgSz w:w="11910" w:h="16840"/>
          <w:pgMar w:header="883" w:footer="1003" w:top="1540" w:bottom="1200" w:left="1220" w:right="1120"/>
        </w:sectPr>
      </w:pPr>
    </w:p>
    <w:p>
      <w:pPr>
        <w:spacing w:line="240" w:lineRule="auto" w:before="10"/>
        <w:rPr>
          <w:rFonts w:ascii="宋体" w:hAnsi="宋体" w:cs="宋体" w:eastAsia="宋体" w:hint="default"/>
          <w:sz w:val="8"/>
          <w:szCs w:val="8"/>
        </w:rPr>
      </w:pPr>
    </w:p>
    <w:p>
      <w:pPr>
        <w:pStyle w:val="BodyText"/>
        <w:spacing w:line="240" w:lineRule="auto"/>
        <w:ind w:left="775" w:right="194"/>
        <w:jc w:val="left"/>
      </w:pPr>
      <w:r>
        <w:rPr/>
        <w:pict>
          <v:group style="position:absolute;margin-left:95.220001pt;margin-top:17.133955pt;width:436.65pt;height:124pt;mso-position-horizontal-relative:page;mso-position-vertical-relative:paragraph;z-index:-1132936" coordorigin="1904,343" coordsize="8733,2480">
            <v:group style="position:absolute;left:1933;top:358;width:8676;height:2" coordorigin="1933,358" coordsize="8676,2">
              <v:shape style="position:absolute;left:1933;top:358;width:8676;height:2" coordorigin="1933,358" coordsize="8676,0" path="m1933,358l10609,358e" filled="false" stroked="true" strokeweight="1.5pt" strokecolor="#000000">
                <v:path arrowok="t"/>
              </v:shape>
              <v:shape style="position:absolute;left:4879;top:349;width:2604;height:446" type="#_x0000_t75" stroked="false">
                <v:imagedata r:id="rId35" o:title=""/>
              </v:shape>
              <v:shape style="position:absolute;left:1904;top:753;width:8732;height:2069" type="#_x0000_t75" stroked="false">
                <v:imagedata r:id="rId36" o:title=""/>
              </v:shape>
            </v:group>
            <w10:wrap type="none"/>
          </v:group>
        </w:pict>
      </w:r>
      <w:r>
        <w:rPr/>
        <w:t>组合中，采用账龄分析法计提坏账准备的：</w:t>
      </w:r>
    </w:p>
    <w:p>
      <w:pPr>
        <w:spacing w:line="240" w:lineRule="auto" w:before="11"/>
        <w:rPr>
          <w:rFonts w:ascii="宋体" w:hAnsi="宋体" w:cs="宋体" w:eastAsia="宋体" w:hint="default"/>
          <w:sz w:val="11"/>
          <w:szCs w:val="11"/>
        </w:rPr>
      </w:pPr>
    </w:p>
    <w:tbl>
      <w:tblPr>
        <w:tblW w:w="0" w:type="auto"/>
        <w:jc w:val="left"/>
        <w:tblInd w:w="698" w:type="dxa"/>
        <w:tblLayout w:type="fixed"/>
        <w:tblCellMar>
          <w:top w:w="0" w:type="dxa"/>
          <w:left w:w="0" w:type="dxa"/>
          <w:bottom w:w="0" w:type="dxa"/>
          <w:right w:w="0" w:type="dxa"/>
        </w:tblCellMar>
        <w:tblLook w:val="01E0"/>
      </w:tblPr>
      <w:tblGrid>
        <w:gridCol w:w="2633"/>
        <w:gridCol w:w="3009"/>
        <w:gridCol w:w="3049"/>
      </w:tblGrid>
      <w:tr>
        <w:trPr>
          <w:trHeight w:val="814" w:hRule="exact"/>
        </w:trPr>
        <w:tc>
          <w:tcPr>
            <w:tcW w:w="2633" w:type="dxa"/>
            <w:tcBorders>
              <w:top w:val="nil" w:sz="6" w:space="0" w:color="auto"/>
              <w:left w:val="nil" w:sz="6" w:space="0" w:color="auto"/>
              <w:bottom w:val="nil" w:sz="6" w:space="0" w:color="auto"/>
              <w:right w:val="nil" w:sz="6" w:space="0" w:color="auto"/>
            </w:tcBorders>
          </w:tcPr>
          <w:p>
            <w:pPr>
              <w:pStyle w:val="TableParagraph"/>
              <w:tabs>
                <w:tab w:pos="1679" w:val="left" w:leader="none"/>
              </w:tabs>
              <w:spacing w:line="240" w:lineRule="auto" w:before="44"/>
              <w:ind w:left="1184" w:right="0" w:hanging="45"/>
              <w:jc w:val="left"/>
              <w:rPr>
                <w:rFonts w:ascii="宋体" w:hAnsi="宋体" w:cs="宋体" w:eastAsia="宋体" w:hint="default"/>
                <w:sz w:val="18"/>
                <w:szCs w:val="18"/>
              </w:rPr>
            </w:pPr>
            <w:r>
              <w:rPr>
                <w:rFonts w:ascii="宋体" w:hAnsi="宋体" w:cs="宋体" w:eastAsia="宋体" w:hint="default"/>
                <w:sz w:val="18"/>
                <w:szCs w:val="18"/>
              </w:rPr>
              <w:t>账</w:t>
              <w:tab/>
              <w:t>龄</w:t>
            </w: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1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46"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应收账款计提比例</w:t>
            </w:r>
            <w:r>
              <w:rPr>
                <w:rFonts w:ascii="Times New Roman" w:hAnsi="Times New Roman" w:cs="Times New Roman" w:eastAsia="Times New Roman" w:hint="default"/>
                <w:sz w:val="18"/>
                <w:szCs w:val="18"/>
              </w:rPr>
              <w:t>(%)</w:t>
            </w: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46" w:right="0"/>
              <w:jc w:val="center"/>
              <w:rPr>
                <w:rFonts w:ascii="Times New Roman" w:hAnsi="Times New Roman" w:cs="Times New Roman" w:eastAsia="Times New Roman" w:hint="default"/>
                <w:sz w:val="18"/>
                <w:szCs w:val="18"/>
              </w:rPr>
            </w:pPr>
            <w:r>
              <w:rPr>
                <w:rFonts w:ascii="Times New Roman"/>
                <w:sz w:val="18"/>
              </w:rPr>
              <w:t>1</w:t>
            </w:r>
          </w:p>
        </w:tc>
        <w:tc>
          <w:tcPr>
            <w:tcW w:w="304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4"/>
              <w:jc w:val="center"/>
              <w:rPr>
                <w:rFonts w:ascii="Times New Roman" w:hAnsi="Times New Roman" w:cs="Times New Roman" w:eastAsia="Times New Roman" w:hint="default"/>
                <w:sz w:val="18"/>
                <w:szCs w:val="18"/>
              </w:rPr>
            </w:pPr>
            <w:r>
              <w:rPr>
                <w:rFonts w:ascii="宋体" w:hAnsi="宋体" w:cs="宋体" w:eastAsia="宋体" w:hint="default"/>
                <w:sz w:val="18"/>
                <w:szCs w:val="18"/>
              </w:rPr>
              <w:t>其他应收款计提比例</w:t>
            </w:r>
            <w:r>
              <w:rPr>
                <w:rFonts w:ascii="Times New Roman" w:hAnsi="Times New Roman" w:cs="Times New Roman" w:eastAsia="Times New Roman" w:hint="default"/>
                <w:sz w:val="18"/>
                <w:szCs w:val="18"/>
              </w:rPr>
              <w:t>(%)</w:t>
            </w: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04"/>
              <w:jc w:val="center"/>
              <w:rPr>
                <w:rFonts w:ascii="Times New Roman" w:hAnsi="Times New Roman" w:cs="Times New Roman" w:eastAsia="Times New Roman" w:hint="default"/>
                <w:sz w:val="18"/>
                <w:szCs w:val="18"/>
              </w:rPr>
            </w:pPr>
            <w:r>
              <w:rPr>
                <w:rFonts w:ascii="Times New Roman"/>
                <w:sz w:val="18"/>
              </w:rPr>
              <w:t>1</w:t>
            </w:r>
          </w:p>
        </w:tc>
      </w:tr>
      <w:tr>
        <w:trPr>
          <w:trHeight w:val="410" w:hRule="exact"/>
        </w:trPr>
        <w:tc>
          <w:tcPr>
            <w:tcW w:w="263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60"/>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年</w:t>
            </w: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4"/>
              <w:jc w:val="right"/>
              <w:rPr>
                <w:rFonts w:ascii="Times New Roman" w:hAnsi="Times New Roman" w:cs="Times New Roman" w:eastAsia="Times New Roman" w:hint="default"/>
                <w:sz w:val="18"/>
                <w:szCs w:val="18"/>
              </w:rPr>
            </w:pPr>
            <w:r>
              <w:rPr>
                <w:rFonts w:ascii="Times New Roman"/>
                <w:sz w:val="18"/>
              </w:rPr>
              <w:t>2</w:t>
            </w:r>
          </w:p>
        </w:tc>
        <w:tc>
          <w:tcPr>
            <w:tcW w:w="30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center"/>
              <w:rPr>
                <w:rFonts w:ascii="Times New Roman" w:hAnsi="Times New Roman" w:cs="Times New Roman" w:eastAsia="Times New Roman" w:hint="default"/>
                <w:sz w:val="18"/>
                <w:szCs w:val="18"/>
              </w:rPr>
            </w:pPr>
            <w:r>
              <w:rPr>
                <w:rFonts w:ascii="Times New Roman"/>
                <w:sz w:val="18"/>
              </w:rPr>
              <w:t>2</w:t>
            </w:r>
          </w:p>
        </w:tc>
      </w:tr>
      <w:tr>
        <w:trPr>
          <w:trHeight w:val="410" w:hRule="exact"/>
        </w:trPr>
        <w:tc>
          <w:tcPr>
            <w:tcW w:w="263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860"/>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年</w:t>
            </w: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4"/>
              <w:jc w:val="right"/>
              <w:rPr>
                <w:rFonts w:ascii="Times New Roman" w:hAnsi="Times New Roman" w:cs="Times New Roman" w:eastAsia="Times New Roman" w:hint="default"/>
                <w:sz w:val="18"/>
                <w:szCs w:val="18"/>
              </w:rPr>
            </w:pPr>
            <w:r>
              <w:rPr>
                <w:rFonts w:ascii="Times New Roman"/>
                <w:sz w:val="18"/>
              </w:rPr>
              <w:t>5</w:t>
            </w:r>
          </w:p>
        </w:tc>
        <w:tc>
          <w:tcPr>
            <w:tcW w:w="30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center"/>
              <w:rPr>
                <w:rFonts w:ascii="Times New Roman" w:hAnsi="Times New Roman" w:cs="Times New Roman" w:eastAsia="Times New Roman" w:hint="default"/>
                <w:sz w:val="18"/>
                <w:szCs w:val="18"/>
              </w:rPr>
            </w:pPr>
            <w:r>
              <w:rPr>
                <w:rFonts w:ascii="Times New Roman"/>
                <w:sz w:val="18"/>
              </w:rPr>
              <w:t>5</w:t>
            </w:r>
          </w:p>
        </w:tc>
      </w:tr>
      <w:tr>
        <w:trPr>
          <w:trHeight w:val="410" w:hRule="exact"/>
        </w:trPr>
        <w:tc>
          <w:tcPr>
            <w:tcW w:w="263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860"/>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年</w:t>
            </w:r>
          </w:p>
        </w:tc>
        <w:tc>
          <w:tcPr>
            <w:tcW w:w="300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9"/>
              <w:jc w:val="right"/>
              <w:rPr>
                <w:rFonts w:ascii="Times New Roman" w:hAnsi="Times New Roman" w:cs="Times New Roman" w:eastAsia="Times New Roman" w:hint="default"/>
                <w:sz w:val="18"/>
                <w:szCs w:val="18"/>
              </w:rPr>
            </w:pPr>
            <w:r>
              <w:rPr>
                <w:rFonts w:ascii="Times New Roman"/>
                <w:sz w:val="18"/>
              </w:rPr>
              <w:t>10</w:t>
            </w:r>
          </w:p>
        </w:tc>
        <w:tc>
          <w:tcPr>
            <w:tcW w:w="30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87"/>
              <w:jc w:val="right"/>
              <w:rPr>
                <w:rFonts w:ascii="Times New Roman" w:hAnsi="Times New Roman" w:cs="Times New Roman" w:eastAsia="Times New Roman" w:hint="default"/>
                <w:sz w:val="18"/>
                <w:szCs w:val="18"/>
              </w:rPr>
            </w:pPr>
            <w:r>
              <w:rPr>
                <w:rFonts w:ascii="Times New Roman"/>
                <w:sz w:val="18"/>
              </w:rPr>
              <w:t>10</w:t>
            </w:r>
          </w:p>
        </w:tc>
      </w:tr>
      <w:tr>
        <w:trPr>
          <w:trHeight w:val="328" w:hRule="exact"/>
        </w:trPr>
        <w:tc>
          <w:tcPr>
            <w:tcW w:w="2633"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816"/>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年以上</w:t>
            </w:r>
          </w:p>
        </w:tc>
        <w:tc>
          <w:tcPr>
            <w:tcW w:w="300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244"/>
              <w:jc w:val="right"/>
              <w:rPr>
                <w:rFonts w:ascii="Times New Roman" w:hAnsi="Times New Roman" w:cs="Times New Roman" w:eastAsia="Times New Roman" w:hint="default"/>
                <w:sz w:val="18"/>
                <w:szCs w:val="18"/>
              </w:rPr>
            </w:pPr>
            <w:r>
              <w:rPr>
                <w:rFonts w:ascii="Times New Roman"/>
                <w:sz w:val="18"/>
              </w:rPr>
              <w:t>100</w:t>
            </w:r>
          </w:p>
        </w:tc>
        <w:tc>
          <w:tcPr>
            <w:tcW w:w="304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440"/>
              <w:jc w:val="right"/>
              <w:rPr>
                <w:rFonts w:ascii="Times New Roman" w:hAnsi="Times New Roman" w:cs="Times New Roman" w:eastAsia="Times New Roman" w:hint="default"/>
                <w:sz w:val="18"/>
                <w:szCs w:val="18"/>
              </w:rPr>
            </w:pPr>
            <w:r>
              <w:rPr>
                <w:rFonts w:ascii="Times New Roman"/>
                <w:sz w:val="18"/>
              </w:rPr>
              <w:t>100</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Heading6"/>
        <w:tabs>
          <w:tab w:pos="1401" w:val="left" w:leader="none"/>
        </w:tabs>
        <w:spacing w:line="240" w:lineRule="auto"/>
        <w:ind w:left="863" w:right="194"/>
        <w:jc w:val="left"/>
        <w:rPr>
          <w:b w:val="0"/>
          <w:bCs w:val="0"/>
        </w:rPr>
      </w:pPr>
      <w:r>
        <w:rPr>
          <w:rFonts w:ascii="Times New Roman" w:hAnsi="Times New Roman" w:cs="Times New Roman" w:eastAsia="Times New Roman" w:hint="default"/>
          <w:w w:val="95"/>
        </w:rPr>
        <w:t>3</w:t>
      </w:r>
      <w:r>
        <w:rPr>
          <w:w w:val="95"/>
        </w:rPr>
        <w:t>、</w:t>
        <w:tab/>
      </w:r>
      <w:r>
        <w:rPr/>
        <w:t>单项金额虽不重大但单项计提坏账准备的应收账款：</w:t>
      </w:r>
      <w:r>
        <w:rPr>
          <w:b w:val="0"/>
          <w:bCs w:val="0"/>
        </w:rPr>
      </w:r>
    </w:p>
    <w:p>
      <w:pPr>
        <w:spacing w:line="1670" w:lineRule="exact"/>
        <w:ind w:left="683"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39.6pt;height:83.55pt;mso-position-horizontal-relative:char;mso-position-vertical-relative:line" coordorigin="0,0" coordsize="8792,1671">
            <v:group style="position:absolute;left:29;top:15;width:8741;height:2" coordorigin="29,15" coordsize="8741,2">
              <v:shape style="position:absolute;left:29;top:15;width:8741;height:2" coordorigin="29,15" coordsize="8741,0" path="m29,15l8770,15e" filled="false" stroked="true" strokeweight="1.5pt" strokecolor="#000000">
                <v:path arrowok="t"/>
              </v:shape>
            </v:group>
            <v:group style="position:absolute;left:15;top:1655;width:2614;height:2" coordorigin="15,1655" coordsize="2614,2">
              <v:shape style="position:absolute;left:15;top:1655;width:2614;height:2" coordorigin="15,1655" coordsize="2614,0" path="m15,1655l2629,1655e" filled="false" stroked="true" strokeweight="1.5pt" strokecolor="#000000">
                <v:path arrowok="t"/>
              </v:shape>
              <v:shape style="position:absolute;left:1;top:10;width:8791;height:1650" type="#_x0000_t75" stroked="false">
                <v:imagedata r:id="rId37" o:title=""/>
              </v:shape>
            </v:group>
            <v:group style="position:absolute;left:2629;top:1655;width:6142;height:2" coordorigin="2629,1655" coordsize="6142,2">
              <v:shape style="position:absolute;left:2629;top:1655;width:6142;height:2" coordorigin="2629,1655" coordsize="6142,0" path="m2629,1655l8770,1655e" filled="false" stroked="true" strokeweight="1.5pt" strokecolor="#000000">
                <v:path arrowok="t"/>
              </v:shape>
              <v:shape style="position:absolute;left:2741;top:222;width:592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单项金额虽不重大，但存在明显减值迹象，单独进行减值测试后其未来现金</w:t>
                      </w:r>
                    </w:p>
                  </w:txbxContent>
                </v:textbox>
                <w10:wrap type="none"/>
              </v:shape>
              <v:shape style="position:absolute;left:136;top:423;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xbxContent>
                </v:textbox>
                <w10:wrap type="none"/>
              </v:shape>
              <v:shape style="position:absolute;left:2741;top:622;width:6010;height:59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流量现值低于其账面价值。</w:t>
                      </w:r>
                    </w:p>
                    <w:p>
                      <w:pPr>
                        <w:spacing w:line="240" w:lineRule="auto" w:before="5"/>
                        <w:rPr>
                          <w:rFonts w:ascii="宋体" w:hAnsi="宋体" w:cs="宋体" w:eastAsia="宋体" w:hint="default"/>
                          <w:b/>
                          <w:bCs/>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个别认定法，按其未来现金流量现值低于其账面价值的差额，确认减值损失，</w:t>
                      </w:r>
                    </w:p>
                  </w:txbxContent>
                </v:textbox>
                <w10:wrap type="none"/>
              </v:shape>
              <v:shape style="position:absolute;left:136;top:1233;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坏账准备的计提方法</w:t>
                      </w:r>
                    </w:p>
                  </w:txbxContent>
                </v:textbox>
                <w10:wrap type="none"/>
              </v:shape>
              <v:shape style="position:absolute;left:2741;top:143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计提坏账准备。</w:t>
                      </w:r>
                    </w:p>
                  </w:txbxContent>
                </v:textbox>
                <w10:wrap type="none"/>
              </v:shape>
            </v:group>
          </v:group>
        </w:pict>
      </w:r>
      <w:r>
        <w:rPr>
          <w:rFonts w:ascii="宋体" w:hAnsi="宋体" w:cs="宋体" w:eastAsia="宋体" w:hint="default"/>
          <w:position w:val="-32"/>
          <w:sz w:val="20"/>
          <w:szCs w:val="2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spacing w:before="35"/>
        <w:ind w:left="131" w:right="19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存货</w:t>
      </w:r>
      <w:r>
        <w:rPr>
          <w:rFonts w:ascii="宋体" w:hAnsi="宋体" w:cs="宋体" w:eastAsia="宋体" w:hint="default"/>
          <w:sz w:val="21"/>
          <w:szCs w:val="21"/>
        </w:rPr>
      </w:r>
    </w:p>
    <w:p>
      <w:pPr>
        <w:tabs>
          <w:tab w:pos="1401" w:val="left" w:leader="none"/>
        </w:tabs>
        <w:spacing w:before="109"/>
        <w:ind w:left="863" w:right="19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存货的分类</w:t>
      </w:r>
      <w:r>
        <w:rPr>
          <w:rFonts w:ascii="宋体" w:hAnsi="宋体" w:cs="宋体" w:eastAsia="宋体" w:hint="default"/>
          <w:sz w:val="21"/>
          <w:szCs w:val="21"/>
        </w:rPr>
      </w:r>
    </w:p>
    <w:p>
      <w:pPr>
        <w:pStyle w:val="BodyText"/>
        <w:spacing w:line="240" w:lineRule="auto" w:before="110"/>
        <w:ind w:right="194"/>
        <w:jc w:val="left"/>
      </w:pPr>
      <w:r>
        <w:rPr/>
        <w:t>存货分类为：原材料、在产品以及产成品。</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tabs>
          <w:tab w:pos="1401" w:val="left" w:leader="none"/>
        </w:tabs>
        <w:spacing w:line="348" w:lineRule="auto" w:before="0"/>
        <w:ind w:right="208" w:hanging="543"/>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发出存货的计价方法</w:t>
      </w:r>
      <w:r>
        <w:rPr>
          <w:rFonts w:ascii="宋体" w:hAnsi="宋体" w:cs="宋体" w:eastAsia="宋体" w:hint="default"/>
          <w:b/>
          <w:bCs/>
          <w:spacing w:val="1"/>
          <w:w w:val="99"/>
        </w:rPr>
        <w:t> </w:t>
      </w:r>
      <w:r>
        <w:rPr/>
        <w:t>原材料的发出成本按移动加权平均法结转成本；在产品及产成品的成本包括直接材料、</w:t>
      </w:r>
      <w:r>
        <w:rPr>
          <w:spacing w:val="1"/>
        </w:rPr>
        <w:t> </w:t>
      </w:r>
      <w:r>
        <w:rPr/>
        <w:t>直接人工及按正常生产能力下适当百分比应分配的制造费用。</w:t>
      </w:r>
      <w:r>
        <w:rPr/>
        <w:t> 在产品包括在建合同成本，其成本核算为： 对于依照客户特定要求而订制的系统集成，由于其开工与完工日期通常分属于不同的会</w:t>
      </w:r>
      <w:r>
        <w:rPr>
          <w:spacing w:val="1"/>
        </w:rPr>
        <w:t> </w:t>
      </w:r>
      <w:r>
        <w:rPr/>
        <w:t>计年度，因此本集团按照建造合同准则进行核算。</w:t>
      </w:r>
      <w:r>
        <w:rPr/>
        <w:t> 在建合同成本主要指在建合同项目所发生的成本，包括已经运送至客户指定的特定场所</w:t>
      </w:r>
      <w:r>
        <w:rPr>
          <w:spacing w:val="1"/>
        </w:rPr>
        <w:t> </w:t>
      </w:r>
      <w:r>
        <w:rPr/>
        <w:t>的系统硬件成本、尚在进行中的安装成本或系统整合成本、已发生的合同直接人工及间</w:t>
      </w:r>
      <w:r>
        <w:rPr>
          <w:spacing w:val="1"/>
        </w:rPr>
        <w:t> </w:t>
      </w:r>
      <w:r>
        <w:rPr/>
        <w:t>接费用以及正在履行的其他合约义务所发生的成本。</w:t>
      </w:r>
      <w:r>
        <w:rPr/>
        <w:t> 于资产负债表日，在建合同累计已发生的合同成本和依完工比例确认的累计合同毛利之</w:t>
      </w:r>
      <w:r>
        <w:rPr>
          <w:spacing w:val="1"/>
        </w:rPr>
        <w:t> </w:t>
      </w:r>
      <w:r>
        <w:rPr/>
        <w:t>和大于已结算价款与累计已确认的预计亏损之和的差额列为流动资产中的存货；反之，</w:t>
      </w:r>
      <w:r>
        <w:rPr>
          <w:spacing w:val="1"/>
        </w:rPr>
        <w:t> </w:t>
      </w:r>
      <w:r>
        <w:rPr/>
        <w:t>则列为流动负债中的已结算尚未完工款。</w:t>
      </w:r>
    </w:p>
    <w:p>
      <w:pPr>
        <w:spacing w:line="240" w:lineRule="auto" w:before="0"/>
        <w:rPr>
          <w:rFonts w:ascii="宋体" w:hAnsi="宋体" w:cs="宋体" w:eastAsia="宋体" w:hint="default"/>
          <w:sz w:val="20"/>
          <w:szCs w:val="20"/>
        </w:rPr>
      </w:pPr>
    </w:p>
    <w:p>
      <w:pPr>
        <w:tabs>
          <w:tab w:pos="1401" w:val="left" w:leader="none"/>
        </w:tabs>
        <w:spacing w:line="328" w:lineRule="auto" w:before="169"/>
        <w:ind w:left="1405" w:right="104"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存货可变现净值的确定依据及存货跌价准备的计提方法</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期末对存货进行全面清查后，按存货的成本与可变现净值孰低提取或调整存货跌价准备。</w:t>
      </w:r>
    </w:p>
    <w:p>
      <w:pPr>
        <w:spacing w:after="0" w:line="328" w:lineRule="auto"/>
        <w:jc w:val="left"/>
        <w:rPr>
          <w:rFonts w:ascii="宋体" w:hAnsi="宋体" w:cs="宋体" w:eastAsia="宋体" w:hint="default"/>
          <w:sz w:val="21"/>
          <w:szCs w:val="21"/>
        </w:rPr>
        <w:sectPr>
          <w:pgSz w:w="11910" w:h="16840"/>
          <w:pgMar w:header="883" w:footer="1003" w:top="1540" w:bottom="1200" w:left="1220" w:right="1060"/>
        </w:sectPr>
      </w:pPr>
    </w:p>
    <w:p>
      <w:pPr>
        <w:spacing w:line="240" w:lineRule="auto" w:before="10"/>
        <w:rPr>
          <w:rFonts w:ascii="宋体" w:hAnsi="宋体" w:cs="宋体" w:eastAsia="宋体" w:hint="default"/>
          <w:sz w:val="8"/>
          <w:szCs w:val="8"/>
        </w:rPr>
      </w:pPr>
    </w:p>
    <w:p>
      <w:pPr>
        <w:pStyle w:val="BodyText"/>
        <w:spacing w:line="350" w:lineRule="auto"/>
        <w:ind w:right="104"/>
        <w:jc w:val="left"/>
      </w:pPr>
      <w:r>
        <w:rPr/>
        <w:t>产成品、库存商品和用于出售的材料等直接用于出售的商品存货，在正常生产经营过程</w:t>
      </w:r>
      <w:r>
        <w:rPr>
          <w:spacing w:val="-82"/>
        </w:rPr>
        <w:t> </w:t>
      </w:r>
      <w:r>
        <w:rPr>
          <w:spacing w:val="-82"/>
        </w:rPr>
      </w:r>
      <w:r>
        <w:rPr>
          <w:spacing w:val="-3"/>
        </w:rPr>
        <w:t>中，以该存货的估计售价减去估计的销售费用和相关税费后的金额，确定其可变现净值；</w:t>
      </w:r>
      <w:r>
        <w:rPr>
          <w:spacing w:val="-69"/>
        </w:rPr>
        <w:t> </w:t>
      </w:r>
      <w:r>
        <w:rPr>
          <w:spacing w:val="-69"/>
        </w:rPr>
      </w:r>
      <w:r>
        <w:rPr/>
        <w:t>需要经过加工的材料存货，在正常生产经营过程中，以所生产的产成品的估计售价减去</w:t>
      </w:r>
      <w:r>
        <w:rPr>
          <w:spacing w:val="-82"/>
        </w:rPr>
        <w:t> </w:t>
      </w:r>
      <w:r>
        <w:rPr>
          <w:spacing w:val="-82"/>
        </w:rPr>
      </w:r>
      <w:r>
        <w:rPr/>
        <w:t>至完工时估计将要发生的成本、估计的销售费用和相关税费后的金额，确定其可变现净</w:t>
      </w:r>
      <w:r>
        <w:rPr>
          <w:spacing w:val="-82"/>
        </w:rPr>
        <w:t> </w:t>
      </w:r>
      <w:r>
        <w:rPr>
          <w:spacing w:val="-82"/>
        </w:rPr>
      </w:r>
      <w:r>
        <w:rPr>
          <w:spacing w:val="-3"/>
        </w:rPr>
        <w:t>值；为执行销售合同或者劳务合同而持有的存货，其可变现净值以合同价格为基础计算，</w:t>
      </w:r>
      <w:r>
        <w:rPr>
          <w:spacing w:val="-68"/>
        </w:rPr>
        <w:t> </w:t>
      </w:r>
      <w:r>
        <w:rPr>
          <w:spacing w:val="-68"/>
        </w:rPr>
      </w:r>
      <w:r>
        <w:rPr/>
        <w:t>若持有存货的数量多于销售合同订购数量的，超出部分的存货的可变现净值以一般销售</w:t>
      </w:r>
      <w:r>
        <w:rPr>
          <w:spacing w:val="-82"/>
        </w:rPr>
        <w:t> </w:t>
      </w:r>
      <w:r>
        <w:rPr>
          <w:spacing w:val="-82"/>
        </w:rPr>
      </w:r>
      <w:r>
        <w:rPr/>
        <w:t>价格为基础计算。</w:t>
      </w:r>
      <w:r>
        <w:rPr/>
        <w:t> 以前减记存货价值的影响因素已经消失的，减记的金额予以恢复，并在原已计提的存货</w:t>
      </w:r>
      <w:r>
        <w:rPr>
          <w:spacing w:val="-82"/>
        </w:rPr>
        <w:t> </w:t>
      </w:r>
      <w:r>
        <w:rPr>
          <w:spacing w:val="-82"/>
        </w:rPr>
      </w:r>
      <w:r>
        <w:rPr/>
        <w:t>跌价准备金额内转回，转回的金额计入当期损益。</w:t>
      </w:r>
    </w:p>
    <w:p>
      <w:pPr>
        <w:spacing w:line="240" w:lineRule="auto" w:before="0"/>
        <w:rPr>
          <w:rFonts w:ascii="宋体" w:hAnsi="宋体" w:cs="宋体" w:eastAsia="宋体" w:hint="default"/>
          <w:sz w:val="20"/>
          <w:szCs w:val="20"/>
        </w:rPr>
      </w:pPr>
    </w:p>
    <w:p>
      <w:pPr>
        <w:tabs>
          <w:tab w:pos="1401" w:val="left" w:leader="none"/>
        </w:tabs>
        <w:spacing w:line="328" w:lineRule="auto" w:before="167"/>
        <w:ind w:left="1405" w:right="6745"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存货的盘存制度</w:t>
      </w:r>
      <w:r>
        <w:rPr>
          <w:rFonts w:ascii="宋体" w:hAnsi="宋体" w:cs="宋体" w:eastAsia="宋体" w:hint="default"/>
          <w:b/>
          <w:bCs/>
          <w:w w:val="99"/>
          <w:sz w:val="21"/>
          <w:szCs w:val="21"/>
        </w:rPr>
        <w:t> </w:t>
      </w:r>
      <w:r>
        <w:rPr>
          <w:rFonts w:ascii="宋体" w:hAnsi="宋体" w:cs="宋体" w:eastAsia="宋体" w:hint="default"/>
          <w:sz w:val="21"/>
          <w:szCs w:val="21"/>
        </w:rPr>
        <w:t>采用永续盘存制</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6"/>
        <w:spacing w:line="240" w:lineRule="auto" w:before="0"/>
        <w:ind w:left="131" w:right="194"/>
        <w:jc w:val="left"/>
        <w:rPr>
          <w:b w:val="0"/>
          <w:bCs w:val="0"/>
        </w:rPr>
      </w:pPr>
      <w:r>
        <w:rPr>
          <w:rFonts w:ascii="Times New Roman" w:hAnsi="Times New Roman" w:cs="Times New Roman" w:eastAsia="Times New Roman" w:hint="default"/>
        </w:rPr>
        <w:t>(</w:t>
      </w:r>
      <w:r>
        <w:rPr/>
        <w:t>十二</w:t>
      </w:r>
      <w:r>
        <w:rPr>
          <w:rFonts w:ascii="Times New Roman" w:hAnsi="Times New Roman" w:cs="Times New Roman" w:eastAsia="Times New Roman" w:hint="default"/>
        </w:rPr>
        <w:t>)  </w:t>
      </w:r>
      <w:r>
        <w:rPr>
          <w:rFonts w:ascii="Times New Roman" w:hAnsi="Times New Roman" w:cs="Times New Roman" w:eastAsia="Times New Roman" w:hint="default"/>
          <w:spacing w:val="5"/>
        </w:rPr>
        <w:t> </w:t>
      </w:r>
      <w:r>
        <w:rPr/>
        <w:t>长期股权投资</w:t>
      </w:r>
      <w:r>
        <w:rPr>
          <w:b w:val="0"/>
          <w:bCs w:val="0"/>
        </w:rPr>
      </w:r>
    </w:p>
    <w:p>
      <w:pPr>
        <w:tabs>
          <w:tab w:pos="1401" w:val="left" w:leader="none"/>
        </w:tabs>
        <w:spacing w:before="109"/>
        <w:ind w:left="863" w:right="19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投资成本的确定</w:t>
      </w:r>
      <w:r>
        <w:rPr>
          <w:rFonts w:ascii="宋体" w:hAnsi="宋体" w:cs="宋体" w:eastAsia="宋体" w:hint="default"/>
          <w:sz w:val="21"/>
          <w:szCs w:val="21"/>
        </w:rPr>
      </w:r>
    </w:p>
    <w:p>
      <w:pPr>
        <w:pStyle w:val="BodyText"/>
        <w:spacing w:line="348" w:lineRule="auto" w:before="109"/>
        <w:ind w:right="87"/>
        <w:jc w:val="left"/>
      </w:pPr>
      <w:r>
        <w:rPr/>
        <w:t>（</w:t>
      </w:r>
      <w:r>
        <w:rPr>
          <w:rFonts w:ascii="Times New Roman" w:hAnsi="Times New Roman" w:cs="Times New Roman" w:eastAsia="Times New Roman" w:hint="default"/>
        </w:rPr>
        <w:t>1</w:t>
      </w:r>
      <w:r>
        <w:rPr/>
        <w:t>）企业合并形成的长期股权投资 同一控制下的企业合并：公司以支付现金、转让非现金资产或承担债务方式以及以发行</w:t>
      </w:r>
      <w:r>
        <w:rPr>
          <w:spacing w:val="-82"/>
        </w:rPr>
        <w:t> </w:t>
      </w:r>
      <w:r>
        <w:rPr>
          <w:spacing w:val="-82"/>
        </w:rPr>
      </w:r>
      <w:r>
        <w:rPr/>
        <w:t>权益性证券作为合并对价的，在合并日按照取得被合并方所有者权益账面价值的份额作</w:t>
      </w:r>
      <w:r>
        <w:rPr>
          <w:spacing w:val="-82"/>
        </w:rPr>
        <w:t> </w:t>
      </w:r>
      <w:r>
        <w:rPr>
          <w:spacing w:val="-82"/>
        </w:rPr>
      </w:r>
      <w:r>
        <w:rPr/>
        <w:t>为长期股权投资的初始投资成本。长期股权投资初始投资成本与支付合并对价之间的差</w:t>
      </w:r>
      <w:r>
        <w:rPr>
          <w:spacing w:val="-82"/>
        </w:rPr>
        <w:t> </w:t>
      </w:r>
      <w:r>
        <w:rPr>
          <w:spacing w:val="-82"/>
        </w:rPr>
      </w:r>
      <w:r>
        <w:rPr/>
        <w:t>额，调整资本公积中的股本溢价；资本公积中的股本溢价不足冲减的，调整留存收益。</w:t>
      </w:r>
      <w:r>
        <w:rPr>
          <w:spacing w:val="-82"/>
        </w:rPr>
        <w:t> </w:t>
      </w:r>
      <w:r>
        <w:rPr>
          <w:spacing w:val="-82"/>
        </w:rPr>
      </w:r>
      <w:r>
        <w:rPr/>
        <w:t>合并发生的各项直接相关费用，包括为进行合并而支付的审计费用、评估费用、法律服</w:t>
      </w:r>
      <w:r>
        <w:rPr>
          <w:spacing w:val="-82"/>
        </w:rPr>
        <w:t> </w:t>
      </w:r>
      <w:r>
        <w:rPr>
          <w:spacing w:val="-82"/>
        </w:rPr>
      </w:r>
      <w:r>
        <w:rPr/>
        <w:t>务费用等，于发生时计入当期损益。为企业合并发行的债券或承担其他债务支付的手续</w:t>
      </w:r>
      <w:r>
        <w:rPr>
          <w:spacing w:val="-82"/>
        </w:rPr>
        <w:t> </w:t>
      </w:r>
      <w:r>
        <w:rPr>
          <w:spacing w:val="-82"/>
        </w:rPr>
      </w:r>
      <w:r>
        <w:rPr/>
        <w:t>费、佣金等，计入所发行债券及其他债务的初始计量金额，发行权益性证券发生的手续</w:t>
      </w:r>
      <w:r>
        <w:rPr>
          <w:spacing w:val="-82"/>
        </w:rPr>
        <w:t> </w:t>
      </w:r>
      <w:r>
        <w:rPr>
          <w:spacing w:val="-82"/>
        </w:rPr>
      </w:r>
      <w:r>
        <w:rPr/>
        <w:t>费、佣金等费用，抵减权益性证券溢价收入，溢价收入不足冲减的，冲减留存收益。</w:t>
      </w:r>
      <w:r>
        <w:rPr/>
        <w:t> 非同一控制下的企业合并：公司按照购买日确定的合并成本作为长期股权投资的初始投</w:t>
      </w:r>
      <w:r>
        <w:rPr>
          <w:spacing w:val="-82"/>
        </w:rPr>
        <w:t> </w:t>
      </w:r>
      <w:r>
        <w:rPr>
          <w:spacing w:val="-82"/>
        </w:rPr>
      </w:r>
      <w:r>
        <w:rPr/>
        <w:t>资成本。合并成本为购买日购买方为取得对被购买方的控制权而付出的资产、发生或承</w:t>
      </w:r>
      <w:r>
        <w:rPr>
          <w:spacing w:val="-82"/>
        </w:rPr>
        <w:t> </w:t>
      </w:r>
      <w:r>
        <w:rPr>
          <w:spacing w:val="-82"/>
        </w:rPr>
      </w:r>
      <w:r>
        <w:rPr/>
        <w:t>担的负债以及发行的权益性证券的公允价值。购买方为企业合并而发生的审计、法律服</w:t>
      </w:r>
      <w:r>
        <w:rPr>
          <w:spacing w:val="-82"/>
        </w:rPr>
        <w:t> </w:t>
      </w:r>
      <w:r>
        <w:rPr>
          <w:spacing w:val="-82"/>
        </w:rPr>
      </w:r>
      <w:r>
        <w:rPr/>
        <w:t>务、评估咨询等中介费用以及其他相关管理费用于发生时计入当期损益；购买方作为合</w:t>
      </w:r>
      <w:r>
        <w:rPr>
          <w:spacing w:val="-82"/>
        </w:rPr>
        <w:t> </w:t>
      </w:r>
      <w:r>
        <w:rPr>
          <w:spacing w:val="-82"/>
        </w:rPr>
      </w:r>
      <w:r>
        <w:rPr/>
        <w:t>并对价发行的权益性证券或债务性证券的交易费用，计入权益性证券或债务性证券的初</w:t>
      </w:r>
      <w:r>
        <w:rPr>
          <w:spacing w:val="-82"/>
        </w:rPr>
        <w:t> </w:t>
      </w:r>
      <w:r>
        <w:rPr>
          <w:spacing w:val="-82"/>
        </w:rPr>
      </w:r>
      <w:r>
        <w:rPr/>
        <w:t>始确认金额。通过多次交易分步实现的非同一控制下企业合并，以购买日之前所持被购</w:t>
      </w:r>
      <w:r>
        <w:rPr>
          <w:spacing w:val="-82"/>
        </w:rPr>
        <w:t> </w:t>
      </w:r>
      <w:r>
        <w:rPr>
          <w:spacing w:val="-82"/>
        </w:rPr>
      </w:r>
      <w:r>
        <w:rPr>
          <w:spacing w:val="-2"/>
        </w:rPr>
        <w:t>买方的股权投资的账面价值与购买日新增投资成本之和，作为该项投资的初始投资成本。</w:t>
      </w:r>
      <w:r>
        <w:rPr/>
        <w:t> 本公司将合并协议约定的或有对价作为企业合并转移对价的一部分，按照其在购买日的</w:t>
      </w:r>
      <w:r>
        <w:rPr>
          <w:spacing w:val="-82"/>
        </w:rPr>
        <w:t> </w:t>
      </w:r>
      <w:r>
        <w:rPr>
          <w:spacing w:val="-82"/>
        </w:rPr>
      </w:r>
      <w:r>
        <w:rPr/>
        <w:t>公允价值计入企业合并成本。</w:t>
      </w:r>
    </w:p>
    <w:p>
      <w:pPr>
        <w:spacing w:after="0" w:line="348" w:lineRule="auto"/>
        <w:jc w:val="left"/>
        <w:sectPr>
          <w:pgSz w:w="11910" w:h="16840"/>
          <w:pgMar w:header="883" w:footer="1003" w:top="1540" w:bottom="1200" w:left="1220" w:right="1060"/>
        </w:sectPr>
      </w:pPr>
    </w:p>
    <w:p>
      <w:pPr>
        <w:pStyle w:val="BodyText"/>
        <w:spacing w:line="331" w:lineRule="auto" w:before="129"/>
        <w:ind w:right="194"/>
        <w:jc w:val="left"/>
      </w:pPr>
      <w:r>
        <w:rPr/>
        <w:t>（</w:t>
      </w:r>
      <w:r>
        <w:rPr>
          <w:rFonts w:ascii="Times New Roman" w:hAnsi="Times New Roman" w:cs="Times New Roman" w:eastAsia="Times New Roman" w:hint="default"/>
        </w:rPr>
        <w:t>2</w:t>
      </w:r>
      <w:r>
        <w:rPr/>
        <w:t>）其他方式取得的长期股权投资 以支付现金方式取得的长期股权投资，按照实际支付的购买价款作为初始投资成本。 以发行权益性证券取得的长期股权投资，按照发行权益性证券的公允价值作为初始投资</w:t>
      </w:r>
      <w:r>
        <w:rPr>
          <w:spacing w:val="-82"/>
        </w:rPr>
        <w:t> </w:t>
      </w:r>
      <w:r>
        <w:rPr>
          <w:spacing w:val="-82"/>
        </w:rPr>
      </w:r>
      <w:r>
        <w:rPr/>
        <w:t>成本。</w:t>
      </w:r>
      <w:r>
        <w:rPr/>
        <w:t> 投资者投入的长期股权投资，按照投资合同或协议约定的价值（扣除已宣告但尚未发放</w:t>
      </w:r>
      <w:r>
        <w:rPr>
          <w:spacing w:val="-82"/>
        </w:rPr>
        <w:t> </w:t>
      </w:r>
      <w:r>
        <w:rPr>
          <w:spacing w:val="-82"/>
        </w:rPr>
      </w:r>
      <w:r>
        <w:rPr/>
        <w:t>的现金股利或利润）作为初始投资成本，但合同或协议约定价值不公允的除外。</w:t>
      </w:r>
      <w:r>
        <w:rPr/>
        <w:t> 在非货币性资产交换具备商业实质和换入资产或换出资产的公允价值能够可靠计量的前</w:t>
      </w:r>
      <w:r>
        <w:rPr>
          <w:spacing w:val="-82"/>
        </w:rPr>
        <w:t> </w:t>
      </w:r>
      <w:r>
        <w:rPr>
          <w:spacing w:val="-82"/>
        </w:rPr>
      </w:r>
      <w:r>
        <w:rPr/>
        <w:t>提下，非货币性资产交换换入的长期股权投资以换出资产的公允价值为基础确定其初始</w:t>
      </w:r>
      <w:r>
        <w:rPr>
          <w:spacing w:val="-82"/>
        </w:rPr>
        <w:t> </w:t>
      </w:r>
      <w:r>
        <w:rPr>
          <w:spacing w:val="-82"/>
        </w:rPr>
      </w:r>
      <w:r>
        <w:rPr/>
        <w:t>投资成本，除非有确凿证据表明换入资产的公允价值更加可靠；不满足上述前提的非货</w:t>
      </w:r>
      <w:r>
        <w:rPr>
          <w:spacing w:val="-82"/>
        </w:rPr>
        <w:t> </w:t>
      </w:r>
      <w:r>
        <w:rPr>
          <w:spacing w:val="-82"/>
        </w:rPr>
      </w:r>
      <w:r>
        <w:rPr/>
        <w:t>币性资产交换，以换出资产的账面价值和应支付的相关税费作为换入长期股权投资的初</w:t>
      </w:r>
      <w:r>
        <w:rPr>
          <w:spacing w:val="-82"/>
        </w:rPr>
        <w:t> </w:t>
      </w:r>
      <w:r>
        <w:rPr>
          <w:spacing w:val="-82"/>
        </w:rPr>
      </w:r>
      <w:r>
        <w:rPr/>
        <w:t>始投资成本。</w:t>
      </w:r>
      <w:r>
        <w:rPr/>
        <w:t> 通过债务重组取得的长期股权投资，其初始投资成本按照公允价值为基础确定。</w:t>
      </w:r>
    </w:p>
    <w:p>
      <w:pPr>
        <w:spacing w:line="240" w:lineRule="auto" w:before="0"/>
        <w:rPr>
          <w:rFonts w:ascii="宋体" w:hAnsi="宋体" w:cs="宋体" w:eastAsia="宋体" w:hint="default"/>
          <w:sz w:val="20"/>
          <w:szCs w:val="20"/>
        </w:rPr>
      </w:pPr>
    </w:p>
    <w:p>
      <w:pPr>
        <w:pStyle w:val="Heading6"/>
        <w:tabs>
          <w:tab w:pos="1401" w:val="left" w:leader="none"/>
        </w:tabs>
        <w:spacing w:line="240" w:lineRule="auto" w:before="143"/>
        <w:ind w:left="863" w:right="194"/>
        <w:jc w:val="left"/>
        <w:rPr>
          <w:b w:val="0"/>
          <w:bCs w:val="0"/>
        </w:rPr>
      </w:pPr>
      <w:r>
        <w:rPr>
          <w:rFonts w:ascii="Times New Roman" w:hAnsi="Times New Roman" w:cs="Times New Roman" w:eastAsia="Times New Roman" w:hint="default"/>
          <w:w w:val="95"/>
        </w:rPr>
        <w:t>2</w:t>
      </w:r>
      <w:r>
        <w:rPr>
          <w:w w:val="95"/>
        </w:rPr>
        <w:t>、</w:t>
        <w:tab/>
      </w:r>
      <w:r>
        <w:rPr/>
        <w:t>后续计量及损益确认</w:t>
      </w:r>
      <w:r>
        <w:rPr>
          <w:b w:val="0"/>
          <w:bCs w:val="0"/>
        </w:rPr>
      </w:r>
    </w:p>
    <w:p>
      <w:pPr>
        <w:pStyle w:val="BodyText"/>
        <w:spacing w:line="331" w:lineRule="auto" w:before="89"/>
        <w:ind w:right="194"/>
        <w:jc w:val="left"/>
      </w:pPr>
      <w:r>
        <w:rPr/>
        <w:t>（</w:t>
      </w:r>
      <w:r>
        <w:rPr>
          <w:rFonts w:ascii="Times New Roman" w:hAnsi="Times New Roman" w:cs="Times New Roman" w:eastAsia="Times New Roman" w:hint="default"/>
        </w:rPr>
        <w:t>1</w:t>
      </w:r>
      <w:r>
        <w:rPr/>
        <w:t>）后续计量 公司对子公司的长期股权投资，采用成本法核算，编制合并财务报表时按照权益法进行</w:t>
      </w:r>
      <w:r>
        <w:rPr>
          <w:spacing w:val="-82"/>
        </w:rPr>
        <w:t> </w:t>
      </w:r>
      <w:r>
        <w:rPr>
          <w:spacing w:val="-82"/>
        </w:rPr>
      </w:r>
      <w:r>
        <w:rPr/>
        <w:t>调整。</w:t>
      </w:r>
      <w:r>
        <w:rPr/>
        <w:t> 对被投资单位不具有共同控制或重大影响，并且在活跃市场中没有报价、公允价值不能</w:t>
      </w:r>
      <w:r>
        <w:rPr>
          <w:spacing w:val="-82"/>
        </w:rPr>
        <w:t> </w:t>
      </w:r>
      <w:r>
        <w:rPr>
          <w:spacing w:val="-82"/>
        </w:rPr>
      </w:r>
      <w:r>
        <w:rPr/>
        <w:t>可靠计量的长期股权投资，采用成本法核算。</w:t>
      </w:r>
      <w:r>
        <w:rPr/>
        <w:t> 对被投资单位具有共同控制或重大影响的长期股权投资，采用权益法核算。初始投资成</w:t>
      </w:r>
      <w:r>
        <w:rPr>
          <w:spacing w:val="-82"/>
        </w:rPr>
        <w:t> </w:t>
      </w:r>
      <w:r>
        <w:rPr>
          <w:spacing w:val="-82"/>
        </w:rPr>
      </w:r>
      <w:r>
        <w:rPr/>
        <w:t>本大于投资时应享有被投资单位可辨认净资产公允价值份额的差额，不调整长期股权投</w:t>
      </w:r>
      <w:r>
        <w:rPr>
          <w:spacing w:val="-82"/>
        </w:rPr>
        <w:t> </w:t>
      </w:r>
      <w:r>
        <w:rPr>
          <w:spacing w:val="-82"/>
        </w:rPr>
      </w:r>
      <w:r>
        <w:rPr/>
        <w:t>资的初始投资成本；初始投资成本小于投资时应享有被投资单位可辨认净资产公允价值</w:t>
      </w:r>
      <w:r>
        <w:rPr>
          <w:spacing w:val="-82"/>
        </w:rPr>
        <w:t> </w:t>
      </w:r>
      <w:r>
        <w:rPr>
          <w:spacing w:val="-82"/>
        </w:rPr>
      </w:r>
      <w:r>
        <w:rPr/>
        <w:t>份额的差额，计入当期损益。</w:t>
      </w:r>
      <w:r>
        <w:rPr/>
        <w:t> 被投资单位除净损益以外所有者权益其他变动的处理：对于被投资单位除净损益以外所</w:t>
      </w:r>
      <w:r>
        <w:rPr>
          <w:spacing w:val="-82"/>
        </w:rPr>
        <w:t> </w:t>
      </w:r>
      <w:r>
        <w:rPr>
          <w:spacing w:val="-82"/>
        </w:rPr>
      </w:r>
      <w:r>
        <w:rPr/>
        <w:t>有者权益的其他变动，在持股比例不变的情况下，公司按照持股比例计算应享有或承担</w:t>
      </w:r>
      <w:r>
        <w:rPr>
          <w:spacing w:val="-82"/>
        </w:rPr>
        <w:t> </w:t>
      </w:r>
      <w:r>
        <w:rPr>
          <w:spacing w:val="-82"/>
        </w:rPr>
      </w:r>
      <w:r>
        <w:rPr>
          <w:spacing w:val="-3"/>
        </w:rPr>
        <w:t>的部分，调整长期股权投资的账面价值，同时增加或减少资本公积（其他资本公积）。</w:t>
      </w:r>
    </w:p>
    <w:p>
      <w:pPr>
        <w:spacing w:line="240" w:lineRule="auto" w:before="0"/>
        <w:rPr>
          <w:rFonts w:ascii="宋体" w:hAnsi="宋体" w:cs="宋体" w:eastAsia="宋体" w:hint="default"/>
          <w:sz w:val="20"/>
          <w:szCs w:val="20"/>
        </w:rPr>
      </w:pPr>
    </w:p>
    <w:p>
      <w:pPr>
        <w:pStyle w:val="BodyText"/>
        <w:spacing w:line="328" w:lineRule="auto" w:before="143"/>
        <w:ind w:right="87" w:hanging="1"/>
        <w:jc w:val="left"/>
      </w:pPr>
      <w:r>
        <w:rPr/>
        <w:t>（</w:t>
      </w:r>
      <w:r>
        <w:rPr>
          <w:rFonts w:ascii="Times New Roman" w:hAnsi="Times New Roman" w:cs="Times New Roman" w:eastAsia="Times New Roman" w:hint="default"/>
        </w:rPr>
        <w:t>2</w:t>
      </w:r>
      <w:r>
        <w:rPr/>
        <w:t>）损益确认 成本法下，除取得投资时实际支付的价款或对价中包含的已宣告但尚未发放的现金股利</w:t>
      </w:r>
      <w:r>
        <w:rPr>
          <w:spacing w:val="-83"/>
        </w:rPr>
        <w:t> </w:t>
      </w:r>
      <w:r>
        <w:rPr>
          <w:spacing w:val="-83"/>
        </w:rPr>
      </w:r>
      <w:r>
        <w:rPr/>
        <w:t>或利润外，公司按照享有被投资单位宣告发放的现金股利或利润确认投资收益。</w:t>
      </w:r>
      <w:r>
        <w:rPr/>
        <w:t> 权益法下，在被投资单位账面净利润的基础上考虑：被投资单位与本公司采用的会计政</w:t>
      </w:r>
      <w:r>
        <w:rPr>
          <w:spacing w:val="-83"/>
        </w:rPr>
        <w:t> </w:t>
      </w:r>
      <w:r>
        <w:rPr>
          <w:spacing w:val="-83"/>
        </w:rPr>
      </w:r>
      <w:r>
        <w:rPr>
          <w:spacing w:val="-2"/>
        </w:rPr>
        <w:t>策及会计期间不一致，按本公司的会计政策及会计期间对被投资单位财务报表进行调整；</w:t>
      </w:r>
      <w:r>
        <w:rPr/>
        <w:t> 以取得投资时被投资单位固定资产、无形资产的公允价值为基础计提的折旧额或摊销额</w:t>
      </w:r>
      <w:r>
        <w:rPr>
          <w:spacing w:val="-83"/>
        </w:rPr>
        <w:t> </w:t>
      </w:r>
      <w:r>
        <w:rPr>
          <w:spacing w:val="-83"/>
        </w:rPr>
      </w:r>
      <w:r>
        <w:rPr/>
        <w:t>以及有关资产减值准备金额等对被投资单位净利润的影响；对本公司与联营企业及合营</w:t>
      </w:r>
      <w:r>
        <w:rPr>
          <w:spacing w:val="-83"/>
        </w:rPr>
        <w:t> </w:t>
      </w:r>
      <w:r>
        <w:rPr>
          <w:spacing w:val="-83"/>
        </w:rPr>
      </w:r>
      <w:r>
        <w:rPr/>
        <w:t>企业之间发生的未实现内部交易予以抵销等事项的适当调整后，确认应享有或应负担被</w:t>
      </w:r>
      <w:r>
        <w:rPr>
          <w:spacing w:val="-83"/>
        </w:rPr>
        <w:t> </w:t>
      </w:r>
      <w:r>
        <w:rPr>
          <w:spacing w:val="-83"/>
        </w:rPr>
      </w:r>
      <w:r>
        <w:rPr/>
        <w:t>投资单位的净利润或净亏损。</w:t>
      </w:r>
    </w:p>
    <w:p>
      <w:pPr>
        <w:spacing w:after="0" w:line="328" w:lineRule="auto"/>
        <w:jc w:val="left"/>
        <w:sectPr>
          <w:pgSz w:w="11910" w:h="16840"/>
          <w:pgMar w:header="883" w:footer="1003" w:top="1540" w:bottom="1200" w:left="1220" w:right="1060"/>
        </w:sectPr>
      </w:pPr>
    </w:p>
    <w:p>
      <w:pPr>
        <w:spacing w:line="240" w:lineRule="auto" w:before="13"/>
        <w:rPr>
          <w:rFonts w:ascii="宋体" w:hAnsi="宋体" w:cs="宋体" w:eastAsia="宋体" w:hint="default"/>
          <w:sz w:val="7"/>
          <w:szCs w:val="7"/>
        </w:rPr>
      </w:pPr>
    </w:p>
    <w:p>
      <w:pPr>
        <w:pStyle w:val="BodyText"/>
        <w:spacing w:line="340" w:lineRule="auto"/>
        <w:ind w:right="104"/>
        <w:jc w:val="left"/>
      </w:pPr>
      <w:r>
        <w:rPr/>
        <w:t>在公司确认应分担被投资单位发生的亏损时，按照以下顺序进行处理：首先，冲减长期</w:t>
      </w:r>
      <w:r>
        <w:rPr>
          <w:spacing w:val="-82"/>
        </w:rPr>
        <w:t> </w:t>
      </w:r>
      <w:r>
        <w:rPr>
          <w:spacing w:val="-82"/>
        </w:rPr>
      </w:r>
      <w:r>
        <w:rPr/>
        <w:t>股权投资的账面价值。其次，长期股权投资的账面价值不足以冲减的，以其他实质上构</w:t>
      </w:r>
      <w:r>
        <w:rPr>
          <w:spacing w:val="-82"/>
        </w:rPr>
        <w:t> </w:t>
      </w:r>
      <w:r>
        <w:rPr>
          <w:spacing w:val="-82"/>
        </w:rPr>
      </w:r>
      <w:r>
        <w:rPr/>
        <w:t>成对被投资单位净投资的长期权益账面价值为限继续确认投资损失，冲减长期应收项目</w:t>
      </w:r>
      <w:r>
        <w:rPr>
          <w:spacing w:val="-82"/>
        </w:rPr>
        <w:t> </w:t>
      </w:r>
      <w:r>
        <w:rPr>
          <w:spacing w:val="-82"/>
        </w:rPr>
      </w:r>
      <w:r>
        <w:rPr>
          <w:spacing w:val="-3"/>
        </w:rPr>
        <w:t>等的账面价值。最后，经过上述处理，按照投资合同或协议约定企业仍承担额外义务的，</w:t>
      </w:r>
      <w:r>
        <w:rPr>
          <w:spacing w:val="-68"/>
        </w:rPr>
        <w:t> </w:t>
      </w:r>
      <w:r>
        <w:rPr>
          <w:spacing w:val="-68"/>
        </w:rPr>
      </w:r>
      <w:r>
        <w:rPr>
          <w:spacing w:val="-3"/>
        </w:rPr>
        <w:t>按预计承担的义务确认预计负债，计入当期投资损失。被投资单位以后期间实现盈利的，</w:t>
      </w:r>
      <w:r>
        <w:rPr>
          <w:spacing w:val="-69"/>
        </w:rPr>
        <w:t> </w:t>
      </w:r>
      <w:r>
        <w:rPr>
          <w:spacing w:val="-69"/>
        </w:rPr>
      </w:r>
      <w:r>
        <w:rPr/>
        <w:t>公司在扣除未确认的亏损分担额后，按与上述相反的顺序处理，减记已确认预计负债的</w:t>
      </w:r>
      <w:r>
        <w:rPr>
          <w:spacing w:val="-82"/>
        </w:rPr>
        <w:t> </w:t>
      </w:r>
      <w:r>
        <w:rPr>
          <w:spacing w:val="-82"/>
        </w:rPr>
      </w:r>
      <w:r>
        <w:rPr/>
        <w:t>账面余额、恢复其他实质上构成对被投资单位净投资的长期权益及长期股权投资的账面</w:t>
      </w:r>
      <w:r>
        <w:rPr>
          <w:spacing w:val="-82"/>
        </w:rPr>
        <w:t> </w:t>
      </w:r>
      <w:r>
        <w:rPr>
          <w:spacing w:val="-82"/>
        </w:rPr>
      </w:r>
      <w:r>
        <w:rPr/>
        <w:t>价值，同时确认投资收益。</w:t>
      </w:r>
      <w:r>
        <w:rPr/>
        <w:t> 在持有投资期间，被投资单位能够提供合并财务报表的，应当以合并财务报表中的净利</w:t>
      </w:r>
      <w:r>
        <w:rPr>
          <w:spacing w:val="-82"/>
        </w:rPr>
        <w:t> </w:t>
      </w:r>
      <w:r>
        <w:rPr>
          <w:spacing w:val="-82"/>
        </w:rPr>
      </w:r>
      <w:r>
        <w:rPr/>
        <w:t>润和其他权益变动为基础进行核算。</w:t>
      </w:r>
    </w:p>
    <w:p>
      <w:pPr>
        <w:spacing w:line="240" w:lineRule="auto" w:before="0"/>
        <w:rPr>
          <w:rFonts w:ascii="宋体" w:hAnsi="宋体" w:cs="宋体" w:eastAsia="宋体" w:hint="default"/>
          <w:sz w:val="20"/>
          <w:szCs w:val="20"/>
        </w:rPr>
      </w:pPr>
    </w:p>
    <w:p>
      <w:pPr>
        <w:pStyle w:val="BodyText"/>
        <w:tabs>
          <w:tab w:pos="1401" w:val="left" w:leader="none"/>
        </w:tabs>
        <w:spacing w:line="338" w:lineRule="auto" w:before="155"/>
        <w:ind w:right="208" w:hanging="543"/>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确定对被投资单位具有共同控制、重大影响的依据</w:t>
      </w:r>
      <w:r>
        <w:rPr>
          <w:rFonts w:ascii="宋体" w:hAnsi="宋体" w:cs="宋体" w:eastAsia="宋体" w:hint="default"/>
          <w:b/>
          <w:bCs/>
          <w:w w:val="99"/>
        </w:rPr>
        <w:t> </w:t>
      </w:r>
      <w:r>
        <w:rPr/>
        <w:t>共同控制，是指按照合同约定对某项经济活动所共有的控制，仅在与该项经济活动相关</w:t>
      </w:r>
      <w:r>
        <w:rPr>
          <w:spacing w:val="1"/>
        </w:rPr>
        <w:t> </w:t>
      </w:r>
      <w:r>
        <w:rPr/>
        <w:t>的重要财务和经营决策需要分享控制权的投资方一致同意时存在。投资企业与其他方对</w:t>
      </w:r>
      <w:r>
        <w:rPr>
          <w:spacing w:val="1"/>
        </w:rPr>
        <w:t> </w:t>
      </w:r>
      <w:r>
        <w:rPr/>
        <w:t>被投资单位实施共同控制的，被投资单位为其合营企业。</w:t>
      </w:r>
      <w:r>
        <w:rPr/>
        <w:t> 重大影响，是指对一个企业的财务和经营决策有参与决策的权力，但并不能够控制或者</w:t>
      </w:r>
      <w:r>
        <w:rPr>
          <w:spacing w:val="1"/>
        </w:rPr>
        <w:t> </w:t>
      </w:r>
      <w:r>
        <w:rPr/>
        <w:t>与其他方一起共同控制这些政策的制定。投资企业能够对被投资单位施加重大影响的，</w:t>
      </w:r>
      <w:r>
        <w:rPr>
          <w:spacing w:val="1"/>
        </w:rPr>
        <w:t> </w:t>
      </w:r>
      <w:r>
        <w:rPr/>
        <w:t>被投资单位为其联营企业。</w:t>
      </w:r>
    </w:p>
    <w:p>
      <w:pPr>
        <w:spacing w:line="240" w:lineRule="auto" w:before="0"/>
        <w:rPr>
          <w:rFonts w:ascii="宋体" w:hAnsi="宋体" w:cs="宋体" w:eastAsia="宋体" w:hint="default"/>
          <w:sz w:val="20"/>
          <w:szCs w:val="20"/>
        </w:rPr>
      </w:pPr>
    </w:p>
    <w:p>
      <w:pPr>
        <w:pStyle w:val="BodyText"/>
        <w:tabs>
          <w:tab w:pos="1401" w:val="left" w:leader="none"/>
        </w:tabs>
        <w:spacing w:line="338" w:lineRule="auto" w:before="157"/>
        <w:ind w:right="208" w:hanging="543"/>
        <w:jc w:val="left"/>
      </w:pP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减值测试方法及减值准备计提方法</w:t>
      </w:r>
      <w:r>
        <w:rPr>
          <w:rFonts w:ascii="宋体" w:hAnsi="宋体" w:cs="宋体" w:eastAsia="宋体" w:hint="default"/>
          <w:b/>
          <w:bCs/>
          <w:w w:val="99"/>
        </w:rPr>
        <w:t> </w:t>
      </w:r>
      <w:r>
        <w:rPr/>
        <w:t>重大影响以下的、在活跃市场中没有报价、公允价值不能可靠计量的长期股权投资，其</w:t>
      </w:r>
      <w:r>
        <w:rPr>
          <w:spacing w:val="1"/>
        </w:rPr>
        <w:t> </w:t>
      </w:r>
      <w:r>
        <w:rPr/>
        <w:t>减值损失是根据其账面价值与按类似金融资产当时市场收益率对未来现金流量折现确定</w:t>
      </w:r>
      <w:r>
        <w:rPr>
          <w:spacing w:val="1"/>
        </w:rPr>
        <w:t> </w:t>
      </w:r>
      <w:r>
        <w:rPr/>
        <w:t>的现值之间的差额进行确定。</w:t>
      </w:r>
      <w:r>
        <w:rPr/>
        <w:t> 除因企业合并形成的商誉以外的存在减值迹象的其他长期股权投资，如果可收回金额的</w:t>
      </w:r>
      <w:r>
        <w:rPr>
          <w:spacing w:val="1"/>
        </w:rPr>
        <w:t> </w:t>
      </w:r>
      <w:r>
        <w:rPr/>
        <w:t>计量结果表明，该长期股权投资的可收回金额低于其账面价值的，将差额确认为减值损</w:t>
      </w:r>
      <w:r>
        <w:rPr>
          <w:spacing w:val="1"/>
        </w:rPr>
        <w:t> </w:t>
      </w:r>
      <w:r>
        <w:rPr/>
        <w:t>失。</w:t>
      </w:r>
    </w:p>
    <w:p>
      <w:pPr>
        <w:pStyle w:val="BodyText"/>
        <w:spacing w:line="240" w:lineRule="auto" w:before="29"/>
        <w:ind w:right="194"/>
        <w:jc w:val="left"/>
      </w:pPr>
      <w:r>
        <w:rPr/>
        <w:t>长期股权投资减值损失一经确认，不再转回。</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Heading6"/>
        <w:spacing w:line="240" w:lineRule="auto" w:before="0"/>
        <w:ind w:left="131" w:right="194"/>
        <w:jc w:val="left"/>
        <w:rPr>
          <w:b w:val="0"/>
          <w:bCs w:val="0"/>
        </w:rPr>
      </w:pPr>
      <w:r>
        <w:rPr>
          <w:rFonts w:ascii="Times New Roman" w:hAnsi="Times New Roman" w:cs="Times New Roman" w:eastAsia="Times New Roman" w:hint="default"/>
        </w:rPr>
        <w:t>(</w:t>
      </w:r>
      <w:r>
        <w:rPr/>
        <w:t>十三</w:t>
      </w:r>
      <w:r>
        <w:rPr>
          <w:rFonts w:ascii="Times New Roman" w:hAnsi="Times New Roman" w:cs="Times New Roman" w:eastAsia="Times New Roman" w:hint="default"/>
        </w:rPr>
        <w:t>)  </w:t>
      </w:r>
      <w:r>
        <w:rPr>
          <w:rFonts w:ascii="Times New Roman" w:hAnsi="Times New Roman" w:cs="Times New Roman" w:eastAsia="Times New Roman" w:hint="default"/>
          <w:spacing w:val="5"/>
        </w:rPr>
        <w:t> </w:t>
      </w:r>
      <w:r>
        <w:rPr/>
        <w:t>投资性房地产</w:t>
      </w:r>
      <w:r>
        <w:rPr>
          <w:b w:val="0"/>
          <w:bCs w:val="0"/>
        </w:rPr>
      </w:r>
    </w:p>
    <w:p>
      <w:pPr>
        <w:pStyle w:val="BodyText"/>
        <w:spacing w:line="340" w:lineRule="auto" w:before="99"/>
        <w:ind w:left="863" w:right="194"/>
        <w:jc w:val="left"/>
      </w:pPr>
      <w:r>
        <w:rPr>
          <w:spacing w:val="-2"/>
        </w:rPr>
        <w:t>投资性房地产是指为赚取租金或资本增值，或两者兼有而持有的房地产，包括已出租的土地使</w:t>
      </w:r>
      <w:r>
        <w:rPr>
          <w:spacing w:val="-83"/>
        </w:rPr>
        <w:t> </w:t>
      </w:r>
      <w:r>
        <w:rPr>
          <w:spacing w:val="-83"/>
        </w:rPr>
      </w:r>
      <w:r>
        <w:rPr/>
        <w:t>用权、持有并准备增值后转让的土地使用权、已出租的建筑物。 </w:t>
      </w:r>
      <w:r>
        <w:rPr>
          <w:spacing w:val="-2"/>
        </w:rPr>
        <w:t>公司对现有投资性房地产采用成本模式计量。对按照成本模式计量的投资性房地产－出租用建</w:t>
      </w:r>
      <w:r>
        <w:rPr>
          <w:spacing w:val="-85"/>
        </w:rPr>
        <w:t> </w:t>
      </w:r>
      <w:r>
        <w:rPr>
          <w:spacing w:val="-85"/>
        </w:rPr>
      </w:r>
      <w:r>
        <w:rPr>
          <w:spacing w:val="-2"/>
        </w:rPr>
        <w:t>筑物采用与本公司固定资产相同的折旧政策，出租用土地使用权按与无形资产相同的摊销政策</w:t>
      </w:r>
      <w:r>
        <w:rPr>
          <w:spacing w:val="-85"/>
        </w:rPr>
        <w:t> </w:t>
      </w:r>
      <w:r>
        <w:rPr>
          <w:spacing w:val="-85"/>
        </w:rPr>
      </w:r>
      <w:r>
        <w:rPr/>
        <w:t>执行。</w:t>
      </w:r>
    </w:p>
    <w:p>
      <w:pPr>
        <w:spacing w:after="0" w:line="340" w:lineRule="auto"/>
        <w:jc w:val="left"/>
        <w:sectPr>
          <w:pgSz w:w="11910" w:h="16840"/>
          <w:pgMar w:header="883" w:footer="1003" w:top="1540" w:bottom="1200" w:left="1220" w:right="1060"/>
        </w:sectPr>
      </w:pPr>
    </w:p>
    <w:p>
      <w:pPr>
        <w:spacing w:line="240" w:lineRule="auto" w:before="10"/>
        <w:rPr>
          <w:rFonts w:ascii="宋体" w:hAnsi="宋体" w:cs="宋体" w:eastAsia="宋体" w:hint="default"/>
          <w:sz w:val="8"/>
          <w:szCs w:val="8"/>
        </w:rPr>
      </w:pPr>
    </w:p>
    <w:p>
      <w:pPr>
        <w:pStyle w:val="BodyText"/>
        <w:spacing w:line="350" w:lineRule="auto"/>
        <w:ind w:left="863" w:right="194"/>
        <w:jc w:val="left"/>
      </w:pPr>
      <w:r>
        <w:rPr>
          <w:spacing w:val="-2"/>
        </w:rPr>
        <w:t>公司对存在减值迹象的，估计其可收回金额，可收回金额低于其账面价值的，确认相应的减值</w:t>
      </w:r>
      <w:r>
        <w:rPr>
          <w:spacing w:val="-86"/>
        </w:rPr>
        <w:t> </w:t>
      </w:r>
      <w:r>
        <w:rPr>
          <w:spacing w:val="-86"/>
        </w:rPr>
      </w:r>
      <w:r>
        <w:rPr/>
        <w:t>损失。</w:t>
      </w:r>
    </w:p>
    <w:p>
      <w:pPr>
        <w:pStyle w:val="BodyText"/>
        <w:spacing w:line="240" w:lineRule="auto" w:before="28"/>
        <w:ind w:left="863" w:right="194"/>
        <w:jc w:val="left"/>
      </w:pPr>
      <w:r>
        <w:rPr/>
        <w:t>投资性房地产减值损失一经确认，不再转回。</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6"/>
        <w:spacing w:line="240" w:lineRule="auto" w:before="0"/>
        <w:ind w:left="131" w:right="194"/>
        <w:jc w:val="left"/>
        <w:rPr>
          <w:b w:val="0"/>
          <w:bCs w:val="0"/>
        </w:rPr>
      </w:pPr>
      <w:r>
        <w:rPr>
          <w:rFonts w:ascii="Times New Roman" w:hAnsi="Times New Roman" w:cs="Times New Roman" w:eastAsia="Times New Roman" w:hint="default"/>
        </w:rPr>
        <w:t>(</w:t>
      </w:r>
      <w:r>
        <w:rPr/>
        <w:t>十四</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固定资产</w:t>
      </w:r>
      <w:r>
        <w:rPr>
          <w:b w:val="0"/>
          <w:bCs w:val="0"/>
        </w:rPr>
      </w:r>
    </w:p>
    <w:p>
      <w:pPr>
        <w:pStyle w:val="BodyText"/>
        <w:tabs>
          <w:tab w:pos="1401" w:val="left" w:leader="none"/>
        </w:tabs>
        <w:spacing w:line="340" w:lineRule="auto" w:before="109"/>
        <w:ind w:right="208" w:hanging="543"/>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固定资产确认条件</w:t>
      </w:r>
      <w:r>
        <w:rPr>
          <w:rFonts w:ascii="宋体" w:hAnsi="宋体" w:cs="宋体" w:eastAsia="宋体" w:hint="default"/>
          <w:b/>
          <w:bCs/>
          <w:spacing w:val="1"/>
          <w:w w:val="99"/>
        </w:rPr>
        <w:t> </w:t>
      </w:r>
      <w:r>
        <w:rPr/>
        <w:t>固定资产指为生产商品、提供劳务、出租或经营管理而持有，并且使用寿命超过一个会</w:t>
      </w:r>
      <w:r>
        <w:rPr>
          <w:spacing w:val="1"/>
        </w:rPr>
        <w:t> </w:t>
      </w:r>
      <w:r>
        <w:rPr/>
        <w:t>计年度的有形资产。固定资产在同时满足下列条件时予以确认：</w:t>
      </w:r>
    </w:p>
    <w:p>
      <w:pPr>
        <w:pStyle w:val="BodyText"/>
        <w:spacing w:line="240" w:lineRule="auto" w:before="36"/>
        <w:ind w:right="194"/>
        <w:jc w:val="left"/>
      </w:pPr>
      <w:r>
        <w:rPr/>
        <w:t>（</w:t>
      </w:r>
      <w:r>
        <w:rPr>
          <w:rFonts w:ascii="Times New Roman" w:hAnsi="Times New Roman" w:cs="Times New Roman" w:eastAsia="Times New Roman" w:hint="default"/>
        </w:rPr>
        <w:t>1</w:t>
      </w:r>
      <w:r>
        <w:rPr/>
        <w:t>）与该固定资产有关的经济利益很可能流入企业；</w:t>
      </w:r>
    </w:p>
    <w:p>
      <w:pPr>
        <w:pStyle w:val="BodyText"/>
        <w:spacing w:line="240" w:lineRule="auto" w:before="109"/>
        <w:ind w:right="194"/>
        <w:jc w:val="left"/>
      </w:pPr>
      <w:r>
        <w:rPr/>
        <w:t>（</w:t>
      </w:r>
      <w:r>
        <w:rPr>
          <w:rFonts w:ascii="Times New Roman" w:hAnsi="Times New Roman" w:cs="Times New Roman" w:eastAsia="Times New Roman" w:hint="default"/>
        </w:rPr>
        <w:t>2</w:t>
      </w:r>
      <w:r>
        <w:rPr/>
        <w:t>）该固定资产的成本能够可靠地计量。</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401" w:val="left" w:leader="none"/>
        </w:tabs>
        <w:spacing w:line="340" w:lineRule="auto" w:before="0"/>
        <w:ind w:left="1405" w:right="208"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各类固定资产的折旧方法</w:t>
      </w:r>
      <w:r>
        <w:rPr>
          <w:rFonts w:ascii="宋体" w:hAnsi="宋体" w:cs="宋体" w:eastAsia="宋体" w:hint="default"/>
          <w:b/>
          <w:bCs/>
          <w:w w:val="99"/>
          <w:sz w:val="21"/>
          <w:szCs w:val="21"/>
        </w:rPr>
        <w:t> </w:t>
      </w:r>
      <w:r>
        <w:rPr>
          <w:rFonts w:ascii="宋体" w:hAnsi="宋体" w:cs="宋体" w:eastAsia="宋体" w:hint="default"/>
          <w:sz w:val="21"/>
          <w:szCs w:val="21"/>
        </w:rPr>
        <w:t>固定资产折旧采用年限平均法分类计提，根据固定资产类别、预计使用寿命和预计净残</w:t>
      </w:r>
      <w:r>
        <w:rPr>
          <w:rFonts w:ascii="宋体" w:hAnsi="宋体" w:cs="宋体" w:eastAsia="宋体" w:hint="default"/>
          <w:spacing w:val="1"/>
          <w:sz w:val="21"/>
          <w:szCs w:val="21"/>
        </w:rPr>
        <w:t> </w:t>
      </w:r>
      <w:r>
        <w:rPr>
          <w:rFonts w:ascii="宋体" w:hAnsi="宋体" w:cs="宋体" w:eastAsia="宋体" w:hint="default"/>
          <w:sz w:val="21"/>
          <w:szCs w:val="21"/>
        </w:rPr>
        <w:t>值率确定折旧率。</w:t>
      </w:r>
    </w:p>
    <w:p>
      <w:pPr>
        <w:pStyle w:val="BodyText"/>
        <w:spacing w:line="240" w:lineRule="auto" w:before="36"/>
        <w:ind w:right="194"/>
        <w:jc w:val="left"/>
      </w:pPr>
      <w:r>
        <w:rPr/>
        <w:pict>
          <v:group style="position:absolute;margin-left:129.839996pt;margin-top:17.122776pt;width:403.75pt;height:103.5pt;mso-position-horizontal-relative:page;mso-position-vertical-relative:paragraph;z-index:-1132816" coordorigin="2597,342" coordsize="8075,2070">
            <v:group style="position:absolute;left:2626;top:357;width:8016;height:2" coordorigin="2626,357" coordsize="8016,2">
              <v:shape style="position:absolute;left:2626;top:357;width:8016;height:2" coordorigin="2626,357" coordsize="8016,0" path="m2626,357l10642,357e" filled="false" stroked="true" strokeweight="1.5pt" strokecolor="#000000">
                <v:path arrowok="t"/>
              </v:shape>
              <v:shape style="position:absolute;left:4766;top:347;width:3851;height:451" type="#_x0000_t75" stroked="false">
                <v:imagedata r:id="rId38" o:title=""/>
              </v:shape>
              <v:shape style="position:absolute;left:2597;top:750;width:8075;height:1663" type="#_x0000_t75" stroked="false">
                <v:imagedata r:id="rId39" o:title=""/>
              </v:shape>
              <v:shape style="position:absolute;left:3512;top:530;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类别</w:t>
                      </w:r>
                    </w:p>
                  </w:txbxContent>
                </v:textbox>
                <w10:wrap type="none"/>
              </v:shape>
              <v:shape style="position:absolute;left:5040;top:530;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折旧年限（年）</w:t>
                      </w:r>
                    </w:p>
                  </w:txbxContent>
                </v:textbox>
                <w10:wrap type="none"/>
              </v:shape>
              <v:shape style="position:absolute;left:7057;top:530;width:1226;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残值率（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xbxContent>
                </v:textbox>
                <w10:wrap type="none"/>
              </v:shape>
              <v:shape style="position:absolute;left:8912;top:530;width:1436;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年折旧率（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xbxContent>
                </v:textbox>
                <w10:wrap type="none"/>
              </v:shape>
            </v:group>
            <w10:wrap type="none"/>
          </v:group>
        </w:pict>
      </w:r>
      <w:r>
        <w:rPr/>
        <w:t>各类固定资产折旧年限和年折旧率如下：</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0"/>
          <w:szCs w:val="20"/>
        </w:rPr>
      </w:pPr>
    </w:p>
    <w:tbl>
      <w:tblPr>
        <w:tblW w:w="0" w:type="auto"/>
        <w:jc w:val="left"/>
        <w:tblInd w:w="1391" w:type="dxa"/>
        <w:tblLayout w:type="fixed"/>
        <w:tblCellMar>
          <w:top w:w="0" w:type="dxa"/>
          <w:left w:w="0" w:type="dxa"/>
          <w:bottom w:w="0" w:type="dxa"/>
          <w:right w:w="0" w:type="dxa"/>
        </w:tblCellMar>
        <w:tblLook w:val="01E0"/>
      </w:tblPr>
      <w:tblGrid>
        <w:gridCol w:w="2162"/>
        <w:gridCol w:w="2045"/>
        <w:gridCol w:w="1605"/>
        <w:gridCol w:w="2219"/>
      </w:tblGrid>
      <w:tr>
        <w:trPr>
          <w:trHeight w:val="423" w:hRule="exact"/>
        </w:trPr>
        <w:tc>
          <w:tcPr>
            <w:tcW w:w="216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46"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41"/>
              <w:jc w:val="center"/>
              <w:rPr>
                <w:rFonts w:ascii="Times New Roman" w:hAnsi="Times New Roman" w:cs="Times New Roman" w:eastAsia="Times New Roman" w:hint="default"/>
                <w:sz w:val="21"/>
                <w:szCs w:val="21"/>
              </w:rPr>
            </w:pPr>
            <w:r>
              <w:rPr>
                <w:rFonts w:ascii="Times New Roman"/>
                <w:sz w:val="21"/>
              </w:rPr>
              <w:t>30-50</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698"/>
              <w:jc w:val="right"/>
              <w:rPr>
                <w:rFonts w:ascii="Times New Roman" w:hAnsi="Times New Roman" w:cs="Times New Roman" w:eastAsia="Times New Roman" w:hint="default"/>
                <w:sz w:val="21"/>
                <w:szCs w:val="21"/>
              </w:rPr>
            </w:pPr>
            <w:r>
              <w:rPr>
                <w:rFonts w:ascii="Times New Roman"/>
                <w:sz w:val="21"/>
              </w:rPr>
              <w:t>5</w:t>
            </w:r>
          </w:p>
        </w:tc>
        <w:tc>
          <w:tcPr>
            <w:tcW w:w="221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97" w:right="0"/>
              <w:jc w:val="center"/>
              <w:rPr>
                <w:rFonts w:ascii="Times New Roman" w:hAnsi="Times New Roman" w:cs="Times New Roman" w:eastAsia="Times New Roman" w:hint="default"/>
                <w:sz w:val="21"/>
                <w:szCs w:val="21"/>
              </w:rPr>
            </w:pPr>
            <w:r>
              <w:rPr>
                <w:rFonts w:ascii="Times New Roman"/>
                <w:sz w:val="21"/>
              </w:rPr>
              <w:t>1.90-3.20</w:t>
            </w:r>
          </w:p>
        </w:tc>
      </w:tr>
      <w:tr>
        <w:trPr>
          <w:trHeight w:val="410" w:hRule="exact"/>
        </w:trPr>
        <w:tc>
          <w:tcPr>
            <w:tcW w:w="216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46"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9"/>
              <w:jc w:val="center"/>
              <w:rPr>
                <w:rFonts w:ascii="Times New Roman" w:hAnsi="Times New Roman" w:cs="Times New Roman" w:eastAsia="Times New Roman" w:hint="default"/>
                <w:sz w:val="21"/>
                <w:szCs w:val="21"/>
              </w:rPr>
            </w:pPr>
            <w:r>
              <w:rPr>
                <w:rFonts w:ascii="Times New Roman"/>
                <w:sz w:val="21"/>
              </w:rPr>
              <w:t>3</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698"/>
              <w:jc w:val="right"/>
              <w:rPr>
                <w:rFonts w:ascii="Times New Roman" w:hAnsi="Times New Roman" w:cs="Times New Roman" w:eastAsia="Times New Roman" w:hint="default"/>
                <w:sz w:val="21"/>
                <w:szCs w:val="21"/>
              </w:rPr>
            </w:pPr>
            <w:r>
              <w:rPr>
                <w:rFonts w:ascii="Times New Roman"/>
                <w:sz w:val="21"/>
              </w:rPr>
              <w:t>5</w:t>
            </w:r>
          </w:p>
        </w:tc>
        <w:tc>
          <w:tcPr>
            <w:tcW w:w="2219"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96" w:right="0"/>
              <w:jc w:val="center"/>
              <w:rPr>
                <w:rFonts w:ascii="Times New Roman" w:hAnsi="Times New Roman" w:cs="Times New Roman" w:eastAsia="Times New Roman" w:hint="default"/>
                <w:sz w:val="21"/>
                <w:szCs w:val="21"/>
              </w:rPr>
            </w:pPr>
            <w:r>
              <w:rPr>
                <w:rFonts w:ascii="Times New Roman"/>
                <w:sz w:val="21"/>
              </w:rPr>
              <w:t>31.70</w:t>
            </w:r>
          </w:p>
        </w:tc>
      </w:tr>
      <w:tr>
        <w:trPr>
          <w:trHeight w:val="410" w:hRule="exact"/>
        </w:trPr>
        <w:tc>
          <w:tcPr>
            <w:tcW w:w="216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46"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9"/>
              <w:jc w:val="center"/>
              <w:rPr>
                <w:rFonts w:ascii="Times New Roman" w:hAnsi="Times New Roman" w:cs="Times New Roman" w:eastAsia="Times New Roman" w:hint="default"/>
                <w:sz w:val="21"/>
                <w:szCs w:val="21"/>
              </w:rPr>
            </w:pPr>
            <w:r>
              <w:rPr>
                <w:rFonts w:ascii="Times New Roman"/>
                <w:sz w:val="21"/>
              </w:rPr>
              <w:t>5</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698"/>
              <w:jc w:val="right"/>
              <w:rPr>
                <w:rFonts w:ascii="Times New Roman" w:hAnsi="Times New Roman" w:cs="Times New Roman" w:eastAsia="Times New Roman" w:hint="default"/>
                <w:sz w:val="21"/>
                <w:szCs w:val="21"/>
              </w:rPr>
            </w:pPr>
            <w:r>
              <w:rPr>
                <w:rFonts w:ascii="Times New Roman"/>
                <w:sz w:val="21"/>
              </w:rPr>
              <w:t>5</w:t>
            </w:r>
          </w:p>
        </w:tc>
        <w:tc>
          <w:tcPr>
            <w:tcW w:w="2219"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96" w:right="0"/>
              <w:jc w:val="center"/>
              <w:rPr>
                <w:rFonts w:ascii="Times New Roman" w:hAnsi="Times New Roman" w:cs="Times New Roman" w:eastAsia="Times New Roman" w:hint="default"/>
                <w:sz w:val="21"/>
                <w:szCs w:val="21"/>
              </w:rPr>
            </w:pPr>
            <w:r>
              <w:rPr>
                <w:rFonts w:ascii="Times New Roman"/>
                <w:sz w:val="21"/>
              </w:rPr>
              <w:t>19.00</w:t>
            </w:r>
          </w:p>
        </w:tc>
      </w:tr>
      <w:tr>
        <w:trPr>
          <w:trHeight w:val="344" w:hRule="exact"/>
        </w:trPr>
        <w:tc>
          <w:tcPr>
            <w:tcW w:w="2162"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146"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2045"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38"/>
              <w:jc w:val="center"/>
              <w:rPr>
                <w:rFonts w:ascii="Times New Roman" w:hAnsi="Times New Roman" w:cs="Times New Roman" w:eastAsia="Times New Roman" w:hint="default"/>
                <w:sz w:val="21"/>
                <w:szCs w:val="21"/>
              </w:rPr>
            </w:pPr>
            <w:r>
              <w:rPr>
                <w:rFonts w:ascii="Times New Roman"/>
                <w:sz w:val="21"/>
              </w:rPr>
              <w:t>3-5</w:t>
            </w:r>
          </w:p>
        </w:tc>
        <w:tc>
          <w:tcPr>
            <w:tcW w:w="1605"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697"/>
              <w:jc w:val="right"/>
              <w:rPr>
                <w:rFonts w:ascii="Times New Roman" w:hAnsi="Times New Roman" w:cs="Times New Roman" w:eastAsia="Times New Roman" w:hint="default"/>
                <w:sz w:val="21"/>
                <w:szCs w:val="21"/>
              </w:rPr>
            </w:pPr>
            <w:r>
              <w:rPr>
                <w:rFonts w:ascii="Times New Roman"/>
                <w:sz w:val="21"/>
              </w:rPr>
              <w:t>5</w:t>
            </w:r>
          </w:p>
        </w:tc>
        <w:tc>
          <w:tcPr>
            <w:tcW w:w="2219"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left="196" w:right="0"/>
              <w:jc w:val="center"/>
              <w:rPr>
                <w:rFonts w:ascii="Times New Roman" w:hAnsi="Times New Roman" w:cs="Times New Roman" w:eastAsia="Times New Roman" w:hint="default"/>
                <w:sz w:val="21"/>
                <w:szCs w:val="21"/>
              </w:rPr>
            </w:pPr>
            <w:r>
              <w:rPr>
                <w:rFonts w:ascii="Times New Roman"/>
                <w:sz w:val="21"/>
              </w:rPr>
              <w:t>19.00-31.70</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BodyText"/>
        <w:tabs>
          <w:tab w:pos="1401" w:val="left" w:leader="none"/>
        </w:tabs>
        <w:spacing w:line="348" w:lineRule="auto"/>
        <w:ind w:right="104" w:hanging="543"/>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固定资产的减值测试方法、减值准备计提方法</w:t>
      </w:r>
      <w:r>
        <w:rPr>
          <w:rFonts w:ascii="宋体" w:hAnsi="宋体" w:cs="宋体" w:eastAsia="宋体" w:hint="default"/>
          <w:b/>
          <w:bCs/>
          <w:w w:val="99"/>
        </w:rPr>
        <w:t> </w:t>
      </w:r>
      <w:r>
        <w:rPr/>
        <w:t>公司在每期末判断固定资产是否存在可能发生减值的迹象。 固定资产存在减值迹象的，估计其可收回金额。可收回金额根据固定资产的公允价值减</w:t>
      </w:r>
      <w:r>
        <w:rPr>
          <w:spacing w:val="1"/>
        </w:rPr>
        <w:t> </w:t>
      </w:r>
      <w:r>
        <w:rPr/>
        <w:t>去处置费用后的净额与固定资产预计未来现金流量的现值两者之间较高者确定。</w:t>
      </w:r>
      <w:r>
        <w:rPr/>
        <w:t> </w:t>
      </w:r>
      <w:r>
        <w:rPr>
          <w:spacing w:val="-2"/>
        </w:rPr>
        <w:t>当固定资产的可收回金额低于其账面价值的，将固定资产的账面价值减记至可收回金额，</w:t>
      </w:r>
      <w:r>
        <w:rPr/>
        <w:t> 减记的金额确认为固定资产减值损失，计入当期损益，同时计提相应的固定资产减值准</w:t>
      </w:r>
      <w:r>
        <w:rPr>
          <w:spacing w:val="1"/>
        </w:rPr>
        <w:t> </w:t>
      </w:r>
      <w:r>
        <w:rPr/>
        <w:t>备。</w:t>
      </w:r>
      <w:r>
        <w:rPr/>
        <w:t> 固定资产减值损失确认后，减值固定资产的折旧在未来期间作相应调整，以使该固定资</w:t>
      </w:r>
      <w:r>
        <w:rPr>
          <w:spacing w:val="1"/>
        </w:rPr>
        <w:t> </w:t>
      </w:r>
      <w:r>
        <w:rPr>
          <w:spacing w:val="-3"/>
        </w:rPr>
        <w:t>产在剩余使用寿命内，系统地分摊调整后的固定资产账面价值（扣除预计净残值）。</w:t>
      </w:r>
      <w:r>
        <w:rPr/>
        <w:t> 固定资产的减值损失一经确认，在以后会计期间不再转回。 有迹象表明一项固定资产可能发生减值的，企业以单项固定资产为基础估计其可收回金</w:t>
      </w:r>
      <w:r>
        <w:rPr>
          <w:spacing w:val="1"/>
        </w:rPr>
        <w:t> </w:t>
      </w:r>
      <w:r>
        <w:rPr/>
        <w:t>额。企业难以对单项固定资产的可收回金额进行估计的，以该固定资产所属的资产组为</w:t>
      </w:r>
      <w:r>
        <w:rPr>
          <w:spacing w:val="1"/>
        </w:rPr>
        <w:t> </w:t>
      </w:r>
      <w:r>
        <w:rPr/>
        <w:t>基础确定资产组的可收回金额。</w:t>
      </w:r>
    </w:p>
    <w:p>
      <w:pPr>
        <w:spacing w:after="0" w:line="348" w:lineRule="auto"/>
        <w:jc w:val="left"/>
        <w:sectPr>
          <w:pgSz w:w="11910" w:h="16840"/>
          <w:pgMar w:header="883" w:footer="1003" w:top="1540" w:bottom="1200" w:left="1220" w:right="1060"/>
        </w:sectPr>
      </w:pPr>
    </w:p>
    <w:p>
      <w:pPr>
        <w:spacing w:line="240" w:lineRule="auto" w:before="10"/>
        <w:rPr>
          <w:rFonts w:ascii="宋体" w:hAnsi="宋体" w:cs="宋体" w:eastAsia="宋体" w:hint="default"/>
          <w:sz w:val="8"/>
          <w:szCs w:val="8"/>
        </w:rPr>
      </w:pPr>
    </w:p>
    <w:p>
      <w:pPr>
        <w:pStyle w:val="Heading6"/>
        <w:tabs>
          <w:tab w:pos="1418" w:val="left" w:leader="none"/>
        </w:tabs>
        <w:spacing w:line="240" w:lineRule="auto"/>
        <w:ind w:left="863" w:right="194"/>
        <w:jc w:val="left"/>
        <w:rPr>
          <w:b w:val="0"/>
          <w:bCs w:val="0"/>
        </w:rPr>
      </w:pPr>
      <w:r>
        <w:rPr>
          <w:rFonts w:ascii="Times New Roman" w:hAnsi="Times New Roman" w:cs="Times New Roman" w:eastAsia="Times New Roman" w:hint="default"/>
          <w:w w:val="95"/>
        </w:rPr>
        <w:t>4</w:t>
      </w:r>
      <w:r>
        <w:rPr>
          <w:w w:val="95"/>
        </w:rPr>
        <w:t>、</w:t>
        <w:tab/>
      </w:r>
      <w:r>
        <w:rPr>
          <w:spacing w:val="1"/>
        </w:rPr>
        <w:t>其他说明</w:t>
      </w:r>
      <w:r>
        <w:rPr>
          <w:b w:val="0"/>
          <w:bCs w:val="0"/>
        </w:rPr>
      </w:r>
    </w:p>
    <w:p>
      <w:pPr>
        <w:pStyle w:val="BodyText"/>
        <w:spacing w:line="240" w:lineRule="auto" w:before="110"/>
        <w:ind w:right="0"/>
        <w:jc w:val="both"/>
      </w:pPr>
      <w:r>
        <w:rPr/>
        <w:t>自</w:t>
      </w:r>
      <w:r>
        <w:rPr>
          <w:spacing w:val="-51"/>
        </w:rPr>
        <w:t> </w:t>
      </w:r>
      <w:r>
        <w:rPr>
          <w:rFonts w:ascii="Times New Roman" w:hAnsi="Times New Roman" w:cs="Times New Roman" w:eastAsia="Times New Roman" w:hint="default"/>
        </w:rPr>
        <w:t>2002</w:t>
      </w:r>
      <w:r>
        <w:rPr>
          <w:rFonts w:ascii="Times New Roman" w:hAnsi="Times New Roman" w:cs="Times New Roman" w:eastAsia="Times New Roman" w:hint="default"/>
          <w:spacing w:val="2"/>
        </w:rPr>
        <w:t> </w:t>
      </w:r>
      <w:r>
        <w:rPr/>
        <w:t>年</w:t>
      </w:r>
      <w:r>
        <w:rPr>
          <w:spacing w:val="-52"/>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1"/>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日至</w:t>
      </w:r>
      <w:r>
        <w:rPr>
          <w:spacing w:val="-51"/>
        </w:rPr>
        <w:t> </w:t>
      </w:r>
      <w:r>
        <w:rPr>
          <w:rFonts w:ascii="Times New Roman" w:hAnsi="Times New Roman" w:cs="Times New Roman" w:eastAsia="Times New Roman" w:hint="default"/>
        </w:rPr>
        <w:t>2006</w:t>
      </w:r>
      <w:r>
        <w:rPr>
          <w:rFonts w:ascii="Times New Roman" w:hAnsi="Times New Roman" w:cs="Times New Roman" w:eastAsia="Times New Roman" w:hint="default"/>
          <w:spacing w:val="2"/>
        </w:rPr>
        <w:t> </w:t>
      </w:r>
      <w:r>
        <w:rPr/>
        <w:t>年</w:t>
      </w:r>
      <w:r>
        <w:rPr>
          <w:spacing w:val="-52"/>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2"/>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日间利用土地建造自用项目的，土地使用权的账</w:t>
      </w:r>
    </w:p>
    <w:p>
      <w:pPr>
        <w:pStyle w:val="BodyText"/>
        <w:spacing w:line="336" w:lineRule="auto" w:before="109"/>
        <w:ind w:right="208"/>
        <w:jc w:val="both"/>
      </w:pPr>
      <w:r>
        <w:rPr/>
        <w:t>面价值构成房屋、建筑物成本的一部分。本集团于</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6"/>
        </w:rPr>
        <w:t> </w:t>
      </w:r>
      <w:r>
        <w:rPr/>
        <w:t>年</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6"/>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6"/>
        </w:rPr>
        <w:t> </w:t>
      </w:r>
      <w:r>
        <w:rPr>
          <w:spacing w:val="-5"/>
        </w:rPr>
        <w:t>日，对已计入房屋、建</w:t>
      </w:r>
      <w:r>
        <w:rPr/>
        <w:t> 筑物成本中的土地使用权，如符合无形资产准则规定可单独确认为无形资产的，从原资</w:t>
      </w:r>
      <w:r>
        <w:rPr>
          <w:spacing w:val="-82"/>
        </w:rPr>
        <w:t> </w:t>
      </w:r>
      <w:r>
        <w:rPr>
          <w:spacing w:val="-82"/>
        </w:rPr>
      </w:r>
      <w:r>
        <w:rPr>
          <w:spacing w:val="-3"/>
        </w:rPr>
        <w:t>产的账面价值中分离，作为无形资产列报。自</w:t>
      </w:r>
      <w:r>
        <w:rPr>
          <w:spacing w:val="-5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2"/>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w:t>
      </w:r>
      <w:r>
        <w:rPr>
          <w:spacing w:val="-52"/>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3"/>
        </w:rPr>
        <w:t>日起，利用土地建造自用项</w:t>
      </w:r>
      <w:r>
        <w:rPr/>
        <w:t> 目时，房屋、建筑物成本中不再包括土地使用权成本。</w:t>
      </w:r>
    </w:p>
    <w:p>
      <w:pPr>
        <w:spacing w:line="240" w:lineRule="auto" w:before="0"/>
        <w:rPr>
          <w:rFonts w:ascii="宋体" w:hAnsi="宋体" w:cs="宋体" w:eastAsia="宋体" w:hint="default"/>
          <w:sz w:val="20"/>
          <w:szCs w:val="20"/>
        </w:rPr>
      </w:pPr>
    </w:p>
    <w:p>
      <w:pPr>
        <w:pStyle w:val="Heading6"/>
        <w:spacing w:line="240" w:lineRule="auto" w:before="180"/>
        <w:ind w:left="131" w:right="194"/>
        <w:jc w:val="left"/>
        <w:rPr>
          <w:b w:val="0"/>
          <w:bCs w:val="0"/>
        </w:rPr>
      </w:pPr>
      <w:r>
        <w:rPr>
          <w:rFonts w:ascii="Times New Roman" w:hAnsi="Times New Roman" w:cs="Times New Roman" w:eastAsia="Times New Roman" w:hint="default"/>
        </w:rPr>
        <w:t>(</w:t>
      </w:r>
      <w:r>
        <w:rPr/>
        <w:t>十五</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在建工程</w:t>
      </w:r>
      <w:r>
        <w:rPr>
          <w:b w:val="0"/>
          <w:bCs w:val="0"/>
        </w:rPr>
      </w:r>
    </w:p>
    <w:p>
      <w:pPr>
        <w:tabs>
          <w:tab w:pos="1401" w:val="left" w:leader="none"/>
        </w:tabs>
        <w:spacing w:line="328" w:lineRule="auto" w:before="109"/>
        <w:ind w:left="1405" w:right="5276"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在建工程的类别</w:t>
      </w:r>
      <w:r>
        <w:rPr>
          <w:rFonts w:ascii="宋体" w:hAnsi="宋体" w:cs="宋体" w:eastAsia="宋体" w:hint="default"/>
          <w:b/>
          <w:bCs/>
          <w:w w:val="99"/>
          <w:sz w:val="21"/>
          <w:szCs w:val="21"/>
        </w:rPr>
        <w:t> </w:t>
      </w:r>
      <w:r>
        <w:rPr>
          <w:rFonts w:ascii="宋体" w:hAnsi="宋体" w:cs="宋体" w:eastAsia="宋体" w:hint="default"/>
          <w:sz w:val="21"/>
          <w:szCs w:val="21"/>
        </w:rPr>
        <w:t>在建工程以立项项目分类核算。</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tabs>
          <w:tab w:pos="1401" w:val="left" w:leader="none"/>
        </w:tabs>
        <w:spacing w:line="345" w:lineRule="auto" w:before="0"/>
        <w:ind w:right="208" w:hanging="543"/>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在建工程结转为固定资产的标准和时点</w:t>
      </w:r>
      <w:r>
        <w:rPr>
          <w:rFonts w:ascii="宋体" w:hAnsi="宋体" w:cs="宋体" w:eastAsia="宋体" w:hint="default"/>
          <w:b/>
          <w:bCs/>
          <w:w w:val="99"/>
        </w:rPr>
        <w:t> </w:t>
      </w:r>
      <w:r>
        <w:rPr/>
        <w:t>在建工程项目按建造该项资产达到预定可使用状态前所发生的全部支出，作为固定资产</w:t>
      </w:r>
      <w:r>
        <w:rPr>
          <w:spacing w:val="1"/>
        </w:rPr>
        <w:t> </w:t>
      </w:r>
      <w:r>
        <w:rPr/>
        <w:t>的入账价值。所建造的固定资产在建工程已达到预定可使用状态，但尚未办理竣工决算</w:t>
      </w:r>
      <w:r>
        <w:rPr>
          <w:spacing w:val="1"/>
        </w:rPr>
        <w:t> </w:t>
      </w:r>
      <w:r>
        <w:rPr/>
        <w:t>的，自达到预定可使用状态之日起，根据工程预算、造价或者工程实际成本等，按估计</w:t>
      </w:r>
      <w:r>
        <w:rPr>
          <w:spacing w:val="1"/>
        </w:rPr>
        <w:t> </w:t>
      </w:r>
      <w:r>
        <w:rPr/>
        <w:t>的价值转入固定资产，并按本公司固定资产折旧政策计提固定资产的折旧，待办理竣工</w:t>
      </w:r>
      <w:r>
        <w:rPr>
          <w:spacing w:val="1"/>
        </w:rPr>
        <w:t> </w:t>
      </w:r>
      <w:r>
        <w:rPr/>
        <w:t>决算后，再按实际成本调整原来的暂估价值，但不调整原已计提的折旧额。</w:t>
      </w:r>
    </w:p>
    <w:p>
      <w:pPr>
        <w:spacing w:line="240" w:lineRule="auto" w:before="0"/>
        <w:rPr>
          <w:rFonts w:ascii="宋体" w:hAnsi="宋体" w:cs="宋体" w:eastAsia="宋体" w:hint="default"/>
          <w:sz w:val="20"/>
          <w:szCs w:val="20"/>
        </w:rPr>
      </w:pPr>
    </w:p>
    <w:p>
      <w:pPr>
        <w:pStyle w:val="BodyText"/>
        <w:tabs>
          <w:tab w:pos="1401" w:val="left" w:leader="none"/>
        </w:tabs>
        <w:spacing w:line="348" w:lineRule="auto" w:before="170"/>
        <w:ind w:right="104" w:hanging="543"/>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在建工程的减值测试方法、减值准备计提方法</w:t>
      </w:r>
      <w:r>
        <w:rPr>
          <w:rFonts w:ascii="宋体" w:hAnsi="宋体" w:cs="宋体" w:eastAsia="宋体" w:hint="default"/>
          <w:b/>
          <w:bCs/>
          <w:w w:val="99"/>
        </w:rPr>
        <w:t> </w:t>
      </w:r>
      <w:r>
        <w:rPr/>
        <w:t>公司在每期末判断在建工程是否存在可能发生减值的迹象。 在建工程存在减值迹象的，估计其可收回金额。有迹象表明一项在建工程可能发生减值</w:t>
      </w:r>
      <w:r>
        <w:rPr>
          <w:spacing w:val="1"/>
        </w:rPr>
        <w:t> </w:t>
      </w:r>
      <w:r>
        <w:rPr/>
        <w:t>的，企业以单项在建工程为基础估计其可收回金额。企业难以对单项在建工程的可收回</w:t>
      </w:r>
      <w:r>
        <w:rPr>
          <w:spacing w:val="1"/>
        </w:rPr>
        <w:t> </w:t>
      </w:r>
      <w:r>
        <w:rPr/>
        <w:t>金额进行估计的，以该在建工程所属的资产组为基础确定资产组的可收回金额。</w:t>
      </w:r>
      <w:r>
        <w:rPr/>
        <w:t> 可收回金额根据在建工程的公允价值减去处置费用后的净额与在建工程预计未来现金流</w:t>
      </w:r>
      <w:r>
        <w:rPr>
          <w:spacing w:val="1"/>
        </w:rPr>
        <w:t> </w:t>
      </w:r>
      <w:r>
        <w:rPr/>
        <w:t>量的现值两者之间较高者确定。</w:t>
      </w:r>
      <w:r>
        <w:rPr/>
        <w:t> </w:t>
      </w:r>
      <w:r>
        <w:rPr>
          <w:spacing w:val="-2"/>
        </w:rPr>
        <w:t>当在建工程的可收回金额低于其账面价值的，将在建工程的账面价值减记至可收回金额，</w:t>
      </w:r>
      <w:r>
        <w:rPr/>
        <w:t> 减记的金额确认为在建工程减值损失，计入当期损益，同时计提相应的在建工程减值准</w:t>
      </w:r>
      <w:r>
        <w:rPr>
          <w:spacing w:val="1"/>
        </w:rPr>
        <w:t> </w:t>
      </w:r>
      <w:r>
        <w:rPr/>
        <w:t>备。</w:t>
      </w:r>
    </w:p>
    <w:p>
      <w:pPr>
        <w:pStyle w:val="BodyText"/>
        <w:spacing w:line="240" w:lineRule="auto" w:before="31"/>
        <w:ind w:right="0"/>
        <w:jc w:val="both"/>
      </w:pPr>
      <w:r>
        <w:rPr/>
        <w:t>在建工程的减值损失一经确认，在以后会计期间不再转回。</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6"/>
        <w:spacing w:line="240" w:lineRule="auto" w:before="0"/>
        <w:ind w:left="131" w:right="194"/>
        <w:jc w:val="left"/>
        <w:rPr>
          <w:b w:val="0"/>
          <w:bCs w:val="0"/>
        </w:rPr>
      </w:pPr>
      <w:r>
        <w:rPr>
          <w:rFonts w:ascii="Times New Roman" w:hAnsi="Times New Roman" w:cs="Times New Roman" w:eastAsia="Times New Roman" w:hint="default"/>
        </w:rPr>
        <w:t>(</w:t>
      </w:r>
      <w:r>
        <w:rPr/>
        <w:t>十六</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借款费用</w:t>
      </w:r>
      <w:r>
        <w:rPr>
          <w:b w:val="0"/>
          <w:bCs w:val="0"/>
        </w:rPr>
      </w:r>
    </w:p>
    <w:p>
      <w:pPr>
        <w:tabs>
          <w:tab w:pos="1401" w:val="left" w:leader="none"/>
        </w:tabs>
        <w:spacing w:line="338" w:lineRule="auto" w:before="110"/>
        <w:ind w:left="1405" w:right="208"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借款费用资本化的确认原则</w:t>
      </w:r>
      <w:r>
        <w:rPr>
          <w:rFonts w:ascii="宋体" w:hAnsi="宋体" w:cs="宋体" w:eastAsia="宋体" w:hint="default"/>
          <w:b/>
          <w:bCs/>
          <w:w w:val="99"/>
          <w:sz w:val="21"/>
          <w:szCs w:val="21"/>
        </w:rPr>
        <w:t> </w:t>
      </w:r>
      <w:r>
        <w:rPr>
          <w:rFonts w:ascii="宋体" w:hAnsi="宋体" w:cs="宋体" w:eastAsia="宋体" w:hint="default"/>
          <w:sz w:val="21"/>
          <w:szCs w:val="21"/>
        </w:rPr>
        <w:t>借款费用，包括借款利息、折价或者溢价的摊销、辅助费用以及因外币借款而发生的汇</w:t>
      </w:r>
      <w:r>
        <w:rPr>
          <w:rFonts w:ascii="宋体" w:hAnsi="宋体" w:cs="宋体" w:eastAsia="宋体" w:hint="default"/>
          <w:spacing w:val="1"/>
          <w:sz w:val="21"/>
          <w:szCs w:val="21"/>
        </w:rPr>
        <w:t> </w:t>
      </w:r>
      <w:r>
        <w:rPr>
          <w:rFonts w:ascii="宋体" w:hAnsi="宋体" w:cs="宋体" w:eastAsia="宋体" w:hint="default"/>
          <w:sz w:val="21"/>
          <w:szCs w:val="21"/>
        </w:rPr>
        <w:t>兑差额等。</w:t>
      </w:r>
    </w:p>
    <w:p>
      <w:pPr>
        <w:spacing w:after="0" w:line="338" w:lineRule="auto"/>
        <w:jc w:val="left"/>
        <w:rPr>
          <w:rFonts w:ascii="宋体" w:hAnsi="宋体" w:cs="宋体" w:eastAsia="宋体" w:hint="default"/>
          <w:sz w:val="21"/>
          <w:szCs w:val="21"/>
        </w:rPr>
        <w:sectPr>
          <w:footerReference w:type="default" r:id="rId40"/>
          <w:pgSz w:w="11910" w:h="16840"/>
          <w:pgMar w:footer="1003" w:header="883" w:top="1540" w:bottom="1200" w:left="1220" w:right="1060"/>
          <w:pgNumType w:start="14"/>
        </w:sectPr>
      </w:pPr>
    </w:p>
    <w:p>
      <w:pPr>
        <w:pStyle w:val="BodyText"/>
        <w:spacing w:line="331" w:lineRule="auto" w:before="129"/>
        <w:ind w:right="137"/>
        <w:jc w:val="left"/>
      </w:pPr>
      <w:r>
        <w:rPr/>
        <w:t>公司发生的借款费用，可直接归属于符合资本化条件的资产的购建或者生产的，予以资</w:t>
      </w:r>
      <w:r>
        <w:rPr>
          <w:spacing w:val="-82"/>
        </w:rPr>
        <w:t> </w:t>
      </w:r>
      <w:r>
        <w:rPr>
          <w:spacing w:val="-82"/>
        </w:rPr>
      </w:r>
      <w:r>
        <w:rPr/>
        <w:t>本化，计入相关资产成本；其他借款费用，在发生时根据其发生额确认为费用，计入当</w:t>
      </w:r>
      <w:r>
        <w:rPr>
          <w:spacing w:val="-82"/>
        </w:rPr>
        <w:t> </w:t>
      </w:r>
      <w:r>
        <w:rPr>
          <w:spacing w:val="-82"/>
        </w:rPr>
      </w:r>
      <w:r>
        <w:rPr/>
        <w:t>期损益。</w:t>
      </w:r>
      <w:r>
        <w:rPr/>
        <w:t> 符合资本化条件的资产，是指需要经过相当长时间的购建或者生产活动才能达到预定可</w:t>
      </w:r>
      <w:r>
        <w:rPr>
          <w:spacing w:val="-82"/>
        </w:rPr>
        <w:t> </w:t>
      </w:r>
      <w:r>
        <w:rPr>
          <w:spacing w:val="-82"/>
        </w:rPr>
      </w:r>
      <w:r>
        <w:rPr/>
        <w:t>使用或者可销售状态的固定资产、投资性房地产和存货等资产。</w:t>
      </w:r>
      <w:r>
        <w:rPr/>
        <w:t> 借款费用同时满足下列条件时开始资本化：</w:t>
      </w:r>
    </w:p>
    <w:p>
      <w:pPr>
        <w:pStyle w:val="BodyText"/>
        <w:spacing w:line="314" w:lineRule="auto" w:before="24"/>
        <w:ind w:right="137"/>
        <w:jc w:val="left"/>
      </w:pPr>
      <w:r>
        <w:rPr>
          <w:spacing w:val="-3"/>
        </w:rPr>
        <w:t>（</w:t>
      </w:r>
      <w:r>
        <w:rPr>
          <w:rFonts w:ascii="Times New Roman" w:hAnsi="Times New Roman" w:cs="Times New Roman" w:eastAsia="Times New Roman" w:hint="default"/>
          <w:spacing w:val="-3"/>
        </w:rPr>
        <w:t>1</w:t>
      </w:r>
      <w:r>
        <w:rPr>
          <w:spacing w:val="-3"/>
        </w:rPr>
        <w:t>）资产支出已经发生，资产支出包括为购建或者生产符合资本化条件的资产而以支付</w:t>
      </w:r>
      <w:r>
        <w:rPr>
          <w:spacing w:val="-69"/>
        </w:rPr>
        <w:t> </w:t>
      </w:r>
      <w:r>
        <w:rPr>
          <w:spacing w:val="-69"/>
        </w:rPr>
      </w:r>
      <w:r>
        <w:rPr/>
        <w:t>现金、转移非现金资产或者承担带息债务形式发生的支出；</w:t>
      </w:r>
    </w:p>
    <w:p>
      <w:pPr>
        <w:pStyle w:val="BodyText"/>
        <w:spacing w:line="240" w:lineRule="auto" w:before="40"/>
        <w:ind w:right="137"/>
        <w:jc w:val="left"/>
      </w:pPr>
      <w:r>
        <w:rPr/>
        <w:t>（</w:t>
      </w:r>
      <w:r>
        <w:rPr>
          <w:rFonts w:ascii="Times New Roman" w:hAnsi="Times New Roman" w:cs="Times New Roman" w:eastAsia="Times New Roman" w:hint="default"/>
        </w:rPr>
        <w:t>2</w:t>
      </w:r>
      <w:r>
        <w:rPr/>
        <w:t>）借款费用已经发生；</w:t>
      </w:r>
    </w:p>
    <w:p>
      <w:pPr>
        <w:pStyle w:val="BodyText"/>
        <w:spacing w:line="240" w:lineRule="auto" w:before="88"/>
        <w:ind w:right="137"/>
        <w:jc w:val="left"/>
      </w:pPr>
      <w:r>
        <w:rPr/>
        <w:t>（</w:t>
      </w:r>
      <w:r>
        <w:rPr>
          <w:rFonts w:ascii="Times New Roman" w:hAnsi="Times New Roman" w:cs="Times New Roman" w:eastAsia="Times New Roman" w:hint="default"/>
        </w:rPr>
        <w:t>3</w:t>
      </w:r>
      <w:r>
        <w:rPr/>
        <w:t>）为使资产达到预定可使用或者可销售状态所必要的购建或者生产活动已经开始。</w:t>
      </w:r>
    </w:p>
    <w:p>
      <w:pPr>
        <w:spacing w:line="240" w:lineRule="auto" w:before="0"/>
        <w:rPr>
          <w:rFonts w:ascii="宋体" w:hAnsi="宋体" w:cs="宋体" w:eastAsia="宋体" w:hint="default"/>
          <w:sz w:val="22"/>
          <w:szCs w:val="22"/>
        </w:rPr>
      </w:pPr>
    </w:p>
    <w:p>
      <w:pPr>
        <w:pStyle w:val="BodyText"/>
        <w:tabs>
          <w:tab w:pos="1401" w:val="left" w:leader="none"/>
        </w:tabs>
        <w:spacing w:line="328" w:lineRule="auto" w:before="182"/>
        <w:ind w:right="148" w:hanging="543"/>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借款费用资本化期间</w:t>
      </w:r>
      <w:r>
        <w:rPr>
          <w:rFonts w:ascii="宋体" w:hAnsi="宋体" w:cs="宋体" w:eastAsia="宋体" w:hint="default"/>
          <w:b/>
          <w:bCs/>
          <w:spacing w:val="1"/>
          <w:w w:val="99"/>
        </w:rPr>
        <w:t> </w:t>
      </w:r>
      <w:r>
        <w:rPr/>
        <w:t>资本化期间，指从借款费用开始资本化时点到停止资本化时点的期间，借款费用暂停资</w:t>
      </w:r>
      <w:r>
        <w:rPr>
          <w:spacing w:val="1"/>
        </w:rPr>
        <w:t> </w:t>
      </w:r>
      <w:r>
        <w:rPr/>
        <w:t>本化的期间不包括在内。</w:t>
      </w:r>
      <w:r>
        <w:rPr/>
        <w:t> 当购建或者生产符合资本化条件的资产达到预定可使用或者可销售状态时，借款费用停</w:t>
      </w:r>
      <w:r>
        <w:rPr>
          <w:spacing w:val="1"/>
        </w:rPr>
        <w:t> </w:t>
      </w:r>
      <w:r>
        <w:rPr/>
        <w:t>止资本化。</w:t>
      </w:r>
      <w:r>
        <w:rPr/>
        <w:t> 当购建或者生产符合资本化条件的资产中部分项目分别完工且可单独使用时，该部分资</w:t>
      </w:r>
      <w:r>
        <w:rPr>
          <w:spacing w:val="1"/>
        </w:rPr>
        <w:t> </w:t>
      </w:r>
      <w:r>
        <w:rPr/>
        <w:t>产借款费用停止资本化。</w:t>
      </w:r>
      <w:r>
        <w:rPr/>
        <w:t> 购建或者生产的资产的各部分分别完工，但必须等到整体完工后才可使用或可对外销售</w:t>
      </w:r>
      <w:r>
        <w:rPr>
          <w:spacing w:val="1"/>
        </w:rPr>
        <w:t> </w:t>
      </w:r>
      <w:r>
        <w:rPr/>
        <w:t>的，在该资产整体完工时停止借款费用资本化。</w:t>
      </w:r>
    </w:p>
    <w:p>
      <w:pPr>
        <w:spacing w:line="240" w:lineRule="auto" w:before="0"/>
        <w:rPr>
          <w:rFonts w:ascii="宋体" w:hAnsi="宋体" w:cs="宋体" w:eastAsia="宋体" w:hint="default"/>
          <w:sz w:val="20"/>
          <w:szCs w:val="20"/>
        </w:rPr>
      </w:pPr>
    </w:p>
    <w:p>
      <w:pPr>
        <w:pStyle w:val="BodyText"/>
        <w:tabs>
          <w:tab w:pos="1401" w:val="left" w:leader="none"/>
        </w:tabs>
        <w:spacing w:line="324" w:lineRule="auto" w:before="145"/>
        <w:ind w:right="148" w:hanging="543"/>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暂停资本化期间</w:t>
      </w:r>
      <w:r>
        <w:rPr>
          <w:rFonts w:ascii="宋体" w:hAnsi="宋体" w:cs="宋体" w:eastAsia="宋体" w:hint="default"/>
          <w:b/>
          <w:bCs/>
          <w:w w:val="99"/>
        </w:rPr>
        <w:t> </w:t>
      </w:r>
      <w:r>
        <w:rPr/>
        <w:t>符合资本化条件的资产在购建或生产过程中发生的非正常中断、且中断时间连续超过</w:t>
      </w:r>
      <w:r>
        <w:rPr>
          <w:spacing w:val="19"/>
        </w:rPr>
        <w:t> </w:t>
      </w:r>
      <w:r>
        <w:rPr>
          <w:rFonts w:ascii="Times New Roman" w:hAnsi="Times New Roman" w:cs="Times New Roman" w:eastAsia="Times New Roman" w:hint="default"/>
        </w:rPr>
        <w:t>3 </w:t>
      </w:r>
      <w:r>
        <w:rPr/>
        <w:t>个月的，则借款费用暂停资本化；该项中断如是所购建或生产的符合资本化条件的资产</w:t>
      </w:r>
      <w:r>
        <w:rPr>
          <w:spacing w:val="1"/>
        </w:rPr>
        <w:t> </w:t>
      </w:r>
      <w:r>
        <w:rPr/>
        <w:t>达到预定可使用状态或者可销售状态必要的程序，则借款费用继续资本化。在中断期间</w:t>
      </w:r>
      <w:r>
        <w:rPr>
          <w:spacing w:val="1"/>
        </w:rPr>
        <w:t> </w:t>
      </w:r>
      <w:r>
        <w:rPr/>
        <w:t>发生的借款费用确认为当期损益，直至资产的购建或者生产活动重新开始后借款费用继</w:t>
      </w:r>
      <w:r>
        <w:rPr>
          <w:spacing w:val="1"/>
        </w:rPr>
        <w:t> </w:t>
      </w:r>
      <w:r>
        <w:rPr/>
        <w:t>续资本化。</w:t>
      </w:r>
    </w:p>
    <w:p>
      <w:pPr>
        <w:spacing w:line="240" w:lineRule="auto" w:before="0"/>
        <w:rPr>
          <w:rFonts w:ascii="宋体" w:hAnsi="宋体" w:cs="宋体" w:eastAsia="宋体" w:hint="default"/>
          <w:sz w:val="20"/>
          <w:szCs w:val="20"/>
        </w:rPr>
      </w:pPr>
    </w:p>
    <w:p>
      <w:pPr>
        <w:pStyle w:val="BodyText"/>
        <w:tabs>
          <w:tab w:pos="1401" w:val="left" w:leader="none"/>
        </w:tabs>
        <w:spacing w:line="328" w:lineRule="auto" w:before="149"/>
        <w:ind w:right="148" w:hanging="543"/>
        <w:jc w:val="left"/>
      </w:pP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借款费用资本化金额的计算方法</w:t>
      </w:r>
      <w:r>
        <w:rPr>
          <w:rFonts w:ascii="宋体" w:hAnsi="宋体" w:cs="宋体" w:eastAsia="宋体" w:hint="default"/>
          <w:b/>
          <w:bCs/>
          <w:spacing w:val="1"/>
          <w:w w:val="99"/>
        </w:rPr>
        <w:t> </w:t>
      </w:r>
      <w:r>
        <w:rPr/>
        <w:t>对于为购建或者生产符合资本化条件的资产而借入的专门借款，以专门借款当期实际发</w:t>
      </w:r>
      <w:r>
        <w:rPr>
          <w:spacing w:val="1"/>
        </w:rPr>
        <w:t> </w:t>
      </w:r>
      <w:r>
        <w:rPr/>
        <w:t>生的借款费用，减去尚未动用的借款资金存入银行取得的利息收入或进行暂时性投资取</w:t>
      </w:r>
      <w:r>
        <w:rPr>
          <w:spacing w:val="1"/>
        </w:rPr>
        <w:t> </w:t>
      </w:r>
      <w:r>
        <w:rPr/>
        <w:t>得的投资收益后的金额，来确定借款费用的资本化金额。</w:t>
      </w:r>
      <w:r>
        <w:rPr/>
        <w:t> 对于为购建或者生产符合资本化条件的资产而占用的一般借款，根据累计资产支出超过</w:t>
      </w:r>
      <w:r>
        <w:rPr>
          <w:spacing w:val="1"/>
        </w:rPr>
        <w:t> </w:t>
      </w:r>
      <w:r>
        <w:rPr/>
        <w:t>专门借款部分的资产支出加权平均数（按每月月末加权平均）乘以所占用一般借款的资</w:t>
      </w:r>
      <w:r>
        <w:rPr>
          <w:spacing w:val="1"/>
        </w:rPr>
        <w:t> </w:t>
      </w:r>
      <w:r>
        <w:rPr/>
        <w:t>本化率，计算确定一般借款应予资本化的利息金额。资本化率根据一般借款加权平均利</w:t>
      </w:r>
      <w:r>
        <w:rPr>
          <w:spacing w:val="1"/>
        </w:rPr>
        <w:t> </w:t>
      </w:r>
      <w:r>
        <w:rPr/>
        <w:t>率计算确定。</w:t>
      </w:r>
    </w:p>
    <w:p>
      <w:pPr>
        <w:spacing w:after="0" w:line="328" w:lineRule="auto"/>
        <w:jc w:val="left"/>
        <w:sectPr>
          <w:pgSz w:w="11910" w:h="16840"/>
          <w:pgMar w:header="883" w:footer="1003" w:top="1540" w:bottom="1200" w:left="1220" w:right="1120"/>
        </w:sectPr>
      </w:pPr>
    </w:p>
    <w:p>
      <w:pPr>
        <w:spacing w:line="240" w:lineRule="auto" w:before="13"/>
        <w:rPr>
          <w:rFonts w:ascii="宋体" w:hAnsi="宋体" w:cs="宋体" w:eastAsia="宋体" w:hint="default"/>
          <w:sz w:val="7"/>
          <w:szCs w:val="7"/>
        </w:rPr>
      </w:pPr>
    </w:p>
    <w:p>
      <w:pPr>
        <w:pStyle w:val="BodyText"/>
        <w:spacing w:line="340" w:lineRule="auto"/>
        <w:ind w:right="194"/>
        <w:jc w:val="left"/>
      </w:pPr>
      <w:r>
        <w:rPr/>
        <w:t>借款存在折价或者溢价的，按照实际利率法确定每一会计期间应摊销的折价或者溢价金</w:t>
      </w:r>
      <w:r>
        <w:rPr>
          <w:spacing w:val="-82"/>
        </w:rPr>
        <w:t> </w:t>
      </w:r>
      <w:r>
        <w:rPr>
          <w:spacing w:val="-82"/>
        </w:rPr>
      </w:r>
      <w:r>
        <w:rPr/>
        <w:t>额，调整每期利息金额。</w:t>
      </w:r>
    </w:p>
    <w:p>
      <w:pPr>
        <w:spacing w:line="240" w:lineRule="auto" w:before="0"/>
        <w:rPr>
          <w:rFonts w:ascii="宋体" w:hAnsi="宋体" w:cs="宋体" w:eastAsia="宋体" w:hint="default"/>
          <w:sz w:val="20"/>
          <w:szCs w:val="20"/>
        </w:rPr>
      </w:pPr>
    </w:p>
    <w:p>
      <w:pPr>
        <w:pStyle w:val="Heading6"/>
        <w:spacing w:line="240" w:lineRule="auto" w:before="155"/>
        <w:ind w:left="131" w:right="194"/>
        <w:jc w:val="left"/>
        <w:rPr>
          <w:b w:val="0"/>
          <w:bCs w:val="0"/>
        </w:rPr>
      </w:pPr>
      <w:r>
        <w:rPr>
          <w:rFonts w:ascii="Times New Roman" w:hAnsi="Times New Roman" w:cs="Times New Roman" w:eastAsia="Times New Roman" w:hint="default"/>
        </w:rPr>
        <w:t>(</w:t>
      </w:r>
      <w:r>
        <w:rPr/>
        <w:t>十七</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无形资产</w:t>
      </w:r>
      <w:r>
        <w:rPr>
          <w:b w:val="0"/>
          <w:bCs w:val="0"/>
        </w:rPr>
      </w:r>
    </w:p>
    <w:p>
      <w:pPr>
        <w:tabs>
          <w:tab w:pos="1401" w:val="left" w:leader="none"/>
        </w:tabs>
        <w:spacing w:before="99"/>
        <w:ind w:left="863" w:right="19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无形资产的计价方法</w:t>
      </w:r>
      <w:r>
        <w:rPr>
          <w:rFonts w:ascii="宋体" w:hAnsi="宋体" w:cs="宋体" w:eastAsia="宋体" w:hint="default"/>
          <w:sz w:val="21"/>
          <w:szCs w:val="21"/>
        </w:rPr>
      </w:r>
    </w:p>
    <w:p>
      <w:pPr>
        <w:pStyle w:val="BodyText"/>
        <w:spacing w:line="338" w:lineRule="auto" w:before="99"/>
        <w:ind w:right="87" w:hanging="1"/>
        <w:jc w:val="left"/>
      </w:pPr>
      <w:r>
        <w:rPr/>
        <w:t>（</w:t>
      </w:r>
      <w:r>
        <w:rPr>
          <w:rFonts w:ascii="Times New Roman" w:hAnsi="Times New Roman" w:cs="Times New Roman" w:eastAsia="Times New Roman" w:hint="default"/>
        </w:rPr>
        <w:t>1</w:t>
      </w:r>
      <w:r>
        <w:rPr/>
        <w:t>）公司取得无形资产时按成本进行初始计量； 外购无形资产的成本，包括购买价款、相关税费以及直接归属于使该项资产达到预定用</w:t>
      </w:r>
      <w:r>
        <w:rPr>
          <w:spacing w:val="-83"/>
        </w:rPr>
        <w:t> </w:t>
      </w:r>
      <w:r>
        <w:rPr>
          <w:spacing w:val="-83"/>
        </w:rPr>
      </w:r>
      <w:r>
        <w:rPr/>
        <w:t>途所发生的其他支出。购买无形资产的价款超过正常信用条件延期支付，实质上具有融</w:t>
      </w:r>
      <w:r>
        <w:rPr>
          <w:spacing w:val="-83"/>
        </w:rPr>
        <w:t> </w:t>
      </w:r>
      <w:r>
        <w:rPr>
          <w:spacing w:val="-83"/>
        </w:rPr>
      </w:r>
      <w:r>
        <w:rPr/>
        <w:t>资性质的，无形资产的成本以购买价款的现值为基础确定。</w:t>
      </w:r>
      <w:r>
        <w:rPr/>
        <w:t> 债务重组取得债务人用以抵债的无形资产，以该无形资产的公允价值为基础确定其入账</w:t>
      </w:r>
      <w:r>
        <w:rPr>
          <w:spacing w:val="-83"/>
        </w:rPr>
        <w:t> </w:t>
      </w:r>
      <w:r>
        <w:rPr>
          <w:spacing w:val="-83"/>
        </w:rPr>
      </w:r>
      <w:r>
        <w:rPr/>
        <w:t>价值，并将重组债务的账面价值与该用以抵债的无形资产公允价值之间的差额，计入当</w:t>
      </w:r>
      <w:r>
        <w:rPr>
          <w:spacing w:val="-83"/>
        </w:rPr>
        <w:t> </w:t>
      </w:r>
      <w:r>
        <w:rPr>
          <w:spacing w:val="-83"/>
        </w:rPr>
      </w:r>
      <w:r>
        <w:rPr/>
        <w:t>期损益；</w:t>
      </w:r>
      <w:r>
        <w:rPr/>
        <w:t> 在非货币性资产交换具备商业实质且换入资产或换出资产的公允价值能够可靠计量的前</w:t>
      </w:r>
      <w:r>
        <w:rPr>
          <w:spacing w:val="-83"/>
        </w:rPr>
        <w:t> </w:t>
      </w:r>
      <w:r>
        <w:rPr>
          <w:spacing w:val="-83"/>
        </w:rPr>
      </w:r>
      <w:r>
        <w:rPr>
          <w:spacing w:val="-2"/>
        </w:rPr>
        <w:t>提下，非货币性资产交换换入的无形资产以换出资产的公允价值为基础确定其入账价值，</w:t>
      </w:r>
      <w:r>
        <w:rPr/>
        <w:t> 除非有确凿证据表明换入资产的公允价值更加可靠；不满足上述前提的非货币性资产交</w:t>
      </w:r>
      <w:r>
        <w:rPr>
          <w:spacing w:val="-83"/>
        </w:rPr>
        <w:t> </w:t>
      </w:r>
      <w:r>
        <w:rPr>
          <w:spacing w:val="-83"/>
        </w:rPr>
      </w:r>
      <w:r>
        <w:rPr>
          <w:spacing w:val="-3"/>
        </w:rPr>
        <w:t>换，以换出资产的账面价值和应支付的相关税费作为换入无形资产的成本，不确认损益。</w:t>
      </w:r>
      <w:r>
        <w:rPr>
          <w:spacing w:val="-70"/>
        </w:rPr>
        <w:t> </w:t>
      </w:r>
      <w:r>
        <w:rPr>
          <w:spacing w:val="-70"/>
        </w:rPr>
      </w:r>
      <w:r>
        <w:rPr/>
        <w:t>以同一控制下的企业吸收合并方式取得的无形资产按被合并方的账面价值确定其入账价</w:t>
      </w:r>
      <w:r>
        <w:rPr>
          <w:spacing w:val="-83"/>
        </w:rPr>
        <w:t> </w:t>
      </w:r>
      <w:r>
        <w:rPr>
          <w:spacing w:val="-83"/>
        </w:rPr>
      </w:r>
      <w:r>
        <w:rPr/>
        <w:t>值；以非同一控制下的企业吸收合并方式取得的无形资产按公允价值确定其入账价值。</w:t>
      </w:r>
      <w:r>
        <w:rPr/>
        <w:t> 内部自行开发的无形资产，其成本包括：开发该无形资产时耗用的材料、劳务成本、注</w:t>
      </w:r>
      <w:r>
        <w:rPr>
          <w:spacing w:val="-83"/>
        </w:rPr>
        <w:t> </w:t>
      </w:r>
      <w:r>
        <w:rPr>
          <w:spacing w:val="-83"/>
        </w:rPr>
      </w:r>
      <w:r>
        <w:rPr>
          <w:spacing w:val="-2"/>
        </w:rPr>
        <w:t>册费、在开发过程中使用的其他专利权和特许权的摊销以及满足资本化条件的利息费用，</w:t>
      </w:r>
      <w:r>
        <w:rPr/>
        <w:t> 以及为使该无形资产达到预定用途前所发生的其他直接费用。</w:t>
      </w:r>
    </w:p>
    <w:p>
      <w:pPr>
        <w:spacing w:line="240" w:lineRule="auto" w:before="0"/>
        <w:rPr>
          <w:rFonts w:ascii="宋体" w:hAnsi="宋体" w:cs="宋体" w:eastAsia="宋体" w:hint="default"/>
          <w:sz w:val="20"/>
          <w:szCs w:val="20"/>
        </w:rPr>
      </w:pPr>
    </w:p>
    <w:p>
      <w:pPr>
        <w:pStyle w:val="BodyText"/>
        <w:spacing w:line="321" w:lineRule="auto" w:before="157"/>
        <w:ind w:right="4419"/>
        <w:jc w:val="left"/>
      </w:pPr>
      <w:r>
        <w:rPr/>
        <w:t>（</w:t>
      </w:r>
      <w:r>
        <w:rPr>
          <w:rFonts w:ascii="Times New Roman" w:hAnsi="Times New Roman" w:cs="Times New Roman" w:eastAsia="Times New Roman" w:hint="default"/>
        </w:rPr>
        <w:t>2</w:t>
      </w:r>
      <w:r>
        <w:rPr/>
        <w:t>）后续计量 在取得无形资产时分析判断其使用寿命。</w:t>
      </w:r>
    </w:p>
    <w:p>
      <w:pPr>
        <w:pStyle w:val="BodyText"/>
        <w:spacing w:line="340" w:lineRule="auto" w:before="43"/>
        <w:ind w:right="194"/>
        <w:jc w:val="left"/>
      </w:pPr>
      <w:r>
        <w:rPr/>
        <w:t>对于使用寿命有限的无形资产，在为企业带来经济利益的期限内按直线法摊销；无法预</w:t>
      </w:r>
      <w:r>
        <w:rPr>
          <w:spacing w:val="-82"/>
        </w:rPr>
        <w:t> </w:t>
      </w:r>
      <w:r>
        <w:rPr>
          <w:spacing w:val="-82"/>
        </w:rPr>
      </w:r>
      <w:r>
        <w:rPr/>
        <w:t>见无形资产为企业带来经济利益期限的，视为使用寿命不确定的无形资产，不予摊销。</w:t>
      </w:r>
    </w:p>
    <w:p>
      <w:pPr>
        <w:spacing w:line="240" w:lineRule="auto" w:before="0"/>
        <w:rPr>
          <w:rFonts w:ascii="宋体" w:hAnsi="宋体" w:cs="宋体" w:eastAsia="宋体" w:hint="default"/>
          <w:sz w:val="20"/>
          <w:szCs w:val="20"/>
        </w:rPr>
      </w:pPr>
    </w:p>
    <w:p>
      <w:pPr>
        <w:pStyle w:val="Heading6"/>
        <w:tabs>
          <w:tab w:pos="1401" w:val="left" w:leader="none"/>
        </w:tabs>
        <w:spacing w:line="240" w:lineRule="auto" w:before="155"/>
        <w:ind w:left="863" w:right="194"/>
        <w:jc w:val="left"/>
        <w:rPr>
          <w:b w:val="0"/>
          <w:bCs w:val="0"/>
        </w:rPr>
      </w:pPr>
      <w:r>
        <w:rPr>
          <w:rFonts w:ascii="Times New Roman" w:hAnsi="Times New Roman" w:cs="Times New Roman" w:eastAsia="Times New Roman" w:hint="default"/>
          <w:w w:val="95"/>
        </w:rPr>
        <w:t>2</w:t>
      </w:r>
      <w:r>
        <w:rPr>
          <w:w w:val="95"/>
        </w:rPr>
        <w:t>、</w:t>
        <w:tab/>
      </w:r>
      <w:r>
        <w:rPr/>
        <w:t>使用寿命有限的无形资产的使用寿命估计情况：</w:t>
      </w:r>
      <w:r>
        <w:rPr>
          <w:b w:val="0"/>
          <w:bCs w:val="0"/>
        </w:rPr>
      </w:r>
    </w:p>
    <w:p>
      <w:pPr>
        <w:spacing w:line="2050" w:lineRule="exact"/>
        <w:ind w:left="1376" w:right="0" w:firstLine="0"/>
        <w:rPr>
          <w:rFonts w:ascii="宋体" w:hAnsi="宋体" w:cs="宋体" w:eastAsia="宋体" w:hint="default"/>
          <w:sz w:val="20"/>
          <w:szCs w:val="20"/>
        </w:rPr>
      </w:pPr>
      <w:r>
        <w:rPr>
          <w:rFonts w:ascii="宋体" w:hAnsi="宋体" w:cs="宋体" w:eastAsia="宋体" w:hint="default"/>
          <w:position w:val="-40"/>
          <w:sz w:val="20"/>
          <w:szCs w:val="20"/>
        </w:rPr>
        <w:pict>
          <v:group style="width:404.7pt;height:102.55pt;mso-position-horizontal-relative:char;mso-position-vertical-relative:line" coordorigin="0,0" coordsize="8094,2051">
            <v:group style="position:absolute;left:29;top:15;width:8034;height:2" coordorigin="29,15" coordsize="8034,2">
              <v:shape style="position:absolute;left:29;top:15;width:8034;height:2" coordorigin="29,15" coordsize="8034,0" path="m29,15l8063,15e" filled="false" stroked="true" strokeweight="1.5pt" strokecolor="#000000">
                <v:path arrowok="t"/>
              </v:shape>
              <v:shape style="position:absolute;left:2672;top:1;width:1774;height:448" type="#_x0000_t75" stroked="false">
                <v:imagedata r:id="rId42" o:title=""/>
              </v:shape>
            </v:group>
            <v:group style="position:absolute;left:15;top:2036;width:2686;height:2" coordorigin="15,2036" coordsize="2686,2">
              <v:shape style="position:absolute;left:15;top:2036;width:2686;height:2" coordorigin="15,2036" coordsize="2686,0" path="m15,2036l2701,2036e" filled="false" stroked="true" strokeweight="1.5pt" strokecolor="#000000">
                <v:path arrowok="t"/>
              </v:shape>
            </v:group>
            <v:group style="position:absolute;left:2701;top:2036;width:1707;height:2" coordorigin="2701,2036" coordsize="1707,2">
              <v:shape style="position:absolute;left:2701;top:2036;width:1707;height:2" coordorigin="2701,2036" coordsize="1707,0" path="m2701,2036l4407,2036e" filled="false" stroked="true" strokeweight="1.5pt" strokecolor="#000000">
                <v:path arrowok="t"/>
              </v:shape>
              <v:shape style="position:absolute;left:1;top:391;width:8093;height:1630" type="#_x0000_t75" stroked="false">
                <v:imagedata r:id="rId43" o:title=""/>
              </v:shape>
            </v:group>
            <v:group style="position:absolute;left:4407;top:2036;width:3657;height:2" coordorigin="4407,2036" coordsize="3657,2">
              <v:shape style="position:absolute;left:4407;top:2036;width:3657;height:2" coordorigin="4407,2036" coordsize="3657,0" path="m4407,2036l8063,2036e" filled="false" stroked="true" strokeweight="1.5pt" strokecolor="#000000">
                <v:path arrowok="t"/>
              </v:shape>
              <v:shape style="position:absolute;left:368;top:178;width:1890;height:1811" type="#_x0000_t202" filled="false" stroked="false">
                <v:textbox inset="0,0,0,0">
                  <w:txbxContent>
                    <w:p>
                      <w:pPr>
                        <w:tabs>
                          <w:tab w:pos="419" w:val="left" w:leader="none"/>
                        </w:tabs>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项</w:t>
                        <w:tab/>
                        <w:t>目</w:t>
                      </w:r>
                    </w:p>
                    <w:p>
                      <w:pPr>
                        <w:spacing w:line="348" w:lineRule="auto" w:before="126"/>
                        <w:ind w:left="0" w:right="0" w:firstLine="0"/>
                        <w:jc w:val="center"/>
                        <w:rPr>
                          <w:rFonts w:ascii="宋体" w:hAnsi="宋体" w:cs="宋体" w:eastAsia="宋体" w:hint="default"/>
                          <w:sz w:val="21"/>
                          <w:szCs w:val="21"/>
                        </w:rPr>
                      </w:pPr>
                      <w:r>
                        <w:rPr>
                          <w:rFonts w:ascii="宋体" w:hAnsi="宋体" w:cs="宋体" w:eastAsia="宋体" w:hint="default"/>
                          <w:sz w:val="21"/>
                          <w:szCs w:val="21"/>
                        </w:rPr>
                        <w:t>土地使用权 房屋使用权 工业产权及专有技术</w:t>
                      </w:r>
                    </w:p>
                    <w:p>
                      <w:pPr>
                        <w:spacing w:before="31"/>
                        <w:ind w:left="1" w:right="0" w:firstLine="0"/>
                        <w:jc w:val="center"/>
                        <w:rPr>
                          <w:rFonts w:ascii="宋体" w:hAnsi="宋体" w:cs="宋体" w:eastAsia="宋体" w:hint="default"/>
                          <w:sz w:val="21"/>
                          <w:szCs w:val="21"/>
                        </w:rPr>
                      </w:pPr>
                      <w:r>
                        <w:rPr>
                          <w:rFonts w:ascii="宋体" w:hAnsi="宋体" w:cs="宋体" w:eastAsia="宋体" w:hint="default"/>
                          <w:sz w:val="21"/>
                          <w:szCs w:val="21"/>
                        </w:rPr>
                        <w:t>其他无形资产</w:t>
                      </w:r>
                    </w:p>
                  </w:txbxContent>
                </v:textbox>
                <w10:wrap type="none"/>
              </v:shape>
              <v:shape style="position:absolute;left:2879;top:178;width:4896;height:1823" type="#_x0000_t202" filled="false" stroked="false">
                <v:textbox inset="0,0,0,0">
                  <w:txbxContent>
                    <w:p>
                      <w:pPr>
                        <w:tabs>
                          <w:tab w:pos="2992" w:val="left" w:leader="none"/>
                          <w:tab w:pos="3413"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预计使用寿命</w:t>
                        <w:tab/>
                        <w:t>依</w:t>
                        <w:tab/>
                        <w:t>据</w:t>
                      </w:r>
                    </w:p>
                    <w:p>
                      <w:pPr>
                        <w:tabs>
                          <w:tab w:pos="1535" w:val="left" w:leader="none"/>
                        </w:tabs>
                        <w:spacing w:before="126"/>
                        <w:ind w:left="25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40-50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tab/>
                        <w:t>按照土地使用证可使用年限</w:t>
                      </w:r>
                    </w:p>
                    <w:p>
                      <w:pPr>
                        <w:tabs>
                          <w:tab w:pos="1535" w:val="left" w:leader="none"/>
                        </w:tabs>
                        <w:spacing w:before="109"/>
                        <w:ind w:left="39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50 </w:t>
                      </w:r>
                      <w:r>
                        <w:rPr>
                          <w:rFonts w:ascii="宋体" w:hAnsi="宋体" w:cs="宋体" w:eastAsia="宋体" w:hint="default"/>
                          <w:sz w:val="21"/>
                          <w:szCs w:val="21"/>
                        </w:rPr>
                        <w:t>年</w:t>
                        <w:tab/>
                        <w:t>房屋使用合同或协议规定的使用年限</w:t>
                      </w:r>
                    </w:p>
                    <w:p>
                      <w:pPr>
                        <w:tabs>
                          <w:tab w:pos="1535" w:val="left" w:leader="none"/>
                        </w:tabs>
                        <w:spacing w:before="109"/>
                        <w:ind w:left="393"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10 </w:t>
                      </w:r>
                      <w:r>
                        <w:rPr>
                          <w:rFonts w:ascii="宋体" w:hAnsi="宋体" w:cs="宋体" w:eastAsia="宋体" w:hint="default"/>
                          <w:sz w:val="21"/>
                          <w:szCs w:val="21"/>
                        </w:rPr>
                        <w:t>年</w:t>
                        <w:tab/>
                        <w:t>按相关合同或预计的可使用年限</w:t>
                      </w:r>
                    </w:p>
                    <w:p>
                      <w:pPr>
                        <w:tabs>
                          <w:tab w:pos="1535" w:val="left" w:leader="none"/>
                        </w:tabs>
                        <w:spacing w:line="286" w:lineRule="exact" w:before="110"/>
                        <w:ind w:left="305"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5-10 </w:t>
                      </w:r>
                      <w:r>
                        <w:rPr>
                          <w:rFonts w:ascii="宋体" w:hAnsi="宋体" w:cs="宋体" w:eastAsia="宋体" w:hint="default"/>
                          <w:sz w:val="21"/>
                          <w:szCs w:val="21"/>
                        </w:rPr>
                        <w:t>年</w:t>
                        <w:tab/>
                        <w:t>按相关合同或预计的可使用年限</w:t>
                      </w:r>
                    </w:p>
                  </w:txbxContent>
                </v:textbox>
                <w10:wrap type="none"/>
              </v:shape>
            </v:group>
          </v:group>
        </w:pict>
      </w:r>
      <w:r>
        <w:rPr>
          <w:rFonts w:ascii="宋体" w:hAnsi="宋体" w:cs="宋体" w:eastAsia="宋体" w:hint="default"/>
          <w:position w:val="-40"/>
          <w:sz w:val="20"/>
          <w:szCs w:val="20"/>
        </w:rPr>
      </w:r>
    </w:p>
    <w:p>
      <w:pPr>
        <w:spacing w:line="240" w:lineRule="auto" w:before="13"/>
        <w:rPr>
          <w:rFonts w:ascii="宋体" w:hAnsi="宋体" w:cs="宋体" w:eastAsia="宋体" w:hint="default"/>
          <w:b/>
          <w:bCs/>
          <w:sz w:val="4"/>
          <w:szCs w:val="4"/>
        </w:rPr>
      </w:pPr>
    </w:p>
    <w:p>
      <w:pPr>
        <w:pStyle w:val="BodyText"/>
        <w:spacing w:line="340" w:lineRule="auto"/>
        <w:ind w:right="1479"/>
        <w:jc w:val="left"/>
      </w:pPr>
      <w:r>
        <w:rPr/>
        <w:t>每期末，对使用寿命有限的无形资产的使用寿命及摊销方法进行复核。 经复核，本年期末无形资产的使用寿命及摊销方法与以前估计未有不同。</w:t>
      </w:r>
    </w:p>
    <w:p>
      <w:pPr>
        <w:spacing w:after="0" w:line="340" w:lineRule="auto"/>
        <w:jc w:val="left"/>
        <w:sectPr>
          <w:footerReference w:type="default" r:id="rId41"/>
          <w:pgSz w:w="11910" w:h="16840"/>
          <w:pgMar w:footer="1003" w:header="883" w:top="1540" w:bottom="1200" w:left="1220" w:right="1060"/>
        </w:sectPr>
      </w:pPr>
    </w:p>
    <w:p>
      <w:pPr>
        <w:spacing w:line="240" w:lineRule="auto" w:before="10"/>
        <w:rPr>
          <w:rFonts w:ascii="宋体" w:hAnsi="宋体" w:cs="宋体" w:eastAsia="宋体" w:hint="default"/>
          <w:sz w:val="8"/>
          <w:szCs w:val="8"/>
        </w:rPr>
      </w:pPr>
    </w:p>
    <w:p>
      <w:pPr>
        <w:pStyle w:val="BodyText"/>
        <w:tabs>
          <w:tab w:pos="1418" w:val="left" w:leader="none"/>
        </w:tabs>
        <w:spacing w:line="348" w:lineRule="auto"/>
        <w:ind w:right="104" w:hanging="543"/>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tab/>
      </w:r>
      <w:r>
        <w:rPr>
          <w:rFonts w:ascii="宋体" w:hAnsi="宋体" w:cs="宋体" w:eastAsia="宋体" w:hint="default"/>
          <w:b/>
          <w:bCs/>
        </w:rPr>
        <w:t>无形资产减值准备的计提</w:t>
      </w:r>
      <w:r>
        <w:rPr>
          <w:rFonts w:ascii="宋体" w:hAnsi="宋体" w:cs="宋体" w:eastAsia="宋体" w:hint="default"/>
          <w:b/>
          <w:bCs/>
          <w:w w:val="99"/>
        </w:rPr>
        <w:t> </w:t>
      </w:r>
      <w:r>
        <w:rPr/>
        <w:t>对于使用寿命确定的无形资产，如有明显减值迹象的，期末进行减值测试。 对于使用寿命不确定的无形资产，每期末进行减值测试。 对无形资产进行减值测试，估计其可收回金额。有迹象表明一项无形资产可能发生减值</w:t>
      </w:r>
      <w:r>
        <w:rPr>
          <w:spacing w:val="1"/>
        </w:rPr>
        <w:t> </w:t>
      </w:r>
      <w:r>
        <w:rPr/>
        <w:t>的，公司以单项无形资产为基础估计其可收回金额。公司难以对单项资产的可收回金额</w:t>
      </w:r>
      <w:r>
        <w:rPr>
          <w:spacing w:val="1"/>
        </w:rPr>
        <w:t> </w:t>
      </w:r>
      <w:r>
        <w:rPr/>
        <w:t>进行估计的，以该无形资产所属的资产组为基础确定无形资产组的可收回金额。</w:t>
      </w:r>
      <w:r>
        <w:rPr/>
        <w:t> 可收回金额根据无形资产的公允价值减去处置费用后的净额与无形资产预计未来现金流</w:t>
      </w:r>
      <w:r>
        <w:rPr>
          <w:spacing w:val="1"/>
        </w:rPr>
        <w:t> </w:t>
      </w:r>
      <w:r>
        <w:rPr/>
        <w:t>量的现值两者之间较高者确定。</w:t>
      </w:r>
      <w:r>
        <w:rPr/>
        <w:t> </w:t>
      </w:r>
      <w:r>
        <w:rPr>
          <w:spacing w:val="-2"/>
        </w:rPr>
        <w:t>当无形资产的可收回金额低于其账面价值的，将无形资产的账面价值减记至可收回金额，</w:t>
      </w:r>
      <w:r>
        <w:rPr/>
        <w:t> 减记的金额确认为无形资产减值损失，计入当期损益，同时计提相应的无形资产减值准</w:t>
      </w:r>
      <w:r>
        <w:rPr>
          <w:spacing w:val="1"/>
        </w:rPr>
        <w:t> </w:t>
      </w:r>
      <w:r>
        <w:rPr/>
        <w:t>备。</w:t>
      </w:r>
      <w:r>
        <w:rPr/>
        <w:t> 无形资产减值损失确认后，减值无形资产的折耗或者摊销费用在未来期间作相应调整，</w:t>
      </w:r>
      <w:r>
        <w:rPr>
          <w:spacing w:val="1"/>
        </w:rPr>
        <w:t> </w:t>
      </w:r>
      <w:r>
        <w:rPr/>
        <w:t>以使该无形资产在剩余使用寿命内，系统地分摊调整后的无形资产账面价值（扣除预计</w:t>
      </w:r>
      <w:r>
        <w:rPr>
          <w:spacing w:val="1"/>
        </w:rPr>
        <w:t> </w:t>
      </w:r>
      <w:r>
        <w:rPr>
          <w:spacing w:val="-21"/>
        </w:rPr>
        <w:t>净残值）。</w:t>
      </w:r>
    </w:p>
    <w:p>
      <w:pPr>
        <w:pStyle w:val="BodyText"/>
        <w:spacing w:line="240" w:lineRule="auto" w:before="30"/>
        <w:ind w:left="863" w:right="194" w:firstLine="542"/>
        <w:jc w:val="left"/>
      </w:pPr>
      <w:r>
        <w:rPr/>
        <w:t>无形资产的减值损失一经确认，在以后会计期间不再转回。</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tabs>
          <w:tab w:pos="1401" w:val="left" w:leader="none"/>
        </w:tabs>
        <w:spacing w:line="345" w:lineRule="auto" w:before="0"/>
        <w:ind w:right="104" w:hanging="543"/>
        <w:jc w:val="left"/>
      </w:pP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划分公司内部研究开发项目的研究阶段和开发阶段具体标准</w:t>
      </w:r>
      <w:r>
        <w:rPr>
          <w:rFonts w:ascii="宋体" w:hAnsi="宋体" w:cs="宋体" w:eastAsia="宋体" w:hint="default"/>
          <w:b/>
          <w:bCs/>
          <w:w w:val="99"/>
        </w:rPr>
        <w:t> </w:t>
      </w:r>
      <w:r>
        <w:rPr/>
        <w:t>公司内部研究开发项目的支出分为研究阶段支出和开发阶段支出。 研究阶段：为获取并理解新的科学或技术知识等而进行的独创性的有计划调查、研究活</w:t>
      </w:r>
      <w:r>
        <w:rPr>
          <w:spacing w:val="1"/>
        </w:rPr>
        <w:t> </w:t>
      </w:r>
      <w:r>
        <w:rPr/>
        <w:t>动的阶段。</w:t>
      </w:r>
      <w:r>
        <w:rPr/>
        <w:t> </w:t>
      </w:r>
      <w:r>
        <w:rPr>
          <w:spacing w:val="-3"/>
        </w:rPr>
        <w:t>开发阶段：在进行商业性生产或使用前，将研究成果或其他知识应用于某项计划或设计，</w:t>
      </w:r>
      <w:r>
        <w:rPr/>
        <w:t> 以生产出新的或具有实质性改进的材料、装置、产品等活动的阶段。</w:t>
      </w:r>
    </w:p>
    <w:p>
      <w:pPr>
        <w:spacing w:line="240" w:lineRule="auto" w:before="0"/>
        <w:rPr>
          <w:rFonts w:ascii="宋体" w:hAnsi="宋体" w:cs="宋体" w:eastAsia="宋体" w:hint="default"/>
          <w:sz w:val="20"/>
          <w:szCs w:val="20"/>
        </w:rPr>
      </w:pPr>
    </w:p>
    <w:p>
      <w:pPr>
        <w:tabs>
          <w:tab w:pos="1401" w:val="left" w:leader="none"/>
        </w:tabs>
        <w:spacing w:line="328" w:lineRule="auto" w:before="171"/>
        <w:ind w:left="1405" w:right="1286"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开发阶段支出符合资本化的具体标准</w:t>
      </w:r>
      <w:r>
        <w:rPr>
          <w:rFonts w:ascii="宋体" w:hAnsi="宋体" w:cs="宋体" w:eastAsia="宋体" w:hint="default"/>
          <w:b/>
          <w:bCs/>
          <w:w w:val="99"/>
          <w:sz w:val="21"/>
          <w:szCs w:val="21"/>
        </w:rPr>
        <w:t> </w:t>
      </w:r>
      <w:r>
        <w:rPr>
          <w:rFonts w:ascii="宋体" w:hAnsi="宋体" w:cs="宋体" w:eastAsia="宋体" w:hint="default"/>
          <w:sz w:val="21"/>
          <w:szCs w:val="21"/>
        </w:rPr>
        <w:t>内部研究开发项目开发阶段的支出，同时满足下列条件时确认为无形资产：</w:t>
      </w:r>
    </w:p>
    <w:p>
      <w:pPr>
        <w:pStyle w:val="BodyText"/>
        <w:spacing w:line="240" w:lineRule="auto" w:before="48"/>
        <w:ind w:right="194"/>
        <w:jc w:val="left"/>
      </w:pPr>
      <w:r>
        <w:rPr/>
        <w:t>（</w:t>
      </w:r>
      <w:r>
        <w:rPr>
          <w:rFonts w:ascii="Times New Roman" w:hAnsi="Times New Roman" w:cs="Times New Roman" w:eastAsia="Times New Roman" w:hint="default"/>
        </w:rPr>
        <w:t>1</w:t>
      </w:r>
      <w:r>
        <w:rPr/>
        <w:t>）完成该无形资产以使其能够使用或出售在技术上具有可行性；</w:t>
      </w:r>
    </w:p>
    <w:p>
      <w:pPr>
        <w:pStyle w:val="BodyText"/>
        <w:spacing w:line="240" w:lineRule="auto" w:before="109"/>
        <w:ind w:right="194"/>
        <w:jc w:val="left"/>
      </w:pPr>
      <w:r>
        <w:rPr/>
        <w:t>（</w:t>
      </w:r>
      <w:r>
        <w:rPr>
          <w:rFonts w:ascii="Times New Roman" w:hAnsi="Times New Roman" w:cs="Times New Roman" w:eastAsia="Times New Roman" w:hint="default"/>
        </w:rPr>
        <w:t>2</w:t>
      </w:r>
      <w:r>
        <w:rPr/>
        <w:t>）具有完成该无形资产并使用或出售的意图；</w:t>
      </w:r>
    </w:p>
    <w:p>
      <w:pPr>
        <w:pStyle w:val="BodyText"/>
        <w:spacing w:line="331" w:lineRule="auto" w:before="109"/>
        <w:ind w:right="194"/>
        <w:jc w:val="left"/>
      </w:pPr>
      <w:r>
        <w:rPr>
          <w:spacing w:val="-3"/>
        </w:rPr>
        <w:t>（</w:t>
      </w:r>
      <w:r>
        <w:rPr>
          <w:rFonts w:ascii="Times New Roman" w:hAnsi="Times New Roman" w:cs="Times New Roman" w:eastAsia="Times New Roman" w:hint="default"/>
          <w:spacing w:val="-3"/>
        </w:rPr>
        <w:t>3</w:t>
      </w:r>
      <w:r>
        <w:rPr>
          <w:spacing w:val="-3"/>
        </w:rPr>
        <w:t>）无形资产产生经济利益的方式，包括能够证明运用该无形资产生产的产品存在市场</w:t>
      </w:r>
      <w:r>
        <w:rPr>
          <w:spacing w:val="-69"/>
        </w:rPr>
        <w:t> </w:t>
      </w:r>
      <w:r>
        <w:rPr>
          <w:spacing w:val="-69"/>
        </w:rPr>
      </w:r>
      <w:r>
        <w:rPr/>
        <w:t>或无形资产自身存在市场，无形资产将在内部使用的，能够证明其有用性；</w:t>
      </w:r>
    </w:p>
    <w:p>
      <w:pPr>
        <w:pStyle w:val="BodyText"/>
        <w:spacing w:line="328" w:lineRule="auto" w:before="45"/>
        <w:ind w:right="194"/>
        <w:jc w:val="left"/>
      </w:pPr>
      <w:r>
        <w:rPr>
          <w:spacing w:val="-3"/>
        </w:rPr>
        <w:t>（</w:t>
      </w:r>
      <w:r>
        <w:rPr>
          <w:rFonts w:ascii="Times New Roman" w:hAnsi="Times New Roman" w:cs="Times New Roman" w:eastAsia="Times New Roman" w:hint="default"/>
          <w:spacing w:val="-3"/>
        </w:rPr>
        <w:t>4</w:t>
      </w:r>
      <w:r>
        <w:rPr>
          <w:spacing w:val="-3"/>
        </w:rPr>
        <w:t>）有足够的技术、财务资源和其他资源支持，以完成该无形资产的开发，并有能力使</w:t>
      </w:r>
      <w:r>
        <w:rPr>
          <w:spacing w:val="-70"/>
        </w:rPr>
        <w:t> </w:t>
      </w:r>
      <w:r>
        <w:rPr>
          <w:spacing w:val="-70"/>
        </w:rPr>
      </w:r>
      <w:r>
        <w:rPr/>
        <w:t>用或出售该无形资产；</w:t>
      </w:r>
    </w:p>
    <w:p>
      <w:pPr>
        <w:pStyle w:val="BodyText"/>
        <w:spacing w:line="338" w:lineRule="auto" w:before="48"/>
        <w:ind w:right="2109" w:hanging="1"/>
        <w:jc w:val="left"/>
      </w:pPr>
      <w:r>
        <w:rPr/>
        <w:t>（</w:t>
      </w:r>
      <w:r>
        <w:rPr>
          <w:rFonts w:ascii="Times New Roman" w:hAnsi="Times New Roman" w:cs="Times New Roman" w:eastAsia="Times New Roman" w:hint="default"/>
        </w:rPr>
        <w:t>5</w:t>
      </w:r>
      <w:r>
        <w:rPr/>
        <w:t>）归属于该无形资产开发阶段的支出能够可靠地计量。 开发阶段的支出，若不满足上列条件的，于发生时计入当期损益。 研究阶段的支出，在发生时计入当期损益。</w:t>
      </w:r>
    </w:p>
    <w:p>
      <w:pPr>
        <w:spacing w:after="0" w:line="338" w:lineRule="auto"/>
        <w:jc w:val="left"/>
        <w:sectPr>
          <w:footerReference w:type="default" r:id="rId44"/>
          <w:pgSz w:w="11910" w:h="16840"/>
          <w:pgMar w:footer="1003" w:header="883" w:top="1540" w:bottom="1200" w:left="1220" w:right="1060"/>
          <w:pgNumType w:start="17"/>
        </w:sectPr>
      </w:pPr>
    </w:p>
    <w:p>
      <w:pPr>
        <w:spacing w:line="240" w:lineRule="auto" w:before="10"/>
        <w:rPr>
          <w:rFonts w:ascii="宋体" w:hAnsi="宋体" w:cs="宋体" w:eastAsia="宋体" w:hint="default"/>
          <w:sz w:val="8"/>
          <w:szCs w:val="8"/>
        </w:rPr>
      </w:pPr>
    </w:p>
    <w:p>
      <w:pPr>
        <w:pStyle w:val="Heading6"/>
        <w:tabs>
          <w:tab w:pos="1401" w:val="left" w:leader="none"/>
        </w:tabs>
        <w:spacing w:line="240" w:lineRule="auto"/>
        <w:ind w:left="863" w:right="91"/>
        <w:jc w:val="left"/>
        <w:rPr>
          <w:b w:val="0"/>
          <w:bCs w:val="0"/>
        </w:rPr>
      </w:pPr>
      <w:r>
        <w:rPr>
          <w:rFonts w:ascii="Times New Roman" w:hAnsi="Times New Roman" w:cs="Times New Roman" w:eastAsia="Times New Roman" w:hint="default"/>
          <w:w w:val="95"/>
        </w:rPr>
        <w:t>6</w:t>
      </w:r>
      <w:r>
        <w:rPr>
          <w:w w:val="95"/>
        </w:rPr>
        <w:t>、</w:t>
        <w:tab/>
      </w:r>
      <w:r>
        <w:rPr>
          <w:spacing w:val="1"/>
        </w:rPr>
        <w:t>其他说明</w:t>
      </w:r>
      <w:r>
        <w:rPr>
          <w:b w:val="0"/>
          <w:bCs w:val="0"/>
        </w:rPr>
      </w:r>
    </w:p>
    <w:p>
      <w:pPr>
        <w:pStyle w:val="BodyText"/>
        <w:spacing w:line="338" w:lineRule="auto" w:before="110"/>
        <w:ind w:right="168" w:hanging="1"/>
        <w:jc w:val="both"/>
      </w:pPr>
      <w:r>
        <w:rPr/>
        <w:t>自</w:t>
      </w:r>
      <w:r>
        <w:rPr>
          <w:spacing w:val="-51"/>
        </w:rPr>
        <w:t> </w:t>
      </w:r>
      <w:r>
        <w:rPr>
          <w:rFonts w:ascii="Times New Roman" w:hAnsi="Times New Roman" w:cs="Times New Roman" w:eastAsia="Times New Roman" w:hint="default"/>
        </w:rPr>
        <w:t>2002</w:t>
      </w:r>
      <w:r>
        <w:rPr>
          <w:rFonts w:ascii="Times New Roman" w:hAnsi="Times New Roman" w:cs="Times New Roman" w:eastAsia="Times New Roman" w:hint="default"/>
          <w:spacing w:val="2"/>
        </w:rPr>
        <w:t> </w:t>
      </w:r>
      <w:r>
        <w:rPr/>
        <w:t>年</w:t>
      </w:r>
      <w:r>
        <w:rPr>
          <w:spacing w:val="-52"/>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1"/>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日至</w:t>
      </w:r>
      <w:r>
        <w:rPr>
          <w:spacing w:val="-51"/>
        </w:rPr>
        <w:t> </w:t>
      </w:r>
      <w:r>
        <w:rPr>
          <w:rFonts w:ascii="Times New Roman" w:hAnsi="Times New Roman" w:cs="Times New Roman" w:eastAsia="Times New Roman" w:hint="default"/>
        </w:rPr>
        <w:t>2006</w:t>
      </w:r>
      <w:r>
        <w:rPr>
          <w:rFonts w:ascii="Times New Roman" w:hAnsi="Times New Roman" w:cs="Times New Roman" w:eastAsia="Times New Roman" w:hint="default"/>
          <w:spacing w:val="2"/>
        </w:rPr>
        <w:t> </w:t>
      </w:r>
      <w:r>
        <w:rPr/>
        <w:t>年</w:t>
      </w:r>
      <w:r>
        <w:rPr>
          <w:spacing w:val="-52"/>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2"/>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日间利用土地建造自用项目时，将相关土地使用 权的账面价值于建造开始时转入在建工程核算；若尚未开始建造相关工程时，在无形资</w:t>
      </w:r>
      <w:r>
        <w:rPr>
          <w:spacing w:val="-83"/>
        </w:rPr>
        <w:t> </w:t>
      </w:r>
      <w:r>
        <w:rPr>
          <w:spacing w:val="-83"/>
        </w:rPr>
      </w:r>
      <w:r>
        <w:rPr/>
        <w:t>产项下核算并开始摊销。本公司于</w:t>
      </w:r>
      <w:r>
        <w:rPr>
          <w:spacing w:val="-5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spacing w:val="-4"/>
        </w:rPr>
        <w:t>日，对已计入房屋、建筑物成本中的土</w:t>
      </w:r>
      <w:r>
        <w:rPr/>
        <w:t> 地使用权，如符合无形资产准则规定可单独确认为无形资产的，从原资产的账面价值中</w:t>
      </w:r>
      <w:r>
        <w:rPr>
          <w:spacing w:val="-83"/>
        </w:rPr>
        <w:t> </w:t>
      </w:r>
      <w:r>
        <w:rPr>
          <w:spacing w:val="-83"/>
        </w:rPr>
      </w:r>
      <w:r>
        <w:rPr>
          <w:spacing w:val="-3"/>
        </w:rPr>
        <w:t>分离，作为无形资产列报。自</w:t>
      </w:r>
      <w:r>
        <w:rPr>
          <w:spacing w:val="-52"/>
        </w:rPr>
        <w:t> </w:t>
      </w:r>
      <w:r>
        <w:rPr>
          <w:rFonts w:ascii="Times New Roman" w:hAnsi="Times New Roman" w:cs="Times New Roman" w:eastAsia="Times New Roman" w:hint="default"/>
        </w:rPr>
        <w:t>2007 </w:t>
      </w:r>
      <w:r>
        <w:rPr/>
        <w:t>年</w:t>
      </w:r>
      <w:r>
        <w:rPr>
          <w:spacing w:val="-52"/>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3"/>
        </w:rPr>
        <w:t>日起，利用土地建造自用项目时，房屋、建</w:t>
      </w:r>
      <w:r>
        <w:rPr/>
        <w:t> 筑物成本中不再包括土地使用权成本。</w:t>
      </w:r>
    </w:p>
    <w:p>
      <w:pPr>
        <w:spacing w:line="240" w:lineRule="auto" w:before="0"/>
        <w:rPr>
          <w:rFonts w:ascii="宋体" w:hAnsi="宋体" w:cs="宋体" w:eastAsia="宋体" w:hint="default"/>
          <w:sz w:val="20"/>
          <w:szCs w:val="20"/>
        </w:rPr>
      </w:pPr>
    </w:p>
    <w:p>
      <w:pPr>
        <w:pStyle w:val="Heading6"/>
        <w:spacing w:line="240" w:lineRule="auto" w:before="177"/>
        <w:ind w:left="131" w:right="91"/>
        <w:jc w:val="left"/>
        <w:rPr>
          <w:b w:val="0"/>
          <w:bCs w:val="0"/>
        </w:rPr>
      </w:pPr>
      <w:r>
        <w:rPr>
          <w:rFonts w:ascii="Times New Roman" w:hAnsi="Times New Roman" w:cs="Times New Roman" w:eastAsia="Times New Roman" w:hint="default"/>
        </w:rPr>
        <w:t>(</w:t>
      </w:r>
      <w:r>
        <w:rPr/>
        <w:t>十八</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t>商誉</w:t>
      </w:r>
      <w:r>
        <w:rPr>
          <w:b w:val="0"/>
          <w:bCs w:val="0"/>
        </w:rPr>
      </w:r>
    </w:p>
    <w:p>
      <w:pPr>
        <w:pStyle w:val="BodyText"/>
        <w:spacing w:line="350" w:lineRule="auto" w:before="109"/>
        <w:ind w:left="863" w:right="91"/>
        <w:jc w:val="left"/>
      </w:pPr>
      <w:r>
        <w:rPr>
          <w:spacing w:val="-2"/>
        </w:rPr>
        <w:t>因非同一控制下企业合并形成的商誉，其初始成本是合并成本大于合并中取得的被购买方可辨</w:t>
      </w:r>
      <w:r>
        <w:rPr>
          <w:spacing w:val="-85"/>
        </w:rPr>
        <w:t> </w:t>
      </w:r>
      <w:r>
        <w:rPr>
          <w:spacing w:val="-85"/>
        </w:rPr>
      </w:r>
      <w:r>
        <w:rPr/>
        <w:t>认净资产公允价值份额的差额。 商誉在其相关资产组或资产组组合处置时予以转出，计入当期损益。 本公司对商誉不摊销，商誉至少在每年年度终了进行减值测试。 </w:t>
      </w:r>
      <w:r>
        <w:rPr>
          <w:spacing w:val="-2"/>
        </w:rPr>
        <w:t>本公司进行商誉减值测试，对于因企业合并形成的商誉的账面价值，自购买日起按照合理的方</w:t>
      </w:r>
      <w:r>
        <w:rPr>
          <w:spacing w:val="-83"/>
        </w:rPr>
        <w:t> </w:t>
      </w:r>
      <w:r>
        <w:rPr>
          <w:spacing w:val="-83"/>
        </w:rPr>
      </w:r>
      <w:r>
        <w:rPr>
          <w:spacing w:val="-2"/>
        </w:rPr>
        <w:t>法分摊至相关的资产组；难以分摊至相关的资产组的，将其分摊至相关的资产组组合。在将商</w:t>
      </w:r>
      <w:r>
        <w:rPr>
          <w:spacing w:val="-86"/>
        </w:rPr>
        <w:t> </w:t>
      </w:r>
      <w:r>
        <w:rPr>
          <w:spacing w:val="-86"/>
        </w:rPr>
      </w:r>
      <w:r>
        <w:rPr>
          <w:spacing w:val="-2"/>
        </w:rPr>
        <w:t>誉的账面价值分摊至相关的资产组或者资产组组合时，按照各资产组或者资产组组合的公允价</w:t>
      </w:r>
      <w:r>
        <w:rPr>
          <w:spacing w:val="-85"/>
        </w:rPr>
        <w:t> </w:t>
      </w:r>
      <w:r>
        <w:rPr>
          <w:spacing w:val="-85"/>
        </w:rPr>
      </w:r>
      <w:r>
        <w:rPr>
          <w:spacing w:val="-2"/>
        </w:rPr>
        <w:t>值占相关资产组或者资产组组合公允价值总额的比例进行分摊。公允价值难以可靠计量的，按</w:t>
      </w:r>
      <w:r>
        <w:rPr>
          <w:spacing w:val="-83"/>
        </w:rPr>
        <w:t> </w:t>
      </w:r>
      <w:r>
        <w:rPr>
          <w:spacing w:val="-83"/>
        </w:rPr>
      </w:r>
      <w:r>
        <w:rPr>
          <w:spacing w:val="3"/>
        </w:rPr>
        <w:t>照各资产组或者资产组组合的账面价值占相关资产组或者资产组组合账面价值总额的比例进</w:t>
      </w:r>
      <w:r>
        <w:rPr>
          <w:spacing w:val="-99"/>
        </w:rPr>
        <w:t> </w:t>
      </w:r>
      <w:r>
        <w:rPr>
          <w:spacing w:val="-99"/>
        </w:rPr>
      </w:r>
      <w:r>
        <w:rPr/>
        <w:t>行分摊。</w:t>
      </w:r>
      <w:r>
        <w:rPr/>
        <w:t> </w:t>
      </w:r>
      <w:r>
        <w:rPr>
          <w:spacing w:val="-2"/>
        </w:rPr>
        <w:t>在对包含商誉的相关资产组或者资产组组合进行减值测试时，如与商誉相关的资产组或者资产</w:t>
      </w:r>
      <w:r>
        <w:rPr>
          <w:spacing w:val="-85"/>
        </w:rPr>
        <w:t> </w:t>
      </w:r>
      <w:r>
        <w:rPr>
          <w:spacing w:val="-85"/>
        </w:rPr>
      </w:r>
      <w:r>
        <w:rPr>
          <w:spacing w:val="-2"/>
        </w:rPr>
        <w:t>组组合存在减值迹象的，先对不包含商誉的资产组或者资产组组合进行减值测试，计算可收回</w:t>
      </w:r>
      <w:r>
        <w:rPr>
          <w:spacing w:val="-83"/>
        </w:rPr>
        <w:t> </w:t>
      </w:r>
      <w:r>
        <w:rPr>
          <w:spacing w:val="-83"/>
        </w:rPr>
      </w:r>
      <w:r>
        <w:rPr>
          <w:spacing w:val="-2"/>
        </w:rPr>
        <w:t>金额，并与相关账面价值相比较，确认相应的减值损失。再对包含商誉的资产组或者资产组组</w:t>
      </w:r>
      <w:r>
        <w:rPr>
          <w:spacing w:val="-86"/>
        </w:rPr>
        <w:t> </w:t>
      </w:r>
      <w:r>
        <w:rPr>
          <w:spacing w:val="-86"/>
        </w:rPr>
      </w:r>
      <w:r>
        <w:rPr>
          <w:spacing w:val="-2"/>
        </w:rPr>
        <w:t>合进行减值测试，比较这些相关资产组或者资产组组合的账面价值（包括所分摊的商誉的账面</w:t>
      </w:r>
      <w:r>
        <w:rPr>
          <w:spacing w:val="-83"/>
        </w:rPr>
        <w:t> </w:t>
      </w:r>
      <w:r>
        <w:rPr>
          <w:spacing w:val="-83"/>
        </w:rPr>
      </w:r>
      <w:r>
        <w:rPr/>
        <w:t>价值部分）与其可收回金额，如相关资产组或者资产组组合的可收回金额低于其账面价值的， 确认商誉的减值损失。</w:t>
      </w:r>
    </w:p>
    <w:p>
      <w:pPr>
        <w:pStyle w:val="BodyText"/>
        <w:spacing w:line="240" w:lineRule="auto" w:before="29"/>
        <w:ind w:left="863" w:right="91"/>
        <w:jc w:val="left"/>
      </w:pPr>
      <w:r>
        <w:rPr/>
        <w:t>商誉减值损失在发生时计入当期损益，且在以后会计期间不予转回。</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6"/>
        <w:spacing w:line="240" w:lineRule="auto" w:before="0"/>
        <w:ind w:left="131" w:right="91"/>
        <w:jc w:val="left"/>
        <w:rPr>
          <w:b w:val="0"/>
          <w:bCs w:val="0"/>
        </w:rPr>
      </w:pPr>
      <w:r>
        <w:rPr>
          <w:rFonts w:ascii="Times New Roman" w:hAnsi="Times New Roman" w:cs="Times New Roman" w:eastAsia="Times New Roman" w:hint="default"/>
        </w:rPr>
        <w:t>(</w:t>
      </w:r>
      <w:r>
        <w:rPr/>
        <w:t>十九</w:t>
      </w:r>
      <w:r>
        <w:rPr>
          <w:rFonts w:ascii="Times New Roman" w:hAnsi="Times New Roman" w:cs="Times New Roman" w:eastAsia="Times New Roman" w:hint="default"/>
        </w:rPr>
        <w:t>)  </w:t>
      </w:r>
      <w:r>
        <w:rPr>
          <w:rFonts w:ascii="Times New Roman" w:hAnsi="Times New Roman" w:cs="Times New Roman" w:eastAsia="Times New Roman" w:hint="default"/>
          <w:spacing w:val="5"/>
        </w:rPr>
        <w:t> </w:t>
      </w:r>
      <w:r>
        <w:rPr/>
        <w:t>长期待摊费用</w:t>
      </w:r>
      <w:r>
        <w:rPr>
          <w:b w:val="0"/>
          <w:bCs w:val="0"/>
        </w:rPr>
      </w:r>
    </w:p>
    <w:p>
      <w:pPr>
        <w:pStyle w:val="BodyText"/>
        <w:spacing w:line="333" w:lineRule="auto" w:before="110"/>
        <w:ind w:left="863" w:right="91"/>
        <w:jc w:val="left"/>
      </w:pPr>
      <w:r>
        <w:rPr/>
        <w:t>长期待摊费用为已经发生但应由本期和以后各期负担的分摊期限在一年以上的各项费用。 </w:t>
      </w:r>
      <w:r>
        <w:rPr>
          <w:spacing w:val="-5"/>
          <w:sz w:val="24"/>
          <w:szCs w:val="24"/>
        </w:rPr>
        <w:t>长期待摊</w:t>
      </w:r>
      <w:r>
        <w:rPr>
          <w:spacing w:val="-5"/>
        </w:rPr>
        <w:t>费用包括装修费、经营租入固定资产改良支出等已经支出但摊销期限在一年以上（不</w:t>
      </w:r>
      <w:r>
        <w:rPr>
          <w:spacing w:val="-80"/>
        </w:rPr>
        <w:t> </w:t>
      </w:r>
      <w:r>
        <w:rPr>
          <w:spacing w:val="-80"/>
        </w:rPr>
      </w:r>
      <w:r>
        <w:rPr>
          <w:spacing w:val="-2"/>
        </w:rPr>
        <w:t>含一年）的各类费用，按预计受益期间分期平均摊销，并以实际支出减去累计摊销后的净额列</w:t>
      </w:r>
      <w:r>
        <w:rPr>
          <w:spacing w:val="-86"/>
        </w:rPr>
        <w:t> </w:t>
      </w:r>
      <w:r>
        <w:rPr>
          <w:spacing w:val="-86"/>
        </w:rPr>
      </w:r>
      <w:r>
        <w:rPr>
          <w:spacing w:val="-2"/>
        </w:rPr>
        <w:t>示。如果长期待摊费用不能使以后会计期间受益的，将尚未摊销的该项目的摊余价值全部转入</w:t>
      </w:r>
    </w:p>
    <w:p>
      <w:pPr>
        <w:pStyle w:val="BodyText"/>
        <w:spacing w:line="240" w:lineRule="auto" w:before="43"/>
        <w:ind w:left="863" w:right="91"/>
        <w:jc w:val="left"/>
      </w:pPr>
      <w:r>
        <w:rPr/>
        <w:t>当期损益。</w:t>
      </w:r>
    </w:p>
    <w:p>
      <w:pPr>
        <w:spacing w:after="0" w:line="240" w:lineRule="auto"/>
        <w:jc w:val="left"/>
        <w:sectPr>
          <w:pgSz w:w="11910" w:h="16840"/>
          <w:pgMar w:header="883" w:footer="1003" w:top="1540" w:bottom="1200" w:left="1220" w:right="1100"/>
        </w:sectPr>
      </w:pPr>
    </w:p>
    <w:p>
      <w:pPr>
        <w:spacing w:line="240" w:lineRule="auto" w:before="13"/>
        <w:rPr>
          <w:rFonts w:ascii="宋体" w:hAnsi="宋体" w:cs="宋体" w:eastAsia="宋体" w:hint="default"/>
          <w:sz w:val="7"/>
          <w:szCs w:val="7"/>
        </w:rPr>
      </w:pPr>
    </w:p>
    <w:p>
      <w:pPr>
        <w:pStyle w:val="Heading6"/>
        <w:spacing w:line="240" w:lineRule="auto"/>
        <w:ind w:left="131" w:right="194"/>
        <w:jc w:val="left"/>
        <w:rPr>
          <w:b w:val="0"/>
          <w:bCs w:val="0"/>
        </w:rPr>
      </w:pPr>
      <w:r>
        <w:rPr>
          <w:rFonts w:ascii="Times New Roman" w:hAnsi="Times New Roman" w:cs="Times New Roman" w:eastAsia="Times New Roman" w:hint="default"/>
        </w:rPr>
        <w:t>(</w:t>
      </w:r>
      <w:r>
        <w:rPr/>
        <w:t>二十</w:t>
      </w:r>
      <w:r>
        <w:rPr>
          <w:rFonts w:ascii="Times New Roman" w:hAnsi="Times New Roman" w:cs="Times New Roman" w:eastAsia="Times New Roman" w:hint="default"/>
        </w:rPr>
        <w:t>)  </w:t>
      </w:r>
      <w:r>
        <w:rPr>
          <w:rFonts w:ascii="Times New Roman" w:hAnsi="Times New Roman" w:cs="Times New Roman" w:eastAsia="Times New Roman" w:hint="default"/>
          <w:spacing w:val="8"/>
        </w:rPr>
        <w:t> </w:t>
      </w:r>
      <w:r>
        <w:rPr/>
        <w:t>预计负债</w:t>
      </w:r>
      <w:r>
        <w:rPr>
          <w:b w:val="0"/>
          <w:bCs w:val="0"/>
        </w:rPr>
      </w:r>
    </w:p>
    <w:p>
      <w:pPr>
        <w:pStyle w:val="BodyText"/>
        <w:spacing w:line="240" w:lineRule="auto" w:before="99"/>
        <w:ind w:left="863" w:right="194"/>
        <w:jc w:val="left"/>
      </w:pPr>
      <w:r>
        <w:rPr/>
        <w:t>与或有事项相关的义务同时满足下列条件时，本公司确认为预计负债：</w:t>
      </w:r>
    </w:p>
    <w:p>
      <w:pPr>
        <w:pStyle w:val="BodyText"/>
        <w:spacing w:line="240" w:lineRule="auto" w:before="115"/>
        <w:ind w:left="863" w:right="194"/>
        <w:jc w:val="left"/>
      </w:pPr>
      <w:r>
        <w:rPr/>
        <w:t>（</w:t>
      </w:r>
      <w:r>
        <w:rPr>
          <w:rFonts w:ascii="Times New Roman" w:hAnsi="Times New Roman" w:cs="Times New Roman" w:eastAsia="Times New Roman" w:hint="default"/>
        </w:rPr>
        <w:t>1</w:t>
      </w:r>
      <w:r>
        <w:rPr/>
        <w:t>）该义务是本公司承担的现时义务；</w:t>
      </w:r>
    </w:p>
    <w:p>
      <w:pPr>
        <w:pStyle w:val="BodyText"/>
        <w:spacing w:line="240" w:lineRule="auto" w:before="99"/>
        <w:ind w:left="863" w:right="194"/>
        <w:jc w:val="left"/>
      </w:pPr>
      <w:r>
        <w:rPr/>
        <w:t>（</w:t>
      </w:r>
      <w:r>
        <w:rPr>
          <w:rFonts w:ascii="Times New Roman" w:hAnsi="Times New Roman" w:cs="Times New Roman" w:eastAsia="Times New Roman" w:hint="default"/>
        </w:rPr>
        <w:t>2</w:t>
      </w:r>
      <w:r>
        <w:rPr/>
        <w:t>）履行该义务很可能导致经济利益流出本公司；</w:t>
      </w:r>
    </w:p>
    <w:p>
      <w:pPr>
        <w:pStyle w:val="BodyText"/>
        <w:spacing w:line="333" w:lineRule="auto" w:before="99"/>
        <w:ind w:left="863" w:right="194" w:hanging="1"/>
        <w:jc w:val="left"/>
      </w:pPr>
      <w:r>
        <w:rPr/>
        <w:t>（</w:t>
      </w:r>
      <w:r>
        <w:rPr>
          <w:rFonts w:ascii="Times New Roman" w:hAnsi="Times New Roman" w:cs="Times New Roman" w:eastAsia="Times New Roman" w:hint="default"/>
        </w:rPr>
        <w:t>3</w:t>
      </w:r>
      <w:r>
        <w:rPr/>
        <w:t>）该义务的金额能够可靠地计量。 </w:t>
      </w:r>
      <w:r>
        <w:rPr>
          <w:spacing w:val="-2"/>
        </w:rPr>
        <w:t>本公司预计负债主要是很可能发生的产品质量保证形成的负债。本公司依照以往的经验对保质</w:t>
      </w:r>
      <w:r>
        <w:rPr>
          <w:spacing w:val="-86"/>
        </w:rPr>
        <w:t> </w:t>
      </w:r>
      <w:r>
        <w:rPr>
          <w:spacing w:val="-86"/>
        </w:rPr>
      </w:r>
      <w:r>
        <w:rPr>
          <w:spacing w:val="-2"/>
        </w:rPr>
        <w:t>期间所发生的人工及差旅等成本和费用依营业收入的一定比例计算预计负债金额。产品质量保</w:t>
      </w:r>
      <w:r>
        <w:rPr>
          <w:spacing w:val="-86"/>
        </w:rPr>
        <w:t> </w:t>
      </w:r>
      <w:r>
        <w:rPr>
          <w:spacing w:val="-86"/>
        </w:rPr>
      </w:r>
      <w:r>
        <w:rPr/>
        <w:t>证的硬件部分在保质期间一般由原供货商负责。</w:t>
      </w:r>
    </w:p>
    <w:p>
      <w:pPr>
        <w:spacing w:line="240" w:lineRule="auto" w:before="0"/>
        <w:rPr>
          <w:rFonts w:ascii="宋体" w:hAnsi="宋体" w:cs="宋体" w:eastAsia="宋体" w:hint="default"/>
          <w:sz w:val="20"/>
          <w:szCs w:val="20"/>
        </w:rPr>
      </w:pPr>
    </w:p>
    <w:p>
      <w:pPr>
        <w:pStyle w:val="BodyText"/>
        <w:tabs>
          <w:tab w:pos="1405" w:val="left" w:leader="none"/>
        </w:tabs>
        <w:spacing w:line="328" w:lineRule="auto" w:before="161"/>
        <w:ind w:left="863" w:right="210" w:hanging="732"/>
        <w:jc w:val="left"/>
      </w:pPr>
      <w:r>
        <w:rPr>
          <w:rFonts w:ascii="Times New Roman" w:hAnsi="Times New Roman" w:cs="Times New Roman" w:eastAsia="Times New Roman" w:hint="default"/>
          <w:b/>
          <w:bCs/>
          <w:w w:val="95"/>
        </w:rPr>
        <w:t>(</w:t>
      </w:r>
      <w:r>
        <w:rPr>
          <w:rFonts w:ascii="宋体" w:hAnsi="宋体" w:cs="宋体" w:eastAsia="宋体" w:hint="default"/>
          <w:b/>
          <w:bCs/>
          <w:w w:val="95"/>
        </w:rPr>
        <w:t>二十一</w:t>
      </w:r>
      <w:r>
        <w:rPr>
          <w:rFonts w:ascii="Times New Roman" w:hAnsi="Times New Roman" w:cs="Times New Roman" w:eastAsia="Times New Roman" w:hint="default"/>
          <w:b/>
          <w:bCs/>
          <w:w w:val="95"/>
        </w:rPr>
        <w:t>)</w:t>
        <w:tab/>
      </w:r>
      <w:r>
        <w:rPr>
          <w:rFonts w:ascii="宋体" w:hAnsi="宋体" w:cs="宋体" w:eastAsia="宋体" w:hint="default"/>
          <w:b/>
          <w:bCs/>
        </w:rPr>
        <w:t>股份支付及权益工具</w:t>
      </w:r>
      <w:r>
        <w:rPr>
          <w:rFonts w:ascii="宋体" w:hAnsi="宋体" w:cs="宋体" w:eastAsia="宋体" w:hint="default"/>
          <w:b/>
          <w:bCs/>
          <w:spacing w:val="1"/>
          <w:w w:val="99"/>
        </w:rPr>
        <w:t> </w:t>
      </w:r>
      <w:r>
        <w:rPr/>
        <w:t>本公司的股份支付是为了获取职工</w:t>
      </w:r>
      <w:r>
        <w:rPr>
          <w:rFonts w:ascii="Times New Roman" w:hAnsi="Times New Roman" w:cs="Times New Roman" w:eastAsia="Times New Roman" w:hint="default"/>
        </w:rPr>
        <w:t>[</w:t>
      </w:r>
      <w:r>
        <w:rPr/>
        <w:t>或其他方</w:t>
      </w:r>
      <w:r>
        <w:rPr>
          <w:rFonts w:ascii="Times New Roman" w:hAnsi="Times New Roman" w:cs="Times New Roman" w:eastAsia="Times New Roman" w:hint="default"/>
        </w:rPr>
        <w:t>]</w:t>
      </w:r>
      <w:r>
        <w:rPr/>
        <w:t>提供服务而授予权益工具或者承担以权益工具为 </w:t>
      </w:r>
      <w:r>
        <w:rPr>
          <w:spacing w:val="-2"/>
        </w:rPr>
        <w:t>基础确定的负债的交易。本公司的股份支付分为以权益结算的股份支付和以现金结算的股份支</w:t>
      </w:r>
      <w:r>
        <w:rPr/>
        <w:t> 付。</w:t>
      </w:r>
    </w:p>
    <w:p>
      <w:pPr>
        <w:pStyle w:val="BodyText"/>
        <w:tabs>
          <w:tab w:pos="1401" w:val="left" w:leader="none"/>
        </w:tabs>
        <w:spacing w:line="340" w:lineRule="auto" w:before="37"/>
        <w:ind w:right="104" w:hanging="543"/>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以权益结算的股份支付及权益工具</w:t>
      </w:r>
      <w:r>
        <w:rPr>
          <w:rFonts w:ascii="宋体" w:hAnsi="宋体" w:cs="宋体" w:eastAsia="宋体" w:hint="default"/>
          <w:b/>
          <w:bCs/>
          <w:w w:val="99"/>
        </w:rPr>
        <w:t> </w:t>
      </w:r>
      <w:r>
        <w:rPr/>
        <w:t>以权益结算的股份支付换取职工提供服务的，以授予职工权益工具的公允价值计量。授</w:t>
      </w:r>
      <w:r>
        <w:rPr>
          <w:spacing w:val="1"/>
        </w:rPr>
        <w:t> </w:t>
      </w:r>
      <w:r>
        <w:rPr/>
        <w:t>予后立即可行权的，在授予日按照公允价值计入相关成本或费用，相应增加资本公积；</w:t>
      </w:r>
      <w:r>
        <w:rPr>
          <w:spacing w:val="1"/>
        </w:rPr>
        <w:t> </w:t>
      </w:r>
      <w:r>
        <w:rPr/>
        <w:t>完成等待期内的服务或达到规定业绩条件才可行权的，在等待期内每个资产负债表日，</w:t>
      </w:r>
      <w:r>
        <w:rPr>
          <w:spacing w:val="1"/>
        </w:rPr>
        <w:t> </w:t>
      </w:r>
      <w:r>
        <w:rPr/>
        <w:t>本公司根据最新取得的是否达到规定业绩条件等后续信息对可行权权益工具数量作出最</w:t>
      </w:r>
      <w:r>
        <w:rPr>
          <w:spacing w:val="1"/>
        </w:rPr>
        <w:t> </w:t>
      </w:r>
      <w:r>
        <w:rPr>
          <w:spacing w:val="-3"/>
        </w:rPr>
        <w:t>佳估计，以此为基础，按照授予日的公允价值，将当期取得的服务计入相关成本或费用，</w:t>
      </w:r>
      <w:r>
        <w:rPr/>
        <w:t> 相应增加资本公积。 在满足业绩条件或服务期限条件的期间，应确认以权益结算的股份支付的成本或费用，</w:t>
      </w:r>
      <w:r>
        <w:rPr>
          <w:spacing w:val="1"/>
        </w:rPr>
        <w:t> </w:t>
      </w:r>
      <w:r>
        <w:rPr/>
        <w:t>并相应增加资本公积。可行权日之前，于每个资产负债表日为以权益结算的股份支付确</w:t>
      </w:r>
      <w:r>
        <w:rPr>
          <w:spacing w:val="1"/>
        </w:rPr>
        <w:t> </w:t>
      </w:r>
      <w:r>
        <w:rPr/>
        <w:t>认的累计金额反映了等待期已届满的部分以及本公司对最终可行权的权益工具数量的最</w:t>
      </w:r>
      <w:r>
        <w:rPr>
          <w:spacing w:val="1"/>
        </w:rPr>
        <w:t> </w:t>
      </w:r>
      <w:r>
        <w:rPr/>
        <w:t>佳估计。</w:t>
      </w:r>
      <w:r>
        <w:rPr/>
        <w:t> 对于最终未能行权的股份支付，不确认成本或费用，除非行权条件是市场条件或非可行</w:t>
      </w:r>
      <w:r>
        <w:rPr>
          <w:spacing w:val="1"/>
        </w:rPr>
        <w:t> </w:t>
      </w:r>
      <w:r>
        <w:rPr/>
        <w:t>权条件，此时无论是否满足市场条件或非可行权条件，只要满足所有可行权条件中的非</w:t>
      </w:r>
      <w:r>
        <w:rPr>
          <w:spacing w:val="1"/>
        </w:rPr>
        <w:t> </w:t>
      </w:r>
      <w:r>
        <w:rPr/>
        <w:t>市场条件，即视为可行权。</w:t>
      </w:r>
      <w:r>
        <w:rPr/>
        <w:t> </w:t>
      </w:r>
      <w:r>
        <w:rPr>
          <w:spacing w:val="-2"/>
        </w:rPr>
        <w:t>如果修改了以权益结算的股份支付的条款，至少按照未修改条款的情况确认取得的服务。</w:t>
      </w:r>
      <w:r>
        <w:rPr/>
        <w:t> 此外，任何增加所授予权益工具公允价值的修改，或在修改日对职工有利的变更，均确</w:t>
      </w:r>
      <w:r>
        <w:rPr>
          <w:spacing w:val="1"/>
        </w:rPr>
        <w:t> </w:t>
      </w:r>
      <w:r>
        <w:rPr/>
        <w:t>认取得服务的增加。</w:t>
      </w:r>
      <w:r>
        <w:rPr/>
        <w:t> 如果取消了以权益结算的股份支付，则于取消日作为加速行权处理，立即确认尚未确认</w:t>
      </w:r>
      <w:r>
        <w:rPr>
          <w:spacing w:val="1"/>
        </w:rPr>
        <w:t> </w:t>
      </w:r>
      <w:r>
        <w:rPr/>
        <w:t>的金额。职工或其他方能够选择满足非可行权条件但在等待期内未满足的，作为取消以</w:t>
      </w:r>
      <w:r>
        <w:rPr>
          <w:spacing w:val="1"/>
        </w:rPr>
        <w:t> </w:t>
      </w:r>
      <w:r>
        <w:rPr/>
        <w:t>权益结算的股份支付处理。但是，如果授予新的权益工具，并在新权益工具授予日认定</w:t>
      </w:r>
      <w:r>
        <w:rPr>
          <w:spacing w:val="1"/>
        </w:rPr>
        <w:t> </w:t>
      </w:r>
      <w:r>
        <w:rPr/>
        <w:t>所授予的新权益工具是用于替代被取消的权益工具的，则以与处理原权益工具条款和条</w:t>
      </w:r>
      <w:r>
        <w:rPr>
          <w:spacing w:val="1"/>
        </w:rPr>
        <w:t> </w:t>
      </w:r>
      <w:r>
        <w:rPr/>
        <w:t>件修改相同的方式，对所授予的替代权益工具进行处理。</w:t>
      </w:r>
    </w:p>
    <w:p>
      <w:pPr>
        <w:spacing w:after="0" w:line="340" w:lineRule="auto"/>
        <w:jc w:val="left"/>
        <w:sectPr>
          <w:pgSz w:w="11910" w:h="16840"/>
          <w:pgMar w:header="883" w:footer="1003" w:top="1540" w:bottom="1200" w:left="1220" w:right="1060"/>
        </w:sectPr>
      </w:pPr>
    </w:p>
    <w:p>
      <w:pPr>
        <w:spacing w:line="240" w:lineRule="auto" w:before="10"/>
        <w:rPr>
          <w:rFonts w:ascii="宋体" w:hAnsi="宋体" w:cs="宋体" w:eastAsia="宋体" w:hint="default"/>
          <w:sz w:val="8"/>
          <w:szCs w:val="8"/>
        </w:rPr>
      </w:pPr>
    </w:p>
    <w:p>
      <w:pPr>
        <w:pStyle w:val="BodyText"/>
        <w:tabs>
          <w:tab w:pos="1401" w:val="left" w:leader="none"/>
        </w:tabs>
        <w:spacing w:line="345" w:lineRule="auto"/>
        <w:ind w:right="104" w:hanging="543"/>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以现金结算的股份支付及权益工具</w:t>
      </w:r>
      <w:r>
        <w:rPr>
          <w:rFonts w:ascii="宋体" w:hAnsi="宋体" w:cs="宋体" w:eastAsia="宋体" w:hint="default"/>
          <w:b/>
          <w:bCs/>
          <w:w w:val="99"/>
        </w:rPr>
        <w:t> </w:t>
      </w:r>
      <w:r>
        <w:rPr/>
        <w:t>以现金结算的股份支付，按照本公司承担的以股份或其他权益工具为基础计算确定的负</w:t>
      </w:r>
      <w:r>
        <w:rPr>
          <w:spacing w:val="1"/>
        </w:rPr>
        <w:t> </w:t>
      </w:r>
      <w:r>
        <w:rPr/>
        <w:t>债的公允价值计量。授予后立即可行权的，在授予日以承担负债的公允价值计入成本或</w:t>
      </w:r>
      <w:r>
        <w:rPr>
          <w:spacing w:val="1"/>
        </w:rPr>
        <w:t> </w:t>
      </w:r>
      <w:r>
        <w:rPr/>
        <w:t>费用，相应增加负债；完成等待期内的服务或达到规定业绩条件才可行权的，在等待期</w:t>
      </w:r>
      <w:r>
        <w:rPr>
          <w:spacing w:val="1"/>
        </w:rPr>
        <w:t> </w:t>
      </w:r>
      <w:r>
        <w:rPr/>
        <w:t>内以对可行权情况的最佳估计为基础，按照承担负债的公允价值，将当期取得的服务计</w:t>
      </w:r>
      <w:r>
        <w:rPr>
          <w:spacing w:val="1"/>
        </w:rPr>
        <w:t> </w:t>
      </w:r>
      <w:r>
        <w:rPr>
          <w:spacing w:val="-3"/>
        </w:rPr>
        <w:t>入相关成本或费用，增加相应负债。在相关负债结算前的每个资产负债表日以及结算日，</w:t>
      </w:r>
      <w:r>
        <w:rPr/>
        <w:t> 对负债的公允价值重新计量，其变动计入当期损益。</w:t>
      </w:r>
    </w:p>
    <w:p>
      <w:pPr>
        <w:spacing w:line="240" w:lineRule="auto" w:before="0"/>
        <w:rPr>
          <w:rFonts w:ascii="宋体" w:hAnsi="宋体" w:cs="宋体" w:eastAsia="宋体" w:hint="default"/>
          <w:sz w:val="20"/>
          <w:szCs w:val="20"/>
        </w:rPr>
      </w:pPr>
    </w:p>
    <w:p>
      <w:pPr>
        <w:pStyle w:val="BodyText"/>
        <w:tabs>
          <w:tab w:pos="1405" w:val="left" w:leader="none"/>
        </w:tabs>
        <w:spacing w:line="343" w:lineRule="auto" w:before="171"/>
        <w:ind w:left="851" w:right="210" w:hanging="720"/>
        <w:jc w:val="left"/>
      </w:pPr>
      <w:r>
        <w:rPr>
          <w:rFonts w:ascii="Times New Roman" w:hAnsi="Times New Roman" w:cs="Times New Roman" w:eastAsia="Times New Roman" w:hint="default"/>
          <w:b/>
          <w:bCs/>
          <w:w w:val="95"/>
        </w:rPr>
        <w:t>(</w:t>
      </w:r>
      <w:r>
        <w:rPr>
          <w:rFonts w:ascii="宋体" w:hAnsi="宋体" w:cs="宋体" w:eastAsia="宋体" w:hint="default"/>
          <w:b/>
          <w:bCs/>
          <w:w w:val="95"/>
        </w:rPr>
        <w:t>二十二</w:t>
      </w:r>
      <w:r>
        <w:rPr>
          <w:rFonts w:ascii="Times New Roman" w:hAnsi="Times New Roman" w:cs="Times New Roman" w:eastAsia="Times New Roman" w:hint="default"/>
          <w:b/>
          <w:bCs/>
          <w:w w:val="95"/>
        </w:rPr>
        <w:t>)</w:t>
        <w:tab/>
      </w:r>
      <w:r>
        <w:rPr>
          <w:rFonts w:ascii="宋体" w:hAnsi="宋体" w:cs="宋体" w:eastAsia="宋体" w:hint="default"/>
          <w:b/>
          <w:bCs/>
        </w:rPr>
        <w:t>收入</w:t>
      </w:r>
      <w:r>
        <w:rPr>
          <w:rFonts w:ascii="宋体" w:hAnsi="宋体" w:cs="宋体" w:eastAsia="宋体" w:hint="default"/>
          <w:b/>
          <w:bCs/>
          <w:spacing w:val="1"/>
          <w:w w:val="99"/>
        </w:rPr>
        <w:t> </w:t>
      </w:r>
      <w:r>
        <w:rPr>
          <w:spacing w:val="-2"/>
        </w:rPr>
        <w:t>本公司业务收入主要包括系统集成合同收入、软件产品销售收入、医疗系统产品销售收入、软</w:t>
      </w:r>
      <w:r>
        <w:rPr/>
        <w:t> </w:t>
      </w:r>
      <w:r>
        <w:rPr>
          <w:spacing w:val="-2"/>
        </w:rPr>
        <w:t>件开发及其他劳务收入、物业服务及租金收入、广告收入等。业务收入以扣除销售折扣后之净</w:t>
      </w:r>
      <w:r>
        <w:rPr/>
        <w:t> 额列示。各项收入确认的基础如下：</w:t>
      </w:r>
    </w:p>
    <w:p>
      <w:pPr>
        <w:pStyle w:val="BodyText"/>
        <w:tabs>
          <w:tab w:pos="1401" w:val="left" w:leader="none"/>
        </w:tabs>
        <w:spacing w:line="345" w:lineRule="auto" w:before="34"/>
        <w:ind w:right="208" w:hanging="543"/>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系统集成合同收入</w:t>
      </w:r>
      <w:r>
        <w:rPr>
          <w:rFonts w:ascii="宋体" w:hAnsi="宋体" w:cs="宋体" w:eastAsia="宋体" w:hint="default"/>
          <w:b/>
          <w:bCs/>
          <w:spacing w:val="1"/>
          <w:w w:val="99"/>
        </w:rPr>
        <w:t> </w:t>
      </w:r>
      <w:r>
        <w:rPr/>
        <w:t>根据建造合同准则，本公司对于在建的系统集成开发项目按完工百分比法确认收入。当</w:t>
      </w:r>
      <w:r>
        <w:rPr>
          <w:spacing w:val="1"/>
        </w:rPr>
        <w:t> </w:t>
      </w:r>
      <w:r>
        <w:rPr/>
        <w:t>一系统集成开发项目合同的最终结果能可靠地估计时，则根据完工百分比法在资产负债</w:t>
      </w:r>
      <w:r>
        <w:rPr>
          <w:spacing w:val="1"/>
        </w:rPr>
        <w:t> </w:t>
      </w:r>
      <w:r>
        <w:rPr/>
        <w:t>日确认该合同项目的收入与费用。完工进度依据已完成的合同工作量占合同预计总工作</w:t>
      </w:r>
      <w:r>
        <w:rPr>
          <w:spacing w:val="1"/>
        </w:rPr>
        <w:t> </w:t>
      </w:r>
      <w:r>
        <w:rPr/>
        <w:t>量的比例衡量。</w:t>
      </w:r>
    </w:p>
    <w:p>
      <w:pPr>
        <w:pStyle w:val="BodyText"/>
        <w:spacing w:line="240" w:lineRule="auto" w:before="32"/>
        <w:ind w:right="194"/>
        <w:jc w:val="left"/>
      </w:pPr>
      <w:r>
        <w:rPr/>
        <w:t>如果合同的最终结果不能可靠地估计，则区别下列情况处理：</w:t>
      </w:r>
    </w:p>
    <w:p>
      <w:pPr>
        <w:pStyle w:val="BodyText"/>
        <w:spacing w:line="331" w:lineRule="auto" w:before="125"/>
        <w:ind w:right="194"/>
        <w:jc w:val="left"/>
      </w:pPr>
      <w:r>
        <w:rPr>
          <w:spacing w:val="-3"/>
        </w:rPr>
        <w:t>（</w:t>
      </w:r>
      <w:r>
        <w:rPr>
          <w:rFonts w:ascii="Times New Roman" w:hAnsi="Times New Roman" w:cs="Times New Roman" w:eastAsia="Times New Roman" w:hint="default"/>
          <w:spacing w:val="-3"/>
        </w:rPr>
        <w:t>1</w:t>
      </w:r>
      <w:r>
        <w:rPr>
          <w:spacing w:val="-3"/>
        </w:rPr>
        <w:t>）合同成本能够收回的，合同销售收入根据能够收回的实际合同成本加以确认，合并</w:t>
      </w:r>
      <w:r>
        <w:rPr>
          <w:spacing w:val="-69"/>
        </w:rPr>
        <w:t> </w:t>
      </w:r>
      <w:r>
        <w:rPr>
          <w:spacing w:val="-69"/>
        </w:rPr>
      </w:r>
      <w:r>
        <w:rPr/>
        <w:t>成本则在其发生的当年度确认为费用；</w:t>
      </w:r>
    </w:p>
    <w:p>
      <w:pPr>
        <w:pStyle w:val="BodyText"/>
        <w:spacing w:line="345" w:lineRule="auto" w:before="45"/>
        <w:ind w:right="115" w:hanging="1"/>
        <w:jc w:val="left"/>
      </w:pPr>
      <w:r>
        <w:rPr/>
        <w:t>（</w:t>
      </w:r>
      <w:r>
        <w:rPr>
          <w:rFonts w:ascii="Times New Roman" w:hAnsi="Times New Roman" w:cs="Times New Roman" w:eastAsia="Times New Roman" w:hint="default"/>
        </w:rPr>
        <w:t>2</w:t>
      </w:r>
      <w:r>
        <w:rPr/>
        <w:t>）合同成本不能收回的，则在发生时立即确认为当年度费用，不确认合同销售收入。 在资产负债表日，按照合同总收入乘以完工进度扣除以前会计期间累计已确认收入后的</w:t>
      </w:r>
      <w:r>
        <w:rPr>
          <w:spacing w:val="-83"/>
        </w:rPr>
        <w:t> </w:t>
      </w:r>
      <w:r>
        <w:rPr>
          <w:spacing w:val="-83"/>
        </w:rPr>
      </w:r>
      <w:r>
        <w:rPr/>
        <w:t>金额，确认为当期合同收入；同时，按照累计实际发生的合同成本扣除以前会计期间累</w:t>
      </w:r>
      <w:r>
        <w:rPr>
          <w:spacing w:val="-83"/>
        </w:rPr>
        <w:t> </w:t>
      </w:r>
      <w:r>
        <w:rPr>
          <w:spacing w:val="-83"/>
        </w:rPr>
      </w:r>
      <w:r>
        <w:rPr/>
        <w:t>计已确认费用后的金额，确认为当期合同费用。合同预计总成本超过合同总收入的，将</w:t>
      </w:r>
      <w:r>
        <w:rPr>
          <w:spacing w:val="-83"/>
        </w:rPr>
        <w:t> </w:t>
      </w:r>
      <w:r>
        <w:rPr>
          <w:spacing w:val="-83"/>
        </w:rPr>
      </w:r>
      <w:r>
        <w:rPr/>
        <w:t>预计损失确认为当期费用。</w:t>
      </w:r>
    </w:p>
    <w:p>
      <w:pPr>
        <w:spacing w:line="240" w:lineRule="auto" w:before="0"/>
        <w:rPr>
          <w:rFonts w:ascii="宋体" w:hAnsi="宋体" w:cs="宋体" w:eastAsia="宋体" w:hint="default"/>
          <w:sz w:val="20"/>
          <w:szCs w:val="20"/>
        </w:rPr>
      </w:pPr>
    </w:p>
    <w:p>
      <w:pPr>
        <w:pStyle w:val="BodyText"/>
        <w:tabs>
          <w:tab w:pos="1401" w:val="left" w:leader="none"/>
        </w:tabs>
        <w:spacing w:line="343" w:lineRule="auto" w:before="171"/>
        <w:ind w:right="208" w:hanging="543"/>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软件产品销售收入</w:t>
      </w:r>
      <w:r>
        <w:rPr>
          <w:rFonts w:ascii="宋体" w:hAnsi="宋体" w:cs="宋体" w:eastAsia="宋体" w:hint="default"/>
          <w:b/>
          <w:bCs/>
          <w:spacing w:val="1"/>
          <w:w w:val="99"/>
        </w:rPr>
        <w:t> </w:t>
      </w:r>
      <w:r>
        <w:rPr/>
        <w:t>软件产品的销售收入在已将软件产品所有权上的主要风险和报酬转移给购货方，并且不</w:t>
      </w:r>
      <w:r>
        <w:rPr>
          <w:spacing w:val="1"/>
        </w:rPr>
        <w:t> </w:t>
      </w:r>
      <w:r>
        <w:rPr/>
        <w:t>再对该产品实施继续管理和控制，与交易相关的经济利益能够流入本公司，相关的收入</w:t>
      </w:r>
      <w:r>
        <w:rPr>
          <w:spacing w:val="1"/>
        </w:rPr>
        <w:t> </w:t>
      </w:r>
      <w:r>
        <w:rPr/>
        <w:t>和成本能够可靠计量时确认销售收入的实现。</w:t>
      </w:r>
    </w:p>
    <w:p>
      <w:pPr>
        <w:spacing w:line="240" w:lineRule="auto" w:before="0"/>
        <w:rPr>
          <w:rFonts w:ascii="宋体" w:hAnsi="宋体" w:cs="宋体" w:eastAsia="宋体" w:hint="default"/>
          <w:sz w:val="20"/>
          <w:szCs w:val="20"/>
        </w:rPr>
      </w:pPr>
    </w:p>
    <w:p>
      <w:pPr>
        <w:tabs>
          <w:tab w:pos="1401" w:val="left" w:leader="none"/>
        </w:tabs>
        <w:spacing w:line="338" w:lineRule="auto" w:before="173"/>
        <w:ind w:left="1405" w:right="208"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医疗系统产品销售收入</w:t>
      </w:r>
      <w:r>
        <w:rPr>
          <w:rFonts w:ascii="宋体" w:hAnsi="宋体" w:cs="宋体" w:eastAsia="宋体" w:hint="default"/>
          <w:b/>
          <w:bCs/>
          <w:w w:val="99"/>
          <w:sz w:val="21"/>
          <w:szCs w:val="21"/>
        </w:rPr>
        <w:t> </w:t>
      </w:r>
      <w:r>
        <w:rPr>
          <w:rFonts w:ascii="宋体" w:hAnsi="宋体" w:cs="宋体" w:eastAsia="宋体" w:hint="default"/>
          <w:sz w:val="21"/>
          <w:szCs w:val="21"/>
        </w:rPr>
        <w:t>医疗系统产品的销售收入于医疗系统产品的安装调试工作完成并将主要风险及报酬转移</w:t>
      </w:r>
      <w:r>
        <w:rPr>
          <w:rFonts w:ascii="宋体" w:hAnsi="宋体" w:cs="宋体" w:eastAsia="宋体" w:hint="default"/>
          <w:spacing w:val="1"/>
          <w:sz w:val="21"/>
          <w:szCs w:val="21"/>
        </w:rPr>
        <w:t> </w:t>
      </w:r>
      <w:r>
        <w:rPr>
          <w:rFonts w:ascii="宋体" w:hAnsi="宋体" w:cs="宋体" w:eastAsia="宋体" w:hint="default"/>
          <w:sz w:val="21"/>
          <w:szCs w:val="21"/>
        </w:rPr>
        <w:t>给客户后予以确认。</w:t>
      </w:r>
    </w:p>
    <w:p>
      <w:pPr>
        <w:spacing w:after="0" w:line="338" w:lineRule="auto"/>
        <w:jc w:val="left"/>
        <w:rPr>
          <w:rFonts w:ascii="宋体" w:hAnsi="宋体" w:cs="宋体" w:eastAsia="宋体" w:hint="default"/>
          <w:sz w:val="21"/>
          <w:szCs w:val="21"/>
        </w:rPr>
        <w:sectPr>
          <w:pgSz w:w="11910" w:h="16840"/>
          <w:pgMar w:header="883" w:footer="1003" w:top="1540" w:bottom="1200" w:left="1220" w:right="1060"/>
        </w:sectPr>
      </w:pPr>
    </w:p>
    <w:p>
      <w:pPr>
        <w:spacing w:line="240" w:lineRule="auto" w:before="10"/>
        <w:rPr>
          <w:rFonts w:ascii="宋体" w:hAnsi="宋体" w:cs="宋体" w:eastAsia="宋体" w:hint="default"/>
          <w:sz w:val="8"/>
          <w:szCs w:val="8"/>
        </w:rPr>
      </w:pPr>
    </w:p>
    <w:p>
      <w:pPr>
        <w:pStyle w:val="Heading6"/>
        <w:tabs>
          <w:tab w:pos="1401" w:val="left" w:leader="none"/>
        </w:tabs>
        <w:spacing w:line="240" w:lineRule="auto"/>
        <w:ind w:left="863" w:right="194"/>
        <w:jc w:val="left"/>
        <w:rPr>
          <w:b w:val="0"/>
          <w:bCs w:val="0"/>
        </w:rPr>
      </w:pPr>
      <w:r>
        <w:rPr>
          <w:rFonts w:ascii="Times New Roman" w:hAnsi="Times New Roman" w:cs="Times New Roman" w:eastAsia="Times New Roman" w:hint="default"/>
          <w:w w:val="95"/>
        </w:rPr>
        <w:t>4</w:t>
      </w:r>
      <w:r>
        <w:rPr>
          <w:w w:val="95"/>
        </w:rPr>
        <w:t>、</w:t>
        <w:tab/>
      </w:r>
      <w:r>
        <w:rPr>
          <w:spacing w:val="1"/>
        </w:rPr>
        <w:t>劳务收入</w:t>
      </w:r>
      <w:r>
        <w:rPr>
          <w:b w:val="0"/>
          <w:bCs w:val="0"/>
        </w:rPr>
      </w:r>
    </w:p>
    <w:p>
      <w:pPr>
        <w:pStyle w:val="BodyText"/>
        <w:spacing w:line="350" w:lineRule="auto" w:before="110"/>
        <w:ind w:right="194"/>
        <w:jc w:val="left"/>
      </w:pPr>
      <w:r>
        <w:rPr/>
        <w:t>劳务收入包括为客户订制软件、软件维护、软件升级、培训及网页制作等劳务收入。 在同一会计年度内开始并完成的劳务，在完成劳务时确认收入。 如劳务的开始和完成分属不同的会计年度，在提供劳务交易的结果能够可靠估计的情况</w:t>
      </w:r>
      <w:r>
        <w:rPr>
          <w:spacing w:val="-82"/>
        </w:rPr>
        <w:t> </w:t>
      </w:r>
      <w:r>
        <w:rPr>
          <w:spacing w:val="-82"/>
        </w:rPr>
      </w:r>
      <w:r>
        <w:rPr/>
        <w:t>下，在资产负债表日按完工百分比法确认相关的劳务收入。</w:t>
      </w:r>
      <w:r>
        <w:rPr/>
        <w:t> 本公司为客户订制软件的劳务，其开始和完成通常分属不同的会计年度，且提供劳务结</w:t>
      </w:r>
      <w:r>
        <w:rPr>
          <w:spacing w:val="-82"/>
        </w:rPr>
        <w:t> </w:t>
      </w:r>
      <w:r>
        <w:rPr>
          <w:spacing w:val="-82"/>
        </w:rPr>
      </w:r>
      <w:r>
        <w:rPr/>
        <w:t>果能够可靠估计，因此在资产负债表日，采用完工百分比法确认劳务收入。完工程度按</w:t>
      </w:r>
      <w:r>
        <w:rPr>
          <w:spacing w:val="-82"/>
        </w:rPr>
        <w:t> </w:t>
      </w:r>
      <w:r>
        <w:rPr>
          <w:spacing w:val="-82"/>
        </w:rPr>
      </w:r>
      <w:r>
        <w:rPr/>
        <w:t>制作软件已花费的工时占预计总工时的比例确定。</w:t>
      </w:r>
    </w:p>
    <w:p>
      <w:pPr>
        <w:spacing w:line="240" w:lineRule="auto" w:before="0"/>
        <w:rPr>
          <w:rFonts w:ascii="宋体" w:hAnsi="宋体" w:cs="宋体" w:eastAsia="宋体" w:hint="default"/>
          <w:sz w:val="20"/>
          <w:szCs w:val="20"/>
        </w:rPr>
      </w:pPr>
    </w:p>
    <w:p>
      <w:pPr>
        <w:tabs>
          <w:tab w:pos="1401" w:val="left" w:leader="none"/>
        </w:tabs>
        <w:spacing w:line="331" w:lineRule="auto" w:before="166"/>
        <w:ind w:left="1405" w:right="3596" w:hanging="543"/>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物业服务及租赁收入</w:t>
      </w:r>
      <w:r>
        <w:rPr>
          <w:rFonts w:ascii="宋体" w:hAnsi="宋体" w:cs="宋体" w:eastAsia="宋体" w:hint="default"/>
          <w:b/>
          <w:bCs/>
          <w:spacing w:val="1"/>
          <w:w w:val="99"/>
          <w:sz w:val="21"/>
          <w:szCs w:val="21"/>
        </w:rPr>
        <w:t> </w:t>
      </w:r>
      <w:r>
        <w:rPr>
          <w:rFonts w:ascii="宋体" w:hAnsi="宋体" w:cs="宋体" w:eastAsia="宋体" w:hint="default"/>
          <w:sz w:val="21"/>
          <w:szCs w:val="21"/>
        </w:rPr>
        <w:t>物业服务及租赁收入采用直接法在租赁期内确认。</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Heading6"/>
        <w:tabs>
          <w:tab w:pos="1401" w:val="left" w:leader="none"/>
        </w:tabs>
        <w:spacing w:line="240" w:lineRule="auto" w:before="0"/>
        <w:ind w:left="863" w:right="194"/>
        <w:jc w:val="left"/>
        <w:rPr>
          <w:b w:val="0"/>
          <w:bCs w:val="0"/>
        </w:rPr>
      </w:pPr>
      <w:r>
        <w:rPr>
          <w:rFonts w:ascii="Times New Roman" w:hAnsi="Times New Roman" w:cs="Times New Roman" w:eastAsia="Times New Roman" w:hint="default"/>
          <w:w w:val="95"/>
        </w:rPr>
        <w:t>6</w:t>
      </w:r>
      <w:r>
        <w:rPr>
          <w:w w:val="95"/>
        </w:rPr>
        <w:t>、</w:t>
        <w:tab/>
      </w:r>
      <w:r>
        <w:rPr>
          <w:spacing w:val="1"/>
        </w:rPr>
        <w:t>广告收入</w:t>
      </w:r>
      <w:r>
        <w:rPr>
          <w:b w:val="0"/>
          <w:bCs w:val="0"/>
        </w:rPr>
      </w:r>
    </w:p>
    <w:p>
      <w:pPr>
        <w:pStyle w:val="BodyText"/>
        <w:spacing w:line="348" w:lineRule="auto" w:before="110"/>
        <w:ind w:right="87"/>
        <w:jc w:val="left"/>
      </w:pPr>
      <w:r>
        <w:rPr>
          <w:spacing w:val="-2"/>
        </w:rPr>
        <w:t>广告收入包括广告媒介代理收入和广告制作收入，广告媒介代理收入于广告播出时确认，</w:t>
      </w:r>
      <w:r>
        <w:rPr/>
        <w:t> 广告制作收入按照进度确认。</w:t>
      </w:r>
    </w:p>
    <w:p>
      <w:pPr>
        <w:spacing w:line="240" w:lineRule="auto" w:before="0"/>
        <w:rPr>
          <w:rFonts w:ascii="宋体" w:hAnsi="宋体" w:cs="宋体" w:eastAsia="宋体" w:hint="default"/>
          <w:sz w:val="20"/>
          <w:szCs w:val="20"/>
        </w:rPr>
      </w:pPr>
    </w:p>
    <w:p>
      <w:pPr>
        <w:pStyle w:val="Heading6"/>
        <w:tabs>
          <w:tab w:pos="1405" w:val="left" w:leader="none"/>
        </w:tabs>
        <w:spacing w:line="240" w:lineRule="auto" w:before="169"/>
        <w:ind w:left="131" w:right="194"/>
        <w:jc w:val="left"/>
        <w:rPr>
          <w:b w:val="0"/>
          <w:bCs w:val="0"/>
        </w:rPr>
      </w:pPr>
      <w:r>
        <w:rPr>
          <w:rFonts w:ascii="Times New Roman" w:hAnsi="Times New Roman" w:cs="Times New Roman" w:eastAsia="Times New Roman" w:hint="default"/>
          <w:w w:val="95"/>
        </w:rPr>
        <w:t>(</w:t>
      </w:r>
      <w:r>
        <w:rPr>
          <w:w w:val="95"/>
        </w:rPr>
        <w:t>二十三</w:t>
      </w:r>
      <w:r>
        <w:rPr>
          <w:rFonts w:ascii="Times New Roman" w:hAnsi="Times New Roman" w:cs="Times New Roman" w:eastAsia="Times New Roman" w:hint="default"/>
          <w:w w:val="95"/>
        </w:rPr>
        <w:t>)</w:t>
        <w:tab/>
      </w:r>
      <w:r>
        <w:rPr/>
        <w:t>政府补助</w:t>
      </w:r>
      <w:r>
        <w:rPr>
          <w:b w:val="0"/>
          <w:bCs w:val="0"/>
        </w:rPr>
      </w:r>
    </w:p>
    <w:p>
      <w:pPr>
        <w:pStyle w:val="BodyText"/>
        <w:tabs>
          <w:tab w:pos="1401" w:val="left" w:leader="none"/>
        </w:tabs>
        <w:spacing w:line="340" w:lineRule="auto" w:before="109"/>
        <w:ind w:right="208" w:hanging="543"/>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spacing w:val="1"/>
        </w:rPr>
        <w:t>类型</w:t>
      </w:r>
      <w:r>
        <w:rPr>
          <w:rFonts w:ascii="宋体" w:hAnsi="宋体" w:cs="宋体" w:eastAsia="宋体" w:hint="default"/>
          <w:b/>
          <w:bCs/>
          <w:spacing w:val="1"/>
          <w:w w:val="99"/>
        </w:rPr>
        <w:t> </w:t>
      </w:r>
      <w:r>
        <w:rPr/>
        <w:t>政府补助，是本公司从政府无偿取得的货币性资产与非货币性资产。分为与资产相关的</w:t>
      </w:r>
      <w:r>
        <w:rPr>
          <w:spacing w:val="1"/>
        </w:rPr>
        <w:t> </w:t>
      </w:r>
      <w:r>
        <w:rPr/>
        <w:t>政府补助和与收益相关的政府补助。</w:t>
      </w:r>
    </w:p>
    <w:p>
      <w:pPr>
        <w:spacing w:line="240" w:lineRule="auto" w:before="0"/>
        <w:rPr>
          <w:rFonts w:ascii="宋体" w:hAnsi="宋体" w:cs="宋体" w:eastAsia="宋体" w:hint="default"/>
          <w:sz w:val="20"/>
          <w:szCs w:val="20"/>
        </w:rPr>
      </w:pPr>
    </w:p>
    <w:p>
      <w:pPr>
        <w:pStyle w:val="Heading6"/>
        <w:tabs>
          <w:tab w:pos="1401" w:val="left" w:leader="none"/>
        </w:tabs>
        <w:spacing w:line="240" w:lineRule="auto" w:before="174"/>
        <w:ind w:left="863" w:right="194"/>
        <w:jc w:val="left"/>
        <w:rPr>
          <w:b w:val="0"/>
          <w:bCs w:val="0"/>
        </w:rPr>
      </w:pPr>
      <w:r>
        <w:rPr>
          <w:rFonts w:ascii="Times New Roman" w:hAnsi="Times New Roman" w:cs="Times New Roman" w:eastAsia="Times New Roman" w:hint="default"/>
          <w:w w:val="95"/>
        </w:rPr>
        <w:t>2</w:t>
      </w:r>
      <w:r>
        <w:rPr>
          <w:w w:val="95"/>
        </w:rPr>
        <w:t>、</w:t>
        <w:tab/>
      </w:r>
      <w:r>
        <w:rPr>
          <w:spacing w:val="1"/>
        </w:rPr>
        <w:t>会计处理</w:t>
      </w:r>
      <w:r>
        <w:rPr>
          <w:b w:val="0"/>
          <w:bCs w:val="0"/>
        </w:rPr>
      </w:r>
    </w:p>
    <w:p>
      <w:pPr>
        <w:pStyle w:val="BodyText"/>
        <w:spacing w:line="350" w:lineRule="auto" w:before="110"/>
        <w:ind w:right="194"/>
        <w:jc w:val="left"/>
      </w:pPr>
      <w:r>
        <w:rPr/>
        <w:t>与购建固定资产、无形资产等长期资产相关的政府补助，确认为递延收益，按照所建造</w:t>
      </w:r>
      <w:r>
        <w:rPr>
          <w:spacing w:val="-82"/>
        </w:rPr>
        <w:t> </w:t>
      </w:r>
      <w:r>
        <w:rPr>
          <w:spacing w:val="-82"/>
        </w:rPr>
      </w:r>
      <w:r>
        <w:rPr/>
        <w:t>或购买的资产使用年限分期计入营业外收入；</w:t>
      </w:r>
      <w:r>
        <w:rPr/>
        <w:t> 与收益相关的政府补助，用于补偿企业以后期间的相关费用或损失的，取得时确认为递</w:t>
      </w:r>
      <w:r>
        <w:rPr>
          <w:spacing w:val="-82"/>
        </w:rPr>
        <w:t> </w:t>
      </w:r>
      <w:r>
        <w:rPr>
          <w:spacing w:val="-82"/>
        </w:rPr>
      </w:r>
      <w:r>
        <w:rPr/>
        <w:t>延收益，在确认相关费用的期间计入当期营业外收入；用于补偿企业已发生的相关费用</w:t>
      </w:r>
      <w:r>
        <w:rPr>
          <w:spacing w:val="-82"/>
        </w:rPr>
        <w:t> </w:t>
      </w:r>
      <w:r>
        <w:rPr>
          <w:spacing w:val="-82"/>
        </w:rPr>
      </w:r>
      <w:r>
        <w:rPr/>
        <w:t>或损失的，取得时直接计入当期营业外收入。</w:t>
      </w:r>
    </w:p>
    <w:p>
      <w:pPr>
        <w:spacing w:line="240" w:lineRule="auto" w:before="0"/>
        <w:rPr>
          <w:rFonts w:ascii="宋体" w:hAnsi="宋体" w:cs="宋体" w:eastAsia="宋体" w:hint="default"/>
          <w:sz w:val="20"/>
          <w:szCs w:val="20"/>
        </w:rPr>
      </w:pPr>
    </w:p>
    <w:p>
      <w:pPr>
        <w:tabs>
          <w:tab w:pos="1405" w:val="left" w:leader="none"/>
        </w:tabs>
        <w:spacing w:line="338" w:lineRule="auto" w:before="167"/>
        <w:ind w:left="863" w:right="210"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二十四</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递延所得税资产和递延所得税负债</w:t>
      </w:r>
      <w:r>
        <w:rPr>
          <w:rFonts w:ascii="宋体" w:hAnsi="宋体" w:cs="宋体" w:eastAsia="宋体" w:hint="default"/>
          <w:b/>
          <w:bCs/>
          <w:w w:val="99"/>
          <w:sz w:val="21"/>
          <w:szCs w:val="21"/>
        </w:rPr>
        <w:t> </w:t>
      </w:r>
      <w:r>
        <w:rPr>
          <w:rFonts w:ascii="宋体" w:hAnsi="宋体" w:cs="宋体" w:eastAsia="宋体" w:hint="default"/>
          <w:spacing w:val="-2"/>
          <w:sz w:val="21"/>
          <w:szCs w:val="21"/>
        </w:rPr>
        <w:t>对于可抵扣暂时性差异确认递延所得税资产，以未来期间很可能取得的用来抵扣可抵扣暂时性</w:t>
      </w:r>
      <w:r>
        <w:rPr>
          <w:rFonts w:ascii="宋体" w:hAnsi="宋体" w:cs="宋体" w:eastAsia="宋体" w:hint="default"/>
          <w:sz w:val="21"/>
          <w:szCs w:val="21"/>
        </w:rPr>
        <w:t> 差异的应纳税所得额为限。</w:t>
      </w:r>
    </w:p>
    <w:p>
      <w:pPr>
        <w:pStyle w:val="BodyText"/>
        <w:spacing w:line="348" w:lineRule="auto" w:before="40"/>
        <w:ind w:left="863" w:right="194"/>
        <w:jc w:val="left"/>
      </w:pPr>
      <w:r>
        <w:rPr/>
        <w:t>对于应纳税暂时性差异，除特殊情况外，确认递延所得税负债。 </w:t>
      </w:r>
      <w:r>
        <w:rPr>
          <w:spacing w:val="-2"/>
        </w:rPr>
        <w:t>不确认递延所得税资产或递延所得税负债的特殊情况包括：商誉的初始确认；除企业合并以外</w:t>
      </w:r>
      <w:r>
        <w:rPr>
          <w:spacing w:val="-83"/>
        </w:rPr>
        <w:t> </w:t>
      </w:r>
      <w:r>
        <w:rPr>
          <w:spacing w:val="-83"/>
        </w:rPr>
      </w:r>
      <w:r>
        <w:rPr/>
        <w:t>的发生时既不影响会计利润也不影响应纳税所得额（或可抵扣亏损）的其他交易或事项。</w:t>
      </w:r>
    </w:p>
    <w:p>
      <w:pPr>
        <w:spacing w:after="0" w:line="348" w:lineRule="auto"/>
        <w:jc w:val="left"/>
        <w:sectPr>
          <w:pgSz w:w="11910" w:h="16840"/>
          <w:pgMar w:header="883" w:footer="1003" w:top="1540" w:bottom="1200" w:left="1220" w:right="1060"/>
        </w:sectPr>
      </w:pPr>
    </w:p>
    <w:p>
      <w:pPr>
        <w:spacing w:line="240" w:lineRule="auto" w:before="10"/>
        <w:rPr>
          <w:rFonts w:ascii="宋体" w:hAnsi="宋体" w:cs="宋体" w:eastAsia="宋体" w:hint="default"/>
          <w:sz w:val="8"/>
          <w:szCs w:val="8"/>
        </w:rPr>
      </w:pPr>
    </w:p>
    <w:p>
      <w:pPr>
        <w:pStyle w:val="Heading6"/>
        <w:tabs>
          <w:tab w:pos="1405" w:val="left" w:leader="none"/>
        </w:tabs>
        <w:spacing w:line="331" w:lineRule="auto"/>
        <w:ind w:left="863" w:right="6860" w:hanging="732"/>
        <w:jc w:val="left"/>
        <w:rPr>
          <w:b w:val="0"/>
          <w:bCs w:val="0"/>
        </w:rPr>
      </w:pPr>
      <w:r>
        <w:rPr>
          <w:rFonts w:ascii="Times New Roman" w:hAnsi="Times New Roman" w:cs="Times New Roman" w:eastAsia="Times New Roman" w:hint="default"/>
          <w:w w:val="95"/>
        </w:rPr>
        <w:t>(</w:t>
      </w:r>
      <w:r>
        <w:rPr>
          <w:w w:val="95"/>
        </w:rPr>
        <w:t>二十五</w:t>
      </w:r>
      <w:r>
        <w:rPr>
          <w:rFonts w:ascii="Times New Roman" w:hAnsi="Times New Roman" w:cs="Times New Roman" w:eastAsia="Times New Roman" w:hint="default"/>
          <w:w w:val="95"/>
        </w:rPr>
        <w:t>)</w:t>
        <w:tab/>
      </w:r>
      <w:r>
        <w:rPr/>
        <w:t>经营租赁</w:t>
      </w:r>
      <w:r>
        <w:rPr>
          <w:spacing w:val="1"/>
          <w:w w:val="99"/>
        </w:rPr>
        <w:t> </w:t>
      </w:r>
      <w:r>
        <w:rPr/>
        <w:t>经营租赁会计处理：</w:t>
      </w:r>
      <w:r>
        <w:rPr>
          <w:b w:val="0"/>
          <w:bCs w:val="0"/>
        </w:rPr>
      </w:r>
    </w:p>
    <w:p>
      <w:pPr>
        <w:pStyle w:val="BodyText"/>
        <w:spacing w:line="343" w:lineRule="auto" w:before="45"/>
        <w:ind w:left="863" w:right="194"/>
        <w:jc w:val="left"/>
      </w:pPr>
      <w:r>
        <w:rPr/>
        <w:t>（</w:t>
      </w:r>
      <w:r>
        <w:rPr>
          <w:rFonts w:ascii="Times New Roman" w:hAnsi="Times New Roman" w:cs="Times New Roman" w:eastAsia="Times New Roman" w:hint="default"/>
        </w:rPr>
        <w:t>1</w:t>
      </w:r>
      <w:r>
        <w:rPr/>
        <w:t>）公司租入资产所支付的租赁费，在不扣除免租期的整个租赁期内，按直线法进行分摊，</w:t>
      </w:r>
      <w:r>
        <w:rPr>
          <w:spacing w:val="-68"/>
        </w:rPr>
        <w:t> </w:t>
      </w:r>
      <w:r>
        <w:rPr>
          <w:spacing w:val="-68"/>
        </w:rPr>
      </w:r>
      <w:r>
        <w:rPr/>
        <w:t>计入当期费用。公司支付的与租赁交易相关的初始直接费用，计入当期费用。 </w:t>
      </w:r>
      <w:r>
        <w:rPr>
          <w:spacing w:val="3"/>
        </w:rPr>
        <w:t>资产出租方承担了应由公司承担的与租赁相关的费用时，公司将该部分费用从租金总额中扣</w:t>
      </w:r>
      <w:r>
        <w:rPr>
          <w:spacing w:val="-99"/>
        </w:rPr>
        <w:t> </w:t>
      </w:r>
      <w:r>
        <w:rPr>
          <w:spacing w:val="-99"/>
        </w:rPr>
      </w:r>
      <w:r>
        <w:rPr/>
        <w:t>除，按扣除后的租金费用在租赁期内分摊，计入当期费用。</w:t>
      </w:r>
    </w:p>
    <w:p>
      <w:pPr>
        <w:pStyle w:val="BodyText"/>
        <w:spacing w:line="345" w:lineRule="auto" w:before="34"/>
        <w:ind w:left="863" w:right="89"/>
        <w:jc w:val="left"/>
      </w:pPr>
      <w:r>
        <w:rPr/>
        <w:t>（</w:t>
      </w:r>
      <w:r>
        <w:rPr>
          <w:rFonts w:ascii="Times New Roman" w:hAnsi="Times New Roman" w:cs="Times New Roman" w:eastAsia="Times New Roman" w:hint="default"/>
        </w:rPr>
        <w:t>2</w:t>
      </w:r>
      <w:r>
        <w:rPr/>
        <w:t>）公司出租资产所收取的租赁费，在不扣除免租期的整个租赁期内，按直线法进行分摊，</w:t>
      </w:r>
      <w:r>
        <w:rPr>
          <w:spacing w:val="-68"/>
        </w:rPr>
        <w:t> </w:t>
      </w:r>
      <w:r>
        <w:rPr>
          <w:spacing w:val="-68"/>
        </w:rPr>
      </w:r>
      <w:r>
        <w:rPr>
          <w:spacing w:val="-4"/>
        </w:rPr>
        <w:t>确认为租赁收入。公司支付的与租赁交易相关的初始直接费用，计入当期费用；如金额较大的，</w:t>
      </w:r>
      <w:r>
        <w:rPr/>
        <w:t> 则予以资本化，在整个租赁期间内按照与租赁收入确认相同的基础分期计入当期收益。 </w:t>
      </w:r>
      <w:r>
        <w:rPr>
          <w:spacing w:val="3"/>
        </w:rPr>
        <w:t>公司承担了应由承租方承担的与租赁相关的费用时，公司将该部分费用从租金收入总额中扣</w:t>
      </w:r>
      <w:r>
        <w:rPr>
          <w:spacing w:val="-99"/>
        </w:rPr>
        <w:t> </w:t>
      </w:r>
      <w:r>
        <w:rPr>
          <w:spacing w:val="-99"/>
        </w:rPr>
      </w:r>
      <w:r>
        <w:rPr/>
        <w:t>除，按扣除后的租金费用在租赁期内分配。</w:t>
      </w:r>
    </w:p>
    <w:p>
      <w:pPr>
        <w:spacing w:line="240" w:lineRule="auto" w:before="0"/>
        <w:rPr>
          <w:rFonts w:ascii="宋体" w:hAnsi="宋体" w:cs="宋体" w:eastAsia="宋体" w:hint="default"/>
          <w:sz w:val="20"/>
          <w:szCs w:val="20"/>
        </w:rPr>
      </w:pPr>
    </w:p>
    <w:p>
      <w:pPr>
        <w:pStyle w:val="BodyText"/>
        <w:tabs>
          <w:tab w:pos="1405" w:val="left" w:leader="none"/>
        </w:tabs>
        <w:spacing w:line="336" w:lineRule="auto" w:before="170"/>
        <w:ind w:left="863" w:right="210" w:hanging="732"/>
        <w:jc w:val="left"/>
      </w:pPr>
      <w:r>
        <w:rPr>
          <w:rFonts w:ascii="Times New Roman" w:hAnsi="Times New Roman" w:cs="Times New Roman" w:eastAsia="Times New Roman" w:hint="default"/>
          <w:b/>
          <w:bCs/>
          <w:w w:val="95"/>
        </w:rPr>
        <w:t>(</w:t>
      </w:r>
      <w:r>
        <w:rPr>
          <w:rFonts w:ascii="宋体" w:hAnsi="宋体" w:cs="宋体" w:eastAsia="宋体" w:hint="default"/>
          <w:b/>
          <w:bCs/>
          <w:w w:val="95"/>
        </w:rPr>
        <w:t>二十六</w:t>
      </w:r>
      <w:r>
        <w:rPr>
          <w:rFonts w:ascii="Times New Roman" w:hAnsi="Times New Roman" w:cs="Times New Roman" w:eastAsia="Times New Roman" w:hint="default"/>
          <w:b/>
          <w:bCs/>
          <w:w w:val="95"/>
        </w:rPr>
        <w:t>)</w:t>
        <w:tab/>
      </w:r>
      <w:r>
        <w:rPr>
          <w:rFonts w:ascii="宋体" w:hAnsi="宋体" w:cs="宋体" w:eastAsia="宋体" w:hint="default"/>
          <w:b/>
          <w:bCs/>
        </w:rPr>
        <w:t>关联方</w:t>
      </w:r>
      <w:r>
        <w:rPr>
          <w:rFonts w:ascii="宋体" w:hAnsi="宋体" w:cs="宋体" w:eastAsia="宋体" w:hint="default"/>
          <w:b/>
          <w:bCs/>
          <w:spacing w:val="1"/>
          <w:w w:val="99"/>
        </w:rPr>
        <w:t> </w:t>
      </w:r>
      <w:r>
        <w:rPr>
          <w:spacing w:val="-2"/>
        </w:rPr>
        <w:t>一方控制、共同控制另一方或对另一方施加重大影响，以及两方或两方以上同</w:t>
      </w:r>
      <w:r>
        <w:rPr>
          <w:spacing w:val="-2"/>
          <w:position w:val="-1"/>
        </w:rPr>
        <w:t>受一方控制、共</w:t>
      </w:r>
      <w:r>
        <w:rPr>
          <w:position w:val="-1"/>
        </w:rPr>
        <w:t> </w:t>
      </w:r>
      <w:r>
        <w:rPr>
          <w:spacing w:val="-2"/>
        </w:rPr>
        <w:t>同控制的，构成关联方。关联方可为个人或企业。仅仅同受国家控制而不存在其他关联方关系</w:t>
      </w:r>
      <w:r>
        <w:rPr/>
        <w:t> 的企业，不构成本公司的关联方。</w:t>
      </w:r>
    </w:p>
    <w:p>
      <w:pPr>
        <w:pStyle w:val="BodyText"/>
        <w:spacing w:line="240" w:lineRule="auto" w:before="32"/>
        <w:ind w:left="863" w:right="194"/>
        <w:jc w:val="left"/>
      </w:pPr>
      <w:r>
        <w:rPr>
          <w:position w:val="1"/>
        </w:rPr>
        <w:t>本</w:t>
      </w:r>
      <w:r>
        <w:rPr/>
        <w:t>公司的关联方包括但不限于：</w:t>
      </w:r>
    </w:p>
    <w:p>
      <w:pPr>
        <w:pStyle w:val="BodyText"/>
        <w:spacing w:line="240" w:lineRule="auto" w:before="125"/>
        <w:ind w:left="863" w:right="194"/>
        <w:jc w:val="left"/>
      </w:pPr>
      <w:r>
        <w:rPr/>
        <w:t>（</w:t>
      </w:r>
      <w:r>
        <w:rPr>
          <w:rFonts w:ascii="Times New Roman" w:hAnsi="Times New Roman" w:cs="Times New Roman" w:eastAsia="Times New Roman" w:hint="default"/>
        </w:rPr>
        <w:t>1</w:t>
      </w:r>
      <w:r>
        <w:rPr/>
        <w:t>）本公司的母公司；</w:t>
      </w:r>
    </w:p>
    <w:p>
      <w:pPr>
        <w:pStyle w:val="BodyText"/>
        <w:spacing w:line="240" w:lineRule="auto" w:before="109"/>
        <w:ind w:left="863" w:right="194"/>
        <w:jc w:val="left"/>
      </w:pPr>
      <w:r>
        <w:rPr/>
        <w:t>（</w:t>
      </w:r>
      <w:r>
        <w:rPr>
          <w:rFonts w:ascii="Times New Roman" w:hAnsi="Times New Roman" w:cs="Times New Roman" w:eastAsia="Times New Roman" w:hint="default"/>
        </w:rPr>
        <w:t>2</w:t>
      </w:r>
      <w:r>
        <w:rPr/>
        <w:t>）本公司的子公司；</w:t>
      </w:r>
    </w:p>
    <w:p>
      <w:pPr>
        <w:pStyle w:val="BodyText"/>
        <w:spacing w:line="240" w:lineRule="auto" w:before="110"/>
        <w:ind w:left="863" w:right="194"/>
        <w:jc w:val="left"/>
      </w:pPr>
      <w:r>
        <w:rPr/>
        <w:t>（</w:t>
      </w:r>
      <w:r>
        <w:rPr>
          <w:rFonts w:ascii="Times New Roman" w:hAnsi="Times New Roman" w:cs="Times New Roman" w:eastAsia="Times New Roman" w:hint="default"/>
        </w:rPr>
        <w:t>3</w:t>
      </w:r>
      <w:r>
        <w:rPr/>
        <w:t>）与本公司受同一母公司控制的其他企业；</w:t>
      </w:r>
    </w:p>
    <w:p>
      <w:pPr>
        <w:pStyle w:val="BodyText"/>
        <w:spacing w:line="240" w:lineRule="auto" w:before="109"/>
        <w:ind w:left="863" w:right="194"/>
        <w:jc w:val="left"/>
      </w:pPr>
      <w:r>
        <w:rPr/>
        <w:t>（</w:t>
      </w:r>
      <w:r>
        <w:rPr>
          <w:rFonts w:ascii="Times New Roman" w:hAnsi="Times New Roman" w:cs="Times New Roman" w:eastAsia="Times New Roman" w:hint="default"/>
        </w:rPr>
        <w:t>4</w:t>
      </w:r>
      <w:r>
        <w:rPr/>
        <w:t>）对本公司实施共同控制的投资方；</w:t>
      </w:r>
    </w:p>
    <w:p>
      <w:pPr>
        <w:pStyle w:val="BodyText"/>
        <w:spacing w:line="240" w:lineRule="auto" w:before="109"/>
        <w:ind w:left="863" w:right="194"/>
        <w:jc w:val="left"/>
      </w:pPr>
      <w:r>
        <w:rPr/>
        <w:t>（</w:t>
      </w:r>
      <w:r>
        <w:rPr>
          <w:rFonts w:ascii="Times New Roman" w:hAnsi="Times New Roman" w:cs="Times New Roman" w:eastAsia="Times New Roman" w:hint="default"/>
        </w:rPr>
        <w:t>5</w:t>
      </w:r>
      <w:r>
        <w:rPr/>
        <w:t>）对本公司施加重大影响的投资方；</w:t>
      </w:r>
    </w:p>
    <w:p>
      <w:pPr>
        <w:pStyle w:val="BodyText"/>
        <w:spacing w:line="240" w:lineRule="auto" w:before="110"/>
        <w:ind w:left="863" w:right="194"/>
        <w:jc w:val="left"/>
      </w:pPr>
      <w:r>
        <w:rPr/>
        <w:t>（</w:t>
      </w:r>
      <w:r>
        <w:rPr>
          <w:rFonts w:ascii="Times New Roman" w:hAnsi="Times New Roman" w:cs="Times New Roman" w:eastAsia="Times New Roman" w:hint="default"/>
        </w:rPr>
        <w:t>6</w:t>
      </w:r>
      <w:r>
        <w:rPr/>
        <w:t>）本公司的合营企业，包括合营企业的子公司；</w:t>
      </w:r>
    </w:p>
    <w:p>
      <w:pPr>
        <w:pStyle w:val="BodyText"/>
        <w:spacing w:line="240" w:lineRule="auto" w:before="109"/>
        <w:ind w:left="863" w:right="194"/>
        <w:jc w:val="left"/>
      </w:pPr>
      <w:r>
        <w:rPr/>
        <w:t>（</w:t>
      </w:r>
      <w:r>
        <w:rPr>
          <w:rFonts w:ascii="Times New Roman" w:hAnsi="Times New Roman" w:cs="Times New Roman" w:eastAsia="Times New Roman" w:hint="default"/>
        </w:rPr>
        <w:t>7</w:t>
      </w:r>
      <w:r>
        <w:rPr/>
        <w:t>）本公司的联营企业，包括联营企业的子公司；</w:t>
      </w:r>
    </w:p>
    <w:p>
      <w:pPr>
        <w:pStyle w:val="BodyText"/>
        <w:spacing w:line="240" w:lineRule="auto" w:before="109"/>
        <w:ind w:left="863" w:right="194"/>
        <w:jc w:val="left"/>
      </w:pPr>
      <w:r>
        <w:rPr/>
        <w:t>（</w:t>
      </w:r>
      <w:r>
        <w:rPr>
          <w:rFonts w:ascii="Times New Roman" w:hAnsi="Times New Roman" w:cs="Times New Roman" w:eastAsia="Times New Roman" w:hint="default"/>
        </w:rPr>
        <w:t>8</w:t>
      </w:r>
      <w:r>
        <w:rPr/>
        <w:t>）本公司的主要投资者个人及与其关系密切的家庭成员</w:t>
      </w:r>
      <w:r>
        <w:rPr>
          <w:spacing w:val="1"/>
        </w:rPr>
        <w:t> </w:t>
      </w:r>
      <w:r>
        <w:rPr/>
        <w:t>；</w:t>
      </w:r>
    </w:p>
    <w:p>
      <w:pPr>
        <w:pStyle w:val="BodyText"/>
        <w:spacing w:line="240" w:lineRule="auto" w:before="110"/>
        <w:ind w:left="863" w:right="194"/>
        <w:jc w:val="left"/>
      </w:pPr>
      <w:r>
        <w:rPr/>
        <w:t>（</w:t>
      </w:r>
      <w:r>
        <w:rPr>
          <w:rFonts w:ascii="Times New Roman" w:hAnsi="Times New Roman" w:cs="Times New Roman" w:eastAsia="Times New Roman" w:hint="default"/>
        </w:rPr>
        <w:t>9</w:t>
      </w:r>
      <w:r>
        <w:rPr/>
        <w:t>）本公司或其母公司的关键管理人员及与其关系密切的家庭成员；</w:t>
      </w:r>
    </w:p>
    <w:p>
      <w:pPr>
        <w:pStyle w:val="BodyText"/>
        <w:spacing w:line="328" w:lineRule="auto" w:before="109"/>
        <w:ind w:left="863" w:right="194"/>
        <w:jc w:val="left"/>
      </w:pPr>
      <w:r>
        <w:rPr>
          <w:spacing w:val="8"/>
        </w:rPr>
        <w:t>（</w:t>
      </w:r>
      <w:r>
        <w:rPr>
          <w:rFonts w:ascii="Times New Roman" w:hAnsi="Times New Roman" w:cs="Times New Roman" w:eastAsia="Times New Roman" w:hint="default"/>
          <w:spacing w:val="8"/>
        </w:rPr>
        <w:t>10</w:t>
      </w:r>
      <w:r>
        <w:rPr>
          <w:spacing w:val="8"/>
        </w:rPr>
        <w:t>）本公司的主要投资者个人、关键管理人员或与其关系密切的家庭成员控制、共同控</w:t>
      </w:r>
      <w:r>
        <w:rPr>
          <w:spacing w:val="-81"/>
        </w:rPr>
        <w:t> </w:t>
      </w:r>
      <w:r>
        <w:rPr>
          <w:spacing w:val="-81"/>
        </w:rPr>
      </w:r>
      <w:r>
        <w:rPr/>
        <w:t>制的其他企业。</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6"/>
        <w:tabs>
          <w:tab w:pos="1405" w:val="left" w:leader="none"/>
        </w:tabs>
        <w:spacing w:line="240" w:lineRule="auto" w:before="0"/>
        <w:ind w:left="131" w:right="194"/>
        <w:jc w:val="left"/>
        <w:rPr>
          <w:b w:val="0"/>
          <w:bCs w:val="0"/>
        </w:rPr>
      </w:pPr>
      <w:r>
        <w:rPr>
          <w:rFonts w:ascii="Times New Roman" w:hAnsi="Times New Roman" w:cs="Times New Roman" w:eastAsia="Times New Roman" w:hint="default"/>
          <w:w w:val="95"/>
        </w:rPr>
        <w:t>(</w:t>
      </w:r>
      <w:r>
        <w:rPr>
          <w:w w:val="95"/>
        </w:rPr>
        <w:t>二十七</w:t>
      </w:r>
      <w:r>
        <w:rPr>
          <w:rFonts w:ascii="Times New Roman" w:hAnsi="Times New Roman" w:cs="Times New Roman" w:eastAsia="Times New Roman" w:hint="default"/>
          <w:w w:val="95"/>
        </w:rPr>
        <w:t>)</w:t>
        <w:tab/>
      </w:r>
      <w:r>
        <w:rPr/>
        <w:t>主要会计政策、会计估计的变更</w:t>
      </w:r>
      <w:r>
        <w:rPr>
          <w:b w:val="0"/>
          <w:bCs w:val="0"/>
        </w:rPr>
      </w:r>
    </w:p>
    <w:p>
      <w:pPr>
        <w:tabs>
          <w:tab w:pos="1401" w:val="left" w:leader="none"/>
        </w:tabs>
        <w:spacing w:before="109"/>
        <w:ind w:left="863" w:right="194"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会计政策变更</w:t>
      </w:r>
      <w:r>
        <w:rPr>
          <w:rFonts w:ascii="宋体" w:hAnsi="宋体" w:cs="宋体" w:eastAsia="宋体" w:hint="default"/>
          <w:sz w:val="21"/>
          <w:szCs w:val="21"/>
        </w:rPr>
      </w:r>
    </w:p>
    <w:p>
      <w:pPr>
        <w:pStyle w:val="BodyText"/>
        <w:spacing w:line="240" w:lineRule="auto" w:before="110"/>
        <w:ind w:left="1386" w:right="4417"/>
        <w:jc w:val="center"/>
      </w:pPr>
      <w:r>
        <w:rPr/>
        <w:t>本报告期公司主要会计政策未发生变更。</w:t>
      </w:r>
    </w:p>
    <w:p>
      <w:pPr>
        <w:spacing w:after="0" w:line="240" w:lineRule="auto"/>
        <w:jc w:val="center"/>
        <w:sectPr>
          <w:pgSz w:w="11910" w:h="16840"/>
          <w:pgMar w:header="883" w:footer="1003" w:top="1540" w:bottom="1200" w:left="1220" w:right="1060"/>
        </w:sectPr>
      </w:pPr>
    </w:p>
    <w:p>
      <w:pPr>
        <w:spacing w:line="240" w:lineRule="auto" w:before="13"/>
        <w:rPr>
          <w:rFonts w:ascii="宋体" w:hAnsi="宋体" w:cs="宋体" w:eastAsia="宋体" w:hint="default"/>
          <w:sz w:val="7"/>
          <w:szCs w:val="7"/>
        </w:rPr>
      </w:pPr>
    </w:p>
    <w:p>
      <w:pPr>
        <w:pStyle w:val="Heading6"/>
        <w:tabs>
          <w:tab w:pos="1401" w:val="left" w:leader="none"/>
        </w:tabs>
        <w:spacing w:line="240" w:lineRule="auto"/>
        <w:ind w:left="863" w:right="91"/>
        <w:jc w:val="left"/>
        <w:rPr>
          <w:b w:val="0"/>
          <w:bCs w:val="0"/>
        </w:rPr>
      </w:pPr>
      <w:r>
        <w:rPr>
          <w:rFonts w:ascii="Times New Roman" w:hAnsi="Times New Roman" w:cs="Times New Roman" w:eastAsia="Times New Roman" w:hint="default"/>
          <w:w w:val="95"/>
        </w:rPr>
        <w:t>2</w:t>
      </w:r>
      <w:r>
        <w:rPr>
          <w:w w:val="95"/>
        </w:rPr>
        <w:t>、</w:t>
        <w:tab/>
      </w:r>
      <w:r>
        <w:rPr/>
        <w:t>会计估计变更</w:t>
      </w:r>
      <w:r>
        <w:rPr>
          <w:b w:val="0"/>
          <w:bCs w:val="0"/>
        </w:rPr>
      </w:r>
    </w:p>
    <w:p>
      <w:pPr>
        <w:pStyle w:val="BodyText"/>
        <w:spacing w:line="240" w:lineRule="auto" w:before="99"/>
        <w:ind w:right="91"/>
        <w:jc w:val="left"/>
      </w:pPr>
      <w:r>
        <w:rPr/>
        <w:t>本报告期公司主要会计估计未发生变更。</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tabs>
          <w:tab w:pos="1405" w:val="left" w:leader="none"/>
        </w:tabs>
        <w:spacing w:line="321" w:lineRule="auto" w:before="0"/>
        <w:ind w:left="863" w:right="4519" w:hanging="732"/>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二十八</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前期会计差错更正</w:t>
      </w:r>
      <w:r>
        <w:rPr>
          <w:rFonts w:ascii="宋体" w:hAnsi="宋体" w:cs="宋体" w:eastAsia="宋体" w:hint="default"/>
          <w:b/>
          <w:bCs/>
          <w:spacing w:val="1"/>
          <w:w w:val="99"/>
          <w:sz w:val="21"/>
          <w:szCs w:val="21"/>
        </w:rPr>
        <w:t> </w:t>
      </w:r>
      <w:r>
        <w:rPr>
          <w:rFonts w:ascii="宋体" w:hAnsi="宋体" w:cs="宋体" w:eastAsia="宋体" w:hint="default"/>
          <w:sz w:val="21"/>
          <w:szCs w:val="21"/>
        </w:rPr>
        <w:t>本报告期公司未发生前期会计差错更正事项。</w:t>
      </w:r>
    </w:p>
    <w:p>
      <w:pPr>
        <w:spacing w:line="240" w:lineRule="auto" w:before="0"/>
        <w:rPr>
          <w:rFonts w:ascii="宋体" w:hAnsi="宋体" w:cs="宋体" w:eastAsia="宋体" w:hint="default"/>
          <w:sz w:val="20"/>
          <w:szCs w:val="20"/>
        </w:rPr>
      </w:pPr>
    </w:p>
    <w:p>
      <w:pPr>
        <w:pStyle w:val="Heading6"/>
        <w:tabs>
          <w:tab w:pos="859" w:val="left" w:leader="none"/>
        </w:tabs>
        <w:spacing w:line="348" w:lineRule="auto" w:before="172"/>
        <w:ind w:left="859" w:right="6824" w:hanging="729"/>
        <w:jc w:val="left"/>
        <w:rPr>
          <w:b w:val="0"/>
          <w:bCs w:val="0"/>
        </w:rPr>
      </w:pPr>
      <w:r>
        <w:rPr/>
        <w:pict>
          <v:group style="position:absolute;margin-left:97.290001pt;margin-top:43.964302pt;width:437.55pt;height:220pt;mso-position-horizontal-relative:page;mso-position-vertical-relative:paragraph;z-index:-1132240" coordorigin="1946,879" coordsize="8751,4400">
            <v:group style="position:absolute;left:1975;top:894;width:8686;height:2" coordorigin="1975,894" coordsize="8686,2">
              <v:shape style="position:absolute;left:1975;top:894;width:8686;height:2" coordorigin="1975,894" coordsize="8686,0" path="m1975,894l10661,894e" filled="false" stroked="true" strokeweight="1.5pt" strokecolor="#000000">
                <v:path arrowok="t"/>
              </v:shape>
              <v:shape style="position:absolute;left:4259;top:880;width:4873;height:448" type="#_x0000_t75" stroked="false">
                <v:imagedata r:id="rId45" o:title=""/>
              </v:shape>
            </v:group>
            <v:group style="position:absolute;left:1961;top:5263;width:2327;height:2" coordorigin="1961,5263" coordsize="2327,2">
              <v:shape style="position:absolute;left:1961;top:5263;width:2327;height:2" coordorigin="1961,5263" coordsize="2327,0" path="m1961,5263l4288,5263e" filled="false" stroked="true" strokeweight="1.5pt" strokecolor="#000000">
                <v:path arrowok="t"/>
              </v:shape>
              <v:shape style="position:absolute;left:1946;top:1272;width:8750;height:3995" type="#_x0000_t75" stroked="false">
                <v:imagedata r:id="rId46" o:title=""/>
              </v:shape>
            </v:group>
            <v:group style="position:absolute;left:4288;top:5263;width:4806;height:2" coordorigin="4288,5263" coordsize="4806,2">
              <v:shape style="position:absolute;left:4288;top:5263;width:4806;height:2" coordorigin="4288,5263" coordsize="4806,0" path="m4288,5263l9094,5263e" filled="false" stroked="true" strokeweight="1.5pt" strokecolor="#000000">
                <v:path arrowok="t"/>
              </v:shape>
              <v:shape style="position:absolute;left:9074;top:4449;width:48;height:818" type="#_x0000_t75" stroked="false">
                <v:imagedata r:id="rId47" o:title=""/>
              </v:shape>
            </v:group>
            <v:group style="position:absolute;left:9094;top:5263;width:1568;height:2" coordorigin="9094,5263" coordsize="1568,2">
              <v:shape style="position:absolute;left:9094;top:5263;width:1568;height:2" coordorigin="9094,5263" coordsize="1568,0" path="m9094,5263l10661,5263e" filled="false" stroked="true" strokeweight="1.5pt" strokecolor="#000000">
                <v:path arrowok="t"/>
              </v:shape>
              <v:shape style="position:absolute;left:2864;top:109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税  种</w:t>
                      </w:r>
                    </w:p>
                  </w:txbxContent>
                </v:textbox>
                <w10:wrap type="none"/>
              </v:shape>
              <v:shape style="position:absolute;left:6336;top:10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计税依据</w:t>
                      </w:r>
                    </w:p>
                  </w:txbxContent>
                </v:textbox>
                <w10:wrap type="none"/>
              </v:shape>
              <v:shape style="position:absolute;left:9701;top:10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税率</w:t>
                      </w:r>
                    </w:p>
                  </w:txbxContent>
                </v:textbox>
                <w10:wrap type="none"/>
              </v:shape>
              <v:shape style="position:absolute;left:4403;top:1491;width:45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按税法规定计算的销售货物和应税劳务收入为基础计算销</w:t>
                      </w:r>
                      <w:r>
                        <w:rPr>
                          <w:rFonts w:ascii="宋体" w:hAnsi="宋体" w:cs="宋体" w:eastAsia="宋体" w:hint="default"/>
                          <w:sz w:val="18"/>
                          <w:szCs w:val="18"/>
                        </w:rPr>
                      </w:r>
                    </w:p>
                  </w:txbxContent>
                </v:textbox>
                <w10:wrap type="none"/>
              </v:shape>
              <v:shape style="position:absolute;left:2086;top:188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增值税</w:t>
                      </w:r>
                    </w:p>
                  </w:txbxContent>
                </v:textbox>
                <w10:wrap type="none"/>
              </v:shape>
              <v:shape style="position:absolute;left:4400;top:1881;width:5982;height:570" type="#_x0000_t202" filled="false" stroked="false">
                <v:textbox inset="0,0,0,0">
                  <w:txbxContent>
                    <w:p>
                      <w:pPr>
                        <w:tabs>
                          <w:tab w:pos="4977" w:val="left" w:leader="none"/>
                        </w:tabs>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项税额，在扣除当期允许抵扣的进项税额后，差额部分为应</w:t>
                        <w:tab/>
                      </w:r>
                      <w:r>
                        <w:rPr>
                          <w:rFonts w:ascii="Times New Roman" w:hAnsi="Times New Roman" w:cs="Times New Roman" w:eastAsia="Times New Roman" w:hint="default"/>
                          <w:sz w:val="18"/>
                          <w:szCs w:val="18"/>
                        </w:rPr>
                        <w:t>17%</w:t>
                      </w: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spacing w:before="141"/>
                        <w:ind w:left="0" w:right="0" w:firstLine="0"/>
                        <w:jc w:val="left"/>
                        <w:rPr>
                          <w:rFonts w:ascii="宋体" w:hAnsi="宋体" w:cs="宋体" w:eastAsia="宋体" w:hint="default"/>
                          <w:sz w:val="18"/>
                          <w:szCs w:val="18"/>
                        </w:rPr>
                      </w:pPr>
                      <w:r>
                        <w:rPr>
                          <w:rFonts w:ascii="宋体" w:hAnsi="宋体" w:cs="宋体" w:eastAsia="宋体" w:hint="default"/>
                          <w:sz w:val="18"/>
                          <w:szCs w:val="18"/>
                        </w:rPr>
                        <w:t>交增值税</w:t>
                      </w:r>
                    </w:p>
                  </w:txbxContent>
                </v:textbox>
                <w10:wrap type="none"/>
              </v:shape>
              <v:shape style="position:absolute;left:2086;top:267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营业税</w:t>
                      </w:r>
                    </w:p>
                  </w:txbxContent>
                </v:textbox>
                <w10:wrap type="none"/>
              </v:shape>
              <v:shape style="position:absolute;left:4403;top:2671;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按应税营业收入计征</w:t>
                      </w:r>
                    </w:p>
                  </w:txbxContent>
                </v:textbox>
                <w10:wrap type="none"/>
              </v:shape>
              <v:shape style="position:absolute;left:9424;top:2671;width:91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xbxContent>
                </v:textbox>
                <w10:wrap type="none"/>
              </v:shape>
              <v:shape style="position:absolute;left:4403;top:307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出租房产按租金收入计征</w:t>
                      </w:r>
                    </w:p>
                  </w:txbxContent>
                </v:textbox>
                <w10:wrap type="none"/>
              </v:shape>
              <v:shape style="position:absolute;left:9715;top:3091;width:3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w:t>
                      </w:r>
                    </w:p>
                  </w:txbxContent>
                </v:textbox>
                <w10:wrap type="none"/>
              </v:shape>
              <v:shape style="position:absolute;left:2086;top:326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房产税</w:t>
                      </w:r>
                    </w:p>
                  </w:txbxContent>
                </v:textbox>
                <w10:wrap type="none"/>
              </v:shape>
              <v:shape style="position:absolute;left:4403;top:3462;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自有房产固定资产原值计征</w:t>
                      </w:r>
                    </w:p>
                  </w:txbxContent>
                </v:textbox>
                <w10:wrap type="none"/>
              </v:shape>
              <v:shape style="position:absolute;left:9694;top:3481;width:37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w:t>
                      </w:r>
                    </w:p>
                  </w:txbxContent>
                </v:textbox>
                <w10:wrap type="none"/>
              </v:shape>
              <v:shape style="position:absolute;left:2086;top:3861;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城市维护建设税、</w:t>
                      </w:r>
                    </w:p>
                  </w:txbxContent>
                </v:textbox>
                <w10:wrap type="none"/>
              </v:shape>
              <v:shape style="position:absolute;left:4403;top:4056;width:34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按实际缴纳的营业税、增值税及消费税计征</w:t>
                      </w:r>
                    </w:p>
                  </w:txbxContent>
                </v:textbox>
                <w10:wrap type="none"/>
              </v:shape>
              <v:shape style="position:absolute;left:2086;top:4251;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教育费附加和地方教育费</w:t>
                      </w:r>
                    </w:p>
                  </w:txbxContent>
                </v:textbox>
                <w10:wrap type="none"/>
              </v:shape>
              <v:shape style="position:absolute;left:9209;top:3861;width:1434;height:980" type="#_x0000_t202" filled="false" stroked="false">
                <v:textbox inset="0,0,0,0">
                  <w:txbxContent>
                    <w:p>
                      <w:pPr>
                        <w:spacing w:line="194" w:lineRule="exact" w:before="0"/>
                        <w:ind w:left="41"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spacing w:before="141"/>
                        <w:ind w:left="0" w:right="91"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p>
                      <w:pPr>
                        <w:spacing w:line="245" w:lineRule="exact" w:before="150"/>
                        <w:ind w:left="0" w:right="0" w:firstLine="0"/>
                        <w:jc w:val="center"/>
                        <w:rPr>
                          <w:rFonts w:ascii="宋体" w:hAnsi="宋体" w:cs="宋体" w:eastAsia="宋体" w:hint="default"/>
                          <w:sz w:val="18"/>
                          <w:szCs w:val="18"/>
                        </w:rPr>
                      </w:pPr>
                      <w:r>
                        <w:rPr>
                          <w:rFonts w:ascii="Times New Roman" w:hAnsi="Times New Roman" w:cs="Times New Roman" w:eastAsia="Times New Roman" w:hint="default"/>
                          <w:spacing w:val="-8"/>
                          <w:sz w:val="18"/>
                          <w:szCs w:val="18"/>
                        </w:rPr>
                        <w:t>10%</w:t>
                      </w: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15%</w:t>
                      </w: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24%</w:t>
                      </w:r>
                      <w:r>
                        <w:rPr>
                          <w:rFonts w:ascii="宋体" w:hAnsi="宋体" w:cs="宋体" w:eastAsia="宋体" w:hint="default"/>
                          <w:spacing w:val="-8"/>
                          <w:sz w:val="18"/>
                          <w:szCs w:val="18"/>
                        </w:rPr>
                        <w:t>、</w:t>
                      </w:r>
                    </w:p>
                  </w:txbxContent>
                </v:textbox>
                <w10:wrap type="none"/>
              </v:shape>
              <v:shape style="position:absolute;left:2086;top:4847;width:3938;height:180" type="#_x0000_t202" filled="false" stroked="false">
                <v:textbox inset="0,0,0,0">
                  <w:txbxContent>
                    <w:p>
                      <w:pPr>
                        <w:tabs>
                          <w:tab w:pos="231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企业所得税</w:t>
                        <w:tab/>
                        <w:t>按应纳税所得额计征</w:t>
                      </w:r>
                    </w:p>
                  </w:txbxContent>
                </v:textbox>
                <w10:wrap type="none"/>
              </v:shape>
              <v:shape style="position:absolute;left:9377;top:5041;width:100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xbxContent>
                </v:textbox>
                <w10:wrap type="none"/>
              </v:shape>
            </v:group>
            <w10:wrap type="none"/>
          </v:group>
        </w:pict>
      </w:r>
      <w:r>
        <w:rPr>
          <w:w w:val="95"/>
        </w:rPr>
        <w:t>三、</w:t>
        <w:tab/>
      </w:r>
      <w:r>
        <w:rPr/>
        <w:t>税项</w:t>
      </w:r>
      <w:r>
        <w:rPr>
          <w:spacing w:val="1"/>
          <w:w w:val="99"/>
        </w:rPr>
        <w:t> </w:t>
      </w:r>
      <w:r>
        <w:rPr/>
        <w:t>公司主要税种和税率</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5"/>
          <w:szCs w:val="15"/>
        </w:rPr>
      </w:pPr>
    </w:p>
    <w:p>
      <w:pPr>
        <w:pStyle w:val="BodyText"/>
        <w:spacing w:line="302" w:lineRule="auto" w:before="0"/>
        <w:ind w:left="863" w:right="170"/>
        <w:jc w:val="both"/>
      </w:pPr>
      <w:r>
        <w:rPr/>
        <w:t>注 </w:t>
      </w:r>
      <w:r>
        <w:rPr>
          <w:rFonts w:ascii="Times New Roman" w:hAnsi="Times New Roman" w:cs="Times New Roman" w:eastAsia="Times New Roman" w:hint="default"/>
        </w:rPr>
        <w:t>1</w:t>
      </w:r>
      <w:r>
        <w:rPr/>
        <w:t>：根据国发（</w:t>
      </w:r>
      <w:r>
        <w:rPr>
          <w:rFonts w:ascii="Times New Roman" w:hAnsi="Times New Roman" w:cs="Times New Roman" w:eastAsia="Times New Roman" w:hint="default"/>
        </w:rPr>
        <w:t>2011</w:t>
      </w:r>
      <w:r>
        <w:rPr/>
        <w:t>）</w:t>
      </w:r>
      <w:r>
        <w:rPr>
          <w:rFonts w:ascii="Times New Roman" w:hAnsi="Times New Roman" w:cs="Times New Roman" w:eastAsia="Times New Roman" w:hint="default"/>
        </w:rPr>
        <w:t>4</w:t>
      </w:r>
      <w:r>
        <w:rPr>
          <w:rFonts w:ascii="Times New Roman" w:hAnsi="Times New Roman" w:cs="Times New Roman" w:eastAsia="Times New Roman" w:hint="default"/>
          <w:spacing w:val="-11"/>
        </w:rPr>
        <w:t> </w:t>
      </w:r>
      <w:r>
        <w:rPr/>
        <w:t>号文《国务院关于印发进一步鼓励软件产业和集成电路产业发展若 </w:t>
      </w:r>
      <w:r>
        <w:rPr>
          <w:spacing w:val="-2"/>
        </w:rPr>
        <w:t>干政策的通知》的规定，继续实施软件增值税优惠政策，即对增值税一般纳税人销售其自行开</w:t>
      </w:r>
      <w:r>
        <w:rPr>
          <w:spacing w:val="-86"/>
        </w:rPr>
        <w:t> </w:t>
      </w:r>
      <w:r>
        <w:rPr>
          <w:spacing w:val="-86"/>
        </w:rPr>
      </w:r>
      <w:r>
        <w:rPr/>
        <w:t>发生产的软件产品，按</w:t>
      </w:r>
      <w:r>
        <w:rPr>
          <w:spacing w:val="-50"/>
        </w:rPr>
        <w:t> </w:t>
      </w:r>
      <w:r>
        <w:rPr>
          <w:rFonts w:ascii="Times New Roman" w:hAnsi="Times New Roman" w:cs="Times New Roman" w:eastAsia="Times New Roman" w:hint="default"/>
        </w:rPr>
        <w:t>17%</w:t>
      </w:r>
      <w:r>
        <w:rPr/>
        <w:t>的法定税率征收增值税后，对其增值税实际税负超过</w:t>
      </w:r>
      <w:r>
        <w:rPr>
          <w:spacing w:val="-50"/>
        </w:rPr>
        <w:t> </w:t>
      </w:r>
      <w:r>
        <w:rPr>
          <w:rFonts w:ascii="Times New Roman" w:hAnsi="Times New Roman" w:cs="Times New Roman" w:eastAsia="Times New Roman" w:hint="default"/>
        </w:rPr>
        <w:t>3%</w:t>
      </w:r>
      <w:r>
        <w:rPr/>
        <w:t>的部分实 行即征即退政策。</w:t>
      </w:r>
    </w:p>
    <w:p>
      <w:pPr>
        <w:pStyle w:val="BodyText"/>
        <w:spacing w:line="302" w:lineRule="auto" w:before="30"/>
        <w:ind w:left="863" w:right="169"/>
        <w:jc w:val="both"/>
      </w:pPr>
      <w:r>
        <w:rPr/>
        <w:t>注</w:t>
      </w:r>
      <w:r>
        <w:rPr>
          <w:spacing w:val="-64"/>
        </w:rPr>
        <w:t> </w:t>
      </w:r>
      <w:r>
        <w:rPr>
          <w:rFonts w:ascii="Times New Roman" w:hAnsi="Times New Roman" w:cs="Times New Roman" w:eastAsia="Times New Roman" w:hint="default"/>
        </w:rPr>
        <w:t>2</w:t>
      </w:r>
      <w:r>
        <w:rPr/>
        <w:t>：按软件技术开发、转让和服务，系统集成服务，房屋出租，劳务，广告制作等收入及广 告媒介代理净收入的</w:t>
      </w:r>
      <w:r>
        <w:rPr>
          <w:spacing w:val="-18"/>
        </w:rPr>
        <w:t> </w:t>
      </w:r>
      <w:r>
        <w:rPr>
          <w:rFonts w:ascii="Times New Roman" w:hAnsi="Times New Roman" w:cs="Times New Roman" w:eastAsia="Times New Roman" w:hint="default"/>
          <w:spacing w:val="-1"/>
        </w:rPr>
        <w:t>5%</w:t>
      </w:r>
      <w:r>
        <w:rPr>
          <w:spacing w:val="-1"/>
        </w:rPr>
        <w:t>计算缴纳。根据财政部、国家税务总局（财税字</w:t>
      </w:r>
      <w:r>
        <w:rPr>
          <w:rFonts w:ascii="Times New Roman" w:hAnsi="Times New Roman" w:cs="Times New Roman" w:eastAsia="Times New Roman" w:hint="default"/>
          <w:spacing w:val="-1"/>
        </w:rPr>
        <w:t>[1999]273</w:t>
      </w:r>
      <w:r>
        <w:rPr>
          <w:rFonts w:ascii="Times New Roman" w:hAnsi="Times New Roman" w:cs="Times New Roman" w:eastAsia="Times New Roman" w:hint="default"/>
          <w:spacing w:val="33"/>
        </w:rPr>
        <w:t> </w:t>
      </w:r>
      <w:r>
        <w:rPr>
          <w:spacing w:val="-21"/>
        </w:rPr>
        <w:t>号）《关于</w:t>
      </w:r>
      <w:r>
        <w:rPr>
          <w:spacing w:val="-103"/>
        </w:rPr>
        <w:t> </w:t>
      </w:r>
      <w:r>
        <w:rPr>
          <w:spacing w:val="-103"/>
        </w:rPr>
      </w:r>
      <w:r>
        <w:rPr>
          <w:spacing w:val="-2"/>
        </w:rPr>
        <w:t>贯彻落实〈中共中央国务院关于加强技术创新，发展高科技，实现产业化的决定〉有关税收问</w:t>
      </w:r>
      <w:r>
        <w:rPr>
          <w:spacing w:val="-86"/>
        </w:rPr>
        <w:t> </w:t>
      </w:r>
      <w:r>
        <w:rPr>
          <w:spacing w:val="-86"/>
        </w:rPr>
      </w:r>
      <w:r>
        <w:rPr/>
        <w:t>题的通知》及沈阳市财政局、沈阳市地税局（沈财预字</w:t>
      </w:r>
      <w:r>
        <w:rPr>
          <w:rFonts w:ascii="Times New Roman" w:hAnsi="Times New Roman" w:cs="Times New Roman" w:eastAsia="Times New Roman" w:hint="default"/>
        </w:rPr>
        <w:t>[2000]102</w:t>
      </w:r>
      <w:r>
        <w:rPr>
          <w:rFonts w:ascii="Times New Roman" w:hAnsi="Times New Roman" w:cs="Times New Roman" w:eastAsia="Times New Roman" w:hint="default"/>
          <w:spacing w:val="3"/>
        </w:rPr>
        <w:t> </w:t>
      </w:r>
      <w:r>
        <w:rPr/>
        <w:t>号）转发文件的规定，从事 </w:t>
      </w:r>
      <w:r>
        <w:rPr>
          <w:spacing w:val="-2"/>
        </w:rPr>
        <w:t>技术转让、技术开发业务和与之相关的技术咨询、技术服务业务取得的收入，免征营业税。根</w:t>
      </w:r>
      <w:r>
        <w:rPr>
          <w:spacing w:val="-86"/>
        </w:rPr>
        <w:t> </w:t>
      </w:r>
      <w:r>
        <w:rPr>
          <w:spacing w:val="-86"/>
        </w:rPr>
      </w:r>
      <w:r>
        <w:rPr/>
        <w:t>据国税函</w:t>
      </w:r>
      <w:r>
        <w:rPr>
          <w:rFonts w:ascii="Times New Roman" w:hAnsi="Times New Roman" w:cs="Times New Roman" w:eastAsia="Times New Roman" w:hint="default"/>
        </w:rPr>
        <w:t>[2004]825</w:t>
      </w:r>
      <w:r>
        <w:rPr>
          <w:rFonts w:ascii="Times New Roman" w:hAnsi="Times New Roman" w:cs="Times New Roman" w:eastAsia="Times New Roman" w:hint="default"/>
          <w:spacing w:val="3"/>
        </w:rPr>
        <w:t> </w:t>
      </w:r>
      <w:r>
        <w:rPr/>
        <w:t>号文件的要求，本公司将认定后的技术合同及相关证明材料经当地税务机 关备案后，以直接免征的形式执行该规定。</w:t>
      </w:r>
    </w:p>
    <w:p>
      <w:pPr>
        <w:pStyle w:val="BodyText"/>
        <w:spacing w:line="300" w:lineRule="auto" w:before="30"/>
        <w:ind w:left="863" w:right="170"/>
        <w:jc w:val="both"/>
      </w:pPr>
      <w:r>
        <w:rPr/>
        <w:t>注</w:t>
      </w:r>
      <w:r>
        <w:rPr>
          <w:spacing w:val="-56"/>
        </w:rPr>
        <w:t> </w:t>
      </w:r>
      <w:r>
        <w:rPr>
          <w:rFonts w:ascii="Times New Roman" w:hAnsi="Times New Roman" w:cs="Times New Roman" w:eastAsia="Times New Roman" w:hint="default"/>
          <w:spacing w:val="-4"/>
        </w:rPr>
        <w:t>3</w:t>
      </w:r>
      <w:r>
        <w:rPr>
          <w:spacing w:val="-4"/>
        </w:rPr>
        <w:t>：本公司</w:t>
      </w:r>
      <w:r>
        <w:rPr>
          <w:spacing w:val="-56"/>
        </w:rPr>
        <w:t> </w:t>
      </w:r>
      <w:r>
        <w:rPr>
          <w:rFonts w:ascii="Times New Roman" w:hAnsi="Times New Roman" w:cs="Times New Roman" w:eastAsia="Times New Roman" w:hint="default"/>
          <w:spacing w:val="-3"/>
        </w:rPr>
        <w:t>2011 </w:t>
      </w:r>
      <w:r>
        <w:rPr/>
        <w:t>年</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月，按应交增值税、消费税和营业税总和的</w:t>
      </w:r>
      <w:r>
        <w:rPr>
          <w:spacing w:val="-5"/>
        </w:rPr>
        <w:t> </w:t>
      </w:r>
      <w:r>
        <w:rPr>
          <w:rFonts w:ascii="Times New Roman" w:hAnsi="Times New Roman" w:cs="Times New Roman" w:eastAsia="Times New Roman" w:hint="default"/>
          <w:spacing w:val="-3"/>
        </w:rPr>
        <w:t>7%</w:t>
      </w:r>
      <w:r>
        <w:rPr>
          <w:spacing w:val="-3"/>
        </w:rPr>
        <w:t>、</w:t>
      </w:r>
      <w:r>
        <w:rPr>
          <w:rFonts w:ascii="Times New Roman" w:hAnsi="Times New Roman" w:cs="Times New Roman" w:eastAsia="Times New Roman" w:hint="default"/>
          <w:spacing w:val="-3"/>
        </w:rPr>
        <w:t>3%</w:t>
      </w:r>
      <w:r>
        <w:rPr>
          <w:spacing w:val="-3"/>
        </w:rPr>
        <w:t>和</w:t>
      </w:r>
      <w:r>
        <w:rPr>
          <w:spacing w:val="-57"/>
        </w:rPr>
        <w:t> </w:t>
      </w:r>
      <w:r>
        <w:rPr>
          <w:rFonts w:ascii="Times New Roman" w:hAnsi="Times New Roman" w:cs="Times New Roman" w:eastAsia="Times New Roman" w:hint="default"/>
        </w:rPr>
        <w:t>1%</w:t>
      </w:r>
      <w:r>
        <w:rPr/>
        <w:t>分别缴纳城 </w:t>
      </w:r>
      <w:r>
        <w:rPr>
          <w:spacing w:val="-2"/>
        </w:rPr>
        <w:t>市维护建设税、教育费附加和地方教育费附加。根据《关于统一地方教育附加政策有关问题的</w:t>
      </w:r>
      <w:r>
        <w:rPr>
          <w:spacing w:val="-86"/>
        </w:rPr>
        <w:t> </w:t>
      </w:r>
      <w:r>
        <w:rPr>
          <w:spacing w:val="-86"/>
        </w:rPr>
      </w:r>
      <w:r>
        <w:rPr>
          <w:spacing w:val="-8"/>
        </w:rPr>
        <w:t>通知》（财综</w:t>
      </w:r>
      <w:r>
        <w:rPr>
          <w:rFonts w:ascii="Times New Roman" w:hAnsi="Times New Roman" w:cs="Times New Roman" w:eastAsia="Times New Roman" w:hint="default"/>
          <w:spacing w:val="-8"/>
        </w:rPr>
        <w:t>[2010]98</w:t>
      </w:r>
      <w:r>
        <w:rPr>
          <w:rFonts w:ascii="Times New Roman" w:hAnsi="Times New Roman" w:cs="Times New Roman" w:eastAsia="Times New Roman" w:hint="default"/>
          <w:spacing w:val="14"/>
        </w:rPr>
        <w:t> </w:t>
      </w:r>
      <w:r>
        <w:rPr>
          <w:spacing w:val="-16"/>
        </w:rPr>
        <w:t>号），本公司自</w:t>
      </w:r>
      <w:r>
        <w:rPr>
          <w:spacing w:val="-3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4"/>
        </w:rPr>
        <w:t> </w:t>
      </w:r>
      <w:r>
        <w:rPr/>
        <w:t>年</w:t>
      </w:r>
      <w:r>
        <w:rPr>
          <w:spacing w:val="-39"/>
        </w:rPr>
        <w:t> </w:t>
      </w:r>
      <w:r>
        <w:rPr>
          <w:rFonts w:ascii="Times New Roman" w:hAnsi="Times New Roman" w:cs="Times New Roman" w:eastAsia="Times New Roman" w:hint="default"/>
        </w:rPr>
        <w:t>2</w:t>
      </w:r>
      <w:r>
        <w:rPr>
          <w:rFonts w:ascii="Times New Roman" w:hAnsi="Times New Roman" w:cs="Times New Roman" w:eastAsia="Times New Roman" w:hint="default"/>
          <w:spacing w:val="14"/>
        </w:rPr>
        <w:t> </w:t>
      </w:r>
      <w:r>
        <w:rPr/>
        <w:t>月</w:t>
      </w:r>
      <w:r>
        <w:rPr>
          <w:spacing w:val="-40"/>
        </w:rPr>
        <w:t> </w:t>
      </w:r>
      <w:r>
        <w:rPr>
          <w:rFonts w:ascii="Times New Roman" w:hAnsi="Times New Roman" w:cs="Times New Roman" w:eastAsia="Times New Roman" w:hint="default"/>
        </w:rPr>
        <w:t>1</w:t>
      </w:r>
      <w:r>
        <w:rPr>
          <w:rFonts w:ascii="Times New Roman" w:hAnsi="Times New Roman" w:cs="Times New Roman" w:eastAsia="Times New Roman" w:hint="default"/>
          <w:spacing w:val="14"/>
        </w:rPr>
        <w:t> </w:t>
      </w:r>
      <w:r>
        <w:rPr>
          <w:spacing w:val="-1"/>
        </w:rPr>
        <w:t>日起，按应交增值税、消费税和营业税总</w:t>
      </w:r>
      <w:r>
        <w:rPr/>
        <w:t> 和的 </w:t>
      </w:r>
      <w:r>
        <w:rPr>
          <w:rFonts w:ascii="Times New Roman" w:hAnsi="Times New Roman" w:cs="Times New Roman" w:eastAsia="Times New Roman" w:hint="default"/>
        </w:rPr>
        <w:t>7%</w:t>
      </w:r>
      <w:r>
        <w:rPr/>
        <w:t>、</w:t>
      </w:r>
      <w:r>
        <w:rPr>
          <w:rFonts w:ascii="Times New Roman" w:hAnsi="Times New Roman" w:cs="Times New Roman" w:eastAsia="Times New Roman" w:hint="default"/>
        </w:rPr>
        <w:t>3%</w:t>
      </w:r>
      <w:r>
        <w:rPr/>
        <w:t>和</w:t>
      </w:r>
      <w:r>
        <w:rPr>
          <w:spacing w:val="-65"/>
        </w:rPr>
        <w:t> </w:t>
      </w:r>
      <w:r>
        <w:rPr>
          <w:rFonts w:ascii="Times New Roman" w:hAnsi="Times New Roman" w:cs="Times New Roman" w:eastAsia="Times New Roman" w:hint="default"/>
        </w:rPr>
        <w:t>2%</w:t>
      </w:r>
      <w:r>
        <w:rPr/>
        <w:t>分别缴纳城市维护建设税、教育费附加和地方教育费附加。除境外子公司 外的其他子公司按实际缴纳流转税额的</w:t>
      </w:r>
      <w:r>
        <w:rPr>
          <w:spacing w:val="-67"/>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7%</w:t>
      </w:r>
      <w:r>
        <w:rPr/>
        <w:t>、</w:t>
      </w:r>
      <w:r>
        <w:rPr>
          <w:rFonts w:ascii="Times New Roman" w:hAnsi="Times New Roman" w:cs="Times New Roman" w:eastAsia="Times New Roman" w:hint="default"/>
        </w:rPr>
        <w:t>3%</w:t>
      </w:r>
      <w:r>
        <w:rPr/>
        <w:t>及</w:t>
      </w:r>
      <w:r>
        <w:rPr>
          <w:spacing w:val="-67"/>
        </w:rPr>
        <w:t> </w:t>
      </w:r>
      <w:r>
        <w:rPr>
          <w:rFonts w:ascii="Times New Roman" w:hAnsi="Times New Roman" w:cs="Times New Roman" w:eastAsia="Times New Roman" w:hint="default"/>
        </w:rPr>
        <w:t>2%</w:t>
      </w:r>
      <w:r>
        <w:rPr/>
        <w:t>分别计缴城市维护建设税、教育费 附加及地方教育费附加。</w:t>
      </w:r>
    </w:p>
    <w:p>
      <w:pPr>
        <w:spacing w:after="0" w:line="300" w:lineRule="auto"/>
        <w:jc w:val="both"/>
        <w:sectPr>
          <w:pgSz w:w="11910" w:h="16840"/>
          <w:pgMar w:header="883" w:footer="1003" w:top="1540" w:bottom="1200" w:left="1220" w:right="1100"/>
        </w:sectPr>
      </w:pPr>
    </w:p>
    <w:p>
      <w:pPr>
        <w:spacing w:line="240" w:lineRule="auto" w:before="10"/>
        <w:rPr>
          <w:rFonts w:ascii="宋体" w:hAnsi="宋体" w:cs="宋体" w:eastAsia="宋体" w:hint="default"/>
          <w:sz w:val="8"/>
          <w:szCs w:val="8"/>
        </w:rPr>
      </w:pPr>
    </w:p>
    <w:p>
      <w:pPr>
        <w:pStyle w:val="BodyText"/>
        <w:spacing w:line="331" w:lineRule="auto"/>
        <w:ind w:left="863" w:right="88"/>
        <w:jc w:val="left"/>
      </w:pPr>
      <w:r>
        <w:rPr/>
        <w:t>注</w:t>
      </w:r>
      <w:r>
        <w:rPr>
          <w:spacing w:val="-69"/>
        </w:rPr>
        <w:t> </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7"/>
        </w:rPr>
        <w:t> </w:t>
      </w:r>
      <w:r>
        <w:rPr/>
        <w:t>年本公司及子公司东软集团（大连）有限公司（以下简称“大连子公司”）作为高 </w:t>
      </w:r>
      <w:r>
        <w:rPr>
          <w:spacing w:val="-5"/>
        </w:rPr>
        <w:t>新技术企业，根据《中华人民共和国企业所得税法》（中华人民共和国主席令</w:t>
      </w:r>
      <w:r>
        <w:rPr>
          <w:spacing w:val="-53"/>
        </w:rPr>
        <w:t> </w:t>
      </w:r>
      <w:r>
        <w:rPr>
          <w:rFonts w:ascii="Times New Roman" w:hAnsi="Times New Roman" w:cs="Times New Roman" w:eastAsia="Times New Roman" w:hint="default"/>
        </w:rPr>
        <w:t>2007 </w:t>
      </w:r>
      <w:r>
        <w:rPr/>
        <w:t>年第</w:t>
      </w:r>
      <w:r>
        <w:rPr>
          <w:spacing w:val="-54"/>
        </w:rPr>
        <w:t> </w:t>
      </w:r>
      <w:r>
        <w:rPr>
          <w:rFonts w:ascii="Times New Roman" w:hAnsi="Times New Roman" w:cs="Times New Roman" w:eastAsia="Times New Roman" w:hint="default"/>
        </w:rPr>
        <w:t>63 </w:t>
      </w:r>
      <w:r>
        <w:rPr/>
        <w:t>号）</w:t>
      </w:r>
      <w:r>
        <w:rPr>
          <w:spacing w:val="1"/>
        </w:rPr>
        <w:t> </w:t>
      </w:r>
      <w:r>
        <w:rPr/>
        <w:t>的规定，国家需要重点扶持的高新技术企业，减按 </w:t>
      </w:r>
      <w:r>
        <w:rPr>
          <w:rFonts w:ascii="Times New Roman" w:hAnsi="Times New Roman" w:cs="Times New Roman" w:eastAsia="Times New Roman" w:hint="default"/>
        </w:rPr>
        <w:t>15</w:t>
      </w:r>
      <w:r>
        <w:rPr/>
        <w:t>％的税率征收企业所得税。同时，按照</w:t>
      </w:r>
      <w:r>
        <w:rPr>
          <w:spacing w:val="-68"/>
        </w:rPr>
        <w:t> </w:t>
      </w:r>
      <w:r>
        <w:rPr>
          <w:spacing w:val="-68"/>
        </w:rPr>
      </w:r>
      <w:r>
        <w:rPr/>
        <w:t>财税</w:t>
      </w:r>
      <w:r>
        <w:rPr>
          <w:rFonts w:ascii="Times New Roman" w:hAnsi="Times New Roman" w:cs="Times New Roman" w:eastAsia="Times New Roman" w:hint="default"/>
        </w:rPr>
        <w:t>[2008]1</w:t>
      </w:r>
      <w:r>
        <w:rPr>
          <w:rFonts w:ascii="Times New Roman" w:hAnsi="Times New Roman" w:cs="Times New Roman" w:eastAsia="Times New Roman" w:hint="default"/>
          <w:spacing w:val="1"/>
        </w:rPr>
        <w:t> </w:t>
      </w:r>
      <w:r>
        <w:rPr/>
        <w:t>号《财政部国家税务总局关于企业所得税若干优惠政策的通知》，国家规划布局 内的重点软件生产企业，减按</w:t>
      </w:r>
      <w:r>
        <w:rPr>
          <w:spacing w:val="-62"/>
        </w:rPr>
        <w:t> </w:t>
      </w:r>
      <w:r>
        <w:rPr>
          <w:rFonts w:ascii="Times New Roman" w:hAnsi="Times New Roman" w:cs="Times New Roman" w:eastAsia="Times New Roman" w:hint="default"/>
        </w:rPr>
        <w:t>10</w:t>
      </w:r>
      <w:r>
        <w:rPr/>
        <w:t>％的税率征收企业所得税。虽然截止本财务报告批准报出日， 因国家相关部门尚未开展有关认定工作，因而本公司及大连子公司尚未获得 </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年度关于国</w:t>
      </w:r>
    </w:p>
    <w:p>
      <w:pPr>
        <w:pStyle w:val="BodyText"/>
        <w:spacing w:line="331" w:lineRule="auto" w:before="20"/>
        <w:ind w:left="863" w:right="208"/>
        <w:jc w:val="both"/>
      </w:pPr>
      <w:r>
        <w:rPr/>
        <w:t>家规划布局内重点软件企业的认定通知，但我们认为于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年度本公司及大连子公司能够满 足有关规定中关于国家规划布局内重点软件企业的认定条件，因此，</w:t>
      </w:r>
      <w:r>
        <w:rPr>
          <w:rFonts w:ascii="Times New Roman" w:hAnsi="Times New Roman" w:cs="Times New Roman" w:eastAsia="Times New Roman" w:hint="default"/>
        </w:rPr>
        <w:t>2011</w:t>
      </w:r>
      <w:r>
        <w:rPr>
          <w:rFonts w:ascii="Times New Roman" w:hAnsi="Times New Roman" w:cs="Times New Roman" w:eastAsia="Times New Roman" w:hint="default"/>
          <w:spacing w:val="31"/>
        </w:rPr>
        <w:t> </w:t>
      </w:r>
      <w:r>
        <w:rPr/>
        <w:t>年度本公司及大连</w:t>
      </w:r>
      <w:r>
        <w:rPr>
          <w:spacing w:val="-100"/>
        </w:rPr>
        <w:t> </w:t>
      </w:r>
      <w:r>
        <w:rPr>
          <w:spacing w:val="-100"/>
        </w:rPr>
      </w:r>
      <w:r>
        <w:rPr/>
        <w:t>子公司仍按</w:t>
      </w:r>
      <w:r>
        <w:rPr>
          <w:spacing w:val="-56"/>
        </w:rPr>
        <w:t> </w:t>
      </w:r>
      <w:r>
        <w:rPr>
          <w:rFonts w:ascii="Times New Roman" w:hAnsi="Times New Roman" w:cs="Times New Roman" w:eastAsia="Times New Roman" w:hint="default"/>
        </w:rPr>
        <w:t>10%</w:t>
      </w:r>
      <w:r>
        <w:rPr/>
        <w:t>的税率计算企业所得税。</w:t>
      </w:r>
    </w:p>
    <w:p>
      <w:pPr>
        <w:pStyle w:val="BodyText"/>
        <w:spacing w:line="343" w:lineRule="auto" w:before="20"/>
        <w:ind w:left="863" w:right="102"/>
        <w:jc w:val="both"/>
      </w:pPr>
      <w:r>
        <w:rPr>
          <w:rFonts w:ascii="Times New Roman" w:hAnsi="Times New Roman" w:cs="Times New Roman" w:eastAsia="Times New Roman" w:hint="default"/>
          <w:spacing w:val="-3"/>
        </w:rPr>
        <w:t>2011 </w:t>
      </w:r>
      <w:r>
        <w:rPr/>
        <w:t>年本公司之子公司东软集团（北京）有限公司、沈阳东软医疗系统有限公司、成都东软</w:t>
      </w:r>
      <w:r>
        <w:rPr>
          <w:spacing w:val="-53"/>
        </w:rPr>
        <w:t> </w:t>
      </w:r>
      <w:r>
        <w:rPr>
          <w:spacing w:val="-53"/>
        </w:rPr>
      </w:r>
      <w:r>
        <w:rPr/>
        <w:t>系统集成有限公司、西安东软系统集成有限公司、秦皇岛东软软件有限公司、南京东软系统集</w:t>
      </w:r>
      <w:r>
        <w:rPr/>
        <w:t> 成有限公司、沈阳东软信息技术服务有限公司、上海东软时代数码技术有限公司、湖南东软软 件有限公司、广东东软软件有限公司是高新技术企业，根据《中华人民共和国企业所得税法》</w:t>
      </w:r>
    </w:p>
    <w:p>
      <w:pPr>
        <w:pStyle w:val="BodyText"/>
        <w:spacing w:line="338" w:lineRule="auto"/>
        <w:ind w:left="863" w:right="200"/>
        <w:jc w:val="left"/>
      </w:pPr>
      <w:r>
        <w:rPr/>
        <w:t>（中华人民共和国主席令</w:t>
      </w:r>
      <w:r>
        <w:rPr>
          <w:spacing w:val="-5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年第</w:t>
      </w:r>
      <w:r>
        <w:rPr>
          <w:spacing w:val="-55"/>
        </w:rPr>
        <w:t> </w:t>
      </w:r>
      <w:r>
        <w:rPr>
          <w:rFonts w:ascii="Times New Roman" w:hAnsi="Times New Roman" w:cs="Times New Roman" w:eastAsia="Times New Roman" w:hint="default"/>
        </w:rPr>
        <w:t>63</w:t>
      </w:r>
      <w:r>
        <w:rPr>
          <w:rFonts w:ascii="Times New Roman" w:hAnsi="Times New Roman" w:cs="Times New Roman" w:eastAsia="Times New Roman" w:hint="default"/>
          <w:spacing w:val="-1"/>
        </w:rPr>
        <w:t> </w:t>
      </w:r>
      <w:r>
        <w:rPr/>
        <w:t>号）的规定，按</w:t>
      </w:r>
      <w:r>
        <w:rPr>
          <w:spacing w:val="-54"/>
        </w:rPr>
        <w:t> </w:t>
      </w:r>
      <w:r>
        <w:rPr>
          <w:rFonts w:ascii="Times New Roman" w:hAnsi="Times New Roman" w:cs="Times New Roman" w:eastAsia="Times New Roman" w:hint="default"/>
        </w:rPr>
        <w:t>15%</w:t>
      </w:r>
      <w:r>
        <w:rPr/>
        <w:t>的税率缴纳企业所得税。 </w:t>
      </w:r>
      <w:r>
        <w:rPr>
          <w:spacing w:val="-2"/>
        </w:rPr>
        <w:t>本公司之子公司深圳市东软软件有限公司根据《国务院关于实施企业所得税过渡优惠政策的通</w:t>
      </w:r>
      <w:r>
        <w:rPr>
          <w:spacing w:val="-85"/>
        </w:rPr>
        <w:t> </w:t>
      </w:r>
      <w:r>
        <w:rPr>
          <w:spacing w:val="-85"/>
        </w:rPr>
      </w:r>
      <w:r>
        <w:rPr>
          <w:spacing w:val="-1"/>
        </w:rPr>
        <w:t>知（国发</w:t>
      </w:r>
      <w:r>
        <w:rPr>
          <w:rFonts w:ascii="Times New Roman" w:hAnsi="Times New Roman" w:cs="Times New Roman" w:eastAsia="Times New Roman" w:hint="default"/>
          <w:spacing w:val="-1"/>
        </w:rPr>
        <w:t>[2007]39</w:t>
      </w:r>
      <w:r>
        <w:rPr>
          <w:rFonts w:ascii="Times New Roman" w:hAnsi="Times New Roman" w:cs="Times New Roman" w:eastAsia="Times New Roman" w:hint="default"/>
        </w:rPr>
        <w:t> </w:t>
      </w:r>
      <w:r>
        <w:rPr>
          <w:spacing w:val="-16"/>
        </w:rPr>
        <w:t>号）》规定按照</w:t>
      </w:r>
      <w:r>
        <w:rPr>
          <w:spacing w:val="-53"/>
        </w:rPr>
        <w:t> </w:t>
      </w:r>
      <w:r>
        <w:rPr>
          <w:rFonts w:ascii="Times New Roman" w:hAnsi="Times New Roman" w:cs="Times New Roman" w:eastAsia="Times New Roman" w:hint="default"/>
          <w:spacing w:val="-1"/>
        </w:rPr>
        <w:t>24%</w:t>
      </w:r>
      <w:r>
        <w:rPr>
          <w:spacing w:val="-1"/>
        </w:rPr>
        <w:t>的税率缴纳企业所得税。</w:t>
      </w:r>
      <w:r>
        <w:rPr>
          <w:spacing w:val="-81"/>
        </w:rPr>
        <w:t> </w:t>
      </w:r>
      <w:r>
        <w:rPr>
          <w:spacing w:val="-2"/>
        </w:rPr>
        <w:t>本公司之子公司东软集团（上海）有限公司、东软集团（天津）有限公司、沈阳东软系统集成</w:t>
      </w:r>
      <w:r>
        <w:rPr>
          <w:spacing w:val="-89"/>
        </w:rPr>
        <w:t> </w:t>
      </w:r>
      <w:r>
        <w:rPr>
          <w:spacing w:val="-89"/>
        </w:rPr>
      </w:r>
      <w:r>
        <w:rPr>
          <w:spacing w:val="-2"/>
        </w:rPr>
        <w:t>技术有限公司、东软集团（广州）有限公司依据国务院</w:t>
      </w:r>
      <w:r>
        <w:rPr>
          <w:rFonts w:ascii="Times New Roman" w:hAnsi="Times New Roman" w:cs="Times New Roman" w:eastAsia="Times New Roman" w:hint="default"/>
          <w:spacing w:val="-2"/>
        </w:rPr>
        <w:t>(</w:t>
      </w:r>
      <w:r>
        <w:rPr>
          <w:spacing w:val="-2"/>
        </w:rPr>
        <w:t>财税</w:t>
      </w:r>
      <w:r>
        <w:rPr>
          <w:rFonts w:ascii="Times New Roman" w:hAnsi="Times New Roman" w:cs="Times New Roman" w:eastAsia="Times New Roman" w:hint="default"/>
          <w:spacing w:val="-2"/>
        </w:rPr>
        <w:t>[2008]1</w:t>
      </w:r>
      <w:r>
        <w:rPr>
          <w:rFonts w:ascii="Times New Roman" w:hAnsi="Times New Roman" w:cs="Times New Roman" w:eastAsia="Times New Roman" w:hint="default"/>
          <w:spacing w:val="2"/>
        </w:rPr>
        <w:t> </w:t>
      </w:r>
      <w:r>
        <w:rPr>
          <w:spacing w:val="-2"/>
        </w:rPr>
        <w:t>号</w:t>
      </w:r>
      <w:r>
        <w:rPr>
          <w:rFonts w:ascii="Times New Roman" w:hAnsi="Times New Roman" w:cs="Times New Roman" w:eastAsia="Times New Roman" w:hint="default"/>
          <w:spacing w:val="-2"/>
        </w:rPr>
        <w:t>)</w:t>
      </w:r>
      <w:r>
        <w:rPr>
          <w:spacing w:val="-2"/>
        </w:rPr>
        <w:t>《关于企业所得税若干</w:t>
      </w:r>
      <w:r>
        <w:rPr/>
        <w:t> </w:t>
      </w:r>
      <w:r>
        <w:rPr>
          <w:spacing w:val="-2"/>
        </w:rPr>
        <w:t>优惠政策的通知》的规定，自获利年度起，第一年和第二年免征企业所得税，第三年到第五年</w:t>
      </w:r>
      <w:r>
        <w:rPr>
          <w:spacing w:val="-86"/>
        </w:rPr>
        <w:t> </w:t>
      </w:r>
      <w:r>
        <w:rPr>
          <w:spacing w:val="-86"/>
        </w:rPr>
      </w:r>
      <w:r>
        <w:rPr>
          <w:spacing w:val="-2"/>
        </w:rPr>
        <w:t>减半征收企业所得税。经税务机关认定，东软集团（上海）有限公司和沈阳东软系统集成技术</w:t>
      </w:r>
      <w:r>
        <w:rPr>
          <w:spacing w:val="-86"/>
        </w:rPr>
        <w:t> </w:t>
      </w:r>
      <w:r>
        <w:rPr>
          <w:spacing w:val="-86"/>
        </w:rPr>
      </w:r>
      <w:r>
        <w:rPr/>
        <w:t>有限公司、东软集团（天津）有限公司、东软集团（广州）有限公司</w:t>
      </w:r>
      <w:r>
        <w:rPr>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年度为免税期。 </w:t>
      </w:r>
      <w:r>
        <w:rPr>
          <w:spacing w:val="-3"/>
        </w:rPr>
        <w:t>本公司之其他境内子公司依据《中华人民共和国企业所得税法》的规定，按</w:t>
      </w:r>
      <w:r>
        <w:rPr>
          <w:spacing w:val="-40"/>
        </w:rPr>
        <w:t> </w:t>
      </w:r>
      <w:r>
        <w:rPr>
          <w:rFonts w:ascii="Times New Roman" w:hAnsi="Times New Roman" w:cs="Times New Roman" w:eastAsia="Times New Roman" w:hint="default"/>
        </w:rPr>
        <w:t>25%</w:t>
      </w:r>
      <w:r>
        <w:rPr/>
        <w:t>的税率缴纳企</w:t>
      </w:r>
      <w:r>
        <w:rPr>
          <w:spacing w:val="-102"/>
        </w:rPr>
        <w:t> </w:t>
      </w:r>
      <w:r>
        <w:rPr/>
        <w:t>业所得税。</w:t>
      </w:r>
    </w:p>
    <w:p>
      <w:pPr>
        <w:spacing w:after="0" w:line="338" w:lineRule="auto"/>
        <w:jc w:val="left"/>
        <w:sectPr>
          <w:pgSz w:w="11910" w:h="16840"/>
          <w:pgMar w:header="883" w:footer="1003" w:top="1540" w:bottom="1200" w:left="1220" w:right="1060"/>
        </w:sectPr>
      </w:pPr>
    </w:p>
    <w:p>
      <w:pPr>
        <w:spacing w:line="240" w:lineRule="auto" w:before="11"/>
        <w:rPr>
          <w:rFonts w:ascii="宋体" w:hAnsi="宋体" w:cs="宋体" w:eastAsia="宋体" w:hint="default"/>
          <w:sz w:val="24"/>
          <w:szCs w:val="24"/>
        </w:rPr>
      </w:pPr>
    </w:p>
    <w:p>
      <w:pPr>
        <w:spacing w:line="350" w:lineRule="auto" w:before="35"/>
        <w:ind w:left="666" w:right="8104" w:hanging="542"/>
        <w:jc w:val="left"/>
        <w:rPr>
          <w:rFonts w:ascii="宋体" w:hAnsi="宋体" w:cs="宋体" w:eastAsia="宋体" w:hint="default"/>
          <w:sz w:val="21"/>
          <w:szCs w:val="21"/>
        </w:rPr>
      </w:pPr>
      <w:r>
        <w:rPr>
          <w:rFonts w:ascii="宋体" w:hAnsi="宋体" w:cs="宋体" w:eastAsia="宋体" w:hint="default"/>
          <w:b/>
          <w:bCs/>
          <w:sz w:val="21"/>
          <w:szCs w:val="21"/>
        </w:rPr>
        <w:t>四、</w:t>
      </w:r>
      <w:r>
        <w:rPr>
          <w:rFonts w:ascii="宋体" w:hAnsi="宋体" w:cs="宋体" w:eastAsia="宋体" w:hint="default"/>
          <w:b/>
          <w:bCs/>
          <w:spacing w:val="11"/>
          <w:sz w:val="21"/>
          <w:szCs w:val="21"/>
        </w:rPr>
        <w:t> </w:t>
      </w:r>
      <w:r>
        <w:rPr>
          <w:rFonts w:ascii="宋体" w:hAnsi="宋体" w:cs="宋体" w:eastAsia="宋体" w:hint="default"/>
          <w:b/>
          <w:bCs/>
          <w:sz w:val="21"/>
          <w:szCs w:val="21"/>
        </w:rPr>
        <w:t>企业合并及合并财务报表</w:t>
      </w:r>
      <w:r>
        <w:rPr>
          <w:rFonts w:ascii="宋体" w:hAnsi="宋体" w:cs="宋体" w:eastAsia="宋体" w:hint="default"/>
          <w:b/>
          <w:bCs/>
          <w:w w:val="99"/>
          <w:sz w:val="21"/>
          <w:szCs w:val="21"/>
        </w:rPr>
        <w:t> </w:t>
      </w:r>
      <w:r>
        <w:rPr>
          <w:rFonts w:ascii="宋体" w:hAnsi="宋体" w:cs="宋体" w:eastAsia="宋体" w:hint="default"/>
          <w:sz w:val="21"/>
          <w:szCs w:val="21"/>
        </w:rPr>
        <w:t>本节下列表式数据中的金额单位，除非特别注明外均为人民币元。</w:t>
      </w:r>
    </w:p>
    <w:p>
      <w:pPr>
        <w:pStyle w:val="Heading6"/>
        <w:tabs>
          <w:tab w:pos="853" w:val="left" w:leader="none"/>
        </w:tabs>
        <w:spacing w:line="240" w:lineRule="auto" w:before="28"/>
        <w:ind w:left="125" w:right="8104"/>
        <w:jc w:val="left"/>
        <w:rPr>
          <w:b w:val="0"/>
          <w:bCs w:val="0"/>
        </w:rPr>
      </w:pPr>
      <w:r>
        <w:rPr>
          <w:w w:val="95"/>
        </w:rPr>
        <w:t>(一)</w:t>
        <w:tab/>
      </w:r>
      <w:r>
        <w:rPr/>
        <w:t>子公司情况</w:t>
      </w:r>
      <w:r>
        <w:rPr>
          <w:b w:val="0"/>
          <w:bCs w:val="0"/>
        </w:rPr>
      </w:r>
    </w:p>
    <w:p>
      <w:pPr>
        <w:spacing w:before="125"/>
        <w:ind w:left="665" w:right="810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7"/>
          <w:sz w:val="21"/>
          <w:szCs w:val="21"/>
        </w:rPr>
        <w:t> </w:t>
      </w:r>
      <w:r>
        <w:rPr>
          <w:rFonts w:ascii="宋体" w:hAnsi="宋体" w:cs="宋体" w:eastAsia="宋体" w:hint="default"/>
          <w:b/>
          <w:bCs/>
          <w:sz w:val="21"/>
          <w:szCs w:val="21"/>
        </w:rPr>
        <w:t>通过设立或投资等方式取得的子公司</w:t>
      </w:r>
      <w:r>
        <w:rPr>
          <w:rFonts w:ascii="宋体" w:hAnsi="宋体" w:cs="宋体" w:eastAsia="宋体" w:hint="default"/>
          <w:sz w:val="21"/>
          <w:szCs w:val="21"/>
        </w:rPr>
      </w:r>
    </w:p>
    <w:p>
      <w:pPr>
        <w:spacing w:line="6702" w:lineRule="exact"/>
        <w:ind w:left="720" w:right="0" w:firstLine="0"/>
        <w:rPr>
          <w:rFonts w:ascii="宋体" w:hAnsi="宋体" w:cs="宋体" w:eastAsia="宋体" w:hint="default"/>
          <w:sz w:val="20"/>
          <w:szCs w:val="20"/>
        </w:rPr>
      </w:pPr>
      <w:r>
        <w:rPr>
          <w:rFonts w:ascii="宋体" w:hAnsi="宋体" w:cs="宋体" w:eastAsia="宋体" w:hint="default"/>
          <w:position w:val="-133"/>
          <w:sz w:val="20"/>
          <w:szCs w:val="20"/>
        </w:rPr>
        <w:pict>
          <v:group style="width:702.45pt;height:335.1pt;mso-position-horizontal-relative:char;mso-position-vertical-relative:line" coordorigin="0,0" coordsize="14049,6702">
            <v:group style="position:absolute;left:29;top:15;width:14001;height:2" coordorigin="29,15" coordsize="14001,2">
              <v:shape style="position:absolute;left:29;top:15;width:14001;height:2" coordorigin="29,15" coordsize="14001,0" path="m29,15l14030,15e" filled="false" stroked="true" strokeweight="1.5pt" strokecolor="#000000">
                <v:path arrowok="t"/>
              </v:shape>
              <v:shape style="position:absolute;left:2254;top:1;width:10144;height:2458" type="#_x0000_t75" stroked="false">
                <v:imagedata r:id="rId50" o:title=""/>
              </v:shape>
            </v:group>
            <v:group style="position:absolute;left:15;top:6687;width:2268;height:2" coordorigin="15,6687" coordsize="2268,2">
              <v:shape style="position:absolute;left:15;top:6687;width:2268;height:2" coordorigin="15,6687" coordsize="2268,0" path="m15,6687l2283,6687e" filled="false" stroked="true" strokeweight="1.5pt" strokecolor="#000000">
                <v:path arrowok="t"/>
              </v:shape>
              <v:shape style="position:absolute;left:10;top:2411;width:14039;height:4281" type="#_x0000_t75" stroked="false">
                <v:imagedata r:id="rId51" o:title=""/>
              </v:shape>
            </v:group>
            <v:group style="position:absolute;left:2283;top:6687;width:610;height:2" coordorigin="2283,6687" coordsize="610,2">
              <v:shape style="position:absolute;left:2283;top:6687;width:610;height:2" coordorigin="2283,6687" coordsize="610,0" path="m2283,6687l2893,6687e" filled="false" stroked="true" strokeweight="1.5pt" strokecolor="#000000">
                <v:path arrowok="t"/>
              </v:shape>
              <v:shape style="position:absolute;left:2873;top:5852;width:49;height:840" type="#_x0000_t75" stroked="false">
                <v:imagedata r:id="rId52" o:title=""/>
              </v:shape>
            </v:group>
            <v:group style="position:absolute;left:2893;top:6687;width:502;height:2" coordorigin="2893,6687" coordsize="502,2">
              <v:shape style="position:absolute;left:2893;top:6687;width:502;height:2" coordorigin="2893,6687" coordsize="502,0" path="m2893,6687l3394,6687e" filled="false" stroked="true" strokeweight="1.5pt" strokecolor="#000000">
                <v:path arrowok="t"/>
              </v:shape>
              <v:shape style="position:absolute;left:3374;top:5852;width:49;height:840" type="#_x0000_t75" stroked="false">
                <v:imagedata r:id="rId52" o:title=""/>
              </v:shape>
            </v:group>
            <v:group style="position:absolute;left:3394;top:6687;width:939;height:2" coordorigin="3394,6687" coordsize="939,2">
              <v:shape style="position:absolute;left:3394;top:6687;width:939;height:2" coordorigin="3394,6687" coordsize="939,0" path="m3394,6687l4333,6687e" filled="false" stroked="true" strokeweight="1.5pt" strokecolor="#000000">
                <v:path arrowok="t"/>
              </v:shape>
              <v:shape style="position:absolute;left:4313;top:5852;width:49;height:840" type="#_x0000_t75" stroked="false">
                <v:imagedata r:id="rId53" o:title=""/>
              </v:shape>
            </v:group>
            <v:group style="position:absolute;left:4333;top:6687;width:1179;height:2" coordorigin="4333,6687" coordsize="1179,2">
              <v:shape style="position:absolute;left:4333;top:6687;width:1179;height:2" coordorigin="4333,6687" coordsize="1179,0" path="m4333,6687l5511,6687e" filled="false" stroked="true" strokeweight="1.5pt" strokecolor="#000000">
                <v:path arrowok="t"/>
              </v:shape>
              <v:shape style="position:absolute;left:5491;top:5852;width:49;height:840" type="#_x0000_t75" stroked="false">
                <v:imagedata r:id="rId52" o:title=""/>
              </v:shape>
            </v:group>
            <v:group style="position:absolute;left:5511;top:6687;width:1773;height:2" coordorigin="5511,6687" coordsize="1773,2">
              <v:shape style="position:absolute;left:5511;top:6687;width:1773;height:2" coordorigin="5511,6687" coordsize="1773,0" path="m5511,6687l7283,6687e" filled="false" stroked="true" strokeweight="1.5pt" strokecolor="#000000">
                <v:path arrowok="t"/>
              </v:shape>
              <v:shape style="position:absolute;left:7264;top:5852;width:49;height:840" type="#_x0000_t75" stroked="false">
                <v:imagedata r:id="rId54" o:title=""/>
              </v:shape>
            </v:group>
            <v:group style="position:absolute;left:7283;top:6687;width:992;height:2" coordorigin="7283,6687" coordsize="992,2">
              <v:shape style="position:absolute;left:7283;top:6687;width:992;height:2" coordorigin="7283,6687" coordsize="992,0" path="m7283,6687l8275,6687e" filled="false" stroked="true" strokeweight="1.5pt" strokecolor="#000000">
                <v:path arrowok="t"/>
              </v:shape>
              <v:shape style="position:absolute;left:8246;top:5843;width:67;height:845" type="#_x0000_t75" stroked="false">
                <v:imagedata r:id="rId55" o:title=""/>
              </v:shape>
            </v:group>
            <v:group style="position:absolute;left:8275;top:6687;width:725;height:2" coordorigin="8275,6687" coordsize="725,2">
              <v:shape style="position:absolute;left:8275;top:6687;width:725;height:2" coordorigin="8275,6687" coordsize="725,0" path="m8275,6687l8999,6687e" filled="false" stroked="true" strokeweight="1.5pt" strokecolor="#000000">
                <v:path arrowok="t"/>
              </v:shape>
              <v:shape style="position:absolute;left:8980;top:5852;width:49;height:840" type="#_x0000_t75" stroked="false">
                <v:imagedata r:id="rId54" o:title=""/>
              </v:shape>
            </v:group>
            <v:group style="position:absolute;left:8999;top:6687;width:510;height:2" coordorigin="8999,6687" coordsize="510,2">
              <v:shape style="position:absolute;left:8999;top:6687;width:510;height:2" coordorigin="8999,6687" coordsize="510,0" path="m8999,6687l9509,6687e" filled="false" stroked="true" strokeweight="1.5pt" strokecolor="#000000">
                <v:path arrowok="t"/>
              </v:shape>
              <v:shape style="position:absolute;left:9490;top:5852;width:49;height:840" type="#_x0000_t75" stroked="false">
                <v:imagedata r:id="rId54" o:title=""/>
              </v:shape>
            </v:group>
            <v:group style="position:absolute;left:9509;top:6687;width:686;height:2" coordorigin="9509,6687" coordsize="686,2">
              <v:shape style="position:absolute;left:9509;top:6687;width:686;height:2" coordorigin="9509,6687" coordsize="686,0" path="m9509,6687l10195,6687e" filled="false" stroked="true" strokeweight="1.5pt" strokecolor="#000000">
                <v:path arrowok="t"/>
              </v:shape>
              <v:shape style="position:absolute;left:10175;top:5852;width:49;height:840" type="#_x0000_t75" stroked="false">
                <v:imagedata r:id="rId54" o:title=""/>
              </v:shape>
            </v:group>
            <v:group style="position:absolute;left:10195;top:6687;width:546;height:2" coordorigin="10195,6687" coordsize="546,2">
              <v:shape style="position:absolute;left:10195;top:6687;width:546;height:2" coordorigin="10195,6687" coordsize="546,0" path="m10195,6687l10741,6687e" filled="false" stroked="true" strokeweight="1.5pt" strokecolor="#000000">
                <v:path arrowok="t"/>
              </v:shape>
              <v:shape style="position:absolute;left:10721;top:5852;width:49;height:840" type="#_x0000_t75" stroked="false">
                <v:imagedata r:id="rId52" o:title=""/>
              </v:shape>
            </v:group>
            <v:group style="position:absolute;left:10741;top:6687;width:894;height:2" coordorigin="10741,6687" coordsize="894,2">
              <v:shape style="position:absolute;left:10741;top:6687;width:894;height:2" coordorigin="10741,6687" coordsize="894,0" path="m10741,6687l11635,6687e" filled="false" stroked="true" strokeweight="1.5pt" strokecolor="#000000">
                <v:path arrowok="t"/>
              </v:shape>
              <v:shape style="position:absolute;left:11615;top:5852;width:49;height:840" type="#_x0000_t75" stroked="false">
                <v:imagedata r:id="rId54" o:title=""/>
              </v:shape>
            </v:group>
            <v:group style="position:absolute;left:11635;top:6687;width:725;height:2" coordorigin="11635,6687" coordsize="725,2">
              <v:shape style="position:absolute;left:11635;top:6687;width:725;height:2" coordorigin="11635,6687" coordsize="725,0" path="m11635,6687l12359,6687e" filled="false" stroked="true" strokeweight="1.5pt" strokecolor="#000000">
                <v:path arrowok="t"/>
              </v:shape>
              <v:shape style="position:absolute;left:12340;top:5852;width:49;height:840" type="#_x0000_t75" stroked="false">
                <v:imagedata r:id="rId54" o:title=""/>
              </v:shape>
            </v:group>
            <v:group style="position:absolute;left:12359;top:6687;width:1671;height:2" coordorigin="12359,6687" coordsize="1671,2">
              <v:shape style="position:absolute;left:12359;top:6687;width:1671;height:2" coordorigin="12359,6687" coordsize="1671,0" path="m12359,6687l14030,6687e" filled="false" stroked="true" strokeweight="1.5pt" strokecolor="#000000">
                <v:path arrowok="t"/>
              </v:shape>
              <v:shape style="position:absolute;left:12464;top:256;width:15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从母公司所有者权益冲</w:t>
                      </w:r>
                    </w:p>
                  </w:txbxContent>
                </v:textbox>
                <w10:wrap type="none"/>
              </v:shape>
              <v:shape style="position:absolute;left:8357;top:45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实质上构</w:t>
                      </w:r>
                    </w:p>
                  </w:txbxContent>
                </v:textbox>
                <w10:wrap type="none"/>
              </v:shape>
              <v:shape style="position:absolute;left:11717;top:45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少数股东</w:t>
                      </w:r>
                    </w:p>
                  </w:txbxContent>
                </v:textbox>
                <w10:wrap type="none"/>
              </v:shape>
              <v:shape style="position:absolute;left:12464;top:656;width:15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减子公司少数股东分担</w:t>
                      </w:r>
                    </w:p>
                  </w:txbxContent>
                </v:textbox>
                <w10:wrap type="none"/>
              </v:shape>
              <v:shape style="position:absolute;left:8357;top:856;width:1068;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成对子公 </w:t>
                      </w:r>
                      <w:r>
                        <w:rPr>
                          <w:rFonts w:ascii="宋体" w:hAnsi="宋体" w:cs="宋体" w:eastAsia="宋体" w:hint="default"/>
                          <w:spacing w:val="18"/>
                          <w:sz w:val="15"/>
                          <w:szCs w:val="15"/>
                        </w:rPr>
                        <w:t> </w:t>
                      </w:r>
                      <w:r>
                        <w:rPr>
                          <w:rFonts w:ascii="宋体" w:hAnsi="宋体" w:cs="宋体" w:eastAsia="宋体" w:hint="default"/>
                          <w:sz w:val="15"/>
                          <w:szCs w:val="15"/>
                        </w:rPr>
                        <w:t>持股</w:t>
                      </w:r>
                    </w:p>
                  </w:txbxContent>
                </v:textbox>
                <w10:wrap type="none"/>
              </v:shape>
              <v:shape style="position:absolute;left:11717;top:85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权益中用</w:t>
                      </w:r>
                    </w:p>
                  </w:txbxContent>
                </v:textbox>
                <w10:wrap type="none"/>
              </v:shape>
              <v:shape style="position:absolute;left:2384;top:1055;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子公司</w:t>
                      </w:r>
                    </w:p>
                  </w:txbxContent>
                </v:textbox>
                <w10:wrap type="none"/>
              </v:shape>
              <v:shape style="position:absolute;left:7351;top:1055;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期末实际投资</w:t>
                      </w:r>
                    </w:p>
                  </w:txbxContent>
                </v:textbox>
                <w10:wrap type="none"/>
              </v:shape>
              <v:shape style="position:absolute;left:9573;top:1055;width:201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表决权比 是否合</w:t>
                      </w:r>
                      <w:r>
                        <w:rPr>
                          <w:rFonts w:ascii="宋体" w:hAnsi="宋体" w:cs="宋体" w:eastAsia="宋体" w:hint="default"/>
                          <w:spacing w:val="59"/>
                          <w:sz w:val="15"/>
                          <w:szCs w:val="15"/>
                        </w:rPr>
                        <w:t> </w:t>
                      </w:r>
                      <w:r>
                        <w:rPr>
                          <w:rFonts w:ascii="宋体" w:hAnsi="宋体" w:cs="宋体" w:eastAsia="宋体" w:hint="default"/>
                          <w:sz w:val="15"/>
                          <w:szCs w:val="15"/>
                        </w:rPr>
                        <w:t>少数股东权</w:t>
                      </w:r>
                    </w:p>
                  </w:txbxContent>
                </v:textbox>
                <w10:wrap type="none"/>
              </v:shape>
              <v:shape style="position:absolute;left:12464;top:1055;width:15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的本期亏损超过少数股</w:t>
                      </w:r>
                    </w:p>
                  </w:txbxContent>
                </v:textbox>
                <w10:wrap type="none"/>
              </v:shape>
              <v:shape style="position:absolute;left:800;top:1256;width:13164;height:1150" type="#_x0000_t202" filled="false" stroked="false">
                <v:textbox inset="0,0,0,0">
                  <w:txbxContent>
                    <w:p>
                      <w:pPr>
                        <w:tabs>
                          <w:tab w:pos="2152" w:val="left" w:leader="none"/>
                          <w:tab w:pos="3843" w:val="left" w:leader="none"/>
                          <w:tab w:pos="5318" w:val="left" w:leader="none"/>
                          <w:tab w:pos="7557" w:val="left" w:leader="none"/>
                          <w:tab w:pos="10917"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子公司全称</w:t>
                        <w:tab/>
                        <w:t>注册地</w:t>
                      </w:r>
                      <w:r>
                        <w:rPr>
                          <w:rFonts w:ascii="宋体" w:hAnsi="宋体" w:cs="宋体" w:eastAsia="宋体" w:hint="default"/>
                          <w:spacing w:val="66"/>
                          <w:sz w:val="15"/>
                          <w:szCs w:val="15"/>
                        </w:rPr>
                        <w:t> </w:t>
                      </w:r>
                      <w:r>
                        <w:rPr>
                          <w:rFonts w:ascii="宋体" w:hAnsi="宋体" w:cs="宋体" w:eastAsia="宋体" w:hint="default"/>
                          <w:sz w:val="15"/>
                          <w:szCs w:val="15"/>
                        </w:rPr>
                        <w:t>企业性质</w:t>
                        <w:tab/>
                        <w:t>注册资本</w:t>
                        <w:tab/>
                        <w:t>经营范围</w:t>
                        <w:tab/>
                        <w:t>司净投资 </w:t>
                      </w:r>
                      <w:r>
                        <w:rPr>
                          <w:rFonts w:ascii="宋体" w:hAnsi="宋体" w:cs="宋体" w:eastAsia="宋体" w:hint="default"/>
                          <w:spacing w:val="18"/>
                          <w:sz w:val="15"/>
                          <w:szCs w:val="15"/>
                        </w:rPr>
                        <w:t> </w:t>
                      </w:r>
                      <w:r>
                        <w:rPr>
                          <w:rFonts w:ascii="宋体" w:hAnsi="宋体" w:cs="宋体" w:eastAsia="宋体" w:hint="default"/>
                          <w:sz w:val="15"/>
                          <w:szCs w:val="15"/>
                        </w:rPr>
                        <w:t>比例</w:t>
                        <w:tab/>
                        <w:t>于冲减少</w:t>
                      </w:r>
                    </w:p>
                    <w:p>
                      <w:pPr>
                        <w:tabs>
                          <w:tab w:pos="6925" w:val="left" w:leader="none"/>
                          <w:tab w:pos="8363" w:val="left" w:leader="none"/>
                          <w:tab w:pos="8885" w:val="left" w:leader="none"/>
                          <w:tab w:pos="9464" w:val="left" w:leader="none"/>
                          <w:tab w:pos="10333" w:val="left" w:leader="none"/>
                          <w:tab w:pos="10917" w:val="left" w:leader="none"/>
                          <w:tab w:pos="11663" w:val="left" w:leader="none"/>
                        </w:tabs>
                        <w:spacing w:line="208" w:lineRule="exact" w:before="13"/>
                        <w:ind w:left="7557" w:right="0" w:hanging="5898"/>
                        <w:jc w:val="left"/>
                        <w:rPr>
                          <w:rFonts w:ascii="宋体" w:hAnsi="宋体" w:cs="宋体" w:eastAsia="宋体" w:hint="default"/>
                          <w:sz w:val="15"/>
                          <w:szCs w:val="15"/>
                        </w:rPr>
                      </w:pPr>
                      <w:r>
                        <w:rPr>
                          <w:rFonts w:ascii="宋体" w:hAnsi="宋体" w:cs="宋体" w:eastAsia="宋体" w:hint="default"/>
                          <w:sz w:val="15"/>
                          <w:szCs w:val="15"/>
                        </w:rPr>
                        <w:t>类型</w:t>
                        <w:tab/>
                        <w:t>额</w:t>
                        <w:tab/>
                        <w:tab/>
                        <w:tab/>
                        <w:t>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并报表</w:t>
                        <w:tab/>
                        <w:t>益</w:t>
                        <w:tab/>
                        <w:tab/>
                        <w:t>东在该子公司期初所有 </w:t>
                      </w:r>
                      <w:r>
                        <w:rPr>
                          <w:rFonts w:ascii="宋体" w:hAnsi="宋体" w:cs="宋体" w:eastAsia="宋体" w:hint="default"/>
                          <w:position w:val="1"/>
                          <w:sz w:val="15"/>
                          <w:szCs w:val="15"/>
                        </w:rPr>
                        <w:t>的其他项</w:t>
                        <w:tab/>
                      </w:r>
                      <w:r>
                        <w:rPr>
                          <w:rFonts w:ascii="Times New Roman" w:hAnsi="Times New Roman" w:cs="Times New Roman" w:eastAsia="Times New Roman" w:hint="default"/>
                          <w:sz w:val="15"/>
                          <w:szCs w:val="15"/>
                        </w:rPr>
                        <w:t>(%)</w:t>
                        <w:tab/>
                        <w:tab/>
                        <w:tab/>
                        <w:tab/>
                      </w:r>
                      <w:r>
                        <w:rPr>
                          <w:rFonts w:ascii="宋体" w:hAnsi="宋体" w:cs="宋体" w:eastAsia="宋体" w:hint="default"/>
                          <w:position w:val="1"/>
                          <w:sz w:val="15"/>
                          <w:szCs w:val="15"/>
                        </w:rPr>
                        <w:t>数股东损</w:t>
                      </w:r>
                      <w:r>
                        <w:rPr>
                          <w:rFonts w:ascii="宋体" w:hAnsi="宋体" w:cs="宋体" w:eastAsia="宋体" w:hint="default"/>
                          <w:sz w:val="15"/>
                          <w:szCs w:val="15"/>
                        </w:rPr>
                      </w:r>
                    </w:p>
                    <w:p>
                      <w:pPr>
                        <w:spacing w:line="171" w:lineRule="exact" w:before="0"/>
                        <w:ind w:left="0" w:right="0" w:firstLine="0"/>
                        <w:jc w:val="right"/>
                        <w:rPr>
                          <w:rFonts w:ascii="宋体" w:hAnsi="宋体" w:cs="宋体" w:eastAsia="宋体" w:hint="default"/>
                          <w:sz w:val="15"/>
                          <w:szCs w:val="15"/>
                        </w:rPr>
                      </w:pPr>
                      <w:r>
                        <w:rPr>
                          <w:rFonts w:ascii="宋体" w:hAnsi="宋体" w:cs="宋体" w:eastAsia="宋体" w:hint="default"/>
                          <w:sz w:val="15"/>
                          <w:szCs w:val="15"/>
                        </w:rPr>
                        <w:t>者权益中所享有份额后</w:t>
                      </w:r>
                    </w:p>
                    <w:p>
                      <w:pPr>
                        <w:tabs>
                          <w:tab w:pos="10917" w:val="left" w:leader="none"/>
                        </w:tabs>
                        <w:spacing w:before="4"/>
                        <w:ind w:left="7632" w:right="0" w:firstLine="0"/>
                        <w:jc w:val="left"/>
                        <w:rPr>
                          <w:rFonts w:ascii="宋体" w:hAnsi="宋体" w:cs="宋体" w:eastAsia="宋体" w:hint="default"/>
                          <w:sz w:val="15"/>
                          <w:szCs w:val="15"/>
                        </w:rPr>
                      </w:pPr>
                      <w:r>
                        <w:rPr>
                          <w:rFonts w:ascii="宋体" w:hAnsi="宋体" w:cs="宋体" w:eastAsia="宋体" w:hint="default"/>
                          <w:sz w:val="15"/>
                          <w:szCs w:val="15"/>
                        </w:rPr>
                        <w:t>目余额</w:t>
                        <w:tab/>
                        <w:t>益的金额</w:t>
                      </w:r>
                    </w:p>
                    <w:p>
                      <w:pPr>
                        <w:spacing w:before="3"/>
                        <w:ind w:left="0" w:right="523" w:firstLine="0"/>
                        <w:jc w:val="right"/>
                        <w:rPr>
                          <w:rFonts w:ascii="宋体" w:hAnsi="宋体" w:cs="宋体" w:eastAsia="宋体" w:hint="default"/>
                          <w:sz w:val="15"/>
                          <w:szCs w:val="15"/>
                        </w:rPr>
                      </w:pPr>
                      <w:r>
                        <w:rPr>
                          <w:rFonts w:ascii="宋体" w:hAnsi="宋体" w:cs="宋体" w:eastAsia="宋体" w:hint="default"/>
                          <w:sz w:val="15"/>
                          <w:szCs w:val="15"/>
                        </w:rPr>
                        <w:t>的余额</w:t>
                      </w:r>
                    </w:p>
                  </w:txbxContent>
                </v:textbox>
                <w10:wrap type="none"/>
              </v:shape>
              <v:shape style="position:absolute;left:137;top:2717;width:4157;height:150" type="#_x0000_t202" filled="false" stroked="false">
                <v:textbox inset="0,0,0,0">
                  <w:txbxContent>
                    <w:p>
                      <w:pPr>
                        <w:tabs>
                          <w:tab w:pos="2867"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沈阳逐日数码广告传播有限公司 </w:t>
                      </w:r>
                      <w:r>
                        <w:rPr>
                          <w:rFonts w:ascii="宋体" w:hAnsi="宋体" w:cs="宋体" w:eastAsia="宋体" w:hint="default"/>
                          <w:spacing w:val="8"/>
                          <w:sz w:val="15"/>
                          <w:szCs w:val="15"/>
                        </w:rPr>
                        <w:t> </w:t>
                      </w:r>
                      <w:r>
                        <w:rPr>
                          <w:rFonts w:ascii="宋体" w:hAnsi="宋体" w:cs="宋体" w:eastAsia="宋体" w:hint="default"/>
                          <w:sz w:val="15"/>
                          <w:szCs w:val="15"/>
                        </w:rPr>
                        <w:t>全资</w:t>
                        <w:tab/>
                        <w:t>沈阳</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xbxContent>
                </v:textbox>
                <w10:wrap type="none"/>
              </v:shape>
              <v:shape style="position:absolute;left:4808;top:2717;width:1866;height:167" type="#_x0000_t202" filled="false" stroked="false">
                <v:textbox inset="0,0,0,0">
                  <w:txbxContent>
                    <w:p>
                      <w:pPr>
                        <w:tabs>
                          <w:tab w:pos="815" w:val="left" w:leader="none"/>
                        </w:tabs>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1,000,000</w:t>
                        <w:tab/>
                      </w:r>
                      <w:r>
                        <w:rPr>
                          <w:rFonts w:ascii="宋体" w:hAnsi="宋体" w:cs="宋体" w:eastAsia="宋体" w:hint="default"/>
                          <w:position w:val="1"/>
                          <w:sz w:val="15"/>
                          <w:szCs w:val="15"/>
                        </w:rPr>
                        <w:t>广告制作、发布</w:t>
                      </w:r>
                      <w:r>
                        <w:rPr>
                          <w:rFonts w:ascii="宋体" w:hAnsi="宋体" w:cs="宋体" w:eastAsia="宋体" w:hint="default"/>
                          <w:sz w:val="15"/>
                          <w:szCs w:val="15"/>
                        </w:rPr>
                      </w:r>
                    </w:p>
                  </w:txbxContent>
                </v:textbox>
                <w10:wrap type="none"/>
              </v:shape>
              <v:shape style="position:absolute;left:7571;top:2734;width:6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1,000,000</w:t>
                      </w:r>
                    </w:p>
                  </w:txbxContent>
                </v:textbox>
                <w10:wrap type="none"/>
              </v:shape>
              <v:shape style="position:absolute;left:9147;top:2734;width:823;height:150" type="#_x0000_t202" filled="false" stroked="false">
                <v:textbox inset="0,0,0,0">
                  <w:txbxContent>
                    <w:p>
                      <w:pPr>
                        <w:tabs>
                          <w:tab w:pos="597"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tab/>
                        <w:t>100</w:t>
                      </w:r>
                    </w:p>
                  </w:txbxContent>
                </v:textbox>
                <w10:wrap type="none"/>
              </v:shape>
              <v:shape style="position:absolute;left:10397;top:2717;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137;top:3250;width:15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湖南东软软件有限公司</w:t>
                      </w:r>
                    </w:p>
                  </w:txbxContent>
                </v:textbox>
                <w10:wrap type="none"/>
              </v:shape>
              <v:shape style="position:absolute;left:2396;top:3250;width:1899;height:150" type="#_x0000_t202" filled="false" stroked="false">
                <v:textbox inset="0,0,0,0">
                  <w:txbxContent>
                    <w:p>
                      <w:pPr>
                        <w:tabs>
                          <w:tab w:pos="60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全资</w:t>
                        <w:tab/>
                        <w:t>长沙</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xbxContent>
                </v:textbox>
                <w10:wrap type="none"/>
              </v:shape>
              <v:shape style="position:absolute;left:4733;top:3250;width:2091;height:167" type="#_x0000_t202" filled="false" stroked="false">
                <v:textbox inset="0,0,0,0">
                  <w:txbxContent>
                    <w:p>
                      <w:pPr>
                        <w:tabs>
                          <w:tab w:pos="890" w:val="left" w:leader="none"/>
                        </w:tabs>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12,000,000</w:t>
                        <w:tab/>
                      </w:r>
                      <w:r>
                        <w:rPr>
                          <w:rFonts w:ascii="宋体" w:hAnsi="宋体" w:cs="宋体" w:eastAsia="宋体" w:hint="default"/>
                          <w:position w:val="1"/>
                          <w:sz w:val="15"/>
                          <w:szCs w:val="15"/>
                        </w:rPr>
                        <w:t>经营计算机软硬件</w:t>
                      </w:r>
                      <w:r>
                        <w:rPr>
                          <w:rFonts w:ascii="宋体" w:hAnsi="宋体" w:cs="宋体" w:eastAsia="宋体" w:hint="default"/>
                          <w:sz w:val="15"/>
                          <w:szCs w:val="15"/>
                        </w:rPr>
                      </w:r>
                    </w:p>
                  </w:txbxContent>
                </v:textbox>
                <w10:wrap type="none"/>
              </v:shape>
              <v:shape style="position:absolute;left:7497;top:3267;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12,000,000</w:t>
                      </w:r>
                    </w:p>
                  </w:txbxContent>
                </v:textbox>
                <w10:wrap type="none"/>
              </v:shape>
              <v:shape style="position:absolute;left:9147;top:3267;width:823;height:150" type="#_x0000_t202" filled="false" stroked="false">
                <v:textbox inset="0,0,0,0">
                  <w:txbxContent>
                    <w:p>
                      <w:pPr>
                        <w:tabs>
                          <w:tab w:pos="597"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tab/>
                        <w:t>100</w:t>
                      </w:r>
                    </w:p>
                  </w:txbxContent>
                </v:textbox>
                <w10:wrap type="none"/>
              </v:shape>
              <v:shape style="position:absolute;left:10397;top:3250;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137;top:3813;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深圳市东软软件有限公司</w:t>
                      </w:r>
                    </w:p>
                  </w:txbxContent>
                </v:textbox>
                <w10:wrap type="none"/>
              </v:shape>
              <v:shape style="position:absolute;left:2396;top:3813;width:1899;height:150" type="#_x0000_t202" filled="false" stroked="false">
                <v:textbox inset="0,0,0,0">
                  <w:txbxContent>
                    <w:p>
                      <w:pPr>
                        <w:tabs>
                          <w:tab w:pos="60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全资</w:t>
                        <w:tab/>
                        <w:t>深圳</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xbxContent>
                </v:textbox>
                <w10:wrap type="none"/>
              </v:shape>
              <v:shape style="position:absolute;left:4808;top:3813;width:2016;height:167" type="#_x0000_t202" filled="false" stroked="false">
                <v:textbox inset="0,0,0,0">
                  <w:txbxContent>
                    <w:p>
                      <w:pPr>
                        <w:tabs>
                          <w:tab w:pos="815" w:val="left" w:leader="none"/>
                        </w:tabs>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5,000,000</w:t>
                        <w:tab/>
                      </w:r>
                      <w:r>
                        <w:rPr>
                          <w:rFonts w:ascii="宋体" w:hAnsi="宋体" w:cs="宋体" w:eastAsia="宋体" w:hint="default"/>
                          <w:position w:val="1"/>
                          <w:sz w:val="15"/>
                          <w:szCs w:val="15"/>
                        </w:rPr>
                        <w:t>经营计算机软硬件</w:t>
                      </w:r>
                      <w:r>
                        <w:rPr>
                          <w:rFonts w:ascii="宋体" w:hAnsi="宋体" w:cs="宋体" w:eastAsia="宋体" w:hint="default"/>
                          <w:sz w:val="15"/>
                          <w:szCs w:val="15"/>
                        </w:rPr>
                      </w:r>
                    </w:p>
                  </w:txbxContent>
                </v:textbox>
                <w10:wrap type="none"/>
              </v:shape>
              <v:shape style="position:absolute;left:7571;top:3830;width:6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5,000,000</w:t>
                      </w:r>
                    </w:p>
                  </w:txbxContent>
                </v:textbox>
                <w10:wrap type="none"/>
              </v:shape>
              <v:shape style="position:absolute;left:9147;top:3830;width:823;height:150" type="#_x0000_t202" filled="false" stroked="false">
                <v:textbox inset="0,0,0,0">
                  <w:txbxContent>
                    <w:p>
                      <w:pPr>
                        <w:tabs>
                          <w:tab w:pos="597"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tab/>
                        <w:t>100</w:t>
                      </w:r>
                    </w:p>
                  </w:txbxContent>
                </v:textbox>
                <w10:wrap type="none"/>
              </v:shape>
              <v:shape style="position:absolute;left:10397;top:3813;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137;top:4318;width:18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沈阳东软医疗系统有限公司</w:t>
                      </w:r>
                    </w:p>
                  </w:txbxContent>
                </v:textbox>
                <w10:wrap type="none"/>
              </v:shape>
              <v:shape style="position:absolute;left:2396;top:4318;width:1899;height:150" type="#_x0000_t202" filled="false" stroked="false">
                <v:textbox inset="0,0,0,0">
                  <w:txbxContent>
                    <w:p>
                      <w:pPr>
                        <w:tabs>
                          <w:tab w:pos="60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全资</w:t>
                        <w:tab/>
                        <w:t>沈阳</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xbxContent>
                </v:textbox>
                <w10:wrap type="none"/>
              </v:shape>
              <v:shape style="position:absolute;left:4733;top:4318;width:1791;height:167" type="#_x0000_t202" filled="false" stroked="false">
                <v:textbox inset="0,0,0,0">
                  <w:txbxContent>
                    <w:p>
                      <w:pPr>
                        <w:tabs>
                          <w:tab w:pos="890" w:val="left" w:leader="none"/>
                        </w:tabs>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78,000,000</w:t>
                        <w:tab/>
                      </w:r>
                      <w:r>
                        <w:rPr>
                          <w:rFonts w:ascii="宋体" w:hAnsi="宋体" w:cs="宋体" w:eastAsia="宋体" w:hint="default"/>
                          <w:position w:val="1"/>
                          <w:sz w:val="15"/>
                          <w:szCs w:val="15"/>
                        </w:rPr>
                        <w:t>经营医疗系统</w:t>
                      </w:r>
                      <w:r>
                        <w:rPr>
                          <w:rFonts w:ascii="宋体" w:hAnsi="宋体" w:cs="宋体" w:eastAsia="宋体" w:hint="default"/>
                          <w:sz w:val="15"/>
                          <w:szCs w:val="15"/>
                        </w:rPr>
                      </w:r>
                    </w:p>
                  </w:txbxContent>
                </v:textbox>
                <w10:wrap type="none"/>
              </v:shape>
              <v:shape style="position:absolute;left:7497;top:4335;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87,082,539</w:t>
                      </w:r>
                    </w:p>
                  </w:txbxContent>
                </v:textbox>
                <w10:wrap type="none"/>
              </v:shape>
              <v:shape style="position:absolute;left:9147;top:4335;width:823;height:150" type="#_x0000_t202" filled="false" stroked="false">
                <v:textbox inset="0,0,0,0">
                  <w:txbxContent>
                    <w:p>
                      <w:pPr>
                        <w:tabs>
                          <w:tab w:pos="597"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tab/>
                        <w:t>100</w:t>
                      </w:r>
                    </w:p>
                  </w:txbxContent>
                </v:textbox>
                <w10:wrap type="none"/>
              </v:shape>
              <v:shape style="position:absolute;left:10397;top:4318;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137;top:4810;width:18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山东东软系统集成有限公司</w:t>
                      </w:r>
                    </w:p>
                  </w:txbxContent>
                </v:textbox>
                <w10:wrap type="none"/>
              </v:shape>
              <v:shape style="position:absolute;left:2396;top:4810;width:1899;height:150" type="#_x0000_t202" filled="false" stroked="false">
                <v:textbox inset="0,0,0,0">
                  <w:txbxContent>
                    <w:p>
                      <w:pPr>
                        <w:tabs>
                          <w:tab w:pos="60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全资</w:t>
                        <w:tab/>
                        <w:t>青岛</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xbxContent>
                </v:textbox>
                <w10:wrap type="none"/>
              </v:shape>
              <v:shape style="position:absolute;left:4733;top:4810;width:2091;height:167" type="#_x0000_t202" filled="false" stroked="false">
                <v:textbox inset="0,0,0,0">
                  <w:txbxContent>
                    <w:p>
                      <w:pPr>
                        <w:tabs>
                          <w:tab w:pos="890" w:val="left" w:leader="none"/>
                        </w:tabs>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15,000,000</w:t>
                        <w:tab/>
                      </w:r>
                      <w:r>
                        <w:rPr>
                          <w:rFonts w:ascii="宋体" w:hAnsi="宋体" w:cs="宋体" w:eastAsia="宋体" w:hint="default"/>
                          <w:position w:val="1"/>
                          <w:sz w:val="15"/>
                          <w:szCs w:val="15"/>
                        </w:rPr>
                        <w:t>经营计算机软硬件</w:t>
                      </w:r>
                      <w:r>
                        <w:rPr>
                          <w:rFonts w:ascii="宋体" w:hAnsi="宋体" w:cs="宋体" w:eastAsia="宋体" w:hint="default"/>
                          <w:sz w:val="15"/>
                          <w:szCs w:val="15"/>
                        </w:rPr>
                      </w:r>
                    </w:p>
                  </w:txbxContent>
                </v:textbox>
                <w10:wrap type="none"/>
              </v:shape>
              <v:shape style="position:absolute;left:7497;top:4827;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15,000,000</w:t>
                      </w:r>
                    </w:p>
                  </w:txbxContent>
                </v:textbox>
                <w10:wrap type="none"/>
              </v:shape>
              <v:shape style="position:absolute;left:9147;top:4827;width:823;height:150" type="#_x0000_t202" filled="false" stroked="false">
                <v:textbox inset="0,0,0,0">
                  <w:txbxContent>
                    <w:p>
                      <w:pPr>
                        <w:tabs>
                          <w:tab w:pos="597"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tab/>
                        <w:t>100</w:t>
                      </w:r>
                    </w:p>
                  </w:txbxContent>
                </v:textbox>
                <w10:wrap type="none"/>
              </v:shape>
              <v:shape style="position:absolute;left:10397;top:4810;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9004;top:5288;width:489;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直接</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69</w:t>
                      </w:r>
                    </w:p>
                  </w:txbxContent>
                </v:textbox>
                <w10:wrap type="none"/>
              </v:shape>
              <v:shape style="position:absolute;left:137;top:5488;width:6687;height:159" type="#_x0000_t202" filled="false" stroked="false">
                <v:textbox inset="0,0,0,0">
                  <w:txbxContent>
                    <w:p>
                      <w:pPr>
                        <w:tabs>
                          <w:tab w:pos="2867" w:val="left" w:leader="none"/>
                          <w:tab w:pos="5486" w:val="left" w:leader="none"/>
                        </w:tabs>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大连东软金融信息技术有限公司 </w:t>
                      </w:r>
                      <w:r>
                        <w:rPr>
                          <w:rFonts w:ascii="宋体" w:hAnsi="宋体" w:cs="宋体" w:eastAsia="宋体" w:hint="default"/>
                          <w:spacing w:val="8"/>
                          <w:sz w:val="15"/>
                          <w:szCs w:val="15"/>
                        </w:rPr>
                        <w:t> </w:t>
                      </w:r>
                      <w:r>
                        <w:rPr>
                          <w:rFonts w:ascii="宋体" w:hAnsi="宋体" w:cs="宋体" w:eastAsia="宋体" w:hint="default"/>
                          <w:sz w:val="15"/>
                          <w:szCs w:val="15"/>
                        </w:rPr>
                        <w:t>全资</w:t>
                        <w:tab/>
                        <w:t>大连 有限责任公司  美元</w:t>
                      </w:r>
                      <w:r>
                        <w:rPr>
                          <w:rFonts w:ascii="宋体" w:hAnsi="宋体" w:cs="宋体" w:eastAsia="宋体" w:hint="default"/>
                          <w:spacing w:val="-3"/>
                          <w:sz w:val="15"/>
                          <w:szCs w:val="15"/>
                        </w:rPr>
                        <w:t> </w:t>
                      </w:r>
                      <w:r>
                        <w:rPr>
                          <w:rFonts w:ascii="Times New Roman" w:hAnsi="Times New Roman" w:cs="Times New Roman" w:eastAsia="Times New Roman" w:hint="default"/>
                          <w:sz w:val="15"/>
                          <w:szCs w:val="15"/>
                        </w:rPr>
                        <w:t>3,000,000</w:t>
                        <w:tab/>
                      </w:r>
                      <w:r>
                        <w:rPr>
                          <w:rFonts w:ascii="宋体" w:hAnsi="宋体" w:cs="宋体" w:eastAsia="宋体" w:hint="default"/>
                          <w:sz w:val="15"/>
                          <w:szCs w:val="15"/>
                        </w:rPr>
                        <w:t>经营计算机软硬件</w:t>
                      </w:r>
                    </w:p>
                  </w:txbxContent>
                </v:textbox>
                <w10:wrap type="none"/>
              </v:shape>
              <v:shape style="position:absolute;left:7497;top:5505;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13,491,850</w:t>
                      </w:r>
                    </w:p>
                  </w:txbxContent>
                </v:textbox>
                <w10:wrap type="none"/>
              </v:shape>
              <v:shape style="position:absolute;left:9745;top:5505;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r>
                        <w:rPr>
                          <w:rFonts w:ascii="Times New Roman"/>
                          <w:sz w:val="15"/>
                        </w:rPr>
                      </w:r>
                    </w:p>
                  </w:txbxContent>
                </v:textbox>
                <w10:wrap type="none"/>
              </v:shape>
              <v:shape style="position:absolute;left:10397;top:5488;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9025;top:5687;width:470;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间接</w:t>
                      </w:r>
                      <w:r>
                        <w:rPr>
                          <w:rFonts w:ascii="宋体" w:hAnsi="宋体" w:cs="宋体" w:eastAsia="宋体" w:hint="default"/>
                          <w:spacing w:val="-57"/>
                          <w:sz w:val="15"/>
                          <w:szCs w:val="15"/>
                        </w:rPr>
                        <w:t> </w:t>
                      </w:r>
                      <w:r>
                        <w:rPr>
                          <w:rFonts w:ascii="Times New Roman" w:hAnsi="Times New Roman" w:cs="Times New Roman" w:eastAsia="Times New Roman" w:hint="default"/>
                          <w:sz w:val="15"/>
                          <w:szCs w:val="15"/>
                        </w:rPr>
                        <w:t>31</w:t>
                      </w:r>
                    </w:p>
                  </w:txbxContent>
                </v:textbox>
                <w10:wrap type="none"/>
              </v:shape>
              <v:shape style="position:absolute;left:5107;top:6098;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美元</w:t>
                      </w:r>
                    </w:p>
                  </w:txbxContent>
                </v:textbox>
                <w10:wrap type="none"/>
              </v:shape>
              <v:shape style="position:absolute;left:137;top:6298;width:18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沈阳东软博安软件有限公司</w:t>
                      </w:r>
                    </w:p>
                  </w:txbxContent>
                </v:textbox>
                <w10:wrap type="none"/>
              </v:shape>
              <v:shape style="position:absolute;left:2396;top:6298;width:1899;height:150" type="#_x0000_t202" filled="false" stroked="false">
                <v:textbox inset="0,0,0,0">
                  <w:txbxContent>
                    <w:p>
                      <w:pPr>
                        <w:tabs>
                          <w:tab w:pos="609"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控股</w:t>
                        <w:tab/>
                        <w:t>沈阳</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xbxContent>
                </v:textbox>
                <w10:wrap type="none"/>
              </v:shape>
              <v:shape style="position:absolute;left:5624;top:6298;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经营计算机软硬件</w:t>
                      </w:r>
                    </w:p>
                  </w:txbxContent>
                </v:textbox>
                <w10:wrap type="none"/>
              </v:shape>
              <v:shape style="position:absolute;left:7497;top:6315;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12,416,895</w:t>
                      </w:r>
                    </w:p>
                  </w:txbxContent>
                </v:textbox>
                <w10:wrap type="none"/>
              </v:shape>
              <v:shape style="position:absolute;left:9184;top:6315;width:15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60</w:t>
                      </w:r>
                    </w:p>
                  </w:txbxContent>
                </v:textbox>
                <w10:wrap type="none"/>
              </v:shape>
              <v:shape style="position:absolute;left:9782;top:6315;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60</w:t>
                      </w:r>
                    </w:p>
                  </w:txbxContent>
                </v:textbox>
                <w10:wrap type="none"/>
              </v:shape>
              <v:shape style="position:absolute;left:10397;top:6298;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11043;top:6315;width:4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295,462</w:t>
                      </w:r>
                    </w:p>
                  </w:txbxContent>
                </v:textbox>
                <w10:wrap type="none"/>
              </v:shape>
              <v:shape style="position:absolute;left:4808;top:6514;width:6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2,500,000</w:t>
                      </w:r>
                    </w:p>
                  </w:txbxContent>
                </v:textbox>
                <w10:wrap type="none"/>
              </v:shape>
            </v:group>
          </v:group>
        </w:pict>
      </w:r>
      <w:r>
        <w:rPr>
          <w:rFonts w:ascii="宋体" w:hAnsi="宋体" w:cs="宋体" w:eastAsia="宋体" w:hint="default"/>
          <w:position w:val="-133"/>
          <w:sz w:val="20"/>
          <w:szCs w:val="20"/>
        </w:rPr>
      </w:r>
    </w:p>
    <w:p>
      <w:pPr>
        <w:spacing w:after="0" w:line="6702" w:lineRule="exact"/>
        <w:rPr>
          <w:rFonts w:ascii="宋体" w:hAnsi="宋体" w:cs="宋体" w:eastAsia="宋体" w:hint="default"/>
          <w:sz w:val="20"/>
          <w:szCs w:val="20"/>
        </w:rPr>
        <w:sectPr>
          <w:headerReference w:type="default" r:id="rId48"/>
          <w:footerReference w:type="default" r:id="rId49"/>
          <w:pgSz w:w="16840" w:h="11910" w:orient="landscape"/>
          <w:pgMar w:header="883" w:footer="999" w:top="1600" w:bottom="1180" w:left="1300" w:right="660"/>
          <w:pgNumType w:start="25"/>
        </w:sectPr>
      </w:pPr>
    </w:p>
    <w:p>
      <w:pPr>
        <w:spacing w:line="240" w:lineRule="auto" w:before="0"/>
        <w:rPr>
          <w:rFonts w:ascii="宋体" w:hAnsi="宋体" w:cs="宋体" w:eastAsia="宋体" w:hint="default"/>
          <w:b/>
          <w:bCs/>
          <w:sz w:val="20"/>
          <w:szCs w:val="20"/>
        </w:rPr>
      </w:pPr>
    </w:p>
    <w:p>
      <w:pPr>
        <w:spacing w:after="0" w:line="240" w:lineRule="auto"/>
        <w:rPr>
          <w:rFonts w:ascii="宋体" w:hAnsi="宋体" w:cs="宋体" w:eastAsia="宋体" w:hint="default"/>
          <w:sz w:val="20"/>
          <w:szCs w:val="20"/>
        </w:rPr>
        <w:sectPr>
          <w:pgSz w:w="16840" w:h="11910" w:orient="landscape"/>
          <w:pgMar w:header="883" w:footer="999" w:top="1600" w:bottom="1180" w:left="1300" w:right="660"/>
        </w:sect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before="117"/>
        <w:ind w:left="0" w:right="0" w:firstLine="0"/>
        <w:jc w:val="right"/>
        <w:rPr>
          <w:rFonts w:ascii="宋体" w:hAnsi="宋体" w:cs="宋体" w:eastAsia="宋体" w:hint="default"/>
          <w:sz w:val="15"/>
          <w:szCs w:val="15"/>
        </w:rPr>
      </w:pPr>
      <w:r>
        <w:rPr>
          <w:rFonts w:ascii="宋体" w:hAnsi="宋体" w:cs="宋体" w:eastAsia="宋体" w:hint="default"/>
          <w:sz w:val="15"/>
          <w:szCs w:val="15"/>
        </w:rPr>
        <w:t>子公司全称</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before="100"/>
        <w:ind w:left="793" w:right="-19" w:firstLine="0"/>
        <w:jc w:val="left"/>
        <w:rPr>
          <w:rFonts w:ascii="宋体" w:hAnsi="宋体" w:cs="宋体" w:eastAsia="宋体" w:hint="default"/>
          <w:sz w:val="15"/>
          <w:szCs w:val="15"/>
        </w:rPr>
      </w:pPr>
      <w:r>
        <w:rPr>
          <w:rFonts w:ascii="宋体" w:hAnsi="宋体" w:cs="宋体" w:eastAsia="宋体" w:hint="default"/>
          <w:sz w:val="15"/>
          <w:szCs w:val="15"/>
        </w:rPr>
        <w:t>子公司</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tabs>
          <w:tab w:pos="1769" w:val="left" w:leader="none"/>
          <w:tab w:pos="3244" w:val="left" w:leader="none"/>
        </w:tabs>
        <w:spacing w:before="117"/>
        <w:ind w:left="78" w:right="-20" w:firstLine="0"/>
        <w:jc w:val="left"/>
        <w:rPr>
          <w:rFonts w:ascii="宋体" w:hAnsi="宋体" w:cs="宋体" w:eastAsia="宋体" w:hint="default"/>
          <w:sz w:val="15"/>
          <w:szCs w:val="15"/>
        </w:rPr>
      </w:pPr>
      <w:r>
        <w:rPr>
          <w:rFonts w:ascii="宋体" w:hAnsi="宋体" w:cs="宋体" w:eastAsia="宋体" w:hint="default"/>
          <w:sz w:val="15"/>
          <w:szCs w:val="15"/>
        </w:rPr>
        <w:t>注册地</w:t>
      </w:r>
      <w:r>
        <w:rPr>
          <w:rFonts w:ascii="宋体" w:hAnsi="宋体" w:cs="宋体" w:eastAsia="宋体" w:hint="default"/>
          <w:spacing w:val="66"/>
          <w:sz w:val="15"/>
          <w:szCs w:val="15"/>
        </w:rPr>
        <w:t> </w:t>
      </w:r>
      <w:r>
        <w:rPr>
          <w:rFonts w:ascii="宋体" w:hAnsi="宋体" w:cs="宋体" w:eastAsia="宋体" w:hint="default"/>
          <w:sz w:val="15"/>
          <w:szCs w:val="15"/>
        </w:rPr>
        <w:t>企业性质</w:t>
        <w:tab/>
        <w:t>注册资本</w:t>
        <w:tab/>
        <w:t>经营范围</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before="100"/>
        <w:ind w:left="592" w:right="-20" w:firstLine="0"/>
        <w:jc w:val="left"/>
        <w:rPr>
          <w:rFonts w:ascii="宋体" w:hAnsi="宋体" w:cs="宋体" w:eastAsia="宋体" w:hint="default"/>
          <w:sz w:val="15"/>
          <w:szCs w:val="15"/>
        </w:rPr>
      </w:pPr>
      <w:r>
        <w:rPr>
          <w:rFonts w:ascii="宋体" w:hAnsi="宋体" w:cs="宋体" w:eastAsia="宋体" w:hint="default"/>
          <w:sz w:val="15"/>
          <w:szCs w:val="15"/>
        </w:rPr>
        <w:t>期末实际投资</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11"/>
        <w:rPr>
          <w:rFonts w:ascii="宋体" w:hAnsi="宋体" w:cs="宋体" w:eastAsia="宋体" w:hint="default"/>
          <w:sz w:val="17"/>
          <w:szCs w:val="17"/>
        </w:rPr>
      </w:pPr>
    </w:p>
    <w:p>
      <w:pPr>
        <w:spacing w:line="489" w:lineRule="auto" w:before="0"/>
        <w:ind w:left="66" w:right="-20" w:firstLine="0"/>
        <w:jc w:val="left"/>
        <w:rPr>
          <w:rFonts w:ascii="宋体" w:hAnsi="宋体" w:cs="宋体" w:eastAsia="宋体" w:hint="default"/>
          <w:sz w:val="15"/>
          <w:szCs w:val="15"/>
        </w:rPr>
      </w:pPr>
      <w:r>
        <w:rPr>
          <w:rFonts w:ascii="宋体" w:hAnsi="宋体" w:cs="宋体" w:eastAsia="宋体" w:hint="default"/>
          <w:sz w:val="15"/>
          <w:szCs w:val="15"/>
        </w:rPr>
        <w:t>实质上构 成对子公</w:t>
      </w:r>
    </w:p>
    <w:p>
      <w:pPr>
        <w:spacing w:before="48"/>
        <w:ind w:left="66" w:right="-20" w:firstLine="0"/>
        <w:jc w:val="left"/>
        <w:rPr>
          <w:rFonts w:ascii="宋体" w:hAnsi="宋体" w:cs="宋体" w:eastAsia="宋体" w:hint="default"/>
          <w:sz w:val="15"/>
          <w:szCs w:val="15"/>
        </w:rPr>
      </w:pPr>
      <w:r>
        <w:rPr>
          <w:rFonts w:ascii="宋体" w:hAnsi="宋体" w:cs="宋体" w:eastAsia="宋体" w:hint="default"/>
          <w:sz w:val="15"/>
          <w:szCs w:val="15"/>
        </w:rPr>
        <w:t>司净投资</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5"/>
        <w:rPr>
          <w:rFonts w:ascii="宋体" w:hAnsi="宋体" w:cs="宋体" w:eastAsia="宋体" w:hint="default"/>
          <w:sz w:val="20"/>
          <w:szCs w:val="20"/>
        </w:rPr>
      </w:pPr>
    </w:p>
    <w:p>
      <w:pPr>
        <w:spacing w:before="0"/>
        <w:ind w:left="127" w:right="-20" w:firstLine="0"/>
        <w:jc w:val="left"/>
        <w:rPr>
          <w:rFonts w:ascii="宋体" w:hAnsi="宋体" w:cs="宋体" w:eastAsia="宋体" w:hint="default"/>
          <w:sz w:val="15"/>
          <w:szCs w:val="15"/>
        </w:rPr>
      </w:pPr>
      <w:r>
        <w:rPr>
          <w:rFonts w:ascii="宋体" w:hAnsi="宋体" w:cs="宋体" w:eastAsia="宋体" w:hint="default"/>
          <w:sz w:val="15"/>
          <w:szCs w:val="15"/>
        </w:rPr>
        <w:t>持股</w:t>
      </w:r>
    </w:p>
    <w:p>
      <w:pPr>
        <w:spacing w:before="4"/>
        <w:ind w:left="575" w:right="-20" w:firstLine="0"/>
        <w:jc w:val="left"/>
        <w:rPr>
          <w:rFonts w:ascii="宋体" w:hAnsi="宋体" w:cs="宋体" w:eastAsia="宋体" w:hint="default"/>
          <w:sz w:val="15"/>
          <w:szCs w:val="15"/>
        </w:rPr>
      </w:pPr>
      <w:r>
        <w:rPr>
          <w:rFonts w:ascii="宋体" w:hAnsi="宋体" w:cs="宋体" w:eastAsia="宋体" w:hint="default"/>
          <w:sz w:val="15"/>
          <w:szCs w:val="15"/>
        </w:rPr>
        <w:t>表决权比</w:t>
      </w:r>
      <w:r>
        <w:rPr>
          <w:rFonts w:ascii="宋体" w:hAnsi="宋体" w:cs="宋体" w:eastAsia="宋体" w:hint="default"/>
          <w:spacing w:val="16"/>
          <w:sz w:val="15"/>
          <w:szCs w:val="15"/>
        </w:rPr>
        <w:t> </w:t>
      </w:r>
      <w:r>
        <w:rPr>
          <w:rFonts w:ascii="宋体" w:hAnsi="宋体" w:cs="宋体" w:eastAsia="宋体" w:hint="default"/>
          <w:sz w:val="15"/>
          <w:szCs w:val="15"/>
        </w:rPr>
        <w:t>是否合</w:t>
      </w:r>
    </w:p>
    <w:p>
      <w:pPr>
        <w:spacing w:before="4"/>
        <w:ind w:left="127" w:right="-20" w:firstLine="0"/>
        <w:jc w:val="left"/>
        <w:rPr>
          <w:rFonts w:ascii="宋体" w:hAnsi="宋体" w:cs="宋体" w:eastAsia="宋体" w:hint="default"/>
          <w:sz w:val="15"/>
          <w:szCs w:val="15"/>
        </w:rPr>
      </w:pPr>
      <w:r>
        <w:rPr>
          <w:rFonts w:ascii="宋体" w:hAnsi="宋体" w:cs="宋体" w:eastAsia="宋体" w:hint="default"/>
          <w:sz w:val="15"/>
          <w:szCs w:val="15"/>
        </w:rPr>
        <w:t>比例</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before="100"/>
        <w:ind w:left="78" w:right="-20" w:firstLine="0"/>
        <w:jc w:val="left"/>
        <w:rPr>
          <w:rFonts w:ascii="宋体" w:hAnsi="宋体" w:cs="宋体" w:eastAsia="宋体" w:hint="default"/>
          <w:sz w:val="15"/>
          <w:szCs w:val="15"/>
        </w:rPr>
      </w:pPr>
      <w:r>
        <w:rPr>
          <w:rFonts w:ascii="宋体" w:hAnsi="宋体" w:cs="宋体" w:eastAsia="宋体" w:hint="default"/>
          <w:sz w:val="15"/>
          <w:szCs w:val="15"/>
        </w:rPr>
        <w:t>少数股东权</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11"/>
        <w:rPr>
          <w:rFonts w:ascii="宋体" w:hAnsi="宋体" w:cs="宋体" w:eastAsia="宋体" w:hint="default"/>
          <w:sz w:val="17"/>
          <w:szCs w:val="17"/>
        </w:rPr>
      </w:pPr>
    </w:p>
    <w:p>
      <w:pPr>
        <w:spacing w:line="489" w:lineRule="auto" w:before="0"/>
        <w:ind w:left="94" w:right="-20" w:firstLine="0"/>
        <w:jc w:val="left"/>
        <w:rPr>
          <w:rFonts w:ascii="宋体" w:hAnsi="宋体" w:cs="宋体" w:eastAsia="宋体" w:hint="default"/>
          <w:sz w:val="15"/>
          <w:szCs w:val="15"/>
        </w:rPr>
      </w:pPr>
      <w:r>
        <w:rPr>
          <w:rFonts w:ascii="宋体" w:hAnsi="宋体" w:cs="宋体" w:eastAsia="宋体" w:hint="default"/>
          <w:sz w:val="15"/>
          <w:szCs w:val="15"/>
        </w:rPr>
        <w:t>少数股东 权益中用</w:t>
      </w:r>
    </w:p>
    <w:p>
      <w:pPr>
        <w:spacing w:before="48"/>
        <w:ind w:left="94" w:right="-20" w:firstLine="0"/>
        <w:jc w:val="left"/>
        <w:rPr>
          <w:rFonts w:ascii="宋体" w:hAnsi="宋体" w:cs="宋体" w:eastAsia="宋体" w:hint="default"/>
          <w:sz w:val="15"/>
          <w:szCs w:val="15"/>
        </w:rPr>
      </w:pPr>
      <w:r>
        <w:rPr>
          <w:rFonts w:ascii="宋体" w:hAnsi="宋体" w:cs="宋体" w:eastAsia="宋体" w:hint="default"/>
          <w:sz w:val="15"/>
          <w:szCs w:val="15"/>
        </w:rPr>
        <w:t>于冲减少</w:t>
      </w:r>
    </w:p>
    <w:p>
      <w:pPr>
        <w:spacing w:line="240" w:lineRule="auto" w:before="7"/>
        <w:rPr>
          <w:rFonts w:ascii="宋体" w:hAnsi="宋体" w:cs="宋体" w:eastAsia="宋体" w:hint="default"/>
          <w:sz w:val="16"/>
          <w:szCs w:val="16"/>
        </w:rPr>
      </w:pPr>
      <w:r>
        <w:rPr/>
        <w:br w:type="column"/>
      </w:r>
      <w:r>
        <w:rPr>
          <w:rFonts w:ascii="宋体"/>
          <w:sz w:val="16"/>
        </w:rPr>
      </w:r>
    </w:p>
    <w:p>
      <w:pPr>
        <w:spacing w:line="489" w:lineRule="auto" w:before="0"/>
        <w:ind w:left="106" w:right="194" w:firstLine="0"/>
        <w:jc w:val="both"/>
        <w:rPr>
          <w:rFonts w:ascii="宋体" w:hAnsi="宋体" w:cs="宋体" w:eastAsia="宋体" w:hint="default"/>
          <w:sz w:val="15"/>
          <w:szCs w:val="15"/>
        </w:rPr>
      </w:pPr>
      <w:r>
        <w:rPr>
          <w:rFonts w:ascii="宋体" w:hAnsi="宋体" w:cs="宋体" w:eastAsia="宋体" w:hint="default"/>
          <w:sz w:val="15"/>
          <w:szCs w:val="15"/>
        </w:rPr>
        <w:t>从母公司所有者权益冲 减子公司少数股东分担 的本期亏损超过少数股</w:t>
      </w:r>
    </w:p>
    <w:p>
      <w:pPr>
        <w:spacing w:after="0" w:line="489" w:lineRule="auto"/>
        <w:jc w:val="both"/>
        <w:rPr>
          <w:rFonts w:ascii="宋体" w:hAnsi="宋体" w:cs="宋体" w:eastAsia="宋体" w:hint="default"/>
          <w:sz w:val="15"/>
          <w:szCs w:val="15"/>
        </w:rPr>
        <w:sectPr>
          <w:type w:val="continuous"/>
          <w:pgSz w:w="16840" w:h="11910" w:orient="landscape"/>
          <w:pgMar w:top="1600" w:bottom="280" w:left="1300" w:right="660"/>
          <w:cols w:num="9" w:equalWidth="0">
            <w:col w:w="2270" w:space="40"/>
            <w:col w:w="1244" w:space="40"/>
            <w:col w:w="3845" w:space="40"/>
            <w:col w:w="1493" w:space="40"/>
            <w:col w:w="667" w:space="40"/>
            <w:col w:w="1717" w:space="40"/>
            <w:col w:w="829" w:space="40"/>
            <w:col w:w="695" w:space="40"/>
            <w:col w:w="1800"/>
          </w:cols>
        </w:sectPr>
      </w:pPr>
    </w:p>
    <w:p>
      <w:pPr>
        <w:tabs>
          <w:tab w:pos="8444" w:val="left" w:leader="none"/>
        </w:tabs>
        <w:spacing w:before="3"/>
        <w:ind w:left="3179" w:right="-19" w:firstLine="0"/>
        <w:jc w:val="left"/>
        <w:rPr>
          <w:rFonts w:ascii="宋体" w:hAnsi="宋体" w:cs="宋体" w:eastAsia="宋体" w:hint="default"/>
          <w:sz w:val="15"/>
          <w:szCs w:val="15"/>
        </w:rPr>
      </w:pPr>
      <w:r>
        <w:rPr>
          <w:rFonts w:ascii="宋体" w:hAnsi="宋体" w:cs="宋体" w:eastAsia="宋体" w:hint="default"/>
          <w:sz w:val="15"/>
          <w:szCs w:val="15"/>
        </w:rPr>
        <w:t>类型</w:t>
        <w:tab/>
        <w:t>额</w:t>
      </w:r>
    </w:p>
    <w:p>
      <w:pPr>
        <w:spacing w:line="240" w:lineRule="auto" w:before="7"/>
        <w:rPr>
          <w:rFonts w:ascii="宋体" w:hAnsi="宋体" w:cs="宋体" w:eastAsia="宋体" w:hint="default"/>
          <w:sz w:val="15"/>
          <w:szCs w:val="15"/>
        </w:rPr>
      </w:pPr>
      <w:r>
        <w:rPr/>
        <w:br w:type="column"/>
      </w:r>
      <w:r>
        <w:rPr>
          <w:rFonts w:ascii="宋体"/>
          <w:sz w:val="15"/>
        </w:rPr>
      </w:r>
    </w:p>
    <w:p>
      <w:pPr>
        <w:spacing w:line="489" w:lineRule="auto" w:before="0"/>
        <w:ind w:left="516" w:right="-19" w:hanging="75"/>
        <w:jc w:val="left"/>
        <w:rPr>
          <w:rFonts w:ascii="宋体" w:hAnsi="宋体" w:cs="宋体" w:eastAsia="宋体" w:hint="default"/>
          <w:sz w:val="15"/>
          <w:szCs w:val="15"/>
        </w:rPr>
      </w:pPr>
      <w:r>
        <w:rPr>
          <w:rFonts w:ascii="宋体" w:hAnsi="宋体" w:cs="宋体" w:eastAsia="宋体" w:hint="default"/>
          <w:sz w:val="15"/>
          <w:szCs w:val="15"/>
        </w:rPr>
        <w:t>的其他项 目余额</w:t>
      </w:r>
    </w:p>
    <w:p>
      <w:pPr>
        <w:spacing w:line="240" w:lineRule="auto" w:before="11"/>
        <w:rPr>
          <w:rFonts w:ascii="宋体" w:hAnsi="宋体" w:cs="宋体" w:eastAsia="宋体" w:hint="default"/>
          <w:sz w:val="18"/>
          <w:szCs w:val="18"/>
        </w:rPr>
      </w:pPr>
      <w:r>
        <w:rPr/>
        <w:br w:type="column"/>
      </w:r>
      <w:r>
        <w:rPr>
          <w:rFonts w:ascii="宋体"/>
          <w:sz w:val="18"/>
        </w:rPr>
      </w:r>
    </w:p>
    <w:p>
      <w:pPr>
        <w:spacing w:before="0"/>
        <w:ind w:left="166" w:right="-20" w:firstLine="0"/>
        <w:jc w:val="left"/>
        <w:rPr>
          <w:rFonts w:ascii="Times New Roman" w:hAnsi="Times New Roman" w:cs="Times New Roman" w:eastAsia="Times New Roman" w:hint="default"/>
          <w:sz w:val="15"/>
          <w:szCs w:val="15"/>
        </w:rPr>
      </w:pPr>
      <w:r>
        <w:rPr>
          <w:rFonts w:ascii="Times New Roman"/>
          <w:sz w:val="15"/>
        </w:rPr>
        <w:t>(%)</w:t>
      </w:r>
    </w:p>
    <w:p>
      <w:pPr>
        <w:spacing w:before="3"/>
        <w:ind w:left="256" w:right="-19" w:firstLine="0"/>
        <w:jc w:val="left"/>
        <w:rPr>
          <w:rFonts w:ascii="Times New Roman" w:hAnsi="Times New Roman" w:cs="Times New Roman" w:eastAsia="Times New Roman" w:hint="default"/>
          <w:sz w:val="15"/>
          <w:szCs w:val="15"/>
        </w:rPr>
      </w:pPr>
      <w:r>
        <w:rPr/>
        <w:br w:type="column"/>
      </w: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p>
      <w:pPr>
        <w:tabs>
          <w:tab w:pos="1031" w:val="left" w:leader="none"/>
        </w:tabs>
        <w:spacing w:before="3"/>
        <w:ind w:left="163" w:right="-20" w:firstLine="0"/>
        <w:jc w:val="left"/>
        <w:rPr>
          <w:rFonts w:ascii="宋体" w:hAnsi="宋体" w:cs="宋体" w:eastAsia="宋体" w:hint="default"/>
          <w:sz w:val="15"/>
          <w:szCs w:val="15"/>
        </w:rPr>
      </w:pPr>
      <w:r>
        <w:rPr/>
        <w:br w:type="column"/>
      </w:r>
      <w:r>
        <w:rPr>
          <w:rFonts w:ascii="宋体" w:hAnsi="宋体" w:cs="宋体" w:eastAsia="宋体" w:hint="default"/>
          <w:sz w:val="15"/>
          <w:szCs w:val="15"/>
        </w:rPr>
        <w:t>并报表</w:t>
        <w:tab/>
        <w:t>益</w:t>
      </w:r>
    </w:p>
    <w:p>
      <w:pPr>
        <w:spacing w:line="240" w:lineRule="auto" w:before="7"/>
        <w:rPr>
          <w:rFonts w:ascii="宋体" w:hAnsi="宋体" w:cs="宋体" w:eastAsia="宋体" w:hint="default"/>
          <w:sz w:val="15"/>
          <w:szCs w:val="15"/>
        </w:rPr>
      </w:pPr>
      <w:r>
        <w:rPr/>
        <w:br w:type="column"/>
      </w:r>
      <w:r>
        <w:rPr>
          <w:rFonts w:ascii="宋体"/>
          <w:sz w:val="15"/>
        </w:rPr>
      </w:r>
    </w:p>
    <w:p>
      <w:pPr>
        <w:spacing w:line="489" w:lineRule="auto" w:before="0"/>
        <w:ind w:left="394" w:right="-20" w:firstLine="0"/>
        <w:jc w:val="left"/>
        <w:rPr>
          <w:rFonts w:ascii="宋体" w:hAnsi="宋体" w:cs="宋体" w:eastAsia="宋体" w:hint="default"/>
          <w:sz w:val="15"/>
          <w:szCs w:val="15"/>
        </w:rPr>
      </w:pPr>
      <w:r>
        <w:rPr>
          <w:rFonts w:ascii="宋体" w:hAnsi="宋体" w:cs="宋体" w:eastAsia="宋体" w:hint="default"/>
          <w:sz w:val="15"/>
          <w:szCs w:val="15"/>
        </w:rPr>
        <w:t>数股东损 益的金额</w:t>
      </w:r>
    </w:p>
    <w:p>
      <w:pPr>
        <w:spacing w:line="489" w:lineRule="auto" w:before="3"/>
        <w:ind w:left="106" w:right="194" w:firstLine="0"/>
        <w:jc w:val="center"/>
        <w:rPr>
          <w:rFonts w:ascii="宋体" w:hAnsi="宋体" w:cs="宋体" w:eastAsia="宋体" w:hint="default"/>
          <w:sz w:val="15"/>
          <w:szCs w:val="15"/>
        </w:rPr>
      </w:pPr>
      <w:r>
        <w:rPr/>
        <w:br w:type="column"/>
      </w:r>
      <w:r>
        <w:rPr>
          <w:rFonts w:ascii="宋体" w:hAnsi="宋体" w:cs="宋体" w:eastAsia="宋体" w:hint="default"/>
          <w:sz w:val="15"/>
          <w:szCs w:val="15"/>
        </w:rPr>
        <w:t>东在该子公司期初所有 者权益中所享有份额后 的余额</w:t>
      </w:r>
    </w:p>
    <w:p>
      <w:pPr>
        <w:spacing w:after="0" w:line="489" w:lineRule="auto"/>
        <w:jc w:val="center"/>
        <w:rPr>
          <w:rFonts w:ascii="宋体" w:hAnsi="宋体" w:cs="宋体" w:eastAsia="宋体" w:hint="default"/>
          <w:sz w:val="15"/>
          <w:szCs w:val="15"/>
        </w:rPr>
        <w:sectPr>
          <w:type w:val="continuous"/>
          <w:pgSz w:w="16840" w:h="11910" w:orient="landscape"/>
          <w:pgMar w:top="1600" w:bottom="280" w:left="1300" w:right="660"/>
          <w:cols w:num="7" w:equalWidth="0">
            <w:col w:w="8596" w:space="40"/>
            <w:col w:w="1043" w:space="40"/>
            <w:col w:w="392" w:space="40"/>
            <w:col w:w="633" w:space="40"/>
            <w:col w:w="1182" w:space="40"/>
            <w:col w:w="995" w:space="40"/>
            <w:col w:w="1799"/>
          </w:cols>
        </w:sectPr>
      </w:pPr>
    </w:p>
    <w:p>
      <w:pPr>
        <w:tabs>
          <w:tab w:pos="3115" w:val="left" w:leader="none"/>
          <w:tab w:pos="3725" w:val="left" w:leader="none"/>
          <w:tab w:pos="5453" w:val="left" w:leader="none"/>
          <w:tab w:pos="6343" w:val="left" w:leader="none"/>
          <w:tab w:pos="8216" w:val="left" w:leader="none"/>
          <w:tab w:pos="9866" w:val="left" w:leader="none"/>
          <w:tab w:pos="10464" w:val="left" w:leader="none"/>
          <w:tab w:pos="11117" w:val="left" w:leader="none"/>
        </w:tabs>
        <w:spacing w:before="119"/>
        <w:ind w:left="857" w:right="0" w:firstLine="0"/>
        <w:jc w:val="left"/>
        <w:rPr>
          <w:rFonts w:ascii="宋体" w:hAnsi="宋体" w:cs="宋体" w:eastAsia="宋体" w:hint="default"/>
          <w:sz w:val="15"/>
          <w:szCs w:val="15"/>
        </w:rPr>
      </w:pPr>
      <w:r>
        <w:rPr>
          <w:rFonts w:ascii="宋体" w:hAnsi="宋体" w:cs="宋体" w:eastAsia="宋体" w:hint="default"/>
          <w:position w:val="1"/>
          <w:sz w:val="15"/>
          <w:szCs w:val="15"/>
        </w:rPr>
        <w:t>南京东软系统集成有限公司</w:t>
        <w:tab/>
        <w:t>全资</w:t>
        <w:tab/>
        <w:t>南京</w:t>
      </w:r>
      <w:r>
        <w:rPr>
          <w:rFonts w:ascii="宋体" w:hAnsi="宋体" w:cs="宋体" w:eastAsia="宋体" w:hint="default"/>
          <w:spacing w:val="13"/>
          <w:position w:val="1"/>
          <w:sz w:val="15"/>
          <w:szCs w:val="15"/>
        </w:rPr>
        <w:t> </w:t>
      </w:r>
      <w:r>
        <w:rPr>
          <w:rFonts w:ascii="宋体" w:hAnsi="宋体" w:cs="宋体" w:eastAsia="宋体" w:hint="default"/>
          <w:position w:val="1"/>
          <w:sz w:val="15"/>
          <w:szCs w:val="15"/>
        </w:rPr>
        <w:t>有限责任公司</w:t>
        <w:tab/>
      </w:r>
      <w:r>
        <w:rPr>
          <w:rFonts w:ascii="Times New Roman" w:hAnsi="Times New Roman" w:cs="Times New Roman" w:eastAsia="Times New Roman" w:hint="default"/>
          <w:spacing w:val="-1"/>
          <w:sz w:val="15"/>
          <w:szCs w:val="15"/>
        </w:rPr>
        <w:t>12,000,000</w:t>
        <w:tab/>
      </w:r>
      <w:r>
        <w:rPr>
          <w:rFonts w:ascii="宋体" w:hAnsi="宋体" w:cs="宋体" w:eastAsia="宋体" w:hint="default"/>
          <w:position w:val="1"/>
          <w:sz w:val="15"/>
          <w:szCs w:val="15"/>
        </w:rPr>
        <w:t>经营计算机软硬件</w:t>
        <w:tab/>
      </w:r>
      <w:r>
        <w:rPr>
          <w:rFonts w:ascii="Times New Roman" w:hAnsi="Times New Roman" w:cs="Times New Roman" w:eastAsia="Times New Roman" w:hint="default"/>
          <w:spacing w:val="-1"/>
          <w:sz w:val="15"/>
          <w:szCs w:val="15"/>
        </w:rPr>
        <w:t>12,000,000</w:t>
        <w:tab/>
        <w:t>100</w:t>
        <w:tab/>
        <w:t>100</w:t>
        <w:tab/>
      </w:r>
      <w:r>
        <w:rPr>
          <w:rFonts w:ascii="宋体" w:hAnsi="宋体" w:cs="宋体" w:eastAsia="宋体" w:hint="default"/>
          <w:position w:val="1"/>
          <w:sz w:val="15"/>
          <w:szCs w:val="15"/>
        </w:rPr>
        <w:t>是</w:t>
      </w:r>
      <w:r>
        <w:rPr>
          <w:rFonts w:ascii="宋体" w:hAnsi="宋体" w:cs="宋体" w:eastAsia="宋体" w:hint="default"/>
          <w:sz w:val="15"/>
          <w:szCs w:val="15"/>
        </w:rPr>
      </w:r>
    </w:p>
    <w:p>
      <w:pPr>
        <w:spacing w:line="240" w:lineRule="auto" w:before="7"/>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type w:val="continuous"/>
          <w:pgSz w:w="16840" w:h="11910" w:orient="landscape"/>
          <w:pgMar w:top="1600" w:bottom="280" w:left="1300" w:right="660"/>
        </w:sectPr>
      </w:pPr>
    </w:p>
    <w:p>
      <w:pPr>
        <w:spacing w:line="240" w:lineRule="auto" w:before="4"/>
        <w:rPr>
          <w:rFonts w:ascii="宋体" w:hAnsi="宋体" w:cs="宋体" w:eastAsia="宋体" w:hint="default"/>
          <w:sz w:val="19"/>
          <w:szCs w:val="19"/>
        </w:rPr>
      </w:pPr>
    </w:p>
    <w:p>
      <w:pPr>
        <w:tabs>
          <w:tab w:pos="3115" w:val="left" w:leader="none"/>
          <w:tab w:pos="3725" w:val="left" w:leader="none"/>
        </w:tabs>
        <w:spacing w:before="0"/>
        <w:ind w:left="857" w:right="-19" w:firstLine="0"/>
        <w:jc w:val="left"/>
        <w:rPr>
          <w:rFonts w:ascii="宋体" w:hAnsi="宋体" w:cs="宋体" w:eastAsia="宋体" w:hint="default"/>
          <w:sz w:val="15"/>
          <w:szCs w:val="15"/>
        </w:rPr>
      </w:pPr>
      <w:r>
        <w:rPr>
          <w:rFonts w:ascii="宋体" w:hAnsi="宋体" w:cs="宋体" w:eastAsia="宋体" w:hint="default"/>
          <w:sz w:val="15"/>
          <w:szCs w:val="15"/>
        </w:rPr>
        <w:t>东软（香港）有限公司</w:t>
        <w:tab/>
        <w:t>全资</w:t>
        <w:tab/>
        <w:t>香港</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p>
      <w:pPr>
        <w:spacing w:before="53"/>
        <w:ind w:left="0" w:right="0" w:firstLine="0"/>
        <w:jc w:val="right"/>
        <w:rPr>
          <w:rFonts w:ascii="宋体" w:hAnsi="宋体" w:cs="宋体" w:eastAsia="宋体" w:hint="default"/>
          <w:sz w:val="15"/>
          <w:szCs w:val="15"/>
        </w:rPr>
      </w:pPr>
      <w:r>
        <w:rPr/>
        <w:br w:type="column"/>
      </w:r>
      <w:r>
        <w:rPr>
          <w:rFonts w:ascii="宋体" w:hAnsi="宋体" w:cs="宋体" w:eastAsia="宋体" w:hint="default"/>
          <w:sz w:val="15"/>
          <w:szCs w:val="15"/>
        </w:rPr>
        <w:t>美元</w:t>
      </w:r>
    </w:p>
    <w:p>
      <w:pPr>
        <w:spacing w:line="240" w:lineRule="auto" w:before="11"/>
        <w:rPr>
          <w:rFonts w:ascii="宋体" w:hAnsi="宋体" w:cs="宋体" w:eastAsia="宋体" w:hint="default"/>
          <w:sz w:val="18"/>
          <w:szCs w:val="18"/>
        </w:rPr>
      </w:pPr>
    </w:p>
    <w:p>
      <w:pPr>
        <w:spacing w:before="0"/>
        <w:ind w:left="0" w:right="0" w:firstLine="0"/>
        <w:jc w:val="right"/>
        <w:rPr>
          <w:rFonts w:ascii="Times New Roman" w:hAnsi="Times New Roman" w:cs="Times New Roman" w:eastAsia="Times New Roman" w:hint="default"/>
          <w:sz w:val="15"/>
          <w:szCs w:val="15"/>
        </w:rPr>
      </w:pPr>
      <w:r>
        <w:rPr>
          <w:rFonts w:ascii="Times New Roman"/>
          <w:spacing w:val="-1"/>
          <w:sz w:val="15"/>
        </w:rPr>
        <w:t>850,000</w:t>
      </w:r>
    </w:p>
    <w:p>
      <w:pPr>
        <w:spacing w:line="489" w:lineRule="auto" w:before="53"/>
        <w:ind w:left="175" w:right="-17" w:firstLine="0"/>
        <w:jc w:val="left"/>
        <w:rPr>
          <w:rFonts w:ascii="宋体" w:hAnsi="宋体" w:cs="宋体" w:eastAsia="宋体" w:hint="default"/>
          <w:sz w:val="15"/>
          <w:szCs w:val="15"/>
        </w:rPr>
      </w:pPr>
      <w:r>
        <w:rPr>
          <w:spacing w:val="-2"/>
        </w:rPr>
        <w:br w:type="column"/>
      </w:r>
      <w:r>
        <w:rPr>
          <w:rFonts w:ascii="宋体" w:hAnsi="宋体" w:cs="宋体" w:eastAsia="宋体" w:hint="default"/>
          <w:spacing w:val="-2"/>
          <w:sz w:val="15"/>
          <w:szCs w:val="15"/>
        </w:rPr>
        <w:t>计算机软件开发、销售、</w:t>
      </w:r>
      <w:r>
        <w:rPr>
          <w:rFonts w:ascii="宋体" w:hAnsi="宋体" w:cs="宋体" w:eastAsia="宋体" w:hint="default"/>
          <w:sz w:val="15"/>
          <w:szCs w:val="15"/>
        </w:rPr>
        <w:t> 咨询</w:t>
      </w:r>
    </w:p>
    <w:p>
      <w:pPr>
        <w:spacing w:line="240" w:lineRule="auto" w:before="3"/>
        <w:rPr>
          <w:rFonts w:ascii="宋体" w:hAnsi="宋体" w:cs="宋体" w:eastAsia="宋体" w:hint="default"/>
          <w:sz w:val="19"/>
          <w:szCs w:val="19"/>
        </w:rPr>
      </w:pPr>
      <w:r>
        <w:rPr/>
        <w:br w:type="column"/>
      </w:r>
      <w:r>
        <w:rPr>
          <w:rFonts w:ascii="宋体"/>
          <w:sz w:val="19"/>
        </w:rPr>
      </w:r>
    </w:p>
    <w:p>
      <w:pPr>
        <w:tabs>
          <w:tab w:pos="1852" w:val="left" w:leader="none"/>
          <w:tab w:pos="2449" w:val="left" w:leader="none"/>
          <w:tab w:pos="3102" w:val="left" w:leader="none"/>
        </w:tabs>
        <w:spacing w:before="0"/>
        <w:ind w:left="276"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7,037,915</w:t>
        <w:tab/>
        <w:t>100</w:t>
        <w:tab/>
        <w:t>100</w:t>
        <w:tab/>
      </w:r>
      <w:r>
        <w:rPr>
          <w:rFonts w:ascii="宋体" w:hAnsi="宋体" w:cs="宋体" w:eastAsia="宋体" w:hint="default"/>
          <w:position w:val="1"/>
          <w:sz w:val="15"/>
          <w:szCs w:val="15"/>
        </w:rPr>
        <w:t>是</w:t>
      </w:r>
      <w:r>
        <w:rPr>
          <w:rFonts w:ascii="宋体" w:hAnsi="宋体" w:cs="宋体" w:eastAsia="宋体" w:hint="default"/>
          <w:sz w:val="15"/>
          <w:szCs w:val="15"/>
        </w:rPr>
      </w:r>
    </w:p>
    <w:p>
      <w:pPr>
        <w:spacing w:after="0"/>
        <w:jc w:val="left"/>
        <w:rPr>
          <w:rFonts w:ascii="宋体" w:hAnsi="宋体" w:cs="宋体" w:eastAsia="宋体" w:hint="default"/>
          <w:sz w:val="15"/>
          <w:szCs w:val="15"/>
        </w:rPr>
        <w:sectPr>
          <w:type w:val="continuous"/>
          <w:pgSz w:w="16840" w:h="11910" w:orient="landscape"/>
          <w:pgMar w:top="1600" w:bottom="280" w:left="1300" w:right="660"/>
          <w:cols w:num="4" w:equalWidth="0">
            <w:col w:w="5015" w:space="40"/>
            <w:col w:w="1075" w:space="40"/>
            <w:col w:w="1807" w:space="40"/>
            <w:col w:w="6863"/>
          </w:cols>
        </w:sectPr>
      </w:pPr>
    </w:p>
    <w:p>
      <w:pPr>
        <w:spacing w:line="240" w:lineRule="auto" w:before="5"/>
        <w:rPr>
          <w:rFonts w:ascii="宋体" w:hAnsi="宋体" w:cs="宋体" w:eastAsia="宋体" w:hint="default"/>
          <w:sz w:val="11"/>
          <w:szCs w:val="11"/>
        </w:rPr>
      </w:pPr>
    </w:p>
    <w:p>
      <w:pPr>
        <w:tabs>
          <w:tab w:pos="3115" w:val="left" w:leader="none"/>
          <w:tab w:pos="3725" w:val="left" w:leader="none"/>
          <w:tab w:pos="5453" w:val="left" w:leader="none"/>
          <w:tab w:pos="6343" w:val="left" w:leader="none"/>
          <w:tab w:pos="8216" w:val="left" w:leader="none"/>
          <w:tab w:pos="9866" w:val="left" w:leader="none"/>
          <w:tab w:pos="10464" w:val="left" w:leader="none"/>
          <w:tab w:pos="11117" w:val="left" w:leader="none"/>
        </w:tabs>
        <w:spacing w:before="0"/>
        <w:ind w:left="857" w:right="0" w:firstLine="0"/>
        <w:jc w:val="left"/>
        <w:rPr>
          <w:rFonts w:ascii="宋体" w:hAnsi="宋体" w:cs="宋体" w:eastAsia="宋体" w:hint="default"/>
          <w:sz w:val="15"/>
          <w:szCs w:val="15"/>
        </w:rPr>
      </w:pPr>
      <w:r>
        <w:rPr>
          <w:rFonts w:ascii="宋体" w:hAnsi="宋体" w:cs="宋体" w:eastAsia="宋体" w:hint="default"/>
          <w:position w:val="1"/>
          <w:sz w:val="15"/>
          <w:szCs w:val="15"/>
        </w:rPr>
        <w:t>成都东软系统集成有限公司</w:t>
        <w:tab/>
        <w:t>全资</w:t>
        <w:tab/>
        <w:t>成都</w:t>
      </w:r>
      <w:r>
        <w:rPr>
          <w:rFonts w:ascii="宋体" w:hAnsi="宋体" w:cs="宋体" w:eastAsia="宋体" w:hint="default"/>
          <w:spacing w:val="13"/>
          <w:position w:val="1"/>
          <w:sz w:val="15"/>
          <w:szCs w:val="15"/>
        </w:rPr>
        <w:t> </w:t>
      </w:r>
      <w:r>
        <w:rPr>
          <w:rFonts w:ascii="宋体" w:hAnsi="宋体" w:cs="宋体" w:eastAsia="宋体" w:hint="default"/>
          <w:position w:val="1"/>
          <w:sz w:val="15"/>
          <w:szCs w:val="15"/>
        </w:rPr>
        <w:t>有限责任公司</w:t>
        <w:tab/>
      </w:r>
      <w:r>
        <w:rPr>
          <w:rFonts w:ascii="Times New Roman" w:hAnsi="Times New Roman" w:cs="Times New Roman" w:eastAsia="Times New Roman" w:hint="default"/>
          <w:spacing w:val="-1"/>
          <w:sz w:val="15"/>
          <w:szCs w:val="15"/>
        </w:rPr>
        <w:t>20,000,000</w:t>
        <w:tab/>
      </w:r>
      <w:r>
        <w:rPr>
          <w:rFonts w:ascii="宋体" w:hAnsi="宋体" w:cs="宋体" w:eastAsia="宋体" w:hint="default"/>
          <w:position w:val="1"/>
          <w:sz w:val="15"/>
          <w:szCs w:val="15"/>
        </w:rPr>
        <w:t>经营计算机软硬件</w:t>
        <w:tab/>
      </w:r>
      <w:r>
        <w:rPr>
          <w:rFonts w:ascii="Times New Roman" w:hAnsi="Times New Roman" w:cs="Times New Roman" w:eastAsia="Times New Roman" w:hint="default"/>
          <w:spacing w:val="-1"/>
          <w:sz w:val="15"/>
          <w:szCs w:val="15"/>
        </w:rPr>
        <w:t>20,000,000</w:t>
        <w:tab/>
        <w:t>100</w:t>
        <w:tab/>
        <w:t>100</w:t>
        <w:tab/>
      </w:r>
      <w:r>
        <w:rPr>
          <w:rFonts w:ascii="宋体" w:hAnsi="宋体" w:cs="宋体" w:eastAsia="宋体" w:hint="default"/>
          <w:position w:val="1"/>
          <w:sz w:val="15"/>
          <w:szCs w:val="15"/>
        </w:rPr>
        <w:t>是</w:t>
      </w:r>
      <w:r>
        <w:rPr>
          <w:rFonts w:ascii="宋体" w:hAnsi="宋体" w:cs="宋体" w:eastAsia="宋体" w:hint="default"/>
          <w:sz w:val="15"/>
          <w:szCs w:val="15"/>
        </w:rPr>
      </w:r>
    </w:p>
    <w:p>
      <w:pPr>
        <w:spacing w:line="240" w:lineRule="auto" w:before="9"/>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type w:val="continuous"/>
          <w:pgSz w:w="16840" w:h="11910" w:orient="landscape"/>
          <w:pgMar w:top="1600" w:bottom="280" w:left="1300" w:right="660"/>
        </w:sectPr>
      </w:pPr>
    </w:p>
    <w:p>
      <w:pPr>
        <w:spacing w:line="240" w:lineRule="auto" w:before="4"/>
        <w:rPr>
          <w:rFonts w:ascii="宋体" w:hAnsi="宋体" w:cs="宋体" w:eastAsia="宋体" w:hint="default"/>
          <w:sz w:val="19"/>
          <w:szCs w:val="19"/>
        </w:rPr>
      </w:pPr>
    </w:p>
    <w:p>
      <w:pPr>
        <w:tabs>
          <w:tab w:pos="3115" w:val="left" w:leader="none"/>
          <w:tab w:pos="3725" w:val="left" w:leader="none"/>
          <w:tab w:pos="5453" w:val="left" w:leader="none"/>
        </w:tabs>
        <w:spacing w:before="0"/>
        <w:ind w:left="857" w:right="-15"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秦皇岛东软软件有限公司</w:t>
        <w:tab/>
        <w:t>控股</w:t>
        <w:tab/>
        <w:t>秦皇</w:t>
      </w:r>
      <w:r>
        <w:rPr>
          <w:rFonts w:ascii="宋体" w:hAnsi="宋体" w:cs="宋体" w:eastAsia="宋体" w:hint="default"/>
          <w:spacing w:val="-62"/>
          <w:position w:val="1"/>
          <w:sz w:val="15"/>
          <w:szCs w:val="15"/>
        </w:rPr>
        <w:t>岛</w:t>
      </w:r>
      <w:r>
        <w:rPr>
          <w:rFonts w:ascii="宋体" w:hAnsi="宋体" w:cs="宋体" w:eastAsia="宋体" w:hint="default"/>
          <w:position w:val="1"/>
          <w:sz w:val="15"/>
          <w:szCs w:val="15"/>
        </w:rPr>
        <w:t>有限责任公司</w:t>
        <w:tab/>
      </w:r>
      <w:r>
        <w:rPr>
          <w:rFonts w:ascii="Times New Roman" w:hAnsi="Times New Roman" w:cs="Times New Roman" w:eastAsia="Times New Roman" w:hint="default"/>
          <w:sz w:val="15"/>
          <w:szCs w:val="15"/>
        </w:rPr>
        <w:t>10</w:t>
      </w:r>
      <w:r>
        <w:rPr>
          <w:rFonts w:ascii="Times New Roman" w:hAnsi="Times New Roman" w:cs="Times New Roman" w:eastAsia="Times New Roman" w:hint="default"/>
          <w:spacing w:val="-1"/>
          <w:sz w:val="15"/>
          <w:szCs w:val="15"/>
        </w:rPr>
        <w:t>,0</w:t>
      </w:r>
      <w:r>
        <w:rPr>
          <w:rFonts w:ascii="Times New Roman" w:hAnsi="Times New Roman" w:cs="Times New Roman" w:eastAsia="Times New Roman" w:hint="default"/>
          <w:sz w:val="15"/>
          <w:szCs w:val="15"/>
        </w:rPr>
        <w:t>00</w:t>
      </w:r>
      <w:r>
        <w:rPr>
          <w:rFonts w:ascii="Times New Roman" w:hAnsi="Times New Roman" w:cs="Times New Roman" w:eastAsia="Times New Roman" w:hint="default"/>
          <w:spacing w:val="-2"/>
          <w:sz w:val="15"/>
          <w:szCs w:val="15"/>
        </w:rPr>
        <w:t>,</w:t>
      </w:r>
      <w:r>
        <w:rPr>
          <w:rFonts w:ascii="Times New Roman" w:hAnsi="Times New Roman" w:cs="Times New Roman" w:eastAsia="Times New Roman" w:hint="default"/>
          <w:sz w:val="15"/>
          <w:szCs w:val="15"/>
        </w:rPr>
        <w:t>0</w:t>
      </w:r>
      <w:r>
        <w:rPr>
          <w:rFonts w:ascii="Times New Roman" w:hAnsi="Times New Roman" w:cs="Times New Roman" w:eastAsia="Times New Roman" w:hint="default"/>
          <w:spacing w:val="-1"/>
          <w:sz w:val="15"/>
          <w:szCs w:val="15"/>
        </w:rPr>
        <w:t>0</w:t>
      </w:r>
      <w:r>
        <w:rPr>
          <w:rFonts w:ascii="Times New Roman" w:hAnsi="Times New Roman" w:cs="Times New Roman" w:eastAsia="Times New Roman" w:hint="default"/>
          <w:sz w:val="15"/>
          <w:szCs w:val="15"/>
        </w:rPr>
        <w:t>0</w:t>
      </w:r>
    </w:p>
    <w:p>
      <w:pPr>
        <w:spacing w:line="489" w:lineRule="auto" w:before="53"/>
        <w:ind w:left="174" w:right="-12" w:hanging="80"/>
        <w:jc w:val="left"/>
        <w:rPr>
          <w:rFonts w:ascii="宋体" w:hAnsi="宋体" w:cs="宋体" w:eastAsia="宋体" w:hint="default"/>
          <w:sz w:val="15"/>
          <w:szCs w:val="15"/>
        </w:rPr>
      </w:pPr>
      <w:r>
        <w:rPr>
          <w:spacing w:val="-2"/>
        </w:rPr>
        <w:br w:type="column"/>
      </w:r>
      <w:r>
        <w:rPr>
          <w:rFonts w:ascii="宋体" w:hAnsi="宋体" w:cs="宋体" w:eastAsia="宋体" w:hint="default"/>
          <w:spacing w:val="-2"/>
          <w:sz w:val="15"/>
          <w:szCs w:val="15"/>
        </w:rPr>
        <w:t>计算机软件开发、网络集</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z w:val="15"/>
          <w:szCs w:val="15"/>
        </w:rPr>
        <w:t>成</w:t>
      </w:r>
    </w:p>
    <w:p>
      <w:pPr>
        <w:spacing w:line="240" w:lineRule="auto" w:before="4"/>
        <w:rPr>
          <w:rFonts w:ascii="宋体" w:hAnsi="宋体" w:cs="宋体" w:eastAsia="宋体" w:hint="default"/>
          <w:sz w:val="19"/>
          <w:szCs w:val="19"/>
        </w:rPr>
      </w:pPr>
      <w:r>
        <w:rPr/>
        <w:br w:type="column"/>
      </w:r>
      <w:r>
        <w:rPr>
          <w:rFonts w:ascii="宋体"/>
          <w:sz w:val="19"/>
        </w:rPr>
      </w:r>
    </w:p>
    <w:p>
      <w:pPr>
        <w:tabs>
          <w:tab w:pos="1965" w:val="left" w:leader="none"/>
          <w:tab w:pos="2562" w:val="left" w:leader="none"/>
          <w:tab w:pos="3178" w:val="left" w:leader="none"/>
          <w:tab w:pos="3711" w:val="left" w:leader="none"/>
        </w:tabs>
        <w:spacing w:before="0"/>
        <w:ind w:left="352"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8,500,000</w:t>
        <w:tab/>
      </w:r>
      <w:r>
        <w:rPr>
          <w:rFonts w:ascii="Times New Roman" w:hAnsi="Times New Roman" w:cs="Times New Roman" w:eastAsia="Times New Roman" w:hint="default"/>
          <w:sz w:val="15"/>
          <w:szCs w:val="15"/>
        </w:rPr>
        <w:t>85</w:t>
        <w:tab/>
        <w:t>85</w:t>
        <w:tab/>
      </w:r>
      <w:r>
        <w:rPr>
          <w:rFonts w:ascii="宋体" w:hAnsi="宋体" w:cs="宋体" w:eastAsia="宋体" w:hint="default"/>
          <w:position w:val="1"/>
          <w:sz w:val="15"/>
          <w:szCs w:val="15"/>
        </w:rPr>
        <w:t>是</w:t>
        <w:tab/>
      </w:r>
      <w:r>
        <w:rPr>
          <w:rFonts w:ascii="Times New Roman" w:hAnsi="Times New Roman" w:cs="Times New Roman" w:eastAsia="Times New Roman" w:hint="default"/>
          <w:spacing w:val="-1"/>
          <w:sz w:val="15"/>
          <w:szCs w:val="15"/>
        </w:rPr>
        <w:t>2,096,540</w:t>
      </w:r>
    </w:p>
    <w:p>
      <w:pPr>
        <w:spacing w:after="0"/>
        <w:jc w:val="left"/>
        <w:rPr>
          <w:rFonts w:ascii="Times New Roman" w:hAnsi="Times New Roman" w:cs="Times New Roman" w:eastAsia="Times New Roman" w:hint="default"/>
          <w:sz w:val="15"/>
          <w:szCs w:val="15"/>
        </w:rPr>
        <w:sectPr>
          <w:type w:val="continuous"/>
          <w:pgSz w:w="16840" w:h="11910" w:orient="landscape"/>
          <w:pgMar w:top="1600" w:bottom="280" w:left="1300" w:right="660"/>
          <w:cols w:num="3" w:equalWidth="0">
            <w:col w:w="6129" w:space="40"/>
            <w:col w:w="1731" w:space="40"/>
            <w:col w:w="6940"/>
          </w:cols>
        </w:sectPr>
      </w:pPr>
    </w:p>
    <w:p>
      <w:pPr>
        <w:spacing w:line="240" w:lineRule="auto" w:before="3"/>
        <w:rPr>
          <w:rFonts w:ascii="Times New Roman" w:hAnsi="Times New Roman" w:cs="Times New Roman" w:eastAsia="Times New Roman" w:hint="default"/>
          <w:sz w:val="22"/>
          <w:szCs w:val="22"/>
        </w:rPr>
      </w:pPr>
    </w:p>
    <w:p>
      <w:pPr>
        <w:tabs>
          <w:tab w:pos="3115" w:val="left" w:leader="none"/>
          <w:tab w:pos="3725" w:val="left" w:leader="none"/>
          <w:tab w:pos="5453" w:val="left" w:leader="none"/>
        </w:tabs>
        <w:spacing w:before="0"/>
        <w:ind w:left="857" w:right="-1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东软集团（郑州）有限公司</w:t>
        <w:tab/>
        <w:t>全资</w:t>
        <w:tab/>
        <w:t>郑州</w:t>
      </w:r>
      <w:r>
        <w:rPr>
          <w:rFonts w:ascii="宋体" w:hAnsi="宋体" w:cs="宋体" w:eastAsia="宋体" w:hint="default"/>
          <w:spacing w:val="13"/>
          <w:position w:val="1"/>
          <w:sz w:val="15"/>
          <w:szCs w:val="15"/>
        </w:rPr>
        <w:t> </w:t>
      </w:r>
      <w:r>
        <w:rPr>
          <w:rFonts w:ascii="宋体" w:hAnsi="宋体" w:cs="宋体" w:eastAsia="宋体" w:hint="default"/>
          <w:position w:val="1"/>
          <w:sz w:val="15"/>
          <w:szCs w:val="15"/>
        </w:rPr>
        <w:t>有限责任公司</w:t>
        <w:tab/>
      </w:r>
      <w:r>
        <w:rPr>
          <w:rFonts w:ascii="Times New Roman" w:hAnsi="Times New Roman" w:cs="Times New Roman" w:eastAsia="Times New Roman" w:hint="default"/>
          <w:spacing w:val="-1"/>
          <w:sz w:val="15"/>
          <w:szCs w:val="15"/>
        </w:rPr>
        <w:t>10,000,000</w:t>
      </w:r>
    </w:p>
    <w:p>
      <w:pPr>
        <w:spacing w:line="489" w:lineRule="auto" w:before="57"/>
        <w:ind w:left="175" w:right="-20" w:firstLine="0"/>
        <w:jc w:val="left"/>
        <w:rPr>
          <w:rFonts w:ascii="宋体" w:hAnsi="宋体" w:cs="宋体" w:eastAsia="宋体" w:hint="default"/>
          <w:sz w:val="15"/>
          <w:szCs w:val="15"/>
        </w:rPr>
      </w:pPr>
      <w:r>
        <w:rPr/>
        <w:br w:type="column"/>
      </w:r>
      <w:r>
        <w:rPr>
          <w:rFonts w:ascii="宋体" w:hAnsi="宋体" w:cs="宋体" w:eastAsia="宋体" w:hint="default"/>
          <w:sz w:val="15"/>
          <w:szCs w:val="15"/>
        </w:rPr>
        <w:t>计算机软、硬件开发、 销售等</w:t>
      </w:r>
    </w:p>
    <w:p>
      <w:pPr>
        <w:spacing w:line="240" w:lineRule="auto" w:before="7"/>
        <w:rPr>
          <w:rFonts w:ascii="宋体" w:hAnsi="宋体" w:cs="宋体" w:eastAsia="宋体" w:hint="default"/>
          <w:sz w:val="19"/>
          <w:szCs w:val="19"/>
        </w:rPr>
      </w:pPr>
      <w:r>
        <w:rPr/>
        <w:br w:type="column"/>
      </w:r>
      <w:r>
        <w:rPr>
          <w:rFonts w:ascii="宋体"/>
          <w:sz w:val="19"/>
        </w:rPr>
      </w:r>
    </w:p>
    <w:p>
      <w:pPr>
        <w:tabs>
          <w:tab w:pos="1983" w:val="left" w:leader="none"/>
          <w:tab w:pos="2580" w:val="left" w:leader="none"/>
          <w:tab w:pos="3233" w:val="left" w:leader="none"/>
        </w:tabs>
        <w:spacing w:before="0"/>
        <w:ind w:left="257"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10,000,000</w:t>
        <w:tab/>
        <w:t>100</w:t>
        <w:tab/>
        <w:t>100</w:t>
        <w:tab/>
      </w:r>
      <w:r>
        <w:rPr>
          <w:rFonts w:ascii="宋体" w:hAnsi="宋体" w:cs="宋体" w:eastAsia="宋体" w:hint="default"/>
          <w:position w:val="1"/>
          <w:sz w:val="15"/>
          <w:szCs w:val="15"/>
        </w:rPr>
        <w:t>是</w:t>
      </w:r>
      <w:r>
        <w:rPr>
          <w:rFonts w:ascii="宋体" w:hAnsi="宋体" w:cs="宋体" w:eastAsia="宋体" w:hint="default"/>
          <w:sz w:val="15"/>
          <w:szCs w:val="15"/>
        </w:rPr>
      </w:r>
    </w:p>
    <w:p>
      <w:pPr>
        <w:spacing w:after="0"/>
        <w:jc w:val="left"/>
        <w:rPr>
          <w:rFonts w:ascii="宋体" w:hAnsi="宋体" w:cs="宋体" w:eastAsia="宋体" w:hint="default"/>
          <w:sz w:val="15"/>
          <w:szCs w:val="15"/>
        </w:rPr>
        <w:sectPr>
          <w:type w:val="continuous"/>
          <w:pgSz w:w="16840" w:h="11910" w:orient="landscape"/>
          <w:pgMar w:top="1600" w:bottom="280" w:left="1300" w:right="660"/>
          <w:cols w:num="3" w:equalWidth="0">
            <w:col w:w="6129" w:space="40"/>
            <w:col w:w="1676" w:space="40"/>
            <w:col w:w="6995"/>
          </w:cols>
        </w:sectPr>
      </w:pPr>
    </w:p>
    <w:p>
      <w:pPr>
        <w:spacing w:line="240" w:lineRule="auto" w:before="7"/>
        <w:rPr>
          <w:rFonts w:ascii="宋体" w:hAnsi="宋体" w:cs="宋体" w:eastAsia="宋体" w:hint="default"/>
          <w:sz w:val="19"/>
          <w:szCs w:val="19"/>
        </w:rPr>
      </w:pPr>
    </w:p>
    <w:p>
      <w:pPr>
        <w:tabs>
          <w:tab w:pos="3115" w:val="left" w:leader="none"/>
          <w:tab w:pos="3725" w:val="left" w:leader="none"/>
          <w:tab w:pos="5453" w:val="left" w:leader="none"/>
        </w:tabs>
        <w:spacing w:before="0"/>
        <w:ind w:left="857" w:right="-1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东软集团南京有限公司</w:t>
        <w:tab/>
        <w:t>全资</w:t>
        <w:tab/>
        <w:t>南京</w:t>
      </w:r>
      <w:r>
        <w:rPr>
          <w:rFonts w:ascii="宋体" w:hAnsi="宋体" w:cs="宋体" w:eastAsia="宋体" w:hint="default"/>
          <w:spacing w:val="13"/>
          <w:position w:val="1"/>
          <w:sz w:val="15"/>
          <w:szCs w:val="15"/>
        </w:rPr>
        <w:t> </w:t>
      </w:r>
      <w:r>
        <w:rPr>
          <w:rFonts w:ascii="宋体" w:hAnsi="宋体" w:cs="宋体" w:eastAsia="宋体" w:hint="default"/>
          <w:position w:val="1"/>
          <w:sz w:val="15"/>
          <w:szCs w:val="15"/>
        </w:rPr>
        <w:t>有限责任公司</w:t>
        <w:tab/>
      </w:r>
      <w:r>
        <w:rPr>
          <w:rFonts w:ascii="Times New Roman" w:hAnsi="Times New Roman" w:cs="Times New Roman" w:eastAsia="Times New Roman" w:hint="default"/>
          <w:spacing w:val="-1"/>
          <w:sz w:val="15"/>
          <w:szCs w:val="15"/>
        </w:rPr>
        <w:t>12,000,000</w:t>
      </w:r>
    </w:p>
    <w:p>
      <w:pPr>
        <w:spacing w:line="489" w:lineRule="auto" w:before="57"/>
        <w:ind w:left="175" w:right="-20" w:firstLine="0"/>
        <w:jc w:val="left"/>
        <w:rPr>
          <w:rFonts w:ascii="宋体" w:hAnsi="宋体" w:cs="宋体" w:eastAsia="宋体" w:hint="default"/>
          <w:sz w:val="15"/>
          <w:szCs w:val="15"/>
        </w:rPr>
      </w:pPr>
      <w:r>
        <w:rPr/>
        <w:br w:type="column"/>
      </w:r>
      <w:r>
        <w:rPr>
          <w:rFonts w:ascii="宋体" w:hAnsi="宋体" w:cs="宋体" w:eastAsia="宋体" w:hint="default"/>
          <w:sz w:val="15"/>
          <w:szCs w:val="15"/>
        </w:rPr>
        <w:t>计算机软、硬件、开发 销售、技术咨询等</w:t>
      </w:r>
    </w:p>
    <w:p>
      <w:pPr>
        <w:spacing w:line="240" w:lineRule="auto" w:before="7"/>
        <w:rPr>
          <w:rFonts w:ascii="宋体" w:hAnsi="宋体" w:cs="宋体" w:eastAsia="宋体" w:hint="default"/>
          <w:sz w:val="19"/>
          <w:szCs w:val="19"/>
        </w:rPr>
      </w:pPr>
      <w:r>
        <w:rPr/>
        <w:br w:type="column"/>
      </w:r>
      <w:r>
        <w:rPr>
          <w:rFonts w:ascii="宋体"/>
          <w:sz w:val="19"/>
        </w:rPr>
      </w:r>
    </w:p>
    <w:p>
      <w:pPr>
        <w:tabs>
          <w:tab w:pos="1983" w:val="left" w:leader="none"/>
          <w:tab w:pos="2580" w:val="left" w:leader="none"/>
          <w:tab w:pos="3233" w:val="left" w:leader="none"/>
        </w:tabs>
        <w:spacing w:before="0"/>
        <w:ind w:left="333"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12,000,000</w:t>
        <w:tab/>
        <w:t>100</w:t>
        <w:tab/>
        <w:t>100</w:t>
        <w:tab/>
      </w:r>
      <w:r>
        <w:rPr>
          <w:rFonts w:ascii="宋体" w:hAnsi="宋体" w:cs="宋体" w:eastAsia="宋体" w:hint="default"/>
          <w:position w:val="1"/>
          <w:sz w:val="15"/>
          <w:szCs w:val="15"/>
        </w:rPr>
        <w:t>是</w:t>
      </w:r>
      <w:r>
        <w:rPr>
          <w:rFonts w:ascii="宋体" w:hAnsi="宋体" w:cs="宋体" w:eastAsia="宋体" w:hint="default"/>
          <w:sz w:val="15"/>
          <w:szCs w:val="15"/>
        </w:rPr>
      </w:r>
    </w:p>
    <w:p>
      <w:pPr>
        <w:spacing w:after="0"/>
        <w:jc w:val="left"/>
        <w:rPr>
          <w:rFonts w:ascii="宋体" w:hAnsi="宋体" w:cs="宋体" w:eastAsia="宋体" w:hint="default"/>
          <w:sz w:val="15"/>
          <w:szCs w:val="15"/>
        </w:rPr>
        <w:sectPr>
          <w:type w:val="continuous"/>
          <w:pgSz w:w="16840" w:h="11910" w:orient="landscape"/>
          <w:pgMar w:top="1600" w:bottom="280" w:left="1300" w:right="660"/>
          <w:cols w:num="3" w:equalWidth="0">
            <w:col w:w="6129" w:space="40"/>
            <w:col w:w="1676" w:space="40"/>
            <w:col w:w="6995"/>
          </w:cols>
        </w:sectPr>
      </w:pPr>
    </w:p>
    <w:p>
      <w:pPr>
        <w:tabs>
          <w:tab w:pos="3725" w:val="left" w:leader="none"/>
          <w:tab w:pos="5527" w:val="left" w:leader="none"/>
          <w:tab w:pos="6343" w:val="left" w:leader="none"/>
          <w:tab w:pos="8291" w:val="left" w:leader="none"/>
          <w:tab w:pos="9847" w:val="left" w:leader="none"/>
          <w:tab w:pos="10445" w:val="left" w:leader="none"/>
          <w:tab w:pos="11117" w:val="left" w:leader="none"/>
          <w:tab w:pos="11656" w:val="left" w:leader="none"/>
        </w:tabs>
        <w:spacing w:before="55"/>
        <w:ind w:left="857"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沈阳东软交通信息技术有限公司 </w:t>
      </w:r>
      <w:r>
        <w:rPr>
          <w:rFonts w:ascii="宋体" w:hAnsi="宋体" w:cs="宋体" w:eastAsia="宋体" w:hint="default"/>
          <w:spacing w:val="8"/>
          <w:position w:val="1"/>
          <w:sz w:val="15"/>
          <w:szCs w:val="15"/>
        </w:rPr>
        <w:t> </w:t>
      </w:r>
      <w:r>
        <w:rPr>
          <w:rFonts w:ascii="宋体" w:hAnsi="宋体" w:cs="宋体" w:eastAsia="宋体" w:hint="default"/>
          <w:position w:val="1"/>
          <w:sz w:val="15"/>
          <w:szCs w:val="15"/>
        </w:rPr>
        <w:t>控股</w:t>
        <w:tab/>
        <w:t>沈阳</w:t>
      </w:r>
      <w:r>
        <w:rPr>
          <w:rFonts w:ascii="宋体" w:hAnsi="宋体" w:cs="宋体" w:eastAsia="宋体" w:hint="default"/>
          <w:spacing w:val="13"/>
          <w:position w:val="1"/>
          <w:sz w:val="15"/>
          <w:szCs w:val="15"/>
        </w:rPr>
        <w:t> </w:t>
      </w:r>
      <w:r>
        <w:rPr>
          <w:rFonts w:ascii="宋体" w:hAnsi="宋体" w:cs="宋体" w:eastAsia="宋体" w:hint="default"/>
          <w:position w:val="1"/>
          <w:sz w:val="15"/>
          <w:szCs w:val="15"/>
        </w:rPr>
        <w:t>有限责任公司</w:t>
        <w:tab/>
      </w:r>
      <w:r>
        <w:rPr>
          <w:rFonts w:ascii="Times New Roman" w:hAnsi="Times New Roman" w:cs="Times New Roman" w:eastAsia="Times New Roman" w:hint="default"/>
          <w:spacing w:val="-1"/>
          <w:sz w:val="15"/>
          <w:szCs w:val="15"/>
        </w:rPr>
        <w:t>7,000,000</w:t>
        <w:tab/>
      </w:r>
      <w:r>
        <w:rPr>
          <w:rFonts w:ascii="宋体" w:hAnsi="宋体" w:cs="宋体" w:eastAsia="宋体" w:hint="default"/>
          <w:position w:val="1"/>
          <w:sz w:val="15"/>
          <w:szCs w:val="15"/>
        </w:rPr>
        <w:t>计算机服务业</w:t>
        <w:tab/>
      </w:r>
      <w:r>
        <w:rPr>
          <w:rFonts w:ascii="Times New Roman" w:hAnsi="Times New Roman" w:cs="Times New Roman" w:eastAsia="Times New Roman" w:hint="default"/>
          <w:spacing w:val="-1"/>
          <w:sz w:val="15"/>
          <w:szCs w:val="15"/>
        </w:rPr>
        <w:t>3,535,000</w:t>
        <w:tab/>
        <w:t>50.5</w:t>
        <w:tab/>
        <w:t>50.5</w:t>
        <w:tab/>
      </w:r>
      <w:r>
        <w:rPr>
          <w:rFonts w:ascii="宋体" w:hAnsi="宋体" w:cs="宋体" w:eastAsia="宋体" w:hint="default"/>
          <w:position w:val="1"/>
          <w:sz w:val="15"/>
          <w:szCs w:val="15"/>
        </w:rPr>
        <w:t>是</w:t>
        <w:tab/>
      </w:r>
      <w:r>
        <w:rPr>
          <w:rFonts w:ascii="Times New Roman" w:hAnsi="Times New Roman" w:cs="Times New Roman" w:eastAsia="Times New Roman" w:hint="default"/>
          <w:spacing w:val="-2"/>
          <w:sz w:val="15"/>
          <w:szCs w:val="15"/>
        </w:rPr>
        <w:t>3,112,163</w:t>
      </w:r>
    </w:p>
    <w:p>
      <w:pPr>
        <w:spacing w:line="240" w:lineRule="auto" w:before="3"/>
        <w:rPr>
          <w:rFonts w:ascii="Times New Roman" w:hAnsi="Times New Roman" w:cs="Times New Roman" w:eastAsia="Times New Roman" w:hint="default"/>
          <w:sz w:val="12"/>
          <w:szCs w:val="12"/>
        </w:rPr>
      </w:pPr>
    </w:p>
    <w:p>
      <w:pPr>
        <w:spacing w:after="0" w:line="240" w:lineRule="auto"/>
        <w:rPr>
          <w:rFonts w:ascii="Times New Roman" w:hAnsi="Times New Roman" w:cs="Times New Roman" w:eastAsia="Times New Roman" w:hint="default"/>
          <w:sz w:val="12"/>
          <w:szCs w:val="12"/>
        </w:rPr>
        <w:sectPr>
          <w:type w:val="continuous"/>
          <w:pgSz w:w="16840" w:h="11910" w:orient="landscape"/>
          <w:pgMar w:top="1600" w:bottom="280" w:left="1300" w:right="660"/>
        </w:sectPr>
      </w:pPr>
    </w:p>
    <w:p>
      <w:pPr>
        <w:spacing w:line="240" w:lineRule="auto" w:before="11"/>
        <w:rPr>
          <w:rFonts w:ascii="Times New Roman" w:hAnsi="Times New Roman" w:cs="Times New Roman" w:eastAsia="Times New Roman" w:hint="default"/>
          <w:sz w:val="21"/>
          <w:szCs w:val="21"/>
        </w:rPr>
      </w:pPr>
      <w:r>
        <w:rPr/>
        <w:pict>
          <v:group style="position:absolute;margin-left:101.000999pt;margin-top:93.419998pt;width:702.45pt;height:402.55pt;mso-position-horizontal-relative:page;mso-position-vertical-relative:page;z-index:-1130848" coordorigin="2020,1868" coordsize="14049,8051">
            <v:group style="position:absolute;left:2049;top:1883;width:14001;height:2" coordorigin="2049,1883" coordsize="14001,2">
              <v:shape style="position:absolute;left:2049;top:1883;width:14001;height:2" coordorigin="2049,1883" coordsize="14001,0" path="m2049,1883l16050,1883e" filled="false" stroked="true" strokeweight="1.5pt" strokecolor="#000000">
                <v:path arrowok="t"/>
              </v:shape>
              <v:shape style="position:absolute;left:4274;top:1870;width:10144;height:2458" type="#_x0000_t75" stroked="false">
                <v:imagedata r:id="rId56" o:title=""/>
              </v:shape>
            </v:group>
            <v:group style="position:absolute;left:2035;top:9904;width:2268;height:2" coordorigin="2035,9904" coordsize="2268,2">
              <v:shape style="position:absolute;left:2035;top:9904;width:2268;height:2" coordorigin="2035,9904" coordsize="2268,0" path="m2035,9904l4303,9904e" filled="false" stroked="true" strokeweight="1.5pt" strokecolor="#000000">
                <v:path arrowok="t"/>
              </v:shape>
              <v:shape style="position:absolute;left:2030;top:4279;width:14039;height:5630" type="#_x0000_t75" stroked="false">
                <v:imagedata r:id="rId57" o:title=""/>
              </v:shape>
            </v:group>
            <v:group style="position:absolute;left:4303;top:9904;width:610;height:2" coordorigin="4303,9904" coordsize="610,2">
              <v:shape style="position:absolute;left:4303;top:9904;width:610;height:2" coordorigin="4303,9904" coordsize="610,0" path="m4303,9904l4913,9904e" filled="false" stroked="true" strokeweight="1.5pt" strokecolor="#000000">
                <v:path arrowok="t"/>
              </v:shape>
              <v:shape style="position:absolute;left:4893;top:9069;width:49;height:840" type="#_x0000_t75" stroked="false">
                <v:imagedata r:id="rId58" o:title=""/>
              </v:shape>
            </v:group>
            <v:group style="position:absolute;left:4913;top:9904;width:502;height:2" coordorigin="4913,9904" coordsize="502,2">
              <v:shape style="position:absolute;left:4913;top:9904;width:502;height:2" coordorigin="4913,9904" coordsize="502,0" path="m4913,9904l5414,9904e" filled="false" stroked="true" strokeweight="1.5pt" strokecolor="#000000">
                <v:path arrowok="t"/>
              </v:shape>
              <v:shape style="position:absolute;left:5394;top:9069;width:49;height:840" type="#_x0000_t75" stroked="false">
                <v:imagedata r:id="rId58" o:title=""/>
              </v:shape>
            </v:group>
            <v:group style="position:absolute;left:5414;top:9904;width:939;height:2" coordorigin="5414,9904" coordsize="939,2">
              <v:shape style="position:absolute;left:5414;top:9904;width:939;height:2" coordorigin="5414,9904" coordsize="939,0" path="m5414,9904l6353,9904e" filled="false" stroked="true" strokeweight="1.5pt" strokecolor="#000000">
                <v:path arrowok="t"/>
              </v:shape>
              <v:shape style="position:absolute;left:6333;top:9069;width:49;height:840" type="#_x0000_t75" stroked="false">
                <v:imagedata r:id="rId59" o:title=""/>
              </v:shape>
            </v:group>
            <v:group style="position:absolute;left:6353;top:9904;width:1179;height:2" coordorigin="6353,9904" coordsize="1179,2">
              <v:shape style="position:absolute;left:6353;top:9904;width:1179;height:2" coordorigin="6353,9904" coordsize="1179,0" path="m6353,9904l7531,9904e" filled="false" stroked="true" strokeweight="1.5pt" strokecolor="#000000">
                <v:path arrowok="t"/>
              </v:shape>
              <v:shape style="position:absolute;left:7511;top:9069;width:49;height:840" type="#_x0000_t75" stroked="false">
                <v:imagedata r:id="rId58" o:title=""/>
              </v:shape>
            </v:group>
            <v:group style="position:absolute;left:7531;top:9904;width:1773;height:2" coordorigin="7531,9904" coordsize="1773,2">
              <v:shape style="position:absolute;left:7531;top:9904;width:1773;height:2" coordorigin="7531,9904" coordsize="1773,0" path="m7531,9904l9303,9904e" filled="false" stroked="true" strokeweight="1.5pt" strokecolor="#000000">
                <v:path arrowok="t"/>
              </v:shape>
              <v:shape style="position:absolute;left:9284;top:9069;width:49;height:840" type="#_x0000_t75" stroked="false">
                <v:imagedata r:id="rId60" o:title=""/>
              </v:shape>
            </v:group>
            <v:group style="position:absolute;left:9303;top:9904;width:992;height:2" coordorigin="9303,9904" coordsize="992,2">
              <v:shape style="position:absolute;left:9303;top:9904;width:992;height:2" coordorigin="9303,9904" coordsize="992,0" path="m9303,9904l10295,9904e" filled="false" stroked="true" strokeweight="1.5pt" strokecolor="#000000">
                <v:path arrowok="t"/>
              </v:shape>
              <v:shape style="position:absolute;left:10266;top:9060;width:67;height:845" type="#_x0000_t75" stroked="false">
                <v:imagedata r:id="rId61" o:title=""/>
              </v:shape>
            </v:group>
            <v:group style="position:absolute;left:10295;top:9904;width:725;height:2" coordorigin="10295,9904" coordsize="725,2">
              <v:shape style="position:absolute;left:10295;top:9904;width:725;height:2" coordorigin="10295,9904" coordsize="725,0" path="m10295,9904l11019,9904e" filled="false" stroked="true" strokeweight="1.5pt" strokecolor="#000000">
                <v:path arrowok="t"/>
              </v:shape>
              <v:shape style="position:absolute;left:11000;top:9069;width:49;height:840" type="#_x0000_t75" stroked="false">
                <v:imagedata r:id="rId60" o:title=""/>
              </v:shape>
            </v:group>
            <v:group style="position:absolute;left:11019;top:9904;width:510;height:2" coordorigin="11019,9904" coordsize="510,2">
              <v:shape style="position:absolute;left:11019;top:9904;width:510;height:2" coordorigin="11019,9904" coordsize="510,0" path="m11019,9904l11529,9904e" filled="false" stroked="true" strokeweight="1.5pt" strokecolor="#000000">
                <v:path arrowok="t"/>
              </v:shape>
              <v:shape style="position:absolute;left:11510;top:9069;width:49;height:840" type="#_x0000_t75" stroked="false">
                <v:imagedata r:id="rId60" o:title=""/>
              </v:shape>
            </v:group>
            <v:group style="position:absolute;left:11529;top:9904;width:686;height:2" coordorigin="11529,9904" coordsize="686,2">
              <v:shape style="position:absolute;left:11529;top:9904;width:686;height:2" coordorigin="11529,9904" coordsize="686,0" path="m11529,9904l12215,9904e" filled="false" stroked="true" strokeweight="1.5pt" strokecolor="#000000">
                <v:path arrowok="t"/>
              </v:shape>
              <v:shape style="position:absolute;left:12195;top:9069;width:49;height:840" type="#_x0000_t75" stroked="false">
                <v:imagedata r:id="rId60" o:title=""/>
              </v:shape>
            </v:group>
            <v:group style="position:absolute;left:12215;top:9904;width:546;height:2" coordorigin="12215,9904" coordsize="546,2">
              <v:shape style="position:absolute;left:12215;top:9904;width:546;height:2" coordorigin="12215,9904" coordsize="546,0" path="m12215,9904l12761,9904e" filled="false" stroked="true" strokeweight="1.5pt" strokecolor="#000000">
                <v:path arrowok="t"/>
              </v:shape>
              <v:shape style="position:absolute;left:12741;top:9069;width:49;height:840" type="#_x0000_t75" stroked="false">
                <v:imagedata r:id="rId58" o:title=""/>
              </v:shape>
            </v:group>
            <v:group style="position:absolute;left:12761;top:9904;width:894;height:2" coordorigin="12761,9904" coordsize="894,2">
              <v:shape style="position:absolute;left:12761;top:9904;width:894;height:2" coordorigin="12761,9904" coordsize="894,0" path="m12761,9904l13655,9904e" filled="false" stroked="true" strokeweight="1.5pt" strokecolor="#000000">
                <v:path arrowok="t"/>
              </v:shape>
              <v:shape style="position:absolute;left:13635;top:9069;width:49;height:840" type="#_x0000_t75" stroked="false">
                <v:imagedata r:id="rId60" o:title=""/>
              </v:shape>
            </v:group>
            <v:group style="position:absolute;left:13655;top:9904;width:725;height:2" coordorigin="13655,9904" coordsize="725,2">
              <v:shape style="position:absolute;left:13655;top:9904;width:725;height:2" coordorigin="13655,9904" coordsize="725,0" path="m13655,9904l14379,9904e" filled="false" stroked="true" strokeweight="1.5pt" strokecolor="#000000">
                <v:path arrowok="t"/>
              </v:shape>
              <v:shape style="position:absolute;left:14360;top:9069;width:49;height:840" type="#_x0000_t75" stroked="false">
                <v:imagedata r:id="rId60" o:title=""/>
              </v:shape>
            </v:group>
            <v:group style="position:absolute;left:14379;top:9904;width:1671;height:2" coordorigin="14379,9904" coordsize="1671,2">
              <v:shape style="position:absolute;left:14379;top:9904;width:1671;height:2" coordorigin="14379,9904" coordsize="1671,0" path="m14379,9904l16050,9904e" filled="false" stroked="true" strokeweight="1.5pt" strokecolor="#000000">
                <v:path arrowok="t"/>
              </v:shape>
            </v:group>
            <w10:wrap type="none"/>
          </v:group>
        </w:pict>
      </w:r>
    </w:p>
    <w:p>
      <w:pPr>
        <w:tabs>
          <w:tab w:pos="3115" w:val="left" w:leader="none"/>
          <w:tab w:pos="3725" w:val="left" w:leader="none"/>
          <w:tab w:pos="5453" w:val="left" w:leader="none"/>
        </w:tabs>
        <w:spacing w:before="0"/>
        <w:ind w:left="857" w:right="-1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东软集团（南昌）有限公司</w:t>
        <w:tab/>
        <w:t>全资</w:t>
        <w:tab/>
        <w:t>南昌</w:t>
      </w:r>
      <w:r>
        <w:rPr>
          <w:rFonts w:ascii="宋体" w:hAnsi="宋体" w:cs="宋体" w:eastAsia="宋体" w:hint="default"/>
          <w:spacing w:val="13"/>
          <w:position w:val="1"/>
          <w:sz w:val="15"/>
          <w:szCs w:val="15"/>
        </w:rPr>
        <w:t> </w:t>
      </w:r>
      <w:r>
        <w:rPr>
          <w:rFonts w:ascii="宋体" w:hAnsi="宋体" w:cs="宋体" w:eastAsia="宋体" w:hint="default"/>
          <w:position w:val="1"/>
          <w:sz w:val="15"/>
          <w:szCs w:val="15"/>
        </w:rPr>
        <w:t>有限责任公司</w:t>
        <w:tab/>
      </w:r>
      <w:r>
        <w:rPr>
          <w:rFonts w:ascii="Times New Roman" w:hAnsi="Times New Roman" w:cs="Times New Roman" w:eastAsia="Times New Roman" w:hint="default"/>
          <w:spacing w:val="-1"/>
          <w:sz w:val="15"/>
          <w:szCs w:val="15"/>
        </w:rPr>
        <w:t>20,000,000</w:t>
      </w:r>
    </w:p>
    <w:p>
      <w:pPr>
        <w:spacing w:line="489" w:lineRule="auto" w:before="53"/>
        <w:ind w:left="175" w:right="-17" w:firstLine="0"/>
        <w:jc w:val="left"/>
        <w:rPr>
          <w:rFonts w:ascii="宋体" w:hAnsi="宋体" w:cs="宋体" w:eastAsia="宋体" w:hint="default"/>
          <w:sz w:val="15"/>
          <w:szCs w:val="15"/>
        </w:rPr>
      </w:pPr>
      <w:r>
        <w:rPr>
          <w:spacing w:val="-2"/>
        </w:rPr>
        <w:br w:type="column"/>
      </w:r>
      <w:r>
        <w:rPr>
          <w:rFonts w:ascii="宋体" w:hAnsi="宋体" w:cs="宋体" w:eastAsia="宋体" w:hint="default"/>
          <w:spacing w:val="-2"/>
          <w:sz w:val="15"/>
          <w:szCs w:val="15"/>
        </w:rPr>
        <w:t>计算机硬件开发、研制、</w:t>
      </w:r>
      <w:r>
        <w:rPr>
          <w:rFonts w:ascii="宋体" w:hAnsi="宋体" w:cs="宋体" w:eastAsia="宋体" w:hint="default"/>
          <w:sz w:val="15"/>
          <w:szCs w:val="15"/>
        </w:rPr>
        <w:t> 技术咨询、服务</w:t>
      </w:r>
    </w:p>
    <w:p>
      <w:pPr>
        <w:spacing w:line="240" w:lineRule="auto" w:before="4"/>
        <w:rPr>
          <w:rFonts w:ascii="宋体" w:hAnsi="宋体" w:cs="宋体" w:eastAsia="宋体" w:hint="default"/>
          <w:sz w:val="19"/>
          <w:szCs w:val="19"/>
        </w:rPr>
      </w:pPr>
      <w:r>
        <w:rPr/>
        <w:br w:type="column"/>
      </w:r>
      <w:r>
        <w:rPr>
          <w:rFonts w:ascii="宋体"/>
          <w:sz w:val="19"/>
        </w:rPr>
      </w:r>
    </w:p>
    <w:p>
      <w:pPr>
        <w:tabs>
          <w:tab w:pos="1852" w:val="left" w:leader="none"/>
          <w:tab w:pos="2449" w:val="left" w:leader="none"/>
          <w:tab w:pos="3102" w:val="left" w:leader="none"/>
        </w:tabs>
        <w:spacing w:before="0"/>
        <w:ind w:left="202"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20,000,000</w:t>
        <w:tab/>
        <w:t>100</w:t>
        <w:tab/>
        <w:t>100</w:t>
        <w:tab/>
      </w:r>
      <w:r>
        <w:rPr>
          <w:rFonts w:ascii="宋体" w:hAnsi="宋体" w:cs="宋体" w:eastAsia="宋体" w:hint="default"/>
          <w:position w:val="1"/>
          <w:sz w:val="15"/>
          <w:szCs w:val="15"/>
        </w:rPr>
        <w:t>是</w:t>
      </w:r>
      <w:r>
        <w:rPr>
          <w:rFonts w:ascii="宋体" w:hAnsi="宋体" w:cs="宋体" w:eastAsia="宋体" w:hint="default"/>
          <w:sz w:val="15"/>
          <w:szCs w:val="15"/>
        </w:rPr>
      </w:r>
    </w:p>
    <w:p>
      <w:pPr>
        <w:spacing w:after="0"/>
        <w:jc w:val="left"/>
        <w:rPr>
          <w:rFonts w:ascii="宋体" w:hAnsi="宋体" w:cs="宋体" w:eastAsia="宋体" w:hint="default"/>
          <w:sz w:val="15"/>
          <w:szCs w:val="15"/>
        </w:rPr>
        <w:sectPr>
          <w:type w:val="continuous"/>
          <w:pgSz w:w="16840" w:h="11910" w:orient="landscape"/>
          <w:pgMar w:top="1600" w:bottom="280" w:left="1300" w:right="660"/>
          <w:cols w:num="3" w:equalWidth="0">
            <w:col w:w="6129" w:space="40"/>
            <w:col w:w="1807" w:space="40"/>
            <w:col w:w="6864"/>
          </w:cols>
        </w:sectPr>
      </w:pPr>
    </w:p>
    <w:p>
      <w:pPr>
        <w:spacing w:line="240" w:lineRule="auto" w:before="0"/>
        <w:rPr>
          <w:rFonts w:ascii="Times New Roman" w:hAnsi="Times New Roman" w:cs="Times New Roman" w:eastAsia="Times New Roman" w:hint="default"/>
          <w:sz w:val="20"/>
          <w:szCs w:val="20"/>
        </w:rPr>
      </w:pPr>
      <w:r>
        <w:rPr/>
        <w:pict>
          <v:group style="position:absolute;margin-left:101.511002pt;margin-top:93.419998pt;width:701.95pt;height:408.15pt;mso-position-horizontal-relative:page;mso-position-vertical-relative:page;z-index:-1130824" coordorigin="2030,1868" coordsize="14039,8163">
            <v:group style="position:absolute;left:2049;top:1883;width:14001;height:2" coordorigin="2049,1883" coordsize="14001,2">
              <v:shape style="position:absolute;left:2049;top:1883;width:14001;height:2" coordorigin="2049,1883" coordsize="14001,0" path="m2049,1883l16050,1883e" filled="false" stroked="true" strokeweight="1.5pt" strokecolor="#000000">
                <v:path arrowok="t"/>
              </v:shape>
              <v:shape style="position:absolute;left:4274;top:1870;width:10144;height:2458" type="#_x0000_t75" stroked="false">
                <v:imagedata r:id="rId56" o:title=""/>
              </v:shape>
              <v:shape style="position:absolute;left:2030;top:4279;width:14039;height:5752" type="#_x0000_t75" stroked="false">
                <v:imagedata r:id="rId62" o:title=""/>
              </v:shape>
              <v:shape style="position:absolute;left:4893;top:9191;width:49;height:840" type="#_x0000_t75" stroked="false">
                <v:imagedata r:id="rId63" o:title=""/>
              </v:shape>
              <v:shape style="position:absolute;left:5394;top:9191;width:49;height:840" type="#_x0000_t75" stroked="false">
                <v:imagedata r:id="rId63" o:title=""/>
              </v:shape>
              <v:shape style="position:absolute;left:6333;top:9191;width:49;height:840" type="#_x0000_t75" stroked="false">
                <v:imagedata r:id="rId64" o:title=""/>
              </v:shape>
              <v:shape style="position:absolute;left:7511;top:9191;width:49;height:840" type="#_x0000_t75" stroked="false">
                <v:imagedata r:id="rId63" o:title=""/>
              </v:shape>
              <v:shape style="position:absolute;left:9284;top:9191;width:49;height:840" type="#_x0000_t75" stroked="false">
                <v:imagedata r:id="rId65" o:title=""/>
              </v:shape>
              <v:shape style="position:absolute;left:10266;top:9182;width:67;height:845" type="#_x0000_t75" stroked="false">
                <v:imagedata r:id="rId66" o:title=""/>
              </v:shape>
              <v:shape style="position:absolute;left:11000;top:9191;width:49;height:840" type="#_x0000_t75" stroked="false">
                <v:imagedata r:id="rId65" o:title=""/>
              </v:shape>
              <v:shape style="position:absolute;left:11510;top:9191;width:49;height:840" type="#_x0000_t75" stroked="false">
                <v:imagedata r:id="rId65" o:title=""/>
              </v:shape>
              <v:shape style="position:absolute;left:12195;top:9191;width:49;height:840" type="#_x0000_t75" stroked="false">
                <v:imagedata r:id="rId65" o:title=""/>
              </v:shape>
              <v:shape style="position:absolute;left:12741;top:9191;width:49;height:840" type="#_x0000_t75" stroked="false">
                <v:imagedata r:id="rId63" o:title=""/>
              </v:shape>
              <v:shape style="position:absolute;left:13635;top:9191;width:49;height:840" type="#_x0000_t75" stroked="false">
                <v:imagedata r:id="rId65" o:title=""/>
              </v:shape>
              <v:shape style="position:absolute;left:14360;top:9191;width:49;height:840" type="#_x0000_t75" stroked="false">
                <v:imagedata r:id="rId65" o:title=""/>
              </v:shape>
            </v:group>
            <w10:wrap type="none"/>
          </v:group>
        </w:pict>
      </w:r>
    </w:p>
    <w:p>
      <w:pPr>
        <w:spacing w:line="240" w:lineRule="auto" w:before="10"/>
        <w:rPr>
          <w:rFonts w:ascii="Times New Roman" w:hAnsi="Times New Roman" w:cs="Times New Roman" w:eastAsia="Times New Roman" w:hint="default"/>
          <w:sz w:val="16"/>
          <w:szCs w:val="16"/>
        </w:rPr>
      </w:pPr>
    </w:p>
    <w:tbl>
      <w:tblPr>
        <w:tblW w:w="0" w:type="auto"/>
        <w:jc w:val="left"/>
        <w:tblInd w:w="735" w:type="dxa"/>
        <w:tblLayout w:type="fixed"/>
        <w:tblCellMar>
          <w:top w:w="0" w:type="dxa"/>
          <w:left w:w="0" w:type="dxa"/>
          <w:bottom w:w="0" w:type="dxa"/>
          <w:right w:w="0" w:type="dxa"/>
        </w:tblCellMar>
        <w:tblLook w:val="01E0"/>
      </w:tblPr>
      <w:tblGrid>
        <w:gridCol w:w="2310"/>
        <w:gridCol w:w="568"/>
        <w:gridCol w:w="1576"/>
        <w:gridCol w:w="1047"/>
        <w:gridCol w:w="1721"/>
        <w:gridCol w:w="1067"/>
        <w:gridCol w:w="737"/>
        <w:gridCol w:w="458"/>
        <w:gridCol w:w="719"/>
        <w:gridCol w:w="555"/>
        <w:gridCol w:w="877"/>
        <w:gridCol w:w="740"/>
        <w:gridCol w:w="1639"/>
      </w:tblGrid>
      <w:tr>
        <w:trPr>
          <w:trHeight w:val="275" w:hRule="exact"/>
        </w:trPr>
        <w:tc>
          <w:tcPr>
            <w:tcW w:w="8289" w:type="dxa"/>
            <w:gridSpan w:val="6"/>
            <w:vMerge w:val="restart"/>
            <w:tcBorders>
              <w:top w:val="nil" w:sz="6" w:space="0" w:color="auto"/>
              <w:left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7" w:right="0"/>
              <w:jc w:val="center"/>
              <w:rPr>
                <w:rFonts w:ascii="宋体" w:hAnsi="宋体" w:cs="宋体" w:eastAsia="宋体" w:hint="default"/>
                <w:sz w:val="15"/>
                <w:szCs w:val="15"/>
              </w:rPr>
            </w:pPr>
            <w:r>
              <w:rPr>
                <w:rFonts w:ascii="宋体" w:hAnsi="宋体" w:cs="宋体" w:eastAsia="宋体" w:hint="default"/>
                <w:sz w:val="15"/>
                <w:szCs w:val="15"/>
              </w:rPr>
              <w:t>从母公司所有者权益冲</w:t>
            </w:r>
          </w:p>
        </w:tc>
      </w:tr>
      <w:tr>
        <w:trPr>
          <w:trHeight w:val="200" w:hRule="exact"/>
        </w:trPr>
        <w:tc>
          <w:tcPr>
            <w:tcW w:w="8289" w:type="dxa"/>
            <w:gridSpan w:val="6"/>
            <w:vMerge/>
            <w:tcBorders>
              <w:left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Style w:val="TableParagraph"/>
              <w:spacing w:line="175" w:lineRule="exact"/>
              <w:ind w:right="28"/>
              <w:jc w:val="center"/>
              <w:rPr>
                <w:rFonts w:ascii="宋体" w:hAnsi="宋体" w:cs="宋体" w:eastAsia="宋体" w:hint="default"/>
                <w:sz w:val="15"/>
                <w:szCs w:val="15"/>
              </w:rPr>
            </w:pPr>
            <w:r>
              <w:rPr>
                <w:rFonts w:ascii="宋体" w:hAnsi="宋体" w:cs="宋体" w:eastAsia="宋体" w:hint="default"/>
                <w:sz w:val="15"/>
                <w:szCs w:val="15"/>
              </w:rPr>
              <w:t>实质上构</w:t>
            </w: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Style w:val="TableParagraph"/>
              <w:spacing w:line="175" w:lineRule="exact"/>
              <w:ind w:right="4"/>
              <w:jc w:val="center"/>
              <w:rPr>
                <w:rFonts w:ascii="宋体" w:hAnsi="宋体" w:cs="宋体" w:eastAsia="宋体" w:hint="default"/>
                <w:sz w:val="15"/>
                <w:szCs w:val="15"/>
              </w:rPr>
            </w:pPr>
            <w:r>
              <w:rPr>
                <w:rFonts w:ascii="宋体" w:hAnsi="宋体" w:cs="宋体" w:eastAsia="宋体" w:hint="default"/>
                <w:sz w:val="15"/>
                <w:szCs w:val="15"/>
              </w:rPr>
              <w:t>少数股东</w:t>
            </w:r>
          </w:p>
        </w:tc>
        <w:tc>
          <w:tcPr>
            <w:tcW w:w="1639" w:type="dxa"/>
            <w:tcBorders>
              <w:top w:val="nil" w:sz="6" w:space="0" w:color="auto"/>
              <w:left w:val="nil" w:sz="6" w:space="0" w:color="auto"/>
              <w:bottom w:val="nil" w:sz="6" w:space="0" w:color="auto"/>
              <w:right w:val="nil" w:sz="6" w:space="0" w:color="auto"/>
            </w:tcBorders>
          </w:tcPr>
          <w:p>
            <w:pPr/>
          </w:p>
        </w:tc>
      </w:tr>
      <w:tr>
        <w:trPr>
          <w:trHeight w:val="200" w:hRule="exact"/>
        </w:trPr>
        <w:tc>
          <w:tcPr>
            <w:tcW w:w="8289" w:type="dxa"/>
            <w:gridSpan w:val="6"/>
            <w:vMerge/>
            <w:tcBorders>
              <w:left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Style w:val="TableParagraph"/>
              <w:spacing w:line="175" w:lineRule="exact"/>
              <w:ind w:left="7" w:right="0"/>
              <w:jc w:val="center"/>
              <w:rPr>
                <w:rFonts w:ascii="宋体" w:hAnsi="宋体" w:cs="宋体" w:eastAsia="宋体" w:hint="default"/>
                <w:sz w:val="15"/>
                <w:szCs w:val="15"/>
              </w:rPr>
            </w:pPr>
            <w:r>
              <w:rPr>
                <w:rFonts w:ascii="宋体" w:hAnsi="宋体" w:cs="宋体" w:eastAsia="宋体" w:hint="default"/>
                <w:sz w:val="15"/>
                <w:szCs w:val="15"/>
              </w:rPr>
              <w:t>减子公司少数股东分担</w:t>
            </w:r>
          </w:p>
        </w:tc>
      </w:tr>
      <w:tr>
        <w:trPr>
          <w:trHeight w:val="200" w:hRule="exact"/>
        </w:trPr>
        <w:tc>
          <w:tcPr>
            <w:tcW w:w="8289" w:type="dxa"/>
            <w:gridSpan w:val="6"/>
            <w:vMerge/>
            <w:tcBorders>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Style w:val="TableParagraph"/>
              <w:spacing w:line="175" w:lineRule="exact"/>
              <w:ind w:right="28"/>
              <w:jc w:val="center"/>
              <w:rPr>
                <w:rFonts w:ascii="宋体" w:hAnsi="宋体" w:cs="宋体" w:eastAsia="宋体" w:hint="default"/>
                <w:sz w:val="15"/>
                <w:szCs w:val="15"/>
              </w:rPr>
            </w:pPr>
            <w:r>
              <w:rPr>
                <w:rFonts w:ascii="宋体" w:hAnsi="宋体" w:cs="宋体" w:eastAsia="宋体" w:hint="default"/>
                <w:sz w:val="15"/>
                <w:szCs w:val="15"/>
              </w:rPr>
              <w:t>成对子公</w:t>
            </w:r>
          </w:p>
        </w:tc>
        <w:tc>
          <w:tcPr>
            <w:tcW w:w="458" w:type="dxa"/>
            <w:tcBorders>
              <w:top w:val="nil" w:sz="6" w:space="0" w:color="auto"/>
              <w:left w:val="nil" w:sz="6" w:space="0" w:color="auto"/>
              <w:bottom w:val="nil" w:sz="6" w:space="0" w:color="auto"/>
              <w:right w:val="nil" w:sz="6" w:space="0" w:color="auto"/>
            </w:tcBorders>
          </w:tcPr>
          <w:p>
            <w:pPr>
              <w:pStyle w:val="TableParagraph"/>
              <w:spacing w:line="175" w:lineRule="exact"/>
              <w:ind w:left="10" w:right="0"/>
              <w:jc w:val="center"/>
              <w:rPr>
                <w:rFonts w:ascii="宋体" w:hAnsi="宋体" w:cs="宋体" w:eastAsia="宋体" w:hint="default"/>
                <w:sz w:val="15"/>
                <w:szCs w:val="15"/>
              </w:rPr>
            </w:pPr>
            <w:r>
              <w:rPr>
                <w:rFonts w:ascii="宋体" w:hAnsi="宋体" w:cs="宋体" w:eastAsia="宋体" w:hint="default"/>
                <w:sz w:val="15"/>
                <w:szCs w:val="15"/>
              </w:rPr>
              <w:t>持股</w:t>
            </w: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Style w:val="TableParagraph"/>
              <w:spacing w:line="175" w:lineRule="exact"/>
              <w:ind w:right="4"/>
              <w:jc w:val="center"/>
              <w:rPr>
                <w:rFonts w:ascii="宋体" w:hAnsi="宋体" w:cs="宋体" w:eastAsia="宋体" w:hint="default"/>
                <w:sz w:val="15"/>
                <w:szCs w:val="15"/>
              </w:rPr>
            </w:pPr>
            <w:r>
              <w:rPr>
                <w:rFonts w:ascii="宋体" w:hAnsi="宋体" w:cs="宋体" w:eastAsia="宋体" w:hint="default"/>
                <w:sz w:val="15"/>
                <w:szCs w:val="15"/>
              </w:rPr>
              <w:t>权益中用</w:t>
            </w:r>
          </w:p>
        </w:tc>
        <w:tc>
          <w:tcPr>
            <w:tcW w:w="1639" w:type="dxa"/>
            <w:tcBorders>
              <w:top w:val="nil" w:sz="6" w:space="0" w:color="auto"/>
              <w:left w:val="nil" w:sz="6" w:space="0" w:color="auto"/>
              <w:bottom w:val="nil" w:sz="6" w:space="0" w:color="auto"/>
              <w:right w:val="nil" w:sz="6" w:space="0" w:color="auto"/>
            </w:tcBorders>
          </w:tcPr>
          <w:p>
            <w:pPr/>
          </w:p>
        </w:tc>
      </w:tr>
      <w:tr>
        <w:trPr>
          <w:trHeight w:val="200" w:hRule="exact"/>
        </w:trPr>
        <w:tc>
          <w:tcPr>
            <w:tcW w:w="2310" w:type="dxa"/>
            <w:tcBorders>
              <w:top w:val="nil" w:sz="6" w:space="0" w:color="auto"/>
              <w:left w:val="nil" w:sz="6" w:space="0" w:color="auto"/>
              <w:bottom w:val="nil" w:sz="6" w:space="0" w:color="auto"/>
              <w:right w:val="nil" w:sz="6" w:space="0" w:color="auto"/>
            </w:tcBorders>
          </w:tcPr>
          <w:p>
            <w:pPr/>
          </w:p>
        </w:tc>
        <w:tc>
          <w:tcPr>
            <w:tcW w:w="568" w:type="dxa"/>
            <w:tcBorders>
              <w:top w:val="nil" w:sz="6" w:space="0" w:color="auto"/>
              <w:left w:val="nil" w:sz="6" w:space="0" w:color="auto"/>
              <w:bottom w:val="nil" w:sz="6" w:space="0" w:color="auto"/>
              <w:right w:val="nil" w:sz="6" w:space="0" w:color="auto"/>
            </w:tcBorders>
          </w:tcPr>
          <w:p>
            <w:pPr>
              <w:pStyle w:val="TableParagraph"/>
              <w:spacing w:line="175" w:lineRule="exact"/>
              <w:ind w:left="58" w:right="0"/>
              <w:jc w:val="left"/>
              <w:rPr>
                <w:rFonts w:ascii="宋体" w:hAnsi="宋体" w:cs="宋体" w:eastAsia="宋体" w:hint="default"/>
                <w:sz w:val="15"/>
                <w:szCs w:val="15"/>
              </w:rPr>
            </w:pPr>
            <w:r>
              <w:rPr>
                <w:rFonts w:ascii="宋体" w:hAnsi="宋体" w:cs="宋体" w:eastAsia="宋体" w:hint="default"/>
                <w:sz w:val="15"/>
                <w:szCs w:val="15"/>
              </w:rPr>
              <w:t>子公司</w:t>
            </w: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nil" w:sz="6" w:space="0" w:color="auto"/>
            </w:tcBorders>
          </w:tcPr>
          <w:p>
            <w:pPr>
              <w:pStyle w:val="TableParagraph"/>
              <w:spacing w:line="175" w:lineRule="exact"/>
              <w:ind w:left="59" w:right="0"/>
              <w:jc w:val="center"/>
              <w:rPr>
                <w:rFonts w:ascii="宋体" w:hAnsi="宋体" w:cs="宋体" w:eastAsia="宋体" w:hint="default"/>
                <w:sz w:val="15"/>
                <w:szCs w:val="15"/>
              </w:rPr>
            </w:pPr>
            <w:r>
              <w:rPr>
                <w:rFonts w:ascii="宋体" w:hAnsi="宋体" w:cs="宋体" w:eastAsia="宋体" w:hint="default"/>
                <w:sz w:val="15"/>
                <w:szCs w:val="15"/>
              </w:rPr>
              <w:t>期末实际投资</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Style w:val="TableParagraph"/>
              <w:spacing w:line="175" w:lineRule="exact"/>
              <w:ind w:left="28" w:right="0"/>
              <w:jc w:val="center"/>
              <w:rPr>
                <w:rFonts w:ascii="宋体" w:hAnsi="宋体" w:cs="宋体" w:eastAsia="宋体" w:hint="default"/>
                <w:sz w:val="15"/>
                <w:szCs w:val="15"/>
              </w:rPr>
            </w:pPr>
            <w:r>
              <w:rPr>
                <w:rFonts w:ascii="宋体" w:hAnsi="宋体" w:cs="宋体" w:eastAsia="宋体" w:hint="default"/>
                <w:sz w:val="15"/>
                <w:szCs w:val="15"/>
              </w:rPr>
              <w:t>表决权比</w:t>
            </w:r>
          </w:p>
        </w:tc>
        <w:tc>
          <w:tcPr>
            <w:tcW w:w="555" w:type="dxa"/>
            <w:tcBorders>
              <w:top w:val="nil" w:sz="6" w:space="0" w:color="auto"/>
              <w:left w:val="nil" w:sz="6" w:space="0" w:color="auto"/>
              <w:bottom w:val="nil" w:sz="6" w:space="0" w:color="auto"/>
              <w:right w:val="nil" w:sz="6" w:space="0" w:color="auto"/>
            </w:tcBorders>
          </w:tcPr>
          <w:p>
            <w:pPr>
              <w:pStyle w:val="TableParagraph"/>
              <w:spacing w:line="175" w:lineRule="exact"/>
              <w:ind w:right="11"/>
              <w:jc w:val="center"/>
              <w:rPr>
                <w:rFonts w:ascii="宋体" w:hAnsi="宋体" w:cs="宋体" w:eastAsia="宋体" w:hint="default"/>
                <w:sz w:val="15"/>
                <w:szCs w:val="15"/>
              </w:rPr>
            </w:pPr>
            <w:r>
              <w:rPr>
                <w:rFonts w:ascii="宋体" w:hAnsi="宋体" w:cs="宋体" w:eastAsia="宋体" w:hint="default"/>
                <w:sz w:val="15"/>
                <w:szCs w:val="15"/>
              </w:rPr>
              <w:t>是否合</w:t>
            </w:r>
          </w:p>
        </w:tc>
        <w:tc>
          <w:tcPr>
            <w:tcW w:w="877" w:type="dxa"/>
            <w:tcBorders>
              <w:top w:val="nil" w:sz="6" w:space="0" w:color="auto"/>
              <w:left w:val="nil" w:sz="6" w:space="0" w:color="auto"/>
              <w:bottom w:val="nil" w:sz="6" w:space="0" w:color="auto"/>
              <w:right w:val="nil" w:sz="6" w:space="0" w:color="auto"/>
            </w:tcBorders>
          </w:tcPr>
          <w:p>
            <w:pPr>
              <w:pStyle w:val="TableParagraph"/>
              <w:spacing w:line="175" w:lineRule="exact"/>
              <w:ind w:right="5"/>
              <w:jc w:val="center"/>
              <w:rPr>
                <w:rFonts w:ascii="宋体" w:hAnsi="宋体" w:cs="宋体" w:eastAsia="宋体" w:hint="default"/>
                <w:sz w:val="15"/>
                <w:szCs w:val="15"/>
              </w:rPr>
            </w:pPr>
            <w:r>
              <w:rPr>
                <w:rFonts w:ascii="宋体" w:hAnsi="宋体" w:cs="宋体" w:eastAsia="宋体" w:hint="default"/>
                <w:sz w:val="15"/>
                <w:szCs w:val="15"/>
              </w:rPr>
              <w:t>少数股东权</w:t>
            </w: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Style w:val="TableParagraph"/>
              <w:spacing w:line="175" w:lineRule="exact"/>
              <w:ind w:left="7" w:right="0"/>
              <w:jc w:val="center"/>
              <w:rPr>
                <w:rFonts w:ascii="宋体" w:hAnsi="宋体" w:cs="宋体" w:eastAsia="宋体" w:hint="default"/>
                <w:sz w:val="15"/>
                <w:szCs w:val="15"/>
              </w:rPr>
            </w:pPr>
            <w:r>
              <w:rPr>
                <w:rFonts w:ascii="宋体" w:hAnsi="宋体" w:cs="宋体" w:eastAsia="宋体" w:hint="default"/>
                <w:sz w:val="15"/>
                <w:szCs w:val="15"/>
              </w:rPr>
              <w:t>的本期亏损超过少数股</w:t>
            </w:r>
          </w:p>
        </w:tc>
      </w:tr>
      <w:tr>
        <w:trPr>
          <w:trHeight w:val="200" w:hRule="exact"/>
        </w:trPr>
        <w:tc>
          <w:tcPr>
            <w:tcW w:w="2310" w:type="dxa"/>
            <w:tcBorders>
              <w:top w:val="nil" w:sz="6" w:space="0" w:color="auto"/>
              <w:left w:val="nil" w:sz="6" w:space="0" w:color="auto"/>
              <w:bottom w:val="nil" w:sz="6" w:space="0" w:color="auto"/>
              <w:right w:val="nil" w:sz="6" w:space="0" w:color="auto"/>
            </w:tcBorders>
          </w:tcPr>
          <w:p>
            <w:pPr>
              <w:pStyle w:val="TableParagraph"/>
              <w:spacing w:line="175" w:lineRule="exact"/>
              <w:ind w:left="9" w:right="0"/>
              <w:jc w:val="center"/>
              <w:rPr>
                <w:rFonts w:ascii="宋体" w:hAnsi="宋体" w:cs="宋体" w:eastAsia="宋体" w:hint="default"/>
                <w:sz w:val="15"/>
                <w:szCs w:val="15"/>
              </w:rPr>
            </w:pPr>
            <w:r>
              <w:rPr>
                <w:rFonts w:ascii="宋体" w:hAnsi="宋体" w:cs="宋体" w:eastAsia="宋体" w:hint="default"/>
                <w:sz w:val="15"/>
                <w:szCs w:val="15"/>
              </w:rPr>
              <w:t>子公司全称</w:t>
            </w:r>
          </w:p>
        </w:tc>
        <w:tc>
          <w:tcPr>
            <w:tcW w:w="568"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Style w:val="TableParagraph"/>
              <w:spacing w:line="175" w:lineRule="exact"/>
              <w:ind w:left="59" w:right="0"/>
              <w:jc w:val="left"/>
              <w:rPr>
                <w:rFonts w:ascii="宋体" w:hAnsi="宋体" w:cs="宋体" w:eastAsia="宋体" w:hint="default"/>
                <w:sz w:val="15"/>
                <w:szCs w:val="15"/>
              </w:rPr>
            </w:pPr>
            <w:r>
              <w:rPr>
                <w:rFonts w:ascii="宋体" w:hAnsi="宋体" w:cs="宋体" w:eastAsia="宋体" w:hint="default"/>
                <w:sz w:val="15"/>
                <w:szCs w:val="15"/>
              </w:rPr>
              <w:t>注册地</w:t>
            </w:r>
            <w:r>
              <w:rPr>
                <w:rFonts w:ascii="宋体" w:hAnsi="宋体" w:cs="宋体" w:eastAsia="宋体" w:hint="default"/>
                <w:spacing w:val="66"/>
                <w:sz w:val="15"/>
                <w:szCs w:val="15"/>
              </w:rPr>
              <w:t> </w:t>
            </w:r>
            <w:r>
              <w:rPr>
                <w:rFonts w:ascii="宋体" w:hAnsi="宋体" w:cs="宋体" w:eastAsia="宋体" w:hint="default"/>
                <w:sz w:val="15"/>
                <w:szCs w:val="15"/>
              </w:rPr>
              <w:t>企业性质</w:t>
            </w:r>
          </w:p>
        </w:tc>
        <w:tc>
          <w:tcPr>
            <w:tcW w:w="1047" w:type="dxa"/>
            <w:tcBorders>
              <w:top w:val="nil" w:sz="6" w:space="0" w:color="auto"/>
              <w:left w:val="nil" w:sz="6" w:space="0" w:color="auto"/>
              <w:bottom w:val="nil" w:sz="6" w:space="0" w:color="auto"/>
              <w:right w:val="nil" w:sz="6" w:space="0" w:color="auto"/>
            </w:tcBorders>
          </w:tcPr>
          <w:p>
            <w:pPr>
              <w:pStyle w:val="TableParagraph"/>
              <w:spacing w:line="175" w:lineRule="exact"/>
              <w:ind w:left="174" w:right="0"/>
              <w:jc w:val="left"/>
              <w:rPr>
                <w:rFonts w:ascii="宋体" w:hAnsi="宋体" w:cs="宋体" w:eastAsia="宋体" w:hint="default"/>
                <w:sz w:val="15"/>
                <w:szCs w:val="15"/>
              </w:rPr>
            </w:pPr>
            <w:r>
              <w:rPr>
                <w:rFonts w:ascii="宋体" w:hAnsi="宋体" w:cs="宋体" w:eastAsia="宋体" w:hint="default"/>
                <w:sz w:val="15"/>
                <w:szCs w:val="15"/>
              </w:rPr>
              <w:t>注册资本</w:t>
            </w:r>
          </w:p>
        </w:tc>
        <w:tc>
          <w:tcPr>
            <w:tcW w:w="1721" w:type="dxa"/>
            <w:tcBorders>
              <w:top w:val="nil" w:sz="6" w:space="0" w:color="auto"/>
              <w:left w:val="nil" w:sz="6" w:space="0" w:color="auto"/>
              <w:bottom w:val="nil" w:sz="6" w:space="0" w:color="auto"/>
              <w:right w:val="nil" w:sz="6" w:space="0" w:color="auto"/>
            </w:tcBorders>
          </w:tcPr>
          <w:p>
            <w:pPr>
              <w:pStyle w:val="TableParagraph"/>
              <w:spacing w:line="175" w:lineRule="exact"/>
              <w:ind w:left="602" w:right="0"/>
              <w:jc w:val="left"/>
              <w:rPr>
                <w:rFonts w:ascii="宋体" w:hAnsi="宋体" w:cs="宋体" w:eastAsia="宋体" w:hint="default"/>
                <w:sz w:val="15"/>
                <w:szCs w:val="15"/>
              </w:rPr>
            </w:pPr>
            <w:r>
              <w:rPr>
                <w:rFonts w:ascii="宋体" w:hAnsi="宋体" w:cs="宋体" w:eastAsia="宋体" w:hint="default"/>
                <w:sz w:val="15"/>
                <w:szCs w:val="15"/>
              </w:rPr>
              <w:t>经营范围</w:t>
            </w:r>
          </w:p>
        </w:tc>
        <w:tc>
          <w:tcPr>
            <w:tcW w:w="1067"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Style w:val="TableParagraph"/>
              <w:spacing w:line="175" w:lineRule="exact"/>
              <w:ind w:right="28"/>
              <w:jc w:val="center"/>
              <w:rPr>
                <w:rFonts w:ascii="宋体" w:hAnsi="宋体" w:cs="宋体" w:eastAsia="宋体" w:hint="default"/>
                <w:sz w:val="15"/>
                <w:szCs w:val="15"/>
              </w:rPr>
            </w:pPr>
            <w:r>
              <w:rPr>
                <w:rFonts w:ascii="宋体" w:hAnsi="宋体" w:cs="宋体" w:eastAsia="宋体" w:hint="default"/>
                <w:sz w:val="15"/>
                <w:szCs w:val="15"/>
              </w:rPr>
              <w:t>司净投资</w:t>
            </w:r>
          </w:p>
        </w:tc>
        <w:tc>
          <w:tcPr>
            <w:tcW w:w="458" w:type="dxa"/>
            <w:tcBorders>
              <w:top w:val="nil" w:sz="6" w:space="0" w:color="auto"/>
              <w:left w:val="nil" w:sz="6" w:space="0" w:color="auto"/>
              <w:bottom w:val="nil" w:sz="6" w:space="0" w:color="auto"/>
              <w:right w:val="nil" w:sz="6" w:space="0" w:color="auto"/>
            </w:tcBorders>
          </w:tcPr>
          <w:p>
            <w:pPr>
              <w:pStyle w:val="TableParagraph"/>
              <w:spacing w:line="175" w:lineRule="exact"/>
              <w:ind w:left="10" w:right="0"/>
              <w:jc w:val="center"/>
              <w:rPr>
                <w:rFonts w:ascii="宋体" w:hAnsi="宋体" w:cs="宋体" w:eastAsia="宋体" w:hint="default"/>
                <w:sz w:val="15"/>
                <w:szCs w:val="15"/>
              </w:rPr>
            </w:pPr>
            <w:r>
              <w:rPr>
                <w:rFonts w:ascii="宋体" w:hAnsi="宋体" w:cs="宋体" w:eastAsia="宋体" w:hint="default"/>
                <w:sz w:val="15"/>
                <w:szCs w:val="15"/>
              </w:rPr>
              <w:t>比例</w:t>
            </w: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Style w:val="TableParagraph"/>
              <w:spacing w:line="175" w:lineRule="exact"/>
              <w:ind w:right="4"/>
              <w:jc w:val="center"/>
              <w:rPr>
                <w:rFonts w:ascii="宋体" w:hAnsi="宋体" w:cs="宋体" w:eastAsia="宋体" w:hint="default"/>
                <w:sz w:val="15"/>
                <w:szCs w:val="15"/>
              </w:rPr>
            </w:pPr>
            <w:r>
              <w:rPr>
                <w:rFonts w:ascii="宋体" w:hAnsi="宋体" w:cs="宋体" w:eastAsia="宋体" w:hint="default"/>
                <w:sz w:val="15"/>
                <w:szCs w:val="15"/>
              </w:rPr>
              <w:t>于冲减少</w:t>
            </w:r>
          </w:p>
        </w:tc>
        <w:tc>
          <w:tcPr>
            <w:tcW w:w="1639" w:type="dxa"/>
            <w:tcBorders>
              <w:top w:val="nil" w:sz="6" w:space="0" w:color="auto"/>
              <w:left w:val="nil" w:sz="6" w:space="0" w:color="auto"/>
              <w:bottom w:val="nil" w:sz="6" w:space="0" w:color="auto"/>
              <w:right w:val="nil" w:sz="6" w:space="0" w:color="auto"/>
            </w:tcBorders>
          </w:tcPr>
          <w:p>
            <w:pPr/>
          </w:p>
        </w:tc>
      </w:tr>
      <w:tr>
        <w:trPr>
          <w:trHeight w:val="204" w:hRule="exact"/>
        </w:trPr>
        <w:tc>
          <w:tcPr>
            <w:tcW w:w="2310" w:type="dxa"/>
            <w:tcBorders>
              <w:top w:val="nil" w:sz="6" w:space="0" w:color="auto"/>
              <w:left w:val="nil" w:sz="6" w:space="0" w:color="auto"/>
              <w:bottom w:val="nil" w:sz="6" w:space="0" w:color="auto"/>
              <w:right w:val="nil" w:sz="6" w:space="0" w:color="auto"/>
            </w:tcBorders>
          </w:tcPr>
          <w:p>
            <w:pPr/>
          </w:p>
        </w:tc>
        <w:tc>
          <w:tcPr>
            <w:tcW w:w="568" w:type="dxa"/>
            <w:tcBorders>
              <w:top w:val="nil" w:sz="6" w:space="0" w:color="auto"/>
              <w:left w:val="nil" w:sz="6" w:space="0" w:color="auto"/>
              <w:bottom w:val="nil" w:sz="6" w:space="0" w:color="auto"/>
              <w:right w:val="nil" w:sz="6" w:space="0" w:color="auto"/>
            </w:tcBorders>
          </w:tcPr>
          <w:p>
            <w:pPr>
              <w:pStyle w:val="TableParagraph"/>
              <w:spacing w:line="175" w:lineRule="exact"/>
              <w:ind w:left="134" w:right="0"/>
              <w:jc w:val="left"/>
              <w:rPr>
                <w:rFonts w:ascii="宋体" w:hAnsi="宋体" w:cs="宋体" w:eastAsia="宋体" w:hint="default"/>
                <w:sz w:val="15"/>
                <w:szCs w:val="15"/>
              </w:rPr>
            </w:pPr>
            <w:r>
              <w:rPr>
                <w:rFonts w:ascii="宋体" w:hAnsi="宋体" w:cs="宋体" w:eastAsia="宋体" w:hint="default"/>
                <w:sz w:val="15"/>
                <w:szCs w:val="15"/>
              </w:rPr>
              <w:t>类型</w:t>
            </w: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nil" w:sz="6" w:space="0" w:color="auto"/>
            </w:tcBorders>
          </w:tcPr>
          <w:p>
            <w:pPr>
              <w:pStyle w:val="TableParagraph"/>
              <w:spacing w:line="175" w:lineRule="exact"/>
              <w:ind w:left="58" w:right="0"/>
              <w:jc w:val="center"/>
              <w:rPr>
                <w:rFonts w:ascii="宋体" w:hAnsi="宋体" w:cs="宋体" w:eastAsia="宋体" w:hint="default"/>
                <w:sz w:val="15"/>
                <w:szCs w:val="15"/>
              </w:rPr>
            </w:pPr>
            <w:r>
              <w:rPr>
                <w:rFonts w:ascii="宋体" w:hAnsi="宋体" w:cs="宋体" w:eastAsia="宋体" w:hint="default"/>
                <w:sz w:val="15"/>
                <w:szCs w:val="15"/>
              </w:rPr>
              <w:t>额</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Style w:val="TableParagraph"/>
              <w:spacing w:line="186" w:lineRule="exact"/>
              <w:ind w:left="29"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555" w:type="dxa"/>
            <w:tcBorders>
              <w:top w:val="nil" w:sz="6" w:space="0" w:color="auto"/>
              <w:left w:val="nil" w:sz="6" w:space="0" w:color="auto"/>
              <w:bottom w:val="nil" w:sz="6" w:space="0" w:color="auto"/>
              <w:right w:val="nil" w:sz="6" w:space="0" w:color="auto"/>
            </w:tcBorders>
          </w:tcPr>
          <w:p>
            <w:pPr>
              <w:pStyle w:val="TableParagraph"/>
              <w:spacing w:line="175" w:lineRule="exact"/>
              <w:ind w:right="11"/>
              <w:jc w:val="center"/>
              <w:rPr>
                <w:rFonts w:ascii="宋体" w:hAnsi="宋体" w:cs="宋体" w:eastAsia="宋体" w:hint="default"/>
                <w:sz w:val="15"/>
                <w:szCs w:val="15"/>
              </w:rPr>
            </w:pPr>
            <w:r>
              <w:rPr>
                <w:rFonts w:ascii="宋体" w:hAnsi="宋体" w:cs="宋体" w:eastAsia="宋体" w:hint="default"/>
                <w:sz w:val="15"/>
                <w:szCs w:val="15"/>
              </w:rPr>
              <w:t>并报表</w:t>
            </w:r>
          </w:p>
        </w:tc>
        <w:tc>
          <w:tcPr>
            <w:tcW w:w="877" w:type="dxa"/>
            <w:tcBorders>
              <w:top w:val="nil" w:sz="6" w:space="0" w:color="auto"/>
              <w:left w:val="nil" w:sz="6" w:space="0" w:color="auto"/>
              <w:bottom w:val="nil" w:sz="6" w:space="0" w:color="auto"/>
              <w:right w:val="nil" w:sz="6" w:space="0" w:color="auto"/>
            </w:tcBorders>
          </w:tcPr>
          <w:p>
            <w:pPr>
              <w:pStyle w:val="TableParagraph"/>
              <w:spacing w:line="175" w:lineRule="exact"/>
              <w:ind w:right="5"/>
              <w:jc w:val="center"/>
              <w:rPr>
                <w:rFonts w:ascii="宋体" w:hAnsi="宋体" w:cs="宋体" w:eastAsia="宋体" w:hint="default"/>
                <w:sz w:val="15"/>
                <w:szCs w:val="15"/>
              </w:rPr>
            </w:pPr>
            <w:r>
              <w:rPr>
                <w:rFonts w:ascii="宋体" w:hAnsi="宋体" w:cs="宋体" w:eastAsia="宋体" w:hint="default"/>
                <w:sz w:val="15"/>
                <w:szCs w:val="15"/>
              </w:rPr>
              <w:t>益</w:t>
            </w: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Style w:val="TableParagraph"/>
              <w:spacing w:line="175" w:lineRule="exact"/>
              <w:ind w:left="7" w:right="0"/>
              <w:jc w:val="center"/>
              <w:rPr>
                <w:rFonts w:ascii="宋体" w:hAnsi="宋体" w:cs="宋体" w:eastAsia="宋体" w:hint="default"/>
                <w:sz w:val="15"/>
                <w:szCs w:val="15"/>
              </w:rPr>
            </w:pPr>
            <w:r>
              <w:rPr>
                <w:rFonts w:ascii="宋体" w:hAnsi="宋体" w:cs="宋体" w:eastAsia="宋体" w:hint="default"/>
                <w:sz w:val="15"/>
                <w:szCs w:val="15"/>
              </w:rPr>
              <w:t>东在该子公司期初所有</w:t>
            </w:r>
          </w:p>
        </w:tc>
      </w:tr>
      <w:tr>
        <w:trPr>
          <w:trHeight w:val="396" w:hRule="exact"/>
        </w:trPr>
        <w:tc>
          <w:tcPr>
            <w:tcW w:w="2310" w:type="dxa"/>
            <w:tcBorders>
              <w:top w:val="nil" w:sz="6" w:space="0" w:color="auto"/>
              <w:left w:val="nil" w:sz="6" w:space="0" w:color="auto"/>
              <w:bottom w:val="nil" w:sz="6" w:space="0" w:color="auto"/>
              <w:right w:val="nil" w:sz="6" w:space="0" w:color="auto"/>
            </w:tcBorders>
          </w:tcPr>
          <w:p>
            <w:pPr/>
          </w:p>
        </w:tc>
        <w:tc>
          <w:tcPr>
            <w:tcW w:w="568"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Style w:val="TableParagraph"/>
              <w:spacing w:line="171" w:lineRule="exact"/>
              <w:ind w:right="28"/>
              <w:jc w:val="center"/>
              <w:rPr>
                <w:rFonts w:ascii="宋体" w:hAnsi="宋体" w:cs="宋体" w:eastAsia="宋体" w:hint="default"/>
                <w:sz w:val="15"/>
                <w:szCs w:val="15"/>
              </w:rPr>
            </w:pPr>
            <w:r>
              <w:rPr>
                <w:rFonts w:ascii="宋体" w:hAnsi="宋体" w:cs="宋体" w:eastAsia="宋体" w:hint="default"/>
                <w:sz w:val="15"/>
                <w:szCs w:val="15"/>
              </w:rPr>
              <w:t>的其他项</w:t>
            </w: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 w:right="0"/>
              <w:jc w:val="center"/>
              <w:rPr>
                <w:rFonts w:ascii="Times New Roman" w:hAnsi="Times New Roman" w:cs="Times New Roman" w:eastAsia="Times New Roman" w:hint="default"/>
                <w:sz w:val="15"/>
                <w:szCs w:val="15"/>
              </w:rPr>
            </w:pPr>
            <w:r>
              <w:rPr>
                <w:rFonts w:ascii="Times New Roman"/>
                <w:sz w:val="15"/>
              </w:rPr>
              <w:t>(%)</w:t>
            </w: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Style w:val="TableParagraph"/>
              <w:spacing w:line="171" w:lineRule="exact"/>
              <w:ind w:right="4"/>
              <w:jc w:val="center"/>
              <w:rPr>
                <w:rFonts w:ascii="宋体" w:hAnsi="宋体" w:cs="宋体" w:eastAsia="宋体" w:hint="default"/>
                <w:sz w:val="15"/>
                <w:szCs w:val="15"/>
              </w:rPr>
            </w:pPr>
            <w:r>
              <w:rPr>
                <w:rFonts w:ascii="宋体" w:hAnsi="宋体" w:cs="宋体" w:eastAsia="宋体" w:hint="default"/>
                <w:sz w:val="15"/>
                <w:szCs w:val="15"/>
              </w:rPr>
              <w:t>数股东损</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left="7" w:right="0"/>
              <w:jc w:val="center"/>
              <w:rPr>
                <w:rFonts w:ascii="宋体" w:hAnsi="宋体" w:cs="宋体" w:eastAsia="宋体" w:hint="default"/>
                <w:sz w:val="15"/>
                <w:szCs w:val="15"/>
              </w:rPr>
            </w:pPr>
            <w:r>
              <w:rPr>
                <w:rFonts w:ascii="宋体" w:hAnsi="宋体" w:cs="宋体" w:eastAsia="宋体" w:hint="default"/>
                <w:sz w:val="15"/>
                <w:szCs w:val="15"/>
              </w:rPr>
              <w:t>者权益中所享有份额后</w:t>
            </w:r>
          </w:p>
        </w:tc>
      </w:tr>
      <w:tr>
        <w:trPr>
          <w:trHeight w:val="200" w:hRule="exact"/>
        </w:trPr>
        <w:tc>
          <w:tcPr>
            <w:tcW w:w="2310" w:type="dxa"/>
            <w:tcBorders>
              <w:top w:val="nil" w:sz="6" w:space="0" w:color="auto"/>
              <w:left w:val="nil" w:sz="6" w:space="0" w:color="auto"/>
              <w:bottom w:val="nil" w:sz="6" w:space="0" w:color="auto"/>
              <w:right w:val="nil" w:sz="6" w:space="0" w:color="auto"/>
            </w:tcBorders>
          </w:tcPr>
          <w:p>
            <w:pPr/>
          </w:p>
        </w:tc>
        <w:tc>
          <w:tcPr>
            <w:tcW w:w="568"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Style w:val="TableParagraph"/>
              <w:spacing w:line="175" w:lineRule="exact"/>
              <w:ind w:right="29"/>
              <w:jc w:val="center"/>
              <w:rPr>
                <w:rFonts w:ascii="宋体" w:hAnsi="宋体" w:cs="宋体" w:eastAsia="宋体" w:hint="default"/>
                <w:sz w:val="15"/>
                <w:szCs w:val="15"/>
              </w:rPr>
            </w:pPr>
            <w:r>
              <w:rPr>
                <w:rFonts w:ascii="宋体" w:hAnsi="宋体" w:cs="宋体" w:eastAsia="宋体" w:hint="default"/>
                <w:sz w:val="15"/>
                <w:szCs w:val="15"/>
              </w:rPr>
              <w:t>目余额</w:t>
            </w: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Style w:val="TableParagraph"/>
              <w:spacing w:line="175" w:lineRule="exact"/>
              <w:ind w:right="4"/>
              <w:jc w:val="center"/>
              <w:rPr>
                <w:rFonts w:ascii="宋体" w:hAnsi="宋体" w:cs="宋体" w:eastAsia="宋体" w:hint="default"/>
                <w:sz w:val="15"/>
                <w:szCs w:val="15"/>
              </w:rPr>
            </w:pPr>
            <w:r>
              <w:rPr>
                <w:rFonts w:ascii="宋体" w:hAnsi="宋体" w:cs="宋体" w:eastAsia="宋体" w:hint="default"/>
                <w:sz w:val="15"/>
                <w:szCs w:val="15"/>
              </w:rPr>
              <w:t>益的金额</w:t>
            </w:r>
          </w:p>
        </w:tc>
        <w:tc>
          <w:tcPr>
            <w:tcW w:w="1639" w:type="dxa"/>
            <w:tcBorders>
              <w:top w:val="nil" w:sz="6" w:space="0" w:color="auto"/>
              <w:left w:val="nil" w:sz="6" w:space="0" w:color="auto"/>
              <w:bottom w:val="nil" w:sz="6" w:space="0" w:color="auto"/>
              <w:right w:val="nil" w:sz="6" w:space="0" w:color="auto"/>
            </w:tcBorders>
          </w:tcPr>
          <w:p>
            <w:pPr/>
          </w:p>
        </w:tc>
      </w:tr>
      <w:tr>
        <w:trPr>
          <w:trHeight w:val="372" w:hRule="exact"/>
        </w:trPr>
        <w:tc>
          <w:tcPr>
            <w:tcW w:w="2310" w:type="dxa"/>
            <w:tcBorders>
              <w:top w:val="nil" w:sz="6" w:space="0" w:color="auto"/>
              <w:left w:val="nil" w:sz="6" w:space="0" w:color="auto"/>
              <w:bottom w:val="nil" w:sz="6" w:space="0" w:color="auto"/>
              <w:right w:val="nil" w:sz="6" w:space="0" w:color="auto"/>
            </w:tcBorders>
          </w:tcPr>
          <w:p>
            <w:pPr/>
          </w:p>
        </w:tc>
        <w:tc>
          <w:tcPr>
            <w:tcW w:w="568"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Style w:val="TableParagraph"/>
              <w:spacing w:line="175" w:lineRule="exact"/>
              <w:ind w:left="5" w:right="0"/>
              <w:jc w:val="center"/>
              <w:rPr>
                <w:rFonts w:ascii="宋体" w:hAnsi="宋体" w:cs="宋体" w:eastAsia="宋体" w:hint="default"/>
                <w:sz w:val="15"/>
                <w:szCs w:val="15"/>
              </w:rPr>
            </w:pPr>
            <w:r>
              <w:rPr>
                <w:rFonts w:ascii="宋体" w:hAnsi="宋体" w:cs="宋体" w:eastAsia="宋体" w:hint="default"/>
                <w:sz w:val="15"/>
                <w:szCs w:val="15"/>
              </w:rPr>
              <w:t>的余额</w:t>
            </w:r>
          </w:p>
        </w:tc>
      </w:tr>
      <w:tr>
        <w:trPr>
          <w:trHeight w:val="583" w:hRule="exact"/>
        </w:trPr>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3"/>
                <w:szCs w:val="13"/>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上海东软时代数码技术有限公司</w:t>
            </w:r>
          </w:p>
        </w:tc>
        <w:tc>
          <w:tcPr>
            <w:tcW w:w="56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3"/>
                <w:szCs w:val="13"/>
              </w:rPr>
            </w:pPr>
          </w:p>
          <w:p>
            <w:pPr>
              <w:pStyle w:val="TableParagraph"/>
              <w:spacing w:line="240" w:lineRule="auto"/>
              <w:ind w:left="70"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3"/>
                <w:szCs w:val="13"/>
              </w:rPr>
            </w:pPr>
          </w:p>
          <w:p>
            <w:pPr>
              <w:pStyle w:val="TableParagraph"/>
              <w:spacing w:line="240" w:lineRule="auto"/>
              <w:ind w:left="112" w:right="0"/>
              <w:jc w:val="left"/>
              <w:rPr>
                <w:rFonts w:ascii="宋体" w:hAnsi="宋体" w:cs="宋体" w:eastAsia="宋体" w:hint="default"/>
                <w:sz w:val="15"/>
                <w:szCs w:val="15"/>
              </w:rPr>
            </w:pPr>
            <w:r>
              <w:rPr>
                <w:rFonts w:ascii="宋体" w:hAnsi="宋体" w:cs="宋体" w:eastAsia="宋体" w:hint="default"/>
                <w:sz w:val="15"/>
                <w:szCs w:val="15"/>
              </w:rPr>
              <w:t>上海</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20,000,000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3"/>
                <w:szCs w:val="13"/>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left="127" w:right="0"/>
              <w:jc w:val="center"/>
              <w:rPr>
                <w:rFonts w:ascii="Times New Roman" w:hAnsi="Times New Roman" w:cs="Times New Roman" w:eastAsia="Times New Roman" w:hint="default"/>
                <w:sz w:val="15"/>
                <w:szCs w:val="15"/>
              </w:rPr>
            </w:pPr>
            <w:r>
              <w:rPr>
                <w:rFonts w:ascii="Times New Roman"/>
                <w:sz w:val="15"/>
              </w:rPr>
              <w:t>20,000,000</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right="19"/>
              <w:jc w:val="center"/>
              <w:rPr>
                <w:rFonts w:ascii="Times New Roman" w:hAnsi="Times New Roman" w:cs="Times New Roman" w:eastAsia="Times New Roman" w:hint="default"/>
                <w:sz w:val="15"/>
                <w:szCs w:val="15"/>
              </w:rPr>
            </w:pPr>
            <w:r>
              <w:rPr>
                <w:rFonts w:ascii="Times New Roman"/>
                <w:sz w:val="15"/>
              </w:rPr>
              <w:t>100</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w:t>
            </w:r>
          </w:p>
        </w:tc>
        <w:tc>
          <w:tcPr>
            <w:tcW w:w="55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3"/>
                <w:szCs w:val="13"/>
              </w:rPr>
            </w:pPr>
          </w:p>
          <w:p>
            <w:pPr>
              <w:pStyle w:val="TableParagraph"/>
              <w:spacing w:line="240" w:lineRule="auto"/>
              <w:ind w:right="45"/>
              <w:jc w:val="center"/>
              <w:rPr>
                <w:rFonts w:ascii="宋体" w:hAnsi="宋体" w:cs="宋体" w:eastAsia="宋体" w:hint="default"/>
                <w:sz w:val="15"/>
                <w:szCs w:val="15"/>
              </w:rPr>
            </w:pPr>
            <w:r>
              <w:rPr>
                <w:rFonts w:ascii="宋体" w:hAnsi="宋体" w:cs="宋体" w:eastAsia="宋体" w:hint="default"/>
                <w:sz w:val="15"/>
                <w:szCs w:val="15"/>
              </w:rPr>
              <w:t>是</w:t>
            </w: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606" w:hRule="exact"/>
        </w:trPr>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广东东软软件有限公司</w:t>
            </w:r>
          </w:p>
        </w:tc>
        <w:tc>
          <w:tcPr>
            <w:tcW w:w="56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left="70"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left="112" w:right="0"/>
              <w:jc w:val="left"/>
              <w:rPr>
                <w:rFonts w:ascii="宋体" w:hAnsi="宋体" w:cs="宋体" w:eastAsia="宋体" w:hint="default"/>
                <w:sz w:val="15"/>
                <w:szCs w:val="15"/>
              </w:rPr>
            </w:pPr>
            <w:r>
              <w:rPr>
                <w:rFonts w:ascii="宋体" w:hAnsi="宋体" w:cs="宋体" w:eastAsia="宋体" w:hint="default"/>
                <w:sz w:val="15"/>
                <w:szCs w:val="15"/>
              </w:rPr>
              <w:t>广州</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20,000,000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27" w:right="0"/>
              <w:jc w:val="center"/>
              <w:rPr>
                <w:rFonts w:ascii="Times New Roman" w:hAnsi="Times New Roman" w:cs="Times New Roman" w:eastAsia="Times New Roman" w:hint="default"/>
                <w:sz w:val="15"/>
                <w:szCs w:val="15"/>
              </w:rPr>
            </w:pPr>
            <w:r>
              <w:rPr>
                <w:rFonts w:ascii="Times New Roman"/>
                <w:sz w:val="15"/>
              </w:rPr>
              <w:t>20,000,000</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19"/>
              <w:jc w:val="center"/>
              <w:rPr>
                <w:rFonts w:ascii="Times New Roman" w:hAnsi="Times New Roman" w:cs="Times New Roman" w:eastAsia="Times New Roman" w:hint="default"/>
                <w:sz w:val="15"/>
                <w:szCs w:val="15"/>
              </w:rPr>
            </w:pPr>
            <w:r>
              <w:rPr>
                <w:rFonts w:ascii="Times New Roman"/>
                <w:sz w:val="15"/>
              </w:rPr>
              <w:t>100</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w:t>
            </w:r>
          </w:p>
        </w:tc>
        <w:tc>
          <w:tcPr>
            <w:tcW w:w="55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45"/>
              <w:jc w:val="center"/>
              <w:rPr>
                <w:rFonts w:ascii="宋体" w:hAnsi="宋体" w:cs="宋体" w:eastAsia="宋体" w:hint="default"/>
                <w:sz w:val="15"/>
                <w:szCs w:val="15"/>
              </w:rPr>
            </w:pPr>
            <w:r>
              <w:rPr>
                <w:rFonts w:ascii="宋体" w:hAnsi="宋体" w:cs="宋体" w:eastAsia="宋体" w:hint="default"/>
                <w:sz w:val="15"/>
                <w:szCs w:val="15"/>
              </w:rPr>
              <w:t>是</w:t>
            </w: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619" w:hRule="exact"/>
        </w:trPr>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西安东软系统集成有限公司</w:t>
            </w:r>
          </w:p>
        </w:tc>
        <w:tc>
          <w:tcPr>
            <w:tcW w:w="56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left="70"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left="112" w:right="0"/>
              <w:jc w:val="left"/>
              <w:rPr>
                <w:rFonts w:ascii="宋体" w:hAnsi="宋体" w:cs="宋体" w:eastAsia="宋体" w:hint="default"/>
                <w:sz w:val="15"/>
                <w:szCs w:val="15"/>
              </w:rPr>
            </w:pPr>
            <w:r>
              <w:rPr>
                <w:rFonts w:ascii="宋体" w:hAnsi="宋体" w:cs="宋体" w:eastAsia="宋体" w:hint="default"/>
                <w:sz w:val="15"/>
                <w:szCs w:val="15"/>
              </w:rPr>
              <w:t>西安</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25,000,000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127" w:right="0"/>
              <w:jc w:val="center"/>
              <w:rPr>
                <w:rFonts w:ascii="Times New Roman" w:hAnsi="Times New Roman" w:cs="Times New Roman" w:eastAsia="Times New Roman" w:hint="default"/>
                <w:sz w:val="15"/>
                <w:szCs w:val="15"/>
              </w:rPr>
            </w:pPr>
            <w:r>
              <w:rPr>
                <w:rFonts w:ascii="Times New Roman"/>
                <w:sz w:val="15"/>
              </w:rPr>
              <w:t>22,502,469</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19"/>
              <w:jc w:val="center"/>
              <w:rPr>
                <w:rFonts w:ascii="Times New Roman" w:hAnsi="Times New Roman" w:cs="Times New Roman" w:eastAsia="Times New Roman" w:hint="default"/>
                <w:sz w:val="15"/>
                <w:szCs w:val="15"/>
              </w:rPr>
            </w:pPr>
            <w:r>
              <w:rPr>
                <w:rFonts w:ascii="Times New Roman"/>
                <w:sz w:val="15"/>
              </w:rPr>
              <w:t>100</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w:t>
            </w:r>
          </w:p>
        </w:tc>
        <w:tc>
          <w:tcPr>
            <w:tcW w:w="55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5"/>
                <w:szCs w:val="15"/>
              </w:rPr>
            </w:pPr>
          </w:p>
          <w:p>
            <w:pPr>
              <w:pStyle w:val="TableParagraph"/>
              <w:spacing w:line="240" w:lineRule="auto"/>
              <w:ind w:right="45"/>
              <w:jc w:val="center"/>
              <w:rPr>
                <w:rFonts w:ascii="宋体" w:hAnsi="宋体" w:cs="宋体" w:eastAsia="宋体" w:hint="default"/>
                <w:sz w:val="15"/>
                <w:szCs w:val="15"/>
              </w:rPr>
            </w:pPr>
            <w:r>
              <w:rPr>
                <w:rFonts w:ascii="宋体" w:hAnsi="宋体" w:cs="宋体" w:eastAsia="宋体" w:hint="default"/>
                <w:sz w:val="15"/>
                <w:szCs w:val="15"/>
              </w:rPr>
              <w:t>是</w:t>
            </w: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564" w:hRule="exact"/>
        </w:trPr>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武汉东软信息技术有限公司</w:t>
            </w:r>
          </w:p>
        </w:tc>
        <w:tc>
          <w:tcPr>
            <w:tcW w:w="56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70"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112" w:right="0"/>
              <w:jc w:val="left"/>
              <w:rPr>
                <w:rFonts w:ascii="宋体" w:hAnsi="宋体" w:cs="宋体" w:eastAsia="宋体" w:hint="default"/>
                <w:sz w:val="15"/>
                <w:szCs w:val="15"/>
              </w:rPr>
            </w:pPr>
            <w:r>
              <w:rPr>
                <w:rFonts w:ascii="宋体" w:hAnsi="宋体" w:cs="宋体" w:eastAsia="宋体" w:hint="default"/>
                <w:sz w:val="15"/>
                <w:szCs w:val="15"/>
              </w:rPr>
              <w:t>武汉</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15,000,000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left="127" w:right="0"/>
              <w:jc w:val="center"/>
              <w:rPr>
                <w:rFonts w:ascii="Times New Roman" w:hAnsi="Times New Roman" w:cs="Times New Roman" w:eastAsia="Times New Roman" w:hint="default"/>
                <w:sz w:val="15"/>
                <w:szCs w:val="15"/>
              </w:rPr>
            </w:pPr>
            <w:r>
              <w:rPr>
                <w:rFonts w:ascii="Times New Roman"/>
                <w:sz w:val="15"/>
              </w:rPr>
              <w:t>15,000,000</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19"/>
              <w:jc w:val="center"/>
              <w:rPr>
                <w:rFonts w:ascii="Times New Roman" w:hAnsi="Times New Roman" w:cs="Times New Roman" w:eastAsia="Times New Roman" w:hint="default"/>
                <w:sz w:val="15"/>
                <w:szCs w:val="15"/>
              </w:rPr>
            </w:pPr>
            <w:r>
              <w:rPr>
                <w:rFonts w:ascii="Times New Roman"/>
                <w:sz w:val="15"/>
              </w:rPr>
              <w:t>100</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w:t>
            </w:r>
          </w:p>
        </w:tc>
        <w:tc>
          <w:tcPr>
            <w:tcW w:w="55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45"/>
              <w:jc w:val="center"/>
              <w:rPr>
                <w:rFonts w:ascii="宋体" w:hAnsi="宋体" w:cs="宋体" w:eastAsia="宋体" w:hint="default"/>
                <w:sz w:val="15"/>
                <w:szCs w:val="15"/>
              </w:rPr>
            </w:pPr>
            <w:r>
              <w:rPr>
                <w:rFonts w:ascii="宋体" w:hAnsi="宋体" w:cs="宋体" w:eastAsia="宋体" w:hint="default"/>
                <w:sz w:val="15"/>
                <w:szCs w:val="15"/>
              </w:rPr>
              <w:t>是</w:t>
            </w: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340" w:hRule="exact"/>
        </w:trPr>
        <w:tc>
          <w:tcPr>
            <w:tcW w:w="2310" w:type="dxa"/>
            <w:tcBorders>
              <w:top w:val="nil" w:sz="6" w:space="0" w:color="auto"/>
              <w:left w:val="nil" w:sz="6" w:space="0" w:color="auto"/>
              <w:bottom w:val="nil" w:sz="6" w:space="0" w:color="auto"/>
              <w:right w:val="nil" w:sz="6" w:space="0" w:color="auto"/>
            </w:tcBorders>
          </w:tcPr>
          <w:p>
            <w:pPr/>
          </w:p>
        </w:tc>
        <w:tc>
          <w:tcPr>
            <w:tcW w:w="568"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107" w:right="0"/>
              <w:jc w:val="left"/>
              <w:rPr>
                <w:rFonts w:ascii="宋体" w:hAnsi="宋体" w:cs="宋体" w:eastAsia="宋体" w:hint="default"/>
                <w:sz w:val="15"/>
                <w:szCs w:val="15"/>
              </w:rPr>
            </w:pPr>
            <w:r>
              <w:rPr>
                <w:rFonts w:ascii="宋体" w:hAnsi="宋体" w:cs="宋体" w:eastAsia="宋体" w:hint="default"/>
                <w:sz w:val="15"/>
                <w:szCs w:val="15"/>
              </w:rPr>
              <w:t>经营计算机软硬件，及</w:t>
            </w:r>
          </w:p>
        </w:tc>
        <w:tc>
          <w:tcPr>
            <w:tcW w:w="1067"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505" w:hRule="exact"/>
        </w:trPr>
        <w:tc>
          <w:tcPr>
            <w:tcW w:w="2310" w:type="dxa"/>
            <w:tcBorders>
              <w:top w:val="nil" w:sz="6" w:space="0" w:color="auto"/>
              <w:left w:val="nil" w:sz="6" w:space="0" w:color="auto"/>
              <w:bottom w:val="nil" w:sz="6" w:space="0" w:color="auto"/>
              <w:right w:val="nil" w:sz="6" w:space="0" w:color="auto"/>
            </w:tcBorders>
          </w:tcPr>
          <w:p>
            <w:pPr>
              <w:pStyle w:val="TableParagraph"/>
              <w:spacing w:line="186" w:lineRule="exact"/>
              <w:ind w:left="122" w:right="0"/>
              <w:jc w:val="left"/>
              <w:rPr>
                <w:rFonts w:ascii="Times New Roman" w:hAnsi="Times New Roman" w:cs="Times New Roman" w:eastAsia="Times New Roman" w:hint="default"/>
                <w:sz w:val="15"/>
                <w:szCs w:val="15"/>
              </w:rPr>
            </w:pPr>
            <w:r>
              <w:rPr>
                <w:rFonts w:ascii="宋体" w:hAnsi="宋体" w:cs="宋体" w:eastAsia="宋体" w:hint="default"/>
                <w:spacing w:val="-3"/>
                <w:sz w:val="15"/>
                <w:szCs w:val="15"/>
              </w:rPr>
              <w:t>东软集团（北京）有限公司</w:t>
            </w:r>
            <w:r>
              <w:rPr>
                <w:rFonts w:ascii="Times New Roman" w:hAnsi="Times New Roman" w:cs="Times New Roman" w:eastAsia="Times New Roman" w:hint="default"/>
                <w:spacing w:val="-3"/>
                <w:sz w:val="15"/>
                <w:szCs w:val="15"/>
              </w:rPr>
              <w:t>(</w:t>
            </w:r>
            <w:r>
              <w:rPr>
                <w:rFonts w:ascii="宋体" w:hAnsi="宋体" w:cs="宋体" w:eastAsia="宋体" w:hint="default"/>
                <w:spacing w:val="-3"/>
                <w:sz w:val="15"/>
                <w:szCs w:val="15"/>
              </w:rPr>
              <w:t>注</w:t>
            </w:r>
            <w:r>
              <w:rPr>
                <w:rFonts w:ascii="宋体" w:hAnsi="宋体" w:cs="宋体" w:eastAsia="宋体" w:hint="default"/>
                <w:spacing w:val="-31"/>
                <w:sz w:val="15"/>
                <w:szCs w:val="15"/>
              </w:rPr>
              <w:t> </w:t>
            </w:r>
            <w:r>
              <w:rPr>
                <w:rFonts w:ascii="Times New Roman" w:hAnsi="Times New Roman" w:cs="Times New Roman" w:eastAsia="Times New Roman" w:hint="default"/>
                <w:sz w:val="15"/>
                <w:szCs w:val="15"/>
              </w:rPr>
              <w:t>1)</w:t>
            </w:r>
          </w:p>
        </w:tc>
        <w:tc>
          <w:tcPr>
            <w:tcW w:w="568" w:type="dxa"/>
            <w:tcBorders>
              <w:top w:val="nil" w:sz="6" w:space="0" w:color="auto"/>
              <w:left w:val="nil" w:sz="6" w:space="0" w:color="auto"/>
              <w:bottom w:val="nil" w:sz="6" w:space="0" w:color="auto"/>
              <w:right w:val="nil" w:sz="6" w:space="0" w:color="auto"/>
            </w:tcBorders>
          </w:tcPr>
          <w:p>
            <w:pPr>
              <w:pStyle w:val="TableParagraph"/>
              <w:spacing w:line="175" w:lineRule="exact"/>
              <w:ind w:left="70"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576" w:type="dxa"/>
            <w:tcBorders>
              <w:top w:val="nil" w:sz="6" w:space="0" w:color="auto"/>
              <w:left w:val="nil" w:sz="6" w:space="0" w:color="auto"/>
              <w:bottom w:val="nil" w:sz="6" w:space="0" w:color="auto"/>
              <w:right w:val="nil" w:sz="6" w:space="0" w:color="auto"/>
            </w:tcBorders>
          </w:tcPr>
          <w:p>
            <w:pPr>
              <w:pStyle w:val="TableParagraph"/>
              <w:spacing w:line="175" w:lineRule="exact"/>
              <w:ind w:left="112" w:right="0"/>
              <w:jc w:val="left"/>
              <w:rPr>
                <w:rFonts w:ascii="宋体" w:hAnsi="宋体" w:cs="宋体" w:eastAsia="宋体" w:hint="default"/>
                <w:sz w:val="15"/>
                <w:szCs w:val="15"/>
              </w:rPr>
            </w:pPr>
            <w:r>
              <w:rPr>
                <w:rFonts w:ascii="宋体" w:hAnsi="宋体" w:cs="宋体" w:eastAsia="宋体" w:hint="default"/>
                <w:sz w:val="15"/>
                <w:szCs w:val="15"/>
              </w:rPr>
              <w:t>北京</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5"/>
                <w:szCs w:val="15"/>
              </w:rPr>
            </w:pPr>
            <w:r>
              <w:rPr>
                <w:rFonts w:ascii="Times New Roman"/>
                <w:spacing w:val="-1"/>
                <w:sz w:val="15"/>
              </w:rPr>
              <w:t>250,000,000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相关货物、技术进出口</w:t>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2" w:right="0"/>
              <w:jc w:val="center"/>
              <w:rPr>
                <w:rFonts w:ascii="Times New Roman" w:hAnsi="Times New Roman" w:cs="Times New Roman" w:eastAsia="Times New Roman" w:hint="default"/>
                <w:sz w:val="15"/>
                <w:szCs w:val="15"/>
              </w:rPr>
            </w:pPr>
            <w:r>
              <w:rPr>
                <w:rFonts w:ascii="Times New Roman"/>
                <w:sz w:val="15"/>
              </w:rPr>
              <w:t>249,396,361</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9"/>
              <w:jc w:val="center"/>
              <w:rPr>
                <w:rFonts w:ascii="Times New Roman" w:hAnsi="Times New Roman" w:cs="Times New Roman" w:eastAsia="Times New Roman" w:hint="default"/>
                <w:sz w:val="15"/>
                <w:szCs w:val="15"/>
              </w:rPr>
            </w:pPr>
            <w:r>
              <w:rPr>
                <w:rFonts w:ascii="Times New Roman"/>
                <w:sz w:val="15"/>
              </w:rPr>
              <w:t>100</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
              <w:jc w:val="center"/>
              <w:rPr>
                <w:rFonts w:ascii="Times New Roman" w:hAnsi="Times New Roman" w:cs="Times New Roman" w:eastAsia="Times New Roman" w:hint="default"/>
                <w:sz w:val="15"/>
                <w:szCs w:val="15"/>
              </w:rPr>
            </w:pPr>
            <w:r>
              <w:rPr>
                <w:rFonts w:ascii="Times New Roman"/>
                <w:sz w:val="15"/>
              </w:rPr>
              <w:t>100</w:t>
            </w:r>
          </w:p>
        </w:tc>
        <w:tc>
          <w:tcPr>
            <w:tcW w:w="555" w:type="dxa"/>
            <w:tcBorders>
              <w:top w:val="nil" w:sz="6" w:space="0" w:color="auto"/>
              <w:left w:val="nil" w:sz="6" w:space="0" w:color="auto"/>
              <w:bottom w:val="nil" w:sz="6" w:space="0" w:color="auto"/>
              <w:right w:val="nil" w:sz="6" w:space="0" w:color="auto"/>
            </w:tcBorders>
          </w:tcPr>
          <w:p>
            <w:pPr>
              <w:pStyle w:val="TableParagraph"/>
              <w:spacing w:line="175" w:lineRule="exact"/>
              <w:ind w:right="45"/>
              <w:jc w:val="center"/>
              <w:rPr>
                <w:rFonts w:ascii="宋体" w:hAnsi="宋体" w:cs="宋体" w:eastAsia="宋体" w:hint="default"/>
                <w:sz w:val="15"/>
                <w:szCs w:val="15"/>
              </w:rPr>
            </w:pPr>
            <w:r>
              <w:rPr>
                <w:rFonts w:ascii="宋体" w:hAnsi="宋体" w:cs="宋体" w:eastAsia="宋体" w:hint="default"/>
                <w:sz w:val="15"/>
                <w:szCs w:val="15"/>
              </w:rPr>
              <w:t>是</w:t>
            </w: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305" w:hRule="exact"/>
        </w:trPr>
        <w:tc>
          <w:tcPr>
            <w:tcW w:w="2310" w:type="dxa"/>
            <w:tcBorders>
              <w:top w:val="nil" w:sz="6" w:space="0" w:color="auto"/>
              <w:left w:val="nil" w:sz="6" w:space="0" w:color="auto"/>
              <w:bottom w:val="nil" w:sz="6" w:space="0" w:color="auto"/>
              <w:right w:val="nil" w:sz="6" w:space="0" w:color="auto"/>
            </w:tcBorders>
          </w:tcPr>
          <w:p>
            <w:pPr/>
          </w:p>
        </w:tc>
        <w:tc>
          <w:tcPr>
            <w:tcW w:w="568"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07" w:right="0"/>
              <w:jc w:val="left"/>
              <w:rPr>
                <w:rFonts w:ascii="宋体" w:hAnsi="宋体" w:cs="宋体" w:eastAsia="宋体" w:hint="default"/>
                <w:sz w:val="15"/>
                <w:szCs w:val="15"/>
              </w:rPr>
            </w:pPr>
            <w:r>
              <w:rPr>
                <w:rFonts w:ascii="宋体" w:hAnsi="宋体" w:cs="宋体" w:eastAsia="宋体" w:hint="default"/>
                <w:sz w:val="15"/>
                <w:szCs w:val="15"/>
              </w:rPr>
              <w:t>经营计算机软硬件、技</w:t>
            </w:r>
          </w:p>
        </w:tc>
        <w:tc>
          <w:tcPr>
            <w:tcW w:w="1067"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505" w:hRule="exact"/>
        </w:trPr>
        <w:tc>
          <w:tcPr>
            <w:tcW w:w="2310" w:type="dxa"/>
            <w:tcBorders>
              <w:top w:val="nil" w:sz="6" w:space="0" w:color="auto"/>
              <w:left w:val="nil" w:sz="6" w:space="0" w:color="auto"/>
              <w:bottom w:val="nil" w:sz="6" w:space="0" w:color="auto"/>
              <w:right w:val="nil" w:sz="6" w:space="0" w:color="auto"/>
            </w:tcBorders>
          </w:tcPr>
          <w:p>
            <w:pPr>
              <w:pStyle w:val="TableParagraph"/>
              <w:spacing w:line="175" w:lineRule="exact"/>
              <w:ind w:left="122" w:right="0"/>
              <w:jc w:val="left"/>
              <w:rPr>
                <w:rFonts w:ascii="宋体" w:hAnsi="宋体" w:cs="宋体" w:eastAsia="宋体" w:hint="default"/>
                <w:sz w:val="15"/>
                <w:szCs w:val="15"/>
              </w:rPr>
            </w:pPr>
            <w:r>
              <w:rPr>
                <w:rFonts w:ascii="宋体" w:hAnsi="宋体" w:cs="宋体" w:eastAsia="宋体" w:hint="default"/>
                <w:sz w:val="15"/>
                <w:szCs w:val="15"/>
              </w:rPr>
              <w:t>沈阳东软系统集成技术有限公司</w:t>
            </w:r>
          </w:p>
        </w:tc>
        <w:tc>
          <w:tcPr>
            <w:tcW w:w="568" w:type="dxa"/>
            <w:tcBorders>
              <w:top w:val="nil" w:sz="6" w:space="0" w:color="auto"/>
              <w:left w:val="nil" w:sz="6" w:space="0" w:color="auto"/>
              <w:bottom w:val="nil" w:sz="6" w:space="0" w:color="auto"/>
              <w:right w:val="nil" w:sz="6" w:space="0" w:color="auto"/>
            </w:tcBorders>
          </w:tcPr>
          <w:p>
            <w:pPr>
              <w:pStyle w:val="TableParagraph"/>
              <w:spacing w:line="175" w:lineRule="exact"/>
              <w:ind w:left="70"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576" w:type="dxa"/>
            <w:tcBorders>
              <w:top w:val="nil" w:sz="6" w:space="0" w:color="auto"/>
              <w:left w:val="nil" w:sz="6" w:space="0" w:color="auto"/>
              <w:bottom w:val="nil" w:sz="6" w:space="0" w:color="auto"/>
              <w:right w:val="nil" w:sz="6" w:space="0" w:color="auto"/>
            </w:tcBorders>
          </w:tcPr>
          <w:p>
            <w:pPr>
              <w:pStyle w:val="TableParagraph"/>
              <w:spacing w:line="175" w:lineRule="exact"/>
              <w:ind w:left="112" w:right="0"/>
              <w:jc w:val="left"/>
              <w:rPr>
                <w:rFonts w:ascii="宋体" w:hAnsi="宋体" w:cs="宋体" w:eastAsia="宋体" w:hint="default"/>
                <w:sz w:val="15"/>
                <w:szCs w:val="15"/>
              </w:rPr>
            </w:pPr>
            <w:r>
              <w:rPr>
                <w:rFonts w:ascii="宋体" w:hAnsi="宋体" w:cs="宋体" w:eastAsia="宋体" w:hint="default"/>
                <w:sz w:val="15"/>
                <w:szCs w:val="15"/>
              </w:rPr>
              <w:t>沈阳</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5"/>
                <w:szCs w:val="15"/>
              </w:rPr>
            </w:pPr>
            <w:r>
              <w:rPr>
                <w:rFonts w:ascii="Times New Roman"/>
                <w:spacing w:val="-1"/>
                <w:sz w:val="15"/>
              </w:rPr>
              <w:t>20,000,000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术咨询、服务</w:t>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7" w:right="0"/>
              <w:jc w:val="center"/>
              <w:rPr>
                <w:rFonts w:ascii="Times New Roman" w:hAnsi="Times New Roman" w:cs="Times New Roman" w:eastAsia="Times New Roman" w:hint="default"/>
                <w:sz w:val="15"/>
                <w:szCs w:val="15"/>
              </w:rPr>
            </w:pPr>
            <w:r>
              <w:rPr>
                <w:rFonts w:ascii="Times New Roman"/>
                <w:sz w:val="15"/>
              </w:rPr>
              <w:t>20,000,000</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9"/>
              <w:jc w:val="center"/>
              <w:rPr>
                <w:rFonts w:ascii="Times New Roman" w:hAnsi="Times New Roman" w:cs="Times New Roman" w:eastAsia="Times New Roman" w:hint="default"/>
                <w:sz w:val="15"/>
                <w:szCs w:val="15"/>
              </w:rPr>
            </w:pPr>
            <w:r>
              <w:rPr>
                <w:rFonts w:ascii="Times New Roman"/>
                <w:sz w:val="15"/>
              </w:rPr>
              <w:t>100</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
              <w:jc w:val="center"/>
              <w:rPr>
                <w:rFonts w:ascii="Times New Roman" w:hAnsi="Times New Roman" w:cs="Times New Roman" w:eastAsia="Times New Roman" w:hint="default"/>
                <w:sz w:val="15"/>
                <w:szCs w:val="15"/>
              </w:rPr>
            </w:pPr>
            <w:r>
              <w:rPr>
                <w:rFonts w:ascii="Times New Roman"/>
                <w:sz w:val="15"/>
              </w:rPr>
              <w:t>100</w:t>
            </w:r>
          </w:p>
        </w:tc>
        <w:tc>
          <w:tcPr>
            <w:tcW w:w="555" w:type="dxa"/>
            <w:tcBorders>
              <w:top w:val="nil" w:sz="6" w:space="0" w:color="auto"/>
              <w:left w:val="nil" w:sz="6" w:space="0" w:color="auto"/>
              <w:bottom w:val="nil" w:sz="6" w:space="0" w:color="auto"/>
              <w:right w:val="nil" w:sz="6" w:space="0" w:color="auto"/>
            </w:tcBorders>
          </w:tcPr>
          <w:p>
            <w:pPr>
              <w:pStyle w:val="TableParagraph"/>
              <w:spacing w:line="175" w:lineRule="exact"/>
              <w:ind w:right="45"/>
              <w:jc w:val="center"/>
              <w:rPr>
                <w:rFonts w:ascii="宋体" w:hAnsi="宋体" w:cs="宋体" w:eastAsia="宋体" w:hint="default"/>
                <w:sz w:val="15"/>
                <w:szCs w:val="15"/>
              </w:rPr>
            </w:pPr>
            <w:r>
              <w:rPr>
                <w:rFonts w:ascii="宋体" w:hAnsi="宋体" w:cs="宋体" w:eastAsia="宋体" w:hint="default"/>
                <w:sz w:val="15"/>
                <w:szCs w:val="15"/>
              </w:rPr>
              <w:t>是</w:t>
            </w: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305" w:hRule="exact"/>
        </w:trPr>
        <w:tc>
          <w:tcPr>
            <w:tcW w:w="2310" w:type="dxa"/>
            <w:tcBorders>
              <w:top w:val="nil" w:sz="6" w:space="0" w:color="auto"/>
              <w:left w:val="nil" w:sz="6" w:space="0" w:color="auto"/>
              <w:bottom w:val="nil" w:sz="6" w:space="0" w:color="auto"/>
              <w:right w:val="nil" w:sz="6" w:space="0" w:color="auto"/>
            </w:tcBorders>
          </w:tcPr>
          <w:p>
            <w:pPr/>
          </w:p>
        </w:tc>
        <w:tc>
          <w:tcPr>
            <w:tcW w:w="568"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07" w:right="0"/>
              <w:jc w:val="left"/>
              <w:rPr>
                <w:rFonts w:ascii="宋体" w:hAnsi="宋体" w:cs="宋体" w:eastAsia="宋体" w:hint="default"/>
                <w:sz w:val="15"/>
                <w:szCs w:val="15"/>
              </w:rPr>
            </w:pPr>
            <w:r>
              <w:rPr>
                <w:rFonts w:ascii="宋体" w:hAnsi="宋体" w:cs="宋体" w:eastAsia="宋体" w:hint="default"/>
                <w:sz w:val="15"/>
                <w:szCs w:val="15"/>
              </w:rPr>
              <w:t>经营计算机软硬件、技</w:t>
            </w:r>
          </w:p>
        </w:tc>
        <w:tc>
          <w:tcPr>
            <w:tcW w:w="1067"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505" w:hRule="exact"/>
        </w:trPr>
        <w:tc>
          <w:tcPr>
            <w:tcW w:w="2310" w:type="dxa"/>
            <w:tcBorders>
              <w:top w:val="nil" w:sz="6" w:space="0" w:color="auto"/>
              <w:left w:val="nil" w:sz="6" w:space="0" w:color="auto"/>
              <w:bottom w:val="nil" w:sz="6" w:space="0" w:color="auto"/>
              <w:right w:val="nil" w:sz="6" w:space="0" w:color="auto"/>
            </w:tcBorders>
          </w:tcPr>
          <w:p>
            <w:pPr>
              <w:pStyle w:val="TableParagraph"/>
              <w:spacing w:line="175" w:lineRule="exact"/>
              <w:ind w:left="122" w:right="0"/>
              <w:jc w:val="left"/>
              <w:rPr>
                <w:rFonts w:ascii="宋体" w:hAnsi="宋体" w:cs="宋体" w:eastAsia="宋体" w:hint="default"/>
                <w:sz w:val="15"/>
                <w:szCs w:val="15"/>
              </w:rPr>
            </w:pPr>
            <w:r>
              <w:rPr>
                <w:rFonts w:ascii="宋体" w:hAnsi="宋体" w:cs="宋体" w:eastAsia="宋体" w:hint="default"/>
                <w:sz w:val="15"/>
                <w:szCs w:val="15"/>
              </w:rPr>
              <w:t>东软集团（广州）有限公司</w:t>
            </w:r>
          </w:p>
        </w:tc>
        <w:tc>
          <w:tcPr>
            <w:tcW w:w="568" w:type="dxa"/>
            <w:tcBorders>
              <w:top w:val="nil" w:sz="6" w:space="0" w:color="auto"/>
              <w:left w:val="nil" w:sz="6" w:space="0" w:color="auto"/>
              <w:bottom w:val="nil" w:sz="6" w:space="0" w:color="auto"/>
              <w:right w:val="nil" w:sz="6" w:space="0" w:color="auto"/>
            </w:tcBorders>
          </w:tcPr>
          <w:p>
            <w:pPr>
              <w:pStyle w:val="TableParagraph"/>
              <w:spacing w:line="175" w:lineRule="exact"/>
              <w:ind w:left="70"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576" w:type="dxa"/>
            <w:tcBorders>
              <w:top w:val="nil" w:sz="6" w:space="0" w:color="auto"/>
              <w:left w:val="nil" w:sz="6" w:space="0" w:color="auto"/>
              <w:bottom w:val="nil" w:sz="6" w:space="0" w:color="auto"/>
              <w:right w:val="nil" w:sz="6" w:space="0" w:color="auto"/>
            </w:tcBorders>
          </w:tcPr>
          <w:p>
            <w:pPr>
              <w:pStyle w:val="TableParagraph"/>
              <w:spacing w:line="175" w:lineRule="exact"/>
              <w:ind w:left="112" w:right="0"/>
              <w:jc w:val="left"/>
              <w:rPr>
                <w:rFonts w:ascii="宋体" w:hAnsi="宋体" w:cs="宋体" w:eastAsia="宋体" w:hint="default"/>
                <w:sz w:val="15"/>
                <w:szCs w:val="15"/>
              </w:rPr>
            </w:pPr>
            <w:r>
              <w:rPr>
                <w:rFonts w:ascii="宋体" w:hAnsi="宋体" w:cs="宋体" w:eastAsia="宋体" w:hint="default"/>
                <w:sz w:val="15"/>
                <w:szCs w:val="15"/>
              </w:rPr>
              <w:t>广州</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5"/>
                <w:szCs w:val="15"/>
              </w:rPr>
            </w:pPr>
            <w:r>
              <w:rPr>
                <w:rFonts w:ascii="Times New Roman"/>
                <w:spacing w:val="-1"/>
                <w:sz w:val="15"/>
              </w:rPr>
              <w:t>100,000,000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术咨询、服务</w:t>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2" w:right="0"/>
              <w:jc w:val="center"/>
              <w:rPr>
                <w:rFonts w:ascii="Times New Roman" w:hAnsi="Times New Roman" w:cs="Times New Roman" w:eastAsia="Times New Roman" w:hint="default"/>
                <w:sz w:val="15"/>
                <w:szCs w:val="15"/>
              </w:rPr>
            </w:pPr>
            <w:r>
              <w:rPr>
                <w:rFonts w:ascii="Times New Roman"/>
                <w:sz w:val="15"/>
              </w:rPr>
              <w:t>100,000,000</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9"/>
              <w:jc w:val="center"/>
              <w:rPr>
                <w:rFonts w:ascii="Times New Roman" w:hAnsi="Times New Roman" w:cs="Times New Roman" w:eastAsia="Times New Roman" w:hint="default"/>
                <w:sz w:val="15"/>
                <w:szCs w:val="15"/>
              </w:rPr>
            </w:pPr>
            <w:r>
              <w:rPr>
                <w:rFonts w:ascii="Times New Roman"/>
                <w:sz w:val="15"/>
              </w:rPr>
              <w:t>100</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
              <w:jc w:val="center"/>
              <w:rPr>
                <w:rFonts w:ascii="Times New Roman" w:hAnsi="Times New Roman" w:cs="Times New Roman" w:eastAsia="Times New Roman" w:hint="default"/>
                <w:sz w:val="15"/>
                <w:szCs w:val="15"/>
              </w:rPr>
            </w:pPr>
            <w:r>
              <w:rPr>
                <w:rFonts w:ascii="Times New Roman"/>
                <w:sz w:val="15"/>
              </w:rPr>
              <w:t>100</w:t>
            </w:r>
          </w:p>
        </w:tc>
        <w:tc>
          <w:tcPr>
            <w:tcW w:w="555" w:type="dxa"/>
            <w:tcBorders>
              <w:top w:val="nil" w:sz="6" w:space="0" w:color="auto"/>
              <w:left w:val="nil" w:sz="6" w:space="0" w:color="auto"/>
              <w:bottom w:val="nil" w:sz="6" w:space="0" w:color="auto"/>
              <w:right w:val="nil" w:sz="6" w:space="0" w:color="auto"/>
            </w:tcBorders>
          </w:tcPr>
          <w:p>
            <w:pPr>
              <w:pStyle w:val="TableParagraph"/>
              <w:spacing w:line="175" w:lineRule="exact"/>
              <w:ind w:right="45"/>
              <w:jc w:val="center"/>
              <w:rPr>
                <w:rFonts w:ascii="宋体" w:hAnsi="宋体" w:cs="宋体" w:eastAsia="宋体" w:hint="default"/>
                <w:sz w:val="15"/>
                <w:szCs w:val="15"/>
              </w:rPr>
            </w:pPr>
            <w:r>
              <w:rPr>
                <w:rFonts w:ascii="宋体" w:hAnsi="宋体" w:cs="宋体" w:eastAsia="宋体" w:hint="default"/>
                <w:sz w:val="15"/>
                <w:szCs w:val="15"/>
              </w:rPr>
              <w:t>是</w:t>
            </w: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305" w:hRule="exact"/>
        </w:trPr>
        <w:tc>
          <w:tcPr>
            <w:tcW w:w="2310" w:type="dxa"/>
            <w:tcBorders>
              <w:top w:val="nil" w:sz="6" w:space="0" w:color="auto"/>
              <w:left w:val="nil" w:sz="6" w:space="0" w:color="auto"/>
              <w:bottom w:val="nil" w:sz="6" w:space="0" w:color="auto"/>
              <w:right w:val="nil" w:sz="6" w:space="0" w:color="auto"/>
            </w:tcBorders>
          </w:tcPr>
          <w:p>
            <w:pPr/>
          </w:p>
        </w:tc>
        <w:tc>
          <w:tcPr>
            <w:tcW w:w="568"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07" w:right="0"/>
              <w:jc w:val="left"/>
              <w:rPr>
                <w:rFonts w:ascii="宋体" w:hAnsi="宋体" w:cs="宋体" w:eastAsia="宋体" w:hint="default"/>
                <w:sz w:val="15"/>
                <w:szCs w:val="15"/>
              </w:rPr>
            </w:pPr>
            <w:r>
              <w:rPr>
                <w:rFonts w:ascii="宋体" w:hAnsi="宋体" w:cs="宋体" w:eastAsia="宋体" w:hint="default"/>
                <w:sz w:val="15"/>
                <w:szCs w:val="15"/>
              </w:rPr>
              <w:t>经营计算机软硬件、技</w:t>
            </w:r>
          </w:p>
        </w:tc>
        <w:tc>
          <w:tcPr>
            <w:tcW w:w="1067"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413" w:hRule="exact"/>
        </w:trPr>
        <w:tc>
          <w:tcPr>
            <w:tcW w:w="2310" w:type="dxa"/>
            <w:tcBorders>
              <w:top w:val="nil" w:sz="6" w:space="0" w:color="auto"/>
              <w:left w:val="nil" w:sz="6" w:space="0" w:color="auto"/>
              <w:bottom w:val="single" w:sz="12" w:space="0" w:color="000000"/>
              <w:right w:val="nil" w:sz="6" w:space="0" w:color="auto"/>
            </w:tcBorders>
          </w:tcPr>
          <w:p>
            <w:pPr>
              <w:pStyle w:val="TableParagraph"/>
              <w:spacing w:line="175" w:lineRule="exact"/>
              <w:ind w:left="122" w:right="0"/>
              <w:jc w:val="left"/>
              <w:rPr>
                <w:rFonts w:ascii="宋体" w:hAnsi="宋体" w:cs="宋体" w:eastAsia="宋体" w:hint="default"/>
                <w:sz w:val="15"/>
                <w:szCs w:val="15"/>
              </w:rPr>
            </w:pPr>
            <w:r>
              <w:rPr>
                <w:rFonts w:ascii="宋体" w:hAnsi="宋体" w:cs="宋体" w:eastAsia="宋体" w:hint="default"/>
                <w:sz w:val="15"/>
                <w:szCs w:val="15"/>
              </w:rPr>
              <w:t>东软集团（上海）有限公司</w:t>
            </w:r>
          </w:p>
        </w:tc>
        <w:tc>
          <w:tcPr>
            <w:tcW w:w="568" w:type="dxa"/>
            <w:tcBorders>
              <w:top w:val="nil" w:sz="6" w:space="0" w:color="auto"/>
              <w:left w:val="nil" w:sz="6" w:space="0" w:color="auto"/>
              <w:bottom w:val="single" w:sz="12" w:space="0" w:color="000000"/>
              <w:right w:val="nil" w:sz="6" w:space="0" w:color="auto"/>
            </w:tcBorders>
          </w:tcPr>
          <w:p>
            <w:pPr>
              <w:pStyle w:val="TableParagraph"/>
              <w:spacing w:line="175" w:lineRule="exact"/>
              <w:ind w:left="70"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576" w:type="dxa"/>
            <w:tcBorders>
              <w:top w:val="nil" w:sz="6" w:space="0" w:color="auto"/>
              <w:left w:val="nil" w:sz="6" w:space="0" w:color="auto"/>
              <w:bottom w:val="single" w:sz="12" w:space="0" w:color="000000"/>
              <w:right w:val="nil" w:sz="6" w:space="0" w:color="auto"/>
            </w:tcBorders>
          </w:tcPr>
          <w:p>
            <w:pPr>
              <w:pStyle w:val="TableParagraph"/>
              <w:spacing w:line="175" w:lineRule="exact"/>
              <w:ind w:left="112" w:right="0"/>
              <w:jc w:val="left"/>
              <w:rPr>
                <w:rFonts w:ascii="宋体" w:hAnsi="宋体" w:cs="宋体" w:eastAsia="宋体" w:hint="default"/>
                <w:sz w:val="15"/>
                <w:szCs w:val="15"/>
              </w:rPr>
            </w:pPr>
            <w:r>
              <w:rPr>
                <w:rFonts w:ascii="宋体" w:hAnsi="宋体" w:cs="宋体" w:eastAsia="宋体" w:hint="default"/>
                <w:sz w:val="15"/>
                <w:szCs w:val="15"/>
              </w:rPr>
              <w:t>上海</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1047"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5"/>
                <w:szCs w:val="15"/>
              </w:rPr>
            </w:pPr>
            <w:r>
              <w:rPr>
                <w:rFonts w:ascii="Times New Roman"/>
                <w:spacing w:val="-1"/>
                <w:sz w:val="15"/>
              </w:rPr>
              <w:t>100,000,000</w:t>
            </w:r>
          </w:p>
        </w:tc>
        <w:tc>
          <w:tcPr>
            <w:tcW w:w="1721"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术咨询、服务</w:t>
            </w:r>
          </w:p>
        </w:tc>
        <w:tc>
          <w:tcPr>
            <w:tcW w:w="1067"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52" w:right="0"/>
              <w:jc w:val="center"/>
              <w:rPr>
                <w:rFonts w:ascii="Times New Roman" w:hAnsi="Times New Roman" w:cs="Times New Roman" w:eastAsia="Times New Roman" w:hint="default"/>
                <w:sz w:val="15"/>
                <w:szCs w:val="15"/>
              </w:rPr>
            </w:pPr>
            <w:r>
              <w:rPr>
                <w:rFonts w:ascii="Times New Roman"/>
                <w:sz w:val="15"/>
              </w:rPr>
              <w:t>100,000,000</w:t>
            </w:r>
          </w:p>
        </w:tc>
        <w:tc>
          <w:tcPr>
            <w:tcW w:w="737" w:type="dxa"/>
            <w:tcBorders>
              <w:top w:val="nil" w:sz="6" w:space="0" w:color="auto"/>
              <w:left w:val="nil" w:sz="6" w:space="0" w:color="auto"/>
              <w:bottom w:val="single" w:sz="12" w:space="0" w:color="000000"/>
              <w:right w:val="nil" w:sz="6" w:space="0" w:color="auto"/>
            </w:tcBorders>
          </w:tcPr>
          <w:p>
            <w:pPr/>
          </w:p>
        </w:tc>
        <w:tc>
          <w:tcPr>
            <w:tcW w:w="458"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right="19"/>
              <w:jc w:val="center"/>
              <w:rPr>
                <w:rFonts w:ascii="Times New Roman" w:hAnsi="Times New Roman" w:cs="Times New Roman" w:eastAsia="Times New Roman" w:hint="default"/>
                <w:sz w:val="15"/>
                <w:szCs w:val="15"/>
              </w:rPr>
            </w:pPr>
            <w:r>
              <w:rPr>
                <w:rFonts w:ascii="Times New Roman"/>
                <w:sz w:val="15"/>
              </w:rPr>
              <w:t>100</w:t>
            </w:r>
          </w:p>
        </w:tc>
        <w:tc>
          <w:tcPr>
            <w:tcW w:w="719"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right="1"/>
              <w:jc w:val="center"/>
              <w:rPr>
                <w:rFonts w:ascii="Times New Roman" w:hAnsi="Times New Roman" w:cs="Times New Roman" w:eastAsia="Times New Roman" w:hint="default"/>
                <w:sz w:val="15"/>
                <w:szCs w:val="15"/>
              </w:rPr>
            </w:pPr>
            <w:r>
              <w:rPr>
                <w:rFonts w:ascii="Times New Roman"/>
                <w:sz w:val="15"/>
              </w:rPr>
              <w:t>100</w:t>
            </w:r>
          </w:p>
        </w:tc>
        <w:tc>
          <w:tcPr>
            <w:tcW w:w="555" w:type="dxa"/>
            <w:tcBorders>
              <w:top w:val="nil" w:sz="6" w:space="0" w:color="auto"/>
              <w:left w:val="nil" w:sz="6" w:space="0" w:color="auto"/>
              <w:bottom w:val="single" w:sz="12" w:space="0" w:color="000000"/>
              <w:right w:val="nil" w:sz="6" w:space="0" w:color="auto"/>
            </w:tcBorders>
          </w:tcPr>
          <w:p>
            <w:pPr>
              <w:pStyle w:val="TableParagraph"/>
              <w:spacing w:line="175" w:lineRule="exact"/>
              <w:ind w:right="45"/>
              <w:jc w:val="center"/>
              <w:rPr>
                <w:rFonts w:ascii="宋体" w:hAnsi="宋体" w:cs="宋体" w:eastAsia="宋体" w:hint="default"/>
                <w:sz w:val="15"/>
                <w:szCs w:val="15"/>
              </w:rPr>
            </w:pPr>
            <w:r>
              <w:rPr>
                <w:rFonts w:ascii="宋体" w:hAnsi="宋体" w:cs="宋体" w:eastAsia="宋体" w:hint="default"/>
                <w:sz w:val="15"/>
                <w:szCs w:val="15"/>
              </w:rPr>
              <w:t>是</w:t>
            </w:r>
          </w:p>
        </w:tc>
        <w:tc>
          <w:tcPr>
            <w:tcW w:w="877" w:type="dxa"/>
            <w:tcBorders>
              <w:top w:val="nil" w:sz="6" w:space="0" w:color="auto"/>
              <w:left w:val="nil" w:sz="6" w:space="0" w:color="auto"/>
              <w:bottom w:val="single" w:sz="12" w:space="0" w:color="000000"/>
              <w:right w:val="nil" w:sz="6" w:space="0" w:color="auto"/>
            </w:tcBorders>
          </w:tcPr>
          <w:p>
            <w:pPr/>
          </w:p>
        </w:tc>
        <w:tc>
          <w:tcPr>
            <w:tcW w:w="740" w:type="dxa"/>
            <w:tcBorders>
              <w:top w:val="nil" w:sz="6" w:space="0" w:color="auto"/>
              <w:left w:val="nil" w:sz="6" w:space="0" w:color="auto"/>
              <w:bottom w:val="single" w:sz="12" w:space="0" w:color="000000"/>
              <w:right w:val="nil" w:sz="6" w:space="0" w:color="auto"/>
            </w:tcBorders>
          </w:tcPr>
          <w:p>
            <w:pPr/>
          </w:p>
        </w:tc>
        <w:tc>
          <w:tcPr>
            <w:tcW w:w="1639" w:type="dxa"/>
            <w:tcBorders>
              <w:top w:val="nil" w:sz="6" w:space="0" w:color="auto"/>
              <w:left w:val="nil" w:sz="6" w:space="0" w:color="auto"/>
              <w:bottom w:val="single" w:sz="12" w:space="0" w:color="000000"/>
              <w:right w:val="nil" w:sz="6" w:space="0" w:color="auto"/>
            </w:tcBorders>
          </w:tcPr>
          <w:p>
            <w:pPr/>
          </w:p>
        </w:tc>
      </w:tr>
    </w:tbl>
    <w:p>
      <w:pPr>
        <w:spacing w:after="0"/>
        <w:sectPr>
          <w:pgSz w:w="16840" w:h="11910" w:orient="landscape"/>
          <w:pgMar w:header="883" w:footer="999" w:top="1600" w:bottom="1180" w:left="1300" w:right="660"/>
        </w:sectPr>
      </w:pPr>
    </w:p>
    <w:p>
      <w:pPr>
        <w:spacing w:line="240" w:lineRule="auto" w:before="0"/>
        <w:rPr>
          <w:rFonts w:ascii="Times New Roman" w:hAnsi="Times New Roman" w:cs="Times New Roman" w:eastAsia="Times New Roman" w:hint="default"/>
          <w:sz w:val="20"/>
          <w:szCs w:val="20"/>
        </w:rPr>
      </w:pPr>
      <w:r>
        <w:rPr/>
        <w:pict>
          <v:group style="position:absolute;margin-left:101.511002pt;margin-top:93.419998pt;width:701.95pt;height:404.95pt;mso-position-horizontal-relative:page;mso-position-vertical-relative:page;z-index:-1130800" coordorigin="2030,1868" coordsize="14039,8099">
            <v:group style="position:absolute;left:2049;top:1883;width:14001;height:2" coordorigin="2049,1883" coordsize="14001,2">
              <v:shape style="position:absolute;left:2049;top:1883;width:14001;height:2" coordorigin="2049,1883" coordsize="14001,0" path="m2049,1883l16050,1883e" filled="false" stroked="true" strokeweight="1.5pt" strokecolor="#000000">
                <v:path arrowok="t"/>
              </v:shape>
              <v:shape style="position:absolute;left:4274;top:1870;width:10144;height:2458" type="#_x0000_t75" stroked="false">
                <v:imagedata r:id="rId56" o:title=""/>
              </v:shape>
              <v:shape style="position:absolute;left:2030;top:4279;width:14039;height:5687" type="#_x0000_t75" stroked="false">
                <v:imagedata r:id="rId67" o:title=""/>
              </v:shape>
              <v:shape style="position:absolute;left:4893;top:9127;width:49;height:840" type="#_x0000_t75" stroked="false">
                <v:imagedata r:id="rId68" o:title=""/>
              </v:shape>
              <v:shape style="position:absolute;left:5394;top:9127;width:49;height:840" type="#_x0000_t75" stroked="false">
                <v:imagedata r:id="rId68" o:title=""/>
              </v:shape>
              <v:shape style="position:absolute;left:6333;top:9127;width:49;height:840" type="#_x0000_t75" stroked="false">
                <v:imagedata r:id="rId69" o:title=""/>
              </v:shape>
              <v:shape style="position:absolute;left:7511;top:9127;width:49;height:840" type="#_x0000_t75" stroked="false">
                <v:imagedata r:id="rId68" o:title=""/>
              </v:shape>
              <v:shape style="position:absolute;left:9284;top:9127;width:49;height:840" type="#_x0000_t75" stroked="false">
                <v:imagedata r:id="rId70" o:title=""/>
              </v:shape>
              <v:shape style="position:absolute;left:10266;top:9118;width:67;height:845" type="#_x0000_t75" stroked="false">
                <v:imagedata r:id="rId61" o:title=""/>
              </v:shape>
              <v:shape style="position:absolute;left:11000;top:9127;width:49;height:840" type="#_x0000_t75" stroked="false">
                <v:imagedata r:id="rId70" o:title=""/>
              </v:shape>
              <v:shape style="position:absolute;left:11510;top:9127;width:49;height:840" type="#_x0000_t75" stroked="false">
                <v:imagedata r:id="rId70" o:title=""/>
              </v:shape>
              <v:shape style="position:absolute;left:12195;top:9127;width:49;height:840" type="#_x0000_t75" stroked="false">
                <v:imagedata r:id="rId70" o:title=""/>
              </v:shape>
              <v:shape style="position:absolute;left:12741;top:9127;width:49;height:840" type="#_x0000_t75" stroked="false">
                <v:imagedata r:id="rId68" o:title=""/>
              </v:shape>
              <v:shape style="position:absolute;left:13635;top:9127;width:49;height:840" type="#_x0000_t75" stroked="false">
                <v:imagedata r:id="rId70" o:title=""/>
              </v:shape>
              <v:shape style="position:absolute;left:14360;top:9127;width:49;height:840" type="#_x0000_t75" stroked="false">
                <v:imagedata r:id="rId70" o:title=""/>
              </v:shape>
            </v:group>
            <w10:wrap type="none"/>
          </v:group>
        </w:pict>
      </w:r>
    </w:p>
    <w:p>
      <w:pPr>
        <w:spacing w:line="240" w:lineRule="auto" w:before="10"/>
        <w:rPr>
          <w:rFonts w:ascii="Times New Roman" w:hAnsi="Times New Roman" w:cs="Times New Roman" w:eastAsia="Times New Roman" w:hint="default"/>
          <w:sz w:val="16"/>
          <w:szCs w:val="16"/>
        </w:rPr>
      </w:pPr>
    </w:p>
    <w:tbl>
      <w:tblPr>
        <w:tblW w:w="0" w:type="auto"/>
        <w:jc w:val="left"/>
        <w:tblInd w:w="735" w:type="dxa"/>
        <w:tblLayout w:type="fixed"/>
        <w:tblCellMar>
          <w:top w:w="0" w:type="dxa"/>
          <w:left w:w="0" w:type="dxa"/>
          <w:bottom w:w="0" w:type="dxa"/>
          <w:right w:w="0" w:type="dxa"/>
        </w:tblCellMar>
        <w:tblLook w:val="01E0"/>
      </w:tblPr>
      <w:tblGrid>
        <w:gridCol w:w="2136"/>
        <w:gridCol w:w="742"/>
        <w:gridCol w:w="1576"/>
        <w:gridCol w:w="1047"/>
        <w:gridCol w:w="1796"/>
        <w:gridCol w:w="992"/>
        <w:gridCol w:w="737"/>
        <w:gridCol w:w="458"/>
        <w:gridCol w:w="719"/>
        <w:gridCol w:w="555"/>
        <w:gridCol w:w="877"/>
        <w:gridCol w:w="740"/>
        <w:gridCol w:w="1639"/>
      </w:tblGrid>
      <w:tr>
        <w:trPr>
          <w:trHeight w:val="275" w:hRule="exact"/>
        </w:trPr>
        <w:tc>
          <w:tcPr>
            <w:tcW w:w="8289" w:type="dxa"/>
            <w:gridSpan w:val="6"/>
            <w:vMerge w:val="restart"/>
            <w:tcBorders>
              <w:top w:val="nil" w:sz="6" w:space="0" w:color="auto"/>
              <w:left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7" w:right="0"/>
              <w:jc w:val="center"/>
              <w:rPr>
                <w:rFonts w:ascii="宋体" w:hAnsi="宋体" w:cs="宋体" w:eastAsia="宋体" w:hint="default"/>
                <w:sz w:val="15"/>
                <w:szCs w:val="15"/>
              </w:rPr>
            </w:pPr>
            <w:r>
              <w:rPr>
                <w:rFonts w:ascii="宋体" w:hAnsi="宋体" w:cs="宋体" w:eastAsia="宋体" w:hint="default"/>
                <w:sz w:val="15"/>
                <w:szCs w:val="15"/>
              </w:rPr>
              <w:t>从母公司所有者权益冲</w:t>
            </w:r>
          </w:p>
        </w:tc>
      </w:tr>
      <w:tr>
        <w:trPr>
          <w:trHeight w:val="200" w:hRule="exact"/>
        </w:trPr>
        <w:tc>
          <w:tcPr>
            <w:tcW w:w="8289" w:type="dxa"/>
            <w:gridSpan w:val="6"/>
            <w:vMerge/>
            <w:tcBorders>
              <w:left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Style w:val="TableParagraph"/>
              <w:spacing w:line="175" w:lineRule="exact"/>
              <w:ind w:right="28"/>
              <w:jc w:val="center"/>
              <w:rPr>
                <w:rFonts w:ascii="宋体" w:hAnsi="宋体" w:cs="宋体" w:eastAsia="宋体" w:hint="default"/>
                <w:sz w:val="15"/>
                <w:szCs w:val="15"/>
              </w:rPr>
            </w:pPr>
            <w:r>
              <w:rPr>
                <w:rFonts w:ascii="宋体" w:hAnsi="宋体" w:cs="宋体" w:eastAsia="宋体" w:hint="default"/>
                <w:sz w:val="15"/>
                <w:szCs w:val="15"/>
              </w:rPr>
              <w:t>实质上构</w:t>
            </w: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Style w:val="TableParagraph"/>
              <w:spacing w:line="175" w:lineRule="exact"/>
              <w:ind w:right="4"/>
              <w:jc w:val="center"/>
              <w:rPr>
                <w:rFonts w:ascii="宋体" w:hAnsi="宋体" w:cs="宋体" w:eastAsia="宋体" w:hint="default"/>
                <w:sz w:val="15"/>
                <w:szCs w:val="15"/>
              </w:rPr>
            </w:pPr>
            <w:r>
              <w:rPr>
                <w:rFonts w:ascii="宋体" w:hAnsi="宋体" w:cs="宋体" w:eastAsia="宋体" w:hint="default"/>
                <w:sz w:val="15"/>
                <w:szCs w:val="15"/>
              </w:rPr>
              <w:t>少数股东</w:t>
            </w:r>
          </w:p>
        </w:tc>
        <w:tc>
          <w:tcPr>
            <w:tcW w:w="1639" w:type="dxa"/>
            <w:tcBorders>
              <w:top w:val="nil" w:sz="6" w:space="0" w:color="auto"/>
              <w:left w:val="nil" w:sz="6" w:space="0" w:color="auto"/>
              <w:bottom w:val="nil" w:sz="6" w:space="0" w:color="auto"/>
              <w:right w:val="nil" w:sz="6" w:space="0" w:color="auto"/>
            </w:tcBorders>
          </w:tcPr>
          <w:p>
            <w:pPr/>
          </w:p>
        </w:tc>
      </w:tr>
      <w:tr>
        <w:trPr>
          <w:trHeight w:val="200" w:hRule="exact"/>
        </w:trPr>
        <w:tc>
          <w:tcPr>
            <w:tcW w:w="8289" w:type="dxa"/>
            <w:gridSpan w:val="6"/>
            <w:vMerge/>
            <w:tcBorders>
              <w:left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Style w:val="TableParagraph"/>
              <w:spacing w:line="175" w:lineRule="exact"/>
              <w:ind w:left="7" w:right="0"/>
              <w:jc w:val="center"/>
              <w:rPr>
                <w:rFonts w:ascii="宋体" w:hAnsi="宋体" w:cs="宋体" w:eastAsia="宋体" w:hint="default"/>
                <w:sz w:val="15"/>
                <w:szCs w:val="15"/>
              </w:rPr>
            </w:pPr>
            <w:r>
              <w:rPr>
                <w:rFonts w:ascii="宋体" w:hAnsi="宋体" w:cs="宋体" w:eastAsia="宋体" w:hint="default"/>
                <w:sz w:val="15"/>
                <w:szCs w:val="15"/>
              </w:rPr>
              <w:t>减子公司少数股东分担</w:t>
            </w:r>
          </w:p>
        </w:tc>
      </w:tr>
      <w:tr>
        <w:trPr>
          <w:trHeight w:val="200" w:hRule="exact"/>
        </w:trPr>
        <w:tc>
          <w:tcPr>
            <w:tcW w:w="8289" w:type="dxa"/>
            <w:gridSpan w:val="6"/>
            <w:vMerge/>
            <w:tcBorders>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Style w:val="TableParagraph"/>
              <w:spacing w:line="175" w:lineRule="exact"/>
              <w:ind w:right="28"/>
              <w:jc w:val="center"/>
              <w:rPr>
                <w:rFonts w:ascii="宋体" w:hAnsi="宋体" w:cs="宋体" w:eastAsia="宋体" w:hint="default"/>
                <w:sz w:val="15"/>
                <w:szCs w:val="15"/>
              </w:rPr>
            </w:pPr>
            <w:r>
              <w:rPr>
                <w:rFonts w:ascii="宋体" w:hAnsi="宋体" w:cs="宋体" w:eastAsia="宋体" w:hint="default"/>
                <w:sz w:val="15"/>
                <w:szCs w:val="15"/>
              </w:rPr>
              <w:t>成对子公</w:t>
            </w:r>
          </w:p>
        </w:tc>
        <w:tc>
          <w:tcPr>
            <w:tcW w:w="458" w:type="dxa"/>
            <w:tcBorders>
              <w:top w:val="nil" w:sz="6" w:space="0" w:color="auto"/>
              <w:left w:val="nil" w:sz="6" w:space="0" w:color="auto"/>
              <w:bottom w:val="nil" w:sz="6" w:space="0" w:color="auto"/>
              <w:right w:val="nil" w:sz="6" w:space="0" w:color="auto"/>
            </w:tcBorders>
          </w:tcPr>
          <w:p>
            <w:pPr>
              <w:pStyle w:val="TableParagraph"/>
              <w:spacing w:line="175" w:lineRule="exact"/>
              <w:ind w:left="10" w:right="0"/>
              <w:jc w:val="center"/>
              <w:rPr>
                <w:rFonts w:ascii="宋体" w:hAnsi="宋体" w:cs="宋体" w:eastAsia="宋体" w:hint="default"/>
                <w:sz w:val="15"/>
                <w:szCs w:val="15"/>
              </w:rPr>
            </w:pPr>
            <w:r>
              <w:rPr>
                <w:rFonts w:ascii="宋体" w:hAnsi="宋体" w:cs="宋体" w:eastAsia="宋体" w:hint="default"/>
                <w:sz w:val="15"/>
                <w:szCs w:val="15"/>
              </w:rPr>
              <w:t>持股</w:t>
            </w: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Style w:val="TableParagraph"/>
              <w:spacing w:line="175" w:lineRule="exact"/>
              <w:ind w:right="4"/>
              <w:jc w:val="center"/>
              <w:rPr>
                <w:rFonts w:ascii="宋体" w:hAnsi="宋体" w:cs="宋体" w:eastAsia="宋体" w:hint="default"/>
                <w:sz w:val="15"/>
                <w:szCs w:val="15"/>
              </w:rPr>
            </w:pPr>
            <w:r>
              <w:rPr>
                <w:rFonts w:ascii="宋体" w:hAnsi="宋体" w:cs="宋体" w:eastAsia="宋体" w:hint="default"/>
                <w:sz w:val="15"/>
                <w:szCs w:val="15"/>
              </w:rPr>
              <w:t>权益中用</w:t>
            </w:r>
          </w:p>
        </w:tc>
        <w:tc>
          <w:tcPr>
            <w:tcW w:w="1639" w:type="dxa"/>
            <w:tcBorders>
              <w:top w:val="nil" w:sz="6" w:space="0" w:color="auto"/>
              <w:left w:val="nil" w:sz="6" w:space="0" w:color="auto"/>
              <w:bottom w:val="nil" w:sz="6" w:space="0" w:color="auto"/>
              <w:right w:val="nil" w:sz="6" w:space="0" w:color="auto"/>
            </w:tcBorders>
          </w:tcPr>
          <w:p>
            <w:pPr/>
          </w:p>
        </w:tc>
      </w:tr>
      <w:tr>
        <w:trPr>
          <w:trHeight w:val="200" w:hRule="exact"/>
        </w:trPr>
        <w:tc>
          <w:tcPr>
            <w:tcW w:w="2136"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Style w:val="TableParagraph"/>
              <w:spacing w:line="175" w:lineRule="exact"/>
              <w:ind w:left="232" w:right="0"/>
              <w:jc w:val="left"/>
              <w:rPr>
                <w:rFonts w:ascii="宋体" w:hAnsi="宋体" w:cs="宋体" w:eastAsia="宋体" w:hint="default"/>
                <w:sz w:val="15"/>
                <w:szCs w:val="15"/>
              </w:rPr>
            </w:pPr>
            <w:r>
              <w:rPr>
                <w:rFonts w:ascii="宋体" w:hAnsi="宋体" w:cs="宋体" w:eastAsia="宋体" w:hint="default"/>
                <w:sz w:val="15"/>
                <w:szCs w:val="15"/>
              </w:rPr>
              <w:t>子公司</w:t>
            </w: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96"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Style w:val="TableParagraph"/>
              <w:spacing w:line="175" w:lineRule="exact"/>
              <w:ind w:left="38" w:right="0"/>
              <w:jc w:val="left"/>
              <w:rPr>
                <w:rFonts w:ascii="宋体" w:hAnsi="宋体" w:cs="宋体" w:eastAsia="宋体" w:hint="default"/>
                <w:sz w:val="15"/>
                <w:szCs w:val="15"/>
              </w:rPr>
            </w:pPr>
            <w:r>
              <w:rPr>
                <w:rFonts w:ascii="宋体" w:hAnsi="宋体" w:cs="宋体" w:eastAsia="宋体" w:hint="default"/>
                <w:sz w:val="15"/>
                <w:szCs w:val="15"/>
              </w:rPr>
              <w:t>期末实际投资</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Style w:val="TableParagraph"/>
              <w:spacing w:line="175" w:lineRule="exact"/>
              <w:ind w:left="28" w:right="0"/>
              <w:jc w:val="center"/>
              <w:rPr>
                <w:rFonts w:ascii="宋体" w:hAnsi="宋体" w:cs="宋体" w:eastAsia="宋体" w:hint="default"/>
                <w:sz w:val="15"/>
                <w:szCs w:val="15"/>
              </w:rPr>
            </w:pPr>
            <w:r>
              <w:rPr>
                <w:rFonts w:ascii="宋体" w:hAnsi="宋体" w:cs="宋体" w:eastAsia="宋体" w:hint="default"/>
                <w:sz w:val="15"/>
                <w:szCs w:val="15"/>
              </w:rPr>
              <w:t>表决权比</w:t>
            </w:r>
          </w:p>
        </w:tc>
        <w:tc>
          <w:tcPr>
            <w:tcW w:w="555" w:type="dxa"/>
            <w:tcBorders>
              <w:top w:val="nil" w:sz="6" w:space="0" w:color="auto"/>
              <w:left w:val="nil" w:sz="6" w:space="0" w:color="auto"/>
              <w:bottom w:val="nil" w:sz="6" w:space="0" w:color="auto"/>
              <w:right w:val="nil" w:sz="6" w:space="0" w:color="auto"/>
            </w:tcBorders>
          </w:tcPr>
          <w:p>
            <w:pPr>
              <w:pStyle w:val="TableParagraph"/>
              <w:spacing w:line="175" w:lineRule="exact"/>
              <w:ind w:right="11"/>
              <w:jc w:val="center"/>
              <w:rPr>
                <w:rFonts w:ascii="宋体" w:hAnsi="宋体" w:cs="宋体" w:eastAsia="宋体" w:hint="default"/>
                <w:sz w:val="15"/>
                <w:szCs w:val="15"/>
              </w:rPr>
            </w:pPr>
            <w:r>
              <w:rPr>
                <w:rFonts w:ascii="宋体" w:hAnsi="宋体" w:cs="宋体" w:eastAsia="宋体" w:hint="default"/>
                <w:sz w:val="15"/>
                <w:szCs w:val="15"/>
              </w:rPr>
              <w:t>是否合</w:t>
            </w:r>
          </w:p>
        </w:tc>
        <w:tc>
          <w:tcPr>
            <w:tcW w:w="877" w:type="dxa"/>
            <w:tcBorders>
              <w:top w:val="nil" w:sz="6" w:space="0" w:color="auto"/>
              <w:left w:val="nil" w:sz="6" w:space="0" w:color="auto"/>
              <w:bottom w:val="nil" w:sz="6" w:space="0" w:color="auto"/>
              <w:right w:val="nil" w:sz="6" w:space="0" w:color="auto"/>
            </w:tcBorders>
          </w:tcPr>
          <w:p>
            <w:pPr>
              <w:pStyle w:val="TableParagraph"/>
              <w:spacing w:line="175" w:lineRule="exact"/>
              <w:ind w:right="5"/>
              <w:jc w:val="center"/>
              <w:rPr>
                <w:rFonts w:ascii="宋体" w:hAnsi="宋体" w:cs="宋体" w:eastAsia="宋体" w:hint="default"/>
                <w:sz w:val="15"/>
                <w:szCs w:val="15"/>
              </w:rPr>
            </w:pPr>
            <w:r>
              <w:rPr>
                <w:rFonts w:ascii="宋体" w:hAnsi="宋体" w:cs="宋体" w:eastAsia="宋体" w:hint="default"/>
                <w:sz w:val="15"/>
                <w:szCs w:val="15"/>
              </w:rPr>
              <w:t>少数股东权</w:t>
            </w: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Style w:val="TableParagraph"/>
              <w:spacing w:line="175" w:lineRule="exact"/>
              <w:ind w:left="7" w:right="0"/>
              <w:jc w:val="center"/>
              <w:rPr>
                <w:rFonts w:ascii="宋体" w:hAnsi="宋体" w:cs="宋体" w:eastAsia="宋体" w:hint="default"/>
                <w:sz w:val="15"/>
                <w:szCs w:val="15"/>
              </w:rPr>
            </w:pPr>
            <w:r>
              <w:rPr>
                <w:rFonts w:ascii="宋体" w:hAnsi="宋体" w:cs="宋体" w:eastAsia="宋体" w:hint="default"/>
                <w:sz w:val="15"/>
                <w:szCs w:val="15"/>
              </w:rPr>
              <w:t>的本期亏损超过少数股</w:t>
            </w:r>
          </w:p>
        </w:tc>
      </w:tr>
      <w:tr>
        <w:trPr>
          <w:trHeight w:val="200"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175" w:lineRule="exact"/>
              <w:ind w:left="784" w:right="0"/>
              <w:jc w:val="left"/>
              <w:rPr>
                <w:rFonts w:ascii="宋体" w:hAnsi="宋体" w:cs="宋体" w:eastAsia="宋体" w:hint="default"/>
                <w:sz w:val="15"/>
                <w:szCs w:val="15"/>
              </w:rPr>
            </w:pPr>
            <w:r>
              <w:rPr>
                <w:rFonts w:ascii="宋体" w:hAnsi="宋体" w:cs="宋体" w:eastAsia="宋体" w:hint="default"/>
                <w:sz w:val="15"/>
                <w:szCs w:val="15"/>
              </w:rPr>
              <w:t>子公司全称</w:t>
            </w:r>
          </w:p>
        </w:tc>
        <w:tc>
          <w:tcPr>
            <w:tcW w:w="742"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Style w:val="TableParagraph"/>
              <w:spacing w:line="175" w:lineRule="exact"/>
              <w:ind w:left="59" w:right="0"/>
              <w:jc w:val="left"/>
              <w:rPr>
                <w:rFonts w:ascii="宋体" w:hAnsi="宋体" w:cs="宋体" w:eastAsia="宋体" w:hint="default"/>
                <w:sz w:val="15"/>
                <w:szCs w:val="15"/>
              </w:rPr>
            </w:pPr>
            <w:r>
              <w:rPr>
                <w:rFonts w:ascii="宋体" w:hAnsi="宋体" w:cs="宋体" w:eastAsia="宋体" w:hint="default"/>
                <w:sz w:val="15"/>
                <w:szCs w:val="15"/>
              </w:rPr>
              <w:t>注册地</w:t>
            </w:r>
            <w:r>
              <w:rPr>
                <w:rFonts w:ascii="宋体" w:hAnsi="宋体" w:cs="宋体" w:eastAsia="宋体" w:hint="default"/>
                <w:spacing w:val="66"/>
                <w:sz w:val="15"/>
                <w:szCs w:val="15"/>
              </w:rPr>
              <w:t> </w:t>
            </w:r>
            <w:r>
              <w:rPr>
                <w:rFonts w:ascii="宋体" w:hAnsi="宋体" w:cs="宋体" w:eastAsia="宋体" w:hint="default"/>
                <w:sz w:val="15"/>
                <w:szCs w:val="15"/>
              </w:rPr>
              <w:t>企业性质</w:t>
            </w:r>
          </w:p>
        </w:tc>
        <w:tc>
          <w:tcPr>
            <w:tcW w:w="1047" w:type="dxa"/>
            <w:tcBorders>
              <w:top w:val="nil" w:sz="6" w:space="0" w:color="auto"/>
              <w:left w:val="nil" w:sz="6" w:space="0" w:color="auto"/>
              <w:bottom w:val="nil" w:sz="6" w:space="0" w:color="auto"/>
              <w:right w:val="nil" w:sz="6" w:space="0" w:color="auto"/>
            </w:tcBorders>
          </w:tcPr>
          <w:p>
            <w:pPr>
              <w:pStyle w:val="TableParagraph"/>
              <w:spacing w:line="175" w:lineRule="exact"/>
              <w:ind w:left="174" w:right="0"/>
              <w:jc w:val="left"/>
              <w:rPr>
                <w:rFonts w:ascii="宋体" w:hAnsi="宋体" w:cs="宋体" w:eastAsia="宋体" w:hint="default"/>
                <w:sz w:val="15"/>
                <w:szCs w:val="15"/>
              </w:rPr>
            </w:pPr>
            <w:r>
              <w:rPr>
                <w:rFonts w:ascii="宋体" w:hAnsi="宋体" w:cs="宋体" w:eastAsia="宋体" w:hint="default"/>
                <w:sz w:val="15"/>
                <w:szCs w:val="15"/>
              </w:rPr>
              <w:t>注册资本</w:t>
            </w:r>
          </w:p>
        </w:tc>
        <w:tc>
          <w:tcPr>
            <w:tcW w:w="1796" w:type="dxa"/>
            <w:tcBorders>
              <w:top w:val="nil" w:sz="6" w:space="0" w:color="auto"/>
              <w:left w:val="nil" w:sz="6" w:space="0" w:color="auto"/>
              <w:bottom w:val="nil" w:sz="6" w:space="0" w:color="auto"/>
              <w:right w:val="nil" w:sz="6" w:space="0" w:color="auto"/>
            </w:tcBorders>
          </w:tcPr>
          <w:p>
            <w:pPr>
              <w:pStyle w:val="TableParagraph"/>
              <w:spacing w:line="175" w:lineRule="exact"/>
              <w:ind w:left="602" w:right="0"/>
              <w:jc w:val="left"/>
              <w:rPr>
                <w:rFonts w:ascii="宋体" w:hAnsi="宋体" w:cs="宋体" w:eastAsia="宋体" w:hint="default"/>
                <w:sz w:val="15"/>
                <w:szCs w:val="15"/>
              </w:rPr>
            </w:pPr>
            <w:r>
              <w:rPr>
                <w:rFonts w:ascii="宋体" w:hAnsi="宋体" w:cs="宋体" w:eastAsia="宋体" w:hint="default"/>
                <w:sz w:val="15"/>
                <w:szCs w:val="15"/>
              </w:rPr>
              <w:t>经营范围</w:t>
            </w:r>
          </w:p>
        </w:tc>
        <w:tc>
          <w:tcPr>
            <w:tcW w:w="992"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Style w:val="TableParagraph"/>
              <w:spacing w:line="175" w:lineRule="exact"/>
              <w:ind w:right="28"/>
              <w:jc w:val="center"/>
              <w:rPr>
                <w:rFonts w:ascii="宋体" w:hAnsi="宋体" w:cs="宋体" w:eastAsia="宋体" w:hint="default"/>
                <w:sz w:val="15"/>
                <w:szCs w:val="15"/>
              </w:rPr>
            </w:pPr>
            <w:r>
              <w:rPr>
                <w:rFonts w:ascii="宋体" w:hAnsi="宋体" w:cs="宋体" w:eastAsia="宋体" w:hint="default"/>
                <w:sz w:val="15"/>
                <w:szCs w:val="15"/>
              </w:rPr>
              <w:t>司净投资</w:t>
            </w:r>
          </w:p>
        </w:tc>
        <w:tc>
          <w:tcPr>
            <w:tcW w:w="458" w:type="dxa"/>
            <w:tcBorders>
              <w:top w:val="nil" w:sz="6" w:space="0" w:color="auto"/>
              <w:left w:val="nil" w:sz="6" w:space="0" w:color="auto"/>
              <w:bottom w:val="nil" w:sz="6" w:space="0" w:color="auto"/>
              <w:right w:val="nil" w:sz="6" w:space="0" w:color="auto"/>
            </w:tcBorders>
          </w:tcPr>
          <w:p>
            <w:pPr>
              <w:pStyle w:val="TableParagraph"/>
              <w:spacing w:line="175" w:lineRule="exact"/>
              <w:ind w:left="10" w:right="0"/>
              <w:jc w:val="center"/>
              <w:rPr>
                <w:rFonts w:ascii="宋体" w:hAnsi="宋体" w:cs="宋体" w:eastAsia="宋体" w:hint="default"/>
                <w:sz w:val="15"/>
                <w:szCs w:val="15"/>
              </w:rPr>
            </w:pPr>
            <w:r>
              <w:rPr>
                <w:rFonts w:ascii="宋体" w:hAnsi="宋体" w:cs="宋体" w:eastAsia="宋体" w:hint="default"/>
                <w:sz w:val="15"/>
                <w:szCs w:val="15"/>
              </w:rPr>
              <w:t>比例</w:t>
            </w: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Style w:val="TableParagraph"/>
              <w:spacing w:line="175" w:lineRule="exact"/>
              <w:ind w:right="4"/>
              <w:jc w:val="center"/>
              <w:rPr>
                <w:rFonts w:ascii="宋体" w:hAnsi="宋体" w:cs="宋体" w:eastAsia="宋体" w:hint="default"/>
                <w:sz w:val="15"/>
                <w:szCs w:val="15"/>
              </w:rPr>
            </w:pPr>
            <w:r>
              <w:rPr>
                <w:rFonts w:ascii="宋体" w:hAnsi="宋体" w:cs="宋体" w:eastAsia="宋体" w:hint="default"/>
                <w:sz w:val="15"/>
                <w:szCs w:val="15"/>
              </w:rPr>
              <w:t>于冲减少</w:t>
            </w:r>
          </w:p>
        </w:tc>
        <w:tc>
          <w:tcPr>
            <w:tcW w:w="1639" w:type="dxa"/>
            <w:tcBorders>
              <w:top w:val="nil" w:sz="6" w:space="0" w:color="auto"/>
              <w:left w:val="nil" w:sz="6" w:space="0" w:color="auto"/>
              <w:bottom w:val="nil" w:sz="6" w:space="0" w:color="auto"/>
              <w:right w:val="nil" w:sz="6" w:space="0" w:color="auto"/>
            </w:tcBorders>
          </w:tcPr>
          <w:p>
            <w:pPr/>
          </w:p>
        </w:tc>
      </w:tr>
      <w:tr>
        <w:trPr>
          <w:trHeight w:val="204" w:hRule="exact"/>
        </w:trPr>
        <w:tc>
          <w:tcPr>
            <w:tcW w:w="2136"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Style w:val="TableParagraph"/>
              <w:spacing w:line="175" w:lineRule="exact"/>
              <w:ind w:left="308" w:right="0"/>
              <w:jc w:val="left"/>
              <w:rPr>
                <w:rFonts w:ascii="宋体" w:hAnsi="宋体" w:cs="宋体" w:eastAsia="宋体" w:hint="default"/>
                <w:sz w:val="15"/>
                <w:szCs w:val="15"/>
              </w:rPr>
            </w:pPr>
            <w:r>
              <w:rPr>
                <w:rFonts w:ascii="宋体" w:hAnsi="宋体" w:cs="宋体" w:eastAsia="宋体" w:hint="default"/>
                <w:sz w:val="15"/>
                <w:szCs w:val="15"/>
              </w:rPr>
              <w:t>类型</w:t>
            </w: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96"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Style w:val="TableParagraph"/>
              <w:spacing w:line="175" w:lineRule="exact"/>
              <w:ind w:right="14"/>
              <w:jc w:val="center"/>
              <w:rPr>
                <w:rFonts w:ascii="宋体" w:hAnsi="宋体" w:cs="宋体" w:eastAsia="宋体" w:hint="default"/>
                <w:sz w:val="15"/>
                <w:szCs w:val="15"/>
              </w:rPr>
            </w:pPr>
            <w:r>
              <w:rPr>
                <w:rFonts w:ascii="宋体" w:hAnsi="宋体" w:cs="宋体" w:eastAsia="宋体" w:hint="default"/>
                <w:sz w:val="15"/>
                <w:szCs w:val="15"/>
              </w:rPr>
              <w:t>额</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Style w:val="TableParagraph"/>
              <w:spacing w:line="186" w:lineRule="exact"/>
              <w:ind w:left="29"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555" w:type="dxa"/>
            <w:tcBorders>
              <w:top w:val="nil" w:sz="6" w:space="0" w:color="auto"/>
              <w:left w:val="nil" w:sz="6" w:space="0" w:color="auto"/>
              <w:bottom w:val="nil" w:sz="6" w:space="0" w:color="auto"/>
              <w:right w:val="nil" w:sz="6" w:space="0" w:color="auto"/>
            </w:tcBorders>
          </w:tcPr>
          <w:p>
            <w:pPr>
              <w:pStyle w:val="TableParagraph"/>
              <w:spacing w:line="175" w:lineRule="exact"/>
              <w:ind w:right="11"/>
              <w:jc w:val="center"/>
              <w:rPr>
                <w:rFonts w:ascii="宋体" w:hAnsi="宋体" w:cs="宋体" w:eastAsia="宋体" w:hint="default"/>
                <w:sz w:val="15"/>
                <w:szCs w:val="15"/>
              </w:rPr>
            </w:pPr>
            <w:r>
              <w:rPr>
                <w:rFonts w:ascii="宋体" w:hAnsi="宋体" w:cs="宋体" w:eastAsia="宋体" w:hint="default"/>
                <w:sz w:val="15"/>
                <w:szCs w:val="15"/>
              </w:rPr>
              <w:t>并报表</w:t>
            </w:r>
          </w:p>
        </w:tc>
        <w:tc>
          <w:tcPr>
            <w:tcW w:w="877" w:type="dxa"/>
            <w:tcBorders>
              <w:top w:val="nil" w:sz="6" w:space="0" w:color="auto"/>
              <w:left w:val="nil" w:sz="6" w:space="0" w:color="auto"/>
              <w:bottom w:val="nil" w:sz="6" w:space="0" w:color="auto"/>
              <w:right w:val="nil" w:sz="6" w:space="0" w:color="auto"/>
            </w:tcBorders>
          </w:tcPr>
          <w:p>
            <w:pPr>
              <w:pStyle w:val="TableParagraph"/>
              <w:spacing w:line="175" w:lineRule="exact"/>
              <w:ind w:right="5"/>
              <w:jc w:val="center"/>
              <w:rPr>
                <w:rFonts w:ascii="宋体" w:hAnsi="宋体" w:cs="宋体" w:eastAsia="宋体" w:hint="default"/>
                <w:sz w:val="15"/>
                <w:szCs w:val="15"/>
              </w:rPr>
            </w:pPr>
            <w:r>
              <w:rPr>
                <w:rFonts w:ascii="宋体" w:hAnsi="宋体" w:cs="宋体" w:eastAsia="宋体" w:hint="default"/>
                <w:sz w:val="15"/>
                <w:szCs w:val="15"/>
              </w:rPr>
              <w:t>益</w:t>
            </w: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Style w:val="TableParagraph"/>
              <w:spacing w:line="175" w:lineRule="exact"/>
              <w:ind w:left="7" w:right="0"/>
              <w:jc w:val="center"/>
              <w:rPr>
                <w:rFonts w:ascii="宋体" w:hAnsi="宋体" w:cs="宋体" w:eastAsia="宋体" w:hint="default"/>
                <w:sz w:val="15"/>
                <w:szCs w:val="15"/>
              </w:rPr>
            </w:pPr>
            <w:r>
              <w:rPr>
                <w:rFonts w:ascii="宋体" w:hAnsi="宋体" w:cs="宋体" w:eastAsia="宋体" w:hint="default"/>
                <w:sz w:val="15"/>
                <w:szCs w:val="15"/>
              </w:rPr>
              <w:t>东在该子公司期初所有</w:t>
            </w:r>
          </w:p>
        </w:tc>
      </w:tr>
      <w:tr>
        <w:trPr>
          <w:trHeight w:val="396" w:hRule="exact"/>
        </w:trPr>
        <w:tc>
          <w:tcPr>
            <w:tcW w:w="2136"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96"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Style w:val="TableParagraph"/>
              <w:spacing w:line="171" w:lineRule="exact"/>
              <w:ind w:right="28"/>
              <w:jc w:val="center"/>
              <w:rPr>
                <w:rFonts w:ascii="宋体" w:hAnsi="宋体" w:cs="宋体" w:eastAsia="宋体" w:hint="default"/>
                <w:sz w:val="15"/>
                <w:szCs w:val="15"/>
              </w:rPr>
            </w:pPr>
            <w:r>
              <w:rPr>
                <w:rFonts w:ascii="宋体" w:hAnsi="宋体" w:cs="宋体" w:eastAsia="宋体" w:hint="default"/>
                <w:sz w:val="15"/>
                <w:szCs w:val="15"/>
              </w:rPr>
              <w:t>的其他项</w:t>
            </w: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 w:right="0"/>
              <w:jc w:val="center"/>
              <w:rPr>
                <w:rFonts w:ascii="Times New Roman" w:hAnsi="Times New Roman" w:cs="Times New Roman" w:eastAsia="Times New Roman" w:hint="default"/>
                <w:sz w:val="15"/>
                <w:szCs w:val="15"/>
              </w:rPr>
            </w:pPr>
            <w:r>
              <w:rPr>
                <w:rFonts w:ascii="Times New Roman"/>
                <w:sz w:val="15"/>
              </w:rPr>
              <w:t>(%)</w:t>
            </w: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Style w:val="TableParagraph"/>
              <w:spacing w:line="171" w:lineRule="exact"/>
              <w:ind w:right="4"/>
              <w:jc w:val="center"/>
              <w:rPr>
                <w:rFonts w:ascii="宋体" w:hAnsi="宋体" w:cs="宋体" w:eastAsia="宋体" w:hint="default"/>
                <w:sz w:val="15"/>
                <w:szCs w:val="15"/>
              </w:rPr>
            </w:pPr>
            <w:r>
              <w:rPr>
                <w:rFonts w:ascii="宋体" w:hAnsi="宋体" w:cs="宋体" w:eastAsia="宋体" w:hint="default"/>
                <w:sz w:val="15"/>
                <w:szCs w:val="15"/>
              </w:rPr>
              <w:t>数股东损</w:t>
            </w:r>
          </w:p>
        </w:tc>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5"/>
                <w:szCs w:val="15"/>
              </w:rPr>
            </w:pPr>
          </w:p>
          <w:p>
            <w:pPr>
              <w:pStyle w:val="TableParagraph"/>
              <w:spacing w:line="240" w:lineRule="auto"/>
              <w:ind w:left="7" w:right="0"/>
              <w:jc w:val="center"/>
              <w:rPr>
                <w:rFonts w:ascii="宋体" w:hAnsi="宋体" w:cs="宋体" w:eastAsia="宋体" w:hint="default"/>
                <w:sz w:val="15"/>
                <w:szCs w:val="15"/>
              </w:rPr>
            </w:pPr>
            <w:r>
              <w:rPr>
                <w:rFonts w:ascii="宋体" w:hAnsi="宋体" w:cs="宋体" w:eastAsia="宋体" w:hint="default"/>
                <w:sz w:val="15"/>
                <w:szCs w:val="15"/>
              </w:rPr>
              <w:t>者权益中所享有份额后</w:t>
            </w:r>
          </w:p>
        </w:tc>
      </w:tr>
      <w:tr>
        <w:trPr>
          <w:trHeight w:val="200" w:hRule="exact"/>
        </w:trPr>
        <w:tc>
          <w:tcPr>
            <w:tcW w:w="2136"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96"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Style w:val="TableParagraph"/>
              <w:spacing w:line="175" w:lineRule="exact"/>
              <w:ind w:right="29"/>
              <w:jc w:val="center"/>
              <w:rPr>
                <w:rFonts w:ascii="宋体" w:hAnsi="宋体" w:cs="宋体" w:eastAsia="宋体" w:hint="default"/>
                <w:sz w:val="15"/>
                <w:szCs w:val="15"/>
              </w:rPr>
            </w:pPr>
            <w:r>
              <w:rPr>
                <w:rFonts w:ascii="宋体" w:hAnsi="宋体" w:cs="宋体" w:eastAsia="宋体" w:hint="default"/>
                <w:sz w:val="15"/>
                <w:szCs w:val="15"/>
              </w:rPr>
              <w:t>目余额</w:t>
            </w: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Style w:val="TableParagraph"/>
              <w:spacing w:line="175" w:lineRule="exact"/>
              <w:ind w:right="4"/>
              <w:jc w:val="center"/>
              <w:rPr>
                <w:rFonts w:ascii="宋体" w:hAnsi="宋体" w:cs="宋体" w:eastAsia="宋体" w:hint="default"/>
                <w:sz w:val="15"/>
                <w:szCs w:val="15"/>
              </w:rPr>
            </w:pPr>
            <w:r>
              <w:rPr>
                <w:rFonts w:ascii="宋体" w:hAnsi="宋体" w:cs="宋体" w:eastAsia="宋体" w:hint="default"/>
                <w:sz w:val="15"/>
                <w:szCs w:val="15"/>
              </w:rPr>
              <w:t>益的金额</w:t>
            </w:r>
          </w:p>
        </w:tc>
        <w:tc>
          <w:tcPr>
            <w:tcW w:w="1639" w:type="dxa"/>
            <w:tcBorders>
              <w:top w:val="nil" w:sz="6" w:space="0" w:color="auto"/>
              <w:left w:val="nil" w:sz="6" w:space="0" w:color="auto"/>
              <w:bottom w:val="nil" w:sz="6" w:space="0" w:color="auto"/>
              <w:right w:val="nil" w:sz="6" w:space="0" w:color="auto"/>
            </w:tcBorders>
          </w:tcPr>
          <w:p>
            <w:pPr/>
          </w:p>
        </w:tc>
      </w:tr>
      <w:tr>
        <w:trPr>
          <w:trHeight w:val="305" w:hRule="exact"/>
        </w:trPr>
        <w:tc>
          <w:tcPr>
            <w:tcW w:w="2136"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96"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Style w:val="TableParagraph"/>
              <w:spacing w:line="175" w:lineRule="exact"/>
              <w:ind w:left="5" w:right="0"/>
              <w:jc w:val="center"/>
              <w:rPr>
                <w:rFonts w:ascii="宋体" w:hAnsi="宋体" w:cs="宋体" w:eastAsia="宋体" w:hint="default"/>
                <w:sz w:val="15"/>
                <w:szCs w:val="15"/>
              </w:rPr>
            </w:pPr>
            <w:r>
              <w:rPr>
                <w:rFonts w:ascii="宋体" w:hAnsi="宋体" w:cs="宋体" w:eastAsia="宋体" w:hint="default"/>
                <w:sz w:val="15"/>
                <w:szCs w:val="15"/>
              </w:rPr>
              <w:t>的余额</w:t>
            </w:r>
          </w:p>
        </w:tc>
      </w:tr>
      <w:tr>
        <w:trPr>
          <w:trHeight w:val="305" w:hRule="exact"/>
        </w:trPr>
        <w:tc>
          <w:tcPr>
            <w:tcW w:w="2136"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07" w:right="0"/>
              <w:jc w:val="left"/>
              <w:rPr>
                <w:rFonts w:ascii="宋体" w:hAnsi="宋体" w:cs="宋体" w:eastAsia="宋体" w:hint="default"/>
                <w:sz w:val="15"/>
                <w:szCs w:val="15"/>
              </w:rPr>
            </w:pPr>
            <w:r>
              <w:rPr>
                <w:rFonts w:ascii="宋体" w:hAnsi="宋体" w:cs="宋体" w:eastAsia="宋体" w:hint="default"/>
                <w:sz w:val="15"/>
                <w:szCs w:val="15"/>
              </w:rPr>
              <w:t>经营计算机软硬件、技</w:t>
            </w:r>
          </w:p>
        </w:tc>
        <w:tc>
          <w:tcPr>
            <w:tcW w:w="992"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599"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175" w:lineRule="exact"/>
              <w:ind w:left="122" w:right="0"/>
              <w:jc w:val="left"/>
              <w:rPr>
                <w:rFonts w:ascii="宋体" w:hAnsi="宋体" w:cs="宋体" w:eastAsia="宋体" w:hint="default"/>
                <w:sz w:val="15"/>
                <w:szCs w:val="15"/>
              </w:rPr>
            </w:pPr>
            <w:r>
              <w:rPr>
                <w:rFonts w:ascii="宋体" w:hAnsi="宋体" w:cs="宋体" w:eastAsia="宋体" w:hint="default"/>
                <w:sz w:val="15"/>
                <w:szCs w:val="15"/>
              </w:rPr>
              <w:t>杭州东软软件有限公司</w:t>
            </w:r>
          </w:p>
        </w:tc>
        <w:tc>
          <w:tcPr>
            <w:tcW w:w="742" w:type="dxa"/>
            <w:tcBorders>
              <w:top w:val="nil" w:sz="6" w:space="0" w:color="auto"/>
              <w:left w:val="nil" w:sz="6" w:space="0" w:color="auto"/>
              <w:bottom w:val="nil" w:sz="6" w:space="0" w:color="auto"/>
              <w:right w:val="nil" w:sz="6" w:space="0" w:color="auto"/>
            </w:tcBorders>
          </w:tcPr>
          <w:p>
            <w:pPr>
              <w:pStyle w:val="TableParagraph"/>
              <w:spacing w:line="175" w:lineRule="exact"/>
              <w:ind w:left="244"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576" w:type="dxa"/>
            <w:tcBorders>
              <w:top w:val="nil" w:sz="6" w:space="0" w:color="auto"/>
              <w:left w:val="nil" w:sz="6" w:space="0" w:color="auto"/>
              <w:bottom w:val="nil" w:sz="6" w:space="0" w:color="auto"/>
              <w:right w:val="nil" w:sz="6" w:space="0" w:color="auto"/>
            </w:tcBorders>
          </w:tcPr>
          <w:p>
            <w:pPr>
              <w:pStyle w:val="TableParagraph"/>
              <w:spacing w:line="175" w:lineRule="exact"/>
              <w:ind w:left="112" w:right="0"/>
              <w:jc w:val="left"/>
              <w:rPr>
                <w:rFonts w:ascii="宋体" w:hAnsi="宋体" w:cs="宋体" w:eastAsia="宋体" w:hint="default"/>
                <w:sz w:val="15"/>
                <w:szCs w:val="15"/>
              </w:rPr>
            </w:pPr>
            <w:r>
              <w:rPr>
                <w:rFonts w:ascii="宋体" w:hAnsi="宋体" w:cs="宋体" w:eastAsia="宋体" w:hint="default"/>
                <w:sz w:val="15"/>
                <w:szCs w:val="15"/>
              </w:rPr>
              <w:t>杭州</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5"/>
                <w:szCs w:val="15"/>
              </w:rPr>
            </w:pPr>
            <w:r>
              <w:rPr>
                <w:rFonts w:ascii="Times New Roman"/>
                <w:spacing w:val="-1"/>
                <w:sz w:val="15"/>
              </w:rPr>
              <w:t>500,000</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术咨询、服务</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71" w:right="0"/>
              <w:jc w:val="left"/>
              <w:rPr>
                <w:rFonts w:ascii="Times New Roman" w:hAnsi="Times New Roman" w:cs="Times New Roman" w:eastAsia="Times New Roman" w:hint="default"/>
                <w:sz w:val="15"/>
                <w:szCs w:val="15"/>
              </w:rPr>
            </w:pPr>
            <w:r>
              <w:rPr>
                <w:rFonts w:ascii="Times New Roman"/>
                <w:sz w:val="15"/>
              </w:rPr>
              <w:t>500,000</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9"/>
              <w:jc w:val="center"/>
              <w:rPr>
                <w:rFonts w:ascii="Times New Roman" w:hAnsi="Times New Roman" w:cs="Times New Roman" w:eastAsia="Times New Roman" w:hint="default"/>
                <w:sz w:val="15"/>
                <w:szCs w:val="15"/>
              </w:rPr>
            </w:pPr>
            <w:r>
              <w:rPr>
                <w:rFonts w:ascii="Times New Roman"/>
                <w:sz w:val="15"/>
              </w:rPr>
              <w:t>100</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
              <w:jc w:val="center"/>
              <w:rPr>
                <w:rFonts w:ascii="Times New Roman" w:hAnsi="Times New Roman" w:cs="Times New Roman" w:eastAsia="Times New Roman" w:hint="default"/>
                <w:sz w:val="15"/>
                <w:szCs w:val="15"/>
              </w:rPr>
            </w:pPr>
            <w:r>
              <w:rPr>
                <w:rFonts w:ascii="Times New Roman"/>
                <w:sz w:val="15"/>
              </w:rPr>
              <w:t>100</w:t>
            </w:r>
          </w:p>
        </w:tc>
        <w:tc>
          <w:tcPr>
            <w:tcW w:w="555" w:type="dxa"/>
            <w:tcBorders>
              <w:top w:val="nil" w:sz="6" w:space="0" w:color="auto"/>
              <w:left w:val="nil" w:sz="6" w:space="0" w:color="auto"/>
              <w:bottom w:val="nil" w:sz="6" w:space="0" w:color="auto"/>
              <w:right w:val="nil" w:sz="6" w:space="0" w:color="auto"/>
            </w:tcBorders>
          </w:tcPr>
          <w:p>
            <w:pPr>
              <w:pStyle w:val="TableParagraph"/>
              <w:spacing w:line="175" w:lineRule="exact"/>
              <w:ind w:right="45"/>
              <w:jc w:val="center"/>
              <w:rPr>
                <w:rFonts w:ascii="宋体" w:hAnsi="宋体" w:cs="宋体" w:eastAsia="宋体" w:hint="default"/>
                <w:sz w:val="15"/>
                <w:szCs w:val="15"/>
              </w:rPr>
            </w:pPr>
            <w:r>
              <w:rPr>
                <w:rFonts w:ascii="宋体" w:hAnsi="宋体" w:cs="宋体" w:eastAsia="宋体" w:hint="default"/>
                <w:sz w:val="15"/>
                <w:szCs w:val="15"/>
              </w:rPr>
              <w:t>是</w:t>
            </w: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607"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东软集团（天津）有限公司</w:t>
            </w:r>
          </w:p>
        </w:tc>
        <w:tc>
          <w:tcPr>
            <w:tcW w:w="74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244"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112" w:right="0"/>
              <w:jc w:val="left"/>
              <w:rPr>
                <w:rFonts w:ascii="宋体" w:hAnsi="宋体" w:cs="宋体" w:eastAsia="宋体" w:hint="default"/>
                <w:sz w:val="15"/>
                <w:szCs w:val="15"/>
              </w:rPr>
            </w:pPr>
            <w:r>
              <w:rPr>
                <w:rFonts w:ascii="宋体" w:hAnsi="宋体" w:cs="宋体" w:eastAsia="宋体" w:hint="default"/>
                <w:sz w:val="15"/>
                <w:szCs w:val="15"/>
              </w:rPr>
              <w:t>天津</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20,000,000</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计算机软硬件</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184" w:right="0"/>
              <w:jc w:val="left"/>
              <w:rPr>
                <w:rFonts w:ascii="Times New Roman" w:hAnsi="Times New Roman" w:cs="Times New Roman" w:eastAsia="Times New Roman" w:hint="default"/>
                <w:sz w:val="15"/>
                <w:szCs w:val="15"/>
              </w:rPr>
            </w:pPr>
            <w:r>
              <w:rPr>
                <w:rFonts w:ascii="Times New Roman"/>
                <w:sz w:val="15"/>
              </w:rPr>
              <w:t>20,000,000</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right="19"/>
              <w:jc w:val="center"/>
              <w:rPr>
                <w:rFonts w:ascii="Times New Roman" w:hAnsi="Times New Roman" w:cs="Times New Roman" w:eastAsia="Times New Roman" w:hint="default"/>
                <w:sz w:val="15"/>
                <w:szCs w:val="15"/>
              </w:rPr>
            </w:pPr>
            <w:r>
              <w:rPr>
                <w:rFonts w:ascii="Times New Roman"/>
                <w:sz w:val="15"/>
              </w:rPr>
              <w:t>100</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100</w:t>
            </w:r>
          </w:p>
        </w:tc>
        <w:tc>
          <w:tcPr>
            <w:tcW w:w="55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15"/>
                <w:szCs w:val="15"/>
              </w:rPr>
            </w:pPr>
          </w:p>
          <w:p>
            <w:pPr>
              <w:pStyle w:val="TableParagraph"/>
              <w:spacing w:line="240" w:lineRule="auto"/>
              <w:ind w:right="45"/>
              <w:jc w:val="center"/>
              <w:rPr>
                <w:rFonts w:ascii="宋体" w:hAnsi="宋体" w:cs="宋体" w:eastAsia="宋体" w:hint="default"/>
                <w:sz w:val="15"/>
                <w:szCs w:val="15"/>
              </w:rPr>
            </w:pPr>
            <w:r>
              <w:rPr>
                <w:rFonts w:ascii="宋体" w:hAnsi="宋体" w:cs="宋体" w:eastAsia="宋体" w:hint="default"/>
                <w:sz w:val="15"/>
                <w:szCs w:val="15"/>
              </w:rPr>
              <w:t>是</w:t>
            </w: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391" w:hRule="exact"/>
        </w:trPr>
        <w:tc>
          <w:tcPr>
            <w:tcW w:w="2136"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right="106"/>
              <w:jc w:val="right"/>
              <w:rPr>
                <w:rFonts w:ascii="宋体" w:hAnsi="宋体" w:cs="宋体" w:eastAsia="宋体" w:hint="default"/>
                <w:sz w:val="15"/>
                <w:szCs w:val="15"/>
              </w:rPr>
            </w:pPr>
            <w:r>
              <w:rPr>
                <w:rFonts w:ascii="宋体" w:hAnsi="宋体" w:cs="宋体" w:eastAsia="宋体" w:hint="default"/>
                <w:sz w:val="15"/>
                <w:szCs w:val="15"/>
              </w:rPr>
              <w:t>瑞士法郎</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计算机软硬件，技术咨</w:t>
            </w:r>
          </w:p>
        </w:tc>
        <w:tc>
          <w:tcPr>
            <w:tcW w:w="992"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514"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175" w:lineRule="exact"/>
              <w:ind w:left="122" w:right="0"/>
              <w:jc w:val="left"/>
              <w:rPr>
                <w:rFonts w:ascii="宋体" w:hAnsi="宋体" w:cs="宋体" w:eastAsia="宋体" w:hint="default"/>
                <w:sz w:val="15"/>
                <w:szCs w:val="15"/>
              </w:rPr>
            </w:pPr>
            <w:r>
              <w:rPr>
                <w:rFonts w:ascii="宋体" w:hAnsi="宋体" w:cs="宋体" w:eastAsia="宋体" w:hint="default"/>
                <w:sz w:val="15"/>
                <w:szCs w:val="15"/>
              </w:rPr>
              <w:t>东软（欧洲）有限公司</w:t>
            </w:r>
          </w:p>
        </w:tc>
        <w:tc>
          <w:tcPr>
            <w:tcW w:w="742" w:type="dxa"/>
            <w:tcBorders>
              <w:top w:val="nil" w:sz="6" w:space="0" w:color="auto"/>
              <w:left w:val="nil" w:sz="6" w:space="0" w:color="auto"/>
              <w:bottom w:val="nil" w:sz="6" w:space="0" w:color="auto"/>
              <w:right w:val="nil" w:sz="6" w:space="0" w:color="auto"/>
            </w:tcBorders>
          </w:tcPr>
          <w:p>
            <w:pPr>
              <w:pStyle w:val="TableParagraph"/>
              <w:spacing w:line="175" w:lineRule="exact"/>
              <w:ind w:left="244"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576" w:type="dxa"/>
            <w:tcBorders>
              <w:top w:val="nil" w:sz="6" w:space="0" w:color="auto"/>
              <w:left w:val="nil" w:sz="6" w:space="0" w:color="auto"/>
              <w:bottom w:val="nil" w:sz="6" w:space="0" w:color="auto"/>
              <w:right w:val="nil" w:sz="6" w:space="0" w:color="auto"/>
            </w:tcBorders>
          </w:tcPr>
          <w:p>
            <w:pPr>
              <w:pStyle w:val="TableParagraph"/>
              <w:spacing w:line="175" w:lineRule="exact"/>
              <w:ind w:left="112" w:right="0"/>
              <w:jc w:val="left"/>
              <w:rPr>
                <w:rFonts w:ascii="宋体" w:hAnsi="宋体" w:cs="宋体" w:eastAsia="宋体" w:hint="default"/>
                <w:sz w:val="15"/>
                <w:szCs w:val="15"/>
              </w:rPr>
            </w:pPr>
            <w:r>
              <w:rPr>
                <w:rFonts w:ascii="宋体" w:hAnsi="宋体" w:cs="宋体" w:eastAsia="宋体" w:hint="default"/>
                <w:sz w:val="15"/>
                <w:szCs w:val="15"/>
              </w:rPr>
              <w:t>瑞士</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105"/>
              <w:jc w:val="right"/>
              <w:rPr>
                <w:rFonts w:ascii="Times New Roman" w:hAnsi="Times New Roman" w:cs="Times New Roman" w:eastAsia="Times New Roman" w:hint="default"/>
                <w:sz w:val="15"/>
                <w:szCs w:val="15"/>
              </w:rPr>
            </w:pPr>
            <w:r>
              <w:rPr>
                <w:rFonts w:ascii="Times New Roman"/>
                <w:spacing w:val="-1"/>
                <w:sz w:val="15"/>
              </w:rPr>
              <w:t>37,900,000</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询、服务等</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9" w:right="0"/>
              <w:jc w:val="left"/>
              <w:rPr>
                <w:rFonts w:ascii="Times New Roman" w:hAnsi="Times New Roman" w:cs="Times New Roman" w:eastAsia="Times New Roman" w:hint="default"/>
                <w:sz w:val="15"/>
                <w:szCs w:val="15"/>
              </w:rPr>
            </w:pPr>
            <w:r>
              <w:rPr>
                <w:rFonts w:ascii="Times New Roman"/>
                <w:sz w:val="15"/>
              </w:rPr>
              <w:t>259,661,002</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9"/>
              <w:jc w:val="center"/>
              <w:rPr>
                <w:rFonts w:ascii="Times New Roman" w:hAnsi="Times New Roman" w:cs="Times New Roman" w:eastAsia="Times New Roman" w:hint="default"/>
                <w:sz w:val="15"/>
                <w:szCs w:val="15"/>
              </w:rPr>
            </w:pPr>
            <w:r>
              <w:rPr>
                <w:rFonts w:ascii="Times New Roman"/>
                <w:sz w:val="15"/>
              </w:rPr>
              <w:t>100</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
              <w:jc w:val="center"/>
              <w:rPr>
                <w:rFonts w:ascii="Times New Roman" w:hAnsi="Times New Roman" w:cs="Times New Roman" w:eastAsia="Times New Roman" w:hint="default"/>
                <w:sz w:val="15"/>
                <w:szCs w:val="15"/>
              </w:rPr>
            </w:pPr>
            <w:r>
              <w:rPr>
                <w:rFonts w:ascii="Times New Roman"/>
                <w:sz w:val="15"/>
              </w:rPr>
              <w:t>100</w:t>
            </w:r>
          </w:p>
        </w:tc>
        <w:tc>
          <w:tcPr>
            <w:tcW w:w="555" w:type="dxa"/>
            <w:tcBorders>
              <w:top w:val="nil" w:sz="6" w:space="0" w:color="auto"/>
              <w:left w:val="nil" w:sz="6" w:space="0" w:color="auto"/>
              <w:bottom w:val="nil" w:sz="6" w:space="0" w:color="auto"/>
              <w:right w:val="nil" w:sz="6" w:space="0" w:color="auto"/>
            </w:tcBorders>
          </w:tcPr>
          <w:p>
            <w:pPr>
              <w:pStyle w:val="TableParagraph"/>
              <w:spacing w:line="175" w:lineRule="exact"/>
              <w:ind w:right="45"/>
              <w:jc w:val="center"/>
              <w:rPr>
                <w:rFonts w:ascii="宋体" w:hAnsi="宋体" w:cs="宋体" w:eastAsia="宋体" w:hint="default"/>
                <w:sz w:val="15"/>
                <w:szCs w:val="15"/>
              </w:rPr>
            </w:pPr>
            <w:r>
              <w:rPr>
                <w:rFonts w:ascii="宋体" w:hAnsi="宋体" w:cs="宋体" w:eastAsia="宋体" w:hint="default"/>
                <w:sz w:val="15"/>
                <w:szCs w:val="15"/>
              </w:rPr>
              <w:t>是</w:t>
            </w: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296" w:hRule="exact"/>
        </w:trPr>
        <w:tc>
          <w:tcPr>
            <w:tcW w:w="2136"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7" w:right="0"/>
              <w:jc w:val="left"/>
              <w:rPr>
                <w:rFonts w:ascii="宋体" w:hAnsi="宋体" w:cs="宋体" w:eastAsia="宋体" w:hint="default"/>
                <w:sz w:val="15"/>
                <w:szCs w:val="15"/>
              </w:rPr>
            </w:pPr>
            <w:r>
              <w:rPr>
                <w:rFonts w:ascii="宋体" w:hAnsi="宋体" w:cs="宋体" w:eastAsia="宋体" w:hint="default"/>
                <w:sz w:val="15"/>
                <w:szCs w:val="15"/>
              </w:rPr>
              <w:t>计算机软硬件，技术咨</w:t>
            </w:r>
          </w:p>
        </w:tc>
        <w:tc>
          <w:tcPr>
            <w:tcW w:w="992"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505"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175" w:lineRule="exact"/>
              <w:ind w:left="122" w:right="0"/>
              <w:jc w:val="left"/>
              <w:rPr>
                <w:rFonts w:ascii="宋体" w:hAnsi="宋体" w:cs="宋体" w:eastAsia="宋体" w:hint="default"/>
                <w:sz w:val="15"/>
                <w:szCs w:val="15"/>
              </w:rPr>
            </w:pPr>
            <w:r>
              <w:rPr>
                <w:rFonts w:ascii="宋体" w:hAnsi="宋体" w:cs="宋体" w:eastAsia="宋体" w:hint="default"/>
                <w:sz w:val="15"/>
                <w:szCs w:val="15"/>
              </w:rPr>
              <w:t>东软集团（唐山）有限公司</w:t>
            </w:r>
          </w:p>
        </w:tc>
        <w:tc>
          <w:tcPr>
            <w:tcW w:w="742" w:type="dxa"/>
            <w:tcBorders>
              <w:top w:val="nil" w:sz="6" w:space="0" w:color="auto"/>
              <w:left w:val="nil" w:sz="6" w:space="0" w:color="auto"/>
              <w:bottom w:val="nil" w:sz="6" w:space="0" w:color="auto"/>
              <w:right w:val="nil" w:sz="6" w:space="0" w:color="auto"/>
            </w:tcBorders>
          </w:tcPr>
          <w:p>
            <w:pPr>
              <w:pStyle w:val="TableParagraph"/>
              <w:spacing w:line="175" w:lineRule="exact"/>
              <w:ind w:left="244"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576" w:type="dxa"/>
            <w:tcBorders>
              <w:top w:val="nil" w:sz="6" w:space="0" w:color="auto"/>
              <w:left w:val="nil" w:sz="6" w:space="0" w:color="auto"/>
              <w:bottom w:val="nil" w:sz="6" w:space="0" w:color="auto"/>
              <w:right w:val="nil" w:sz="6" w:space="0" w:color="auto"/>
            </w:tcBorders>
          </w:tcPr>
          <w:p>
            <w:pPr>
              <w:pStyle w:val="TableParagraph"/>
              <w:spacing w:line="175" w:lineRule="exact"/>
              <w:ind w:left="112" w:right="0"/>
              <w:jc w:val="left"/>
              <w:rPr>
                <w:rFonts w:ascii="宋体" w:hAnsi="宋体" w:cs="宋体" w:eastAsia="宋体" w:hint="default"/>
                <w:sz w:val="15"/>
                <w:szCs w:val="15"/>
              </w:rPr>
            </w:pPr>
            <w:r>
              <w:rPr>
                <w:rFonts w:ascii="宋体" w:hAnsi="宋体" w:cs="宋体" w:eastAsia="宋体" w:hint="default"/>
                <w:sz w:val="15"/>
                <w:szCs w:val="15"/>
              </w:rPr>
              <w:t>唐山</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5"/>
                <w:szCs w:val="15"/>
              </w:rPr>
            </w:pPr>
            <w:r>
              <w:rPr>
                <w:rFonts w:ascii="Times New Roman"/>
                <w:spacing w:val="-1"/>
                <w:sz w:val="15"/>
              </w:rPr>
              <w:t>30,000,000</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询、服务等</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84" w:right="0"/>
              <w:jc w:val="left"/>
              <w:rPr>
                <w:rFonts w:ascii="Times New Roman" w:hAnsi="Times New Roman" w:cs="Times New Roman" w:eastAsia="Times New Roman" w:hint="default"/>
                <w:sz w:val="15"/>
                <w:szCs w:val="15"/>
              </w:rPr>
            </w:pPr>
            <w:r>
              <w:rPr>
                <w:rFonts w:ascii="Times New Roman"/>
                <w:sz w:val="15"/>
              </w:rPr>
              <w:t>30,000,000</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9"/>
              <w:jc w:val="center"/>
              <w:rPr>
                <w:rFonts w:ascii="Times New Roman" w:hAnsi="Times New Roman" w:cs="Times New Roman" w:eastAsia="Times New Roman" w:hint="default"/>
                <w:sz w:val="15"/>
                <w:szCs w:val="15"/>
              </w:rPr>
            </w:pPr>
            <w:r>
              <w:rPr>
                <w:rFonts w:ascii="Times New Roman"/>
                <w:sz w:val="15"/>
              </w:rPr>
              <w:t>100</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
              <w:jc w:val="center"/>
              <w:rPr>
                <w:rFonts w:ascii="Times New Roman" w:hAnsi="Times New Roman" w:cs="Times New Roman" w:eastAsia="Times New Roman" w:hint="default"/>
                <w:sz w:val="15"/>
                <w:szCs w:val="15"/>
              </w:rPr>
            </w:pPr>
            <w:r>
              <w:rPr>
                <w:rFonts w:ascii="Times New Roman"/>
                <w:sz w:val="15"/>
              </w:rPr>
              <w:t>100</w:t>
            </w:r>
          </w:p>
        </w:tc>
        <w:tc>
          <w:tcPr>
            <w:tcW w:w="555" w:type="dxa"/>
            <w:tcBorders>
              <w:top w:val="nil" w:sz="6" w:space="0" w:color="auto"/>
              <w:left w:val="nil" w:sz="6" w:space="0" w:color="auto"/>
              <w:bottom w:val="nil" w:sz="6" w:space="0" w:color="auto"/>
              <w:right w:val="nil" w:sz="6" w:space="0" w:color="auto"/>
            </w:tcBorders>
          </w:tcPr>
          <w:p>
            <w:pPr>
              <w:pStyle w:val="TableParagraph"/>
              <w:spacing w:line="175" w:lineRule="exact"/>
              <w:ind w:right="45"/>
              <w:jc w:val="center"/>
              <w:rPr>
                <w:rFonts w:ascii="宋体" w:hAnsi="宋体" w:cs="宋体" w:eastAsia="宋体" w:hint="default"/>
                <w:sz w:val="15"/>
                <w:szCs w:val="15"/>
              </w:rPr>
            </w:pPr>
            <w:r>
              <w:rPr>
                <w:rFonts w:ascii="宋体" w:hAnsi="宋体" w:cs="宋体" w:eastAsia="宋体" w:hint="default"/>
                <w:sz w:val="15"/>
                <w:szCs w:val="15"/>
              </w:rPr>
              <w:t>是</w:t>
            </w: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305" w:hRule="exact"/>
        </w:trPr>
        <w:tc>
          <w:tcPr>
            <w:tcW w:w="2136"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7" w:right="0"/>
              <w:jc w:val="left"/>
              <w:rPr>
                <w:rFonts w:ascii="宋体" w:hAnsi="宋体" w:cs="宋体" w:eastAsia="宋体" w:hint="default"/>
                <w:sz w:val="15"/>
                <w:szCs w:val="15"/>
              </w:rPr>
            </w:pPr>
            <w:r>
              <w:rPr>
                <w:rFonts w:ascii="宋体" w:hAnsi="宋体" w:cs="宋体" w:eastAsia="宋体" w:hint="default"/>
                <w:sz w:val="15"/>
                <w:szCs w:val="15"/>
              </w:rPr>
              <w:t>计算机软硬件，技术咨</w:t>
            </w:r>
          </w:p>
        </w:tc>
        <w:tc>
          <w:tcPr>
            <w:tcW w:w="992"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505"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175" w:lineRule="exact"/>
              <w:ind w:left="122" w:right="0"/>
              <w:jc w:val="left"/>
              <w:rPr>
                <w:rFonts w:ascii="宋体" w:hAnsi="宋体" w:cs="宋体" w:eastAsia="宋体" w:hint="default"/>
                <w:sz w:val="15"/>
                <w:szCs w:val="15"/>
              </w:rPr>
            </w:pPr>
            <w:r>
              <w:rPr>
                <w:rFonts w:ascii="宋体" w:hAnsi="宋体" w:cs="宋体" w:eastAsia="宋体" w:hint="default"/>
                <w:sz w:val="15"/>
                <w:szCs w:val="15"/>
              </w:rPr>
              <w:t>东软集团（海南）有限公司</w:t>
            </w:r>
          </w:p>
        </w:tc>
        <w:tc>
          <w:tcPr>
            <w:tcW w:w="742" w:type="dxa"/>
            <w:tcBorders>
              <w:top w:val="nil" w:sz="6" w:space="0" w:color="auto"/>
              <w:left w:val="nil" w:sz="6" w:space="0" w:color="auto"/>
              <w:bottom w:val="nil" w:sz="6" w:space="0" w:color="auto"/>
              <w:right w:val="nil" w:sz="6" w:space="0" w:color="auto"/>
            </w:tcBorders>
          </w:tcPr>
          <w:p>
            <w:pPr>
              <w:pStyle w:val="TableParagraph"/>
              <w:spacing w:line="175" w:lineRule="exact"/>
              <w:ind w:left="244"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576" w:type="dxa"/>
            <w:tcBorders>
              <w:top w:val="nil" w:sz="6" w:space="0" w:color="auto"/>
              <w:left w:val="nil" w:sz="6" w:space="0" w:color="auto"/>
              <w:bottom w:val="nil" w:sz="6" w:space="0" w:color="auto"/>
              <w:right w:val="nil" w:sz="6" w:space="0" w:color="auto"/>
            </w:tcBorders>
          </w:tcPr>
          <w:p>
            <w:pPr>
              <w:pStyle w:val="TableParagraph"/>
              <w:spacing w:line="175" w:lineRule="exact"/>
              <w:ind w:left="112" w:right="0"/>
              <w:jc w:val="left"/>
              <w:rPr>
                <w:rFonts w:ascii="宋体" w:hAnsi="宋体" w:cs="宋体" w:eastAsia="宋体" w:hint="default"/>
                <w:sz w:val="15"/>
                <w:szCs w:val="15"/>
              </w:rPr>
            </w:pPr>
            <w:r>
              <w:rPr>
                <w:rFonts w:ascii="宋体" w:hAnsi="宋体" w:cs="宋体" w:eastAsia="宋体" w:hint="default"/>
                <w:sz w:val="15"/>
                <w:szCs w:val="15"/>
              </w:rPr>
              <w:t>海南</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5"/>
                <w:szCs w:val="15"/>
              </w:rPr>
            </w:pPr>
            <w:r>
              <w:rPr>
                <w:rFonts w:ascii="Times New Roman"/>
                <w:spacing w:val="-1"/>
                <w:sz w:val="15"/>
              </w:rPr>
              <w:t>100,000,000</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询、服务等</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9" w:right="0"/>
              <w:jc w:val="left"/>
              <w:rPr>
                <w:rFonts w:ascii="Times New Roman" w:hAnsi="Times New Roman" w:cs="Times New Roman" w:eastAsia="Times New Roman" w:hint="default"/>
                <w:sz w:val="15"/>
                <w:szCs w:val="15"/>
              </w:rPr>
            </w:pPr>
            <w:r>
              <w:rPr>
                <w:rFonts w:ascii="Times New Roman"/>
                <w:sz w:val="15"/>
              </w:rPr>
              <w:t>100,000,000</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9"/>
              <w:jc w:val="center"/>
              <w:rPr>
                <w:rFonts w:ascii="Times New Roman" w:hAnsi="Times New Roman" w:cs="Times New Roman" w:eastAsia="Times New Roman" w:hint="default"/>
                <w:sz w:val="15"/>
                <w:szCs w:val="15"/>
              </w:rPr>
            </w:pPr>
            <w:r>
              <w:rPr>
                <w:rFonts w:ascii="Times New Roman"/>
                <w:sz w:val="15"/>
              </w:rPr>
              <w:t>100</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
              <w:jc w:val="center"/>
              <w:rPr>
                <w:rFonts w:ascii="Times New Roman" w:hAnsi="Times New Roman" w:cs="Times New Roman" w:eastAsia="Times New Roman" w:hint="default"/>
                <w:sz w:val="15"/>
                <w:szCs w:val="15"/>
              </w:rPr>
            </w:pPr>
            <w:r>
              <w:rPr>
                <w:rFonts w:ascii="Times New Roman"/>
                <w:sz w:val="15"/>
              </w:rPr>
              <w:t>100</w:t>
            </w:r>
          </w:p>
        </w:tc>
        <w:tc>
          <w:tcPr>
            <w:tcW w:w="555" w:type="dxa"/>
            <w:tcBorders>
              <w:top w:val="nil" w:sz="6" w:space="0" w:color="auto"/>
              <w:left w:val="nil" w:sz="6" w:space="0" w:color="auto"/>
              <w:bottom w:val="nil" w:sz="6" w:space="0" w:color="auto"/>
              <w:right w:val="nil" w:sz="6" w:space="0" w:color="auto"/>
            </w:tcBorders>
          </w:tcPr>
          <w:p>
            <w:pPr>
              <w:pStyle w:val="TableParagraph"/>
              <w:spacing w:line="175" w:lineRule="exact"/>
              <w:ind w:right="45"/>
              <w:jc w:val="center"/>
              <w:rPr>
                <w:rFonts w:ascii="宋体" w:hAnsi="宋体" w:cs="宋体" w:eastAsia="宋体" w:hint="default"/>
                <w:sz w:val="15"/>
                <w:szCs w:val="15"/>
              </w:rPr>
            </w:pPr>
            <w:r>
              <w:rPr>
                <w:rFonts w:ascii="宋体" w:hAnsi="宋体" w:cs="宋体" w:eastAsia="宋体" w:hint="default"/>
                <w:sz w:val="15"/>
                <w:szCs w:val="15"/>
              </w:rPr>
              <w:t>是</w:t>
            </w: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305" w:hRule="exact"/>
        </w:trPr>
        <w:tc>
          <w:tcPr>
            <w:tcW w:w="2136"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7" w:right="0"/>
              <w:jc w:val="left"/>
              <w:rPr>
                <w:rFonts w:ascii="宋体" w:hAnsi="宋体" w:cs="宋体" w:eastAsia="宋体" w:hint="default"/>
                <w:sz w:val="15"/>
                <w:szCs w:val="15"/>
              </w:rPr>
            </w:pPr>
            <w:r>
              <w:rPr>
                <w:rFonts w:ascii="宋体" w:hAnsi="宋体" w:cs="宋体" w:eastAsia="宋体" w:hint="default"/>
                <w:sz w:val="15"/>
                <w:szCs w:val="15"/>
              </w:rPr>
              <w:t>计算机软硬件，技术咨</w:t>
            </w:r>
          </w:p>
        </w:tc>
        <w:tc>
          <w:tcPr>
            <w:tcW w:w="992"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505" w:hRule="exact"/>
        </w:trPr>
        <w:tc>
          <w:tcPr>
            <w:tcW w:w="2136" w:type="dxa"/>
            <w:tcBorders>
              <w:top w:val="nil" w:sz="6" w:space="0" w:color="auto"/>
              <w:left w:val="nil" w:sz="6" w:space="0" w:color="auto"/>
              <w:bottom w:val="nil" w:sz="6" w:space="0" w:color="auto"/>
              <w:right w:val="nil" w:sz="6" w:space="0" w:color="auto"/>
            </w:tcBorders>
          </w:tcPr>
          <w:p>
            <w:pPr>
              <w:pStyle w:val="TableParagraph"/>
              <w:spacing w:line="175" w:lineRule="exact"/>
              <w:ind w:left="122" w:right="0"/>
              <w:jc w:val="left"/>
              <w:rPr>
                <w:rFonts w:ascii="宋体" w:hAnsi="宋体" w:cs="宋体" w:eastAsia="宋体" w:hint="default"/>
                <w:sz w:val="15"/>
                <w:szCs w:val="15"/>
              </w:rPr>
            </w:pPr>
            <w:r>
              <w:rPr>
                <w:rFonts w:ascii="宋体" w:hAnsi="宋体" w:cs="宋体" w:eastAsia="宋体" w:hint="default"/>
                <w:sz w:val="15"/>
                <w:szCs w:val="15"/>
              </w:rPr>
              <w:t>东软集团（无锡）有限公司</w:t>
            </w:r>
          </w:p>
        </w:tc>
        <w:tc>
          <w:tcPr>
            <w:tcW w:w="742" w:type="dxa"/>
            <w:tcBorders>
              <w:top w:val="nil" w:sz="6" w:space="0" w:color="auto"/>
              <w:left w:val="nil" w:sz="6" w:space="0" w:color="auto"/>
              <w:bottom w:val="nil" w:sz="6" w:space="0" w:color="auto"/>
              <w:right w:val="nil" w:sz="6" w:space="0" w:color="auto"/>
            </w:tcBorders>
          </w:tcPr>
          <w:p>
            <w:pPr>
              <w:pStyle w:val="TableParagraph"/>
              <w:spacing w:line="175" w:lineRule="exact"/>
              <w:ind w:left="244"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576" w:type="dxa"/>
            <w:tcBorders>
              <w:top w:val="nil" w:sz="6" w:space="0" w:color="auto"/>
              <w:left w:val="nil" w:sz="6" w:space="0" w:color="auto"/>
              <w:bottom w:val="nil" w:sz="6" w:space="0" w:color="auto"/>
              <w:right w:val="nil" w:sz="6" w:space="0" w:color="auto"/>
            </w:tcBorders>
          </w:tcPr>
          <w:p>
            <w:pPr>
              <w:pStyle w:val="TableParagraph"/>
              <w:spacing w:line="175" w:lineRule="exact"/>
              <w:ind w:left="112" w:right="0"/>
              <w:jc w:val="left"/>
              <w:rPr>
                <w:rFonts w:ascii="宋体" w:hAnsi="宋体" w:cs="宋体" w:eastAsia="宋体" w:hint="default"/>
                <w:sz w:val="15"/>
                <w:szCs w:val="15"/>
              </w:rPr>
            </w:pPr>
            <w:r>
              <w:rPr>
                <w:rFonts w:ascii="宋体" w:hAnsi="宋体" w:cs="宋体" w:eastAsia="宋体" w:hint="default"/>
                <w:sz w:val="15"/>
                <w:szCs w:val="15"/>
              </w:rPr>
              <w:t>无锡</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5"/>
                <w:szCs w:val="15"/>
              </w:rPr>
            </w:pPr>
            <w:r>
              <w:rPr>
                <w:rFonts w:ascii="Times New Roman"/>
                <w:spacing w:val="-1"/>
                <w:sz w:val="15"/>
              </w:rPr>
              <w:t>20,000,000</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询、服务等</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84" w:right="0"/>
              <w:jc w:val="left"/>
              <w:rPr>
                <w:rFonts w:ascii="Times New Roman" w:hAnsi="Times New Roman" w:cs="Times New Roman" w:eastAsia="Times New Roman" w:hint="default"/>
                <w:sz w:val="15"/>
                <w:szCs w:val="15"/>
              </w:rPr>
            </w:pPr>
            <w:r>
              <w:rPr>
                <w:rFonts w:ascii="Times New Roman"/>
                <w:sz w:val="15"/>
              </w:rPr>
              <w:t>20,000,000</w:t>
            </w: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9"/>
              <w:jc w:val="center"/>
              <w:rPr>
                <w:rFonts w:ascii="Times New Roman" w:hAnsi="Times New Roman" w:cs="Times New Roman" w:eastAsia="Times New Roman" w:hint="default"/>
                <w:sz w:val="15"/>
                <w:szCs w:val="15"/>
              </w:rPr>
            </w:pPr>
            <w:r>
              <w:rPr>
                <w:rFonts w:ascii="Times New Roman"/>
                <w:sz w:val="15"/>
              </w:rPr>
              <w:t>100</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
              <w:jc w:val="center"/>
              <w:rPr>
                <w:rFonts w:ascii="Times New Roman" w:hAnsi="Times New Roman" w:cs="Times New Roman" w:eastAsia="Times New Roman" w:hint="default"/>
                <w:sz w:val="15"/>
                <w:szCs w:val="15"/>
              </w:rPr>
            </w:pPr>
            <w:r>
              <w:rPr>
                <w:rFonts w:ascii="Times New Roman"/>
                <w:sz w:val="15"/>
              </w:rPr>
              <w:t>100</w:t>
            </w:r>
          </w:p>
        </w:tc>
        <w:tc>
          <w:tcPr>
            <w:tcW w:w="555" w:type="dxa"/>
            <w:tcBorders>
              <w:top w:val="nil" w:sz="6" w:space="0" w:color="auto"/>
              <w:left w:val="nil" w:sz="6" w:space="0" w:color="auto"/>
              <w:bottom w:val="nil" w:sz="6" w:space="0" w:color="auto"/>
              <w:right w:val="nil" w:sz="6" w:space="0" w:color="auto"/>
            </w:tcBorders>
          </w:tcPr>
          <w:p>
            <w:pPr>
              <w:pStyle w:val="TableParagraph"/>
              <w:spacing w:line="175" w:lineRule="exact"/>
              <w:ind w:right="45"/>
              <w:jc w:val="center"/>
              <w:rPr>
                <w:rFonts w:ascii="宋体" w:hAnsi="宋体" w:cs="宋体" w:eastAsia="宋体" w:hint="default"/>
                <w:sz w:val="15"/>
                <w:szCs w:val="15"/>
              </w:rPr>
            </w:pPr>
            <w:r>
              <w:rPr>
                <w:rFonts w:ascii="宋体" w:hAnsi="宋体" w:cs="宋体" w:eastAsia="宋体" w:hint="default"/>
                <w:sz w:val="15"/>
                <w:szCs w:val="15"/>
              </w:rPr>
              <w:t>是</w:t>
            </w: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305" w:hRule="exact"/>
        </w:trPr>
        <w:tc>
          <w:tcPr>
            <w:tcW w:w="2136" w:type="dxa"/>
            <w:tcBorders>
              <w:top w:val="nil" w:sz="6" w:space="0" w:color="auto"/>
              <w:left w:val="nil" w:sz="6" w:space="0" w:color="auto"/>
              <w:bottom w:val="nil" w:sz="6" w:space="0" w:color="auto"/>
              <w:right w:val="nil" w:sz="6" w:space="0" w:color="auto"/>
            </w:tcBorders>
          </w:tcPr>
          <w:p>
            <w:pPr/>
          </w:p>
        </w:tc>
        <w:tc>
          <w:tcPr>
            <w:tcW w:w="742"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7" w:right="0"/>
              <w:jc w:val="left"/>
              <w:rPr>
                <w:rFonts w:ascii="宋体" w:hAnsi="宋体" w:cs="宋体" w:eastAsia="宋体" w:hint="default"/>
                <w:sz w:val="15"/>
                <w:szCs w:val="15"/>
              </w:rPr>
            </w:pPr>
            <w:r>
              <w:rPr>
                <w:rFonts w:ascii="宋体" w:hAnsi="宋体" w:cs="宋体" w:eastAsia="宋体" w:hint="default"/>
                <w:sz w:val="15"/>
                <w:szCs w:val="15"/>
              </w:rPr>
              <w:t>计算机软、硬件，开发、</w:t>
            </w:r>
          </w:p>
        </w:tc>
        <w:tc>
          <w:tcPr>
            <w:tcW w:w="992"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458"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555"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740"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414" w:hRule="exact"/>
        </w:trPr>
        <w:tc>
          <w:tcPr>
            <w:tcW w:w="2136" w:type="dxa"/>
            <w:tcBorders>
              <w:top w:val="nil" w:sz="6" w:space="0" w:color="auto"/>
              <w:left w:val="nil" w:sz="6" w:space="0" w:color="auto"/>
              <w:bottom w:val="single" w:sz="12" w:space="0" w:color="000000"/>
              <w:right w:val="nil" w:sz="6" w:space="0" w:color="auto"/>
            </w:tcBorders>
          </w:tcPr>
          <w:p>
            <w:pPr>
              <w:pStyle w:val="TableParagraph"/>
              <w:spacing w:line="175" w:lineRule="exact"/>
              <w:ind w:left="112" w:right="0"/>
              <w:jc w:val="left"/>
              <w:rPr>
                <w:rFonts w:ascii="宋体" w:hAnsi="宋体" w:cs="宋体" w:eastAsia="宋体" w:hint="default"/>
                <w:sz w:val="15"/>
                <w:szCs w:val="15"/>
              </w:rPr>
            </w:pPr>
            <w:r>
              <w:rPr>
                <w:rFonts w:ascii="宋体" w:hAnsi="宋体" w:cs="宋体" w:eastAsia="宋体" w:hint="default"/>
                <w:sz w:val="15"/>
                <w:szCs w:val="15"/>
              </w:rPr>
              <w:t>东软集团（芜湖）有限公司</w:t>
            </w:r>
          </w:p>
        </w:tc>
        <w:tc>
          <w:tcPr>
            <w:tcW w:w="742" w:type="dxa"/>
            <w:tcBorders>
              <w:top w:val="nil" w:sz="6" w:space="0" w:color="auto"/>
              <w:left w:val="nil" w:sz="6" w:space="0" w:color="auto"/>
              <w:bottom w:val="single" w:sz="12" w:space="0" w:color="000000"/>
              <w:right w:val="nil" w:sz="6" w:space="0" w:color="auto"/>
            </w:tcBorders>
          </w:tcPr>
          <w:p>
            <w:pPr>
              <w:pStyle w:val="TableParagraph"/>
              <w:spacing w:line="175" w:lineRule="exact"/>
              <w:ind w:left="213"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576" w:type="dxa"/>
            <w:tcBorders>
              <w:top w:val="nil" w:sz="6" w:space="0" w:color="auto"/>
              <w:left w:val="nil" w:sz="6" w:space="0" w:color="auto"/>
              <w:bottom w:val="single" w:sz="12" w:space="0" w:color="000000"/>
              <w:right w:val="nil" w:sz="6" w:space="0" w:color="auto"/>
            </w:tcBorders>
          </w:tcPr>
          <w:p>
            <w:pPr>
              <w:pStyle w:val="TableParagraph"/>
              <w:spacing w:line="175" w:lineRule="exact"/>
              <w:ind w:left="80" w:right="0"/>
              <w:jc w:val="left"/>
              <w:rPr>
                <w:rFonts w:ascii="宋体" w:hAnsi="宋体" w:cs="宋体" w:eastAsia="宋体" w:hint="default"/>
                <w:sz w:val="15"/>
                <w:szCs w:val="15"/>
              </w:rPr>
            </w:pPr>
            <w:r>
              <w:rPr>
                <w:rFonts w:ascii="宋体" w:hAnsi="宋体" w:cs="宋体" w:eastAsia="宋体" w:hint="default"/>
                <w:sz w:val="15"/>
                <w:szCs w:val="15"/>
              </w:rPr>
              <w:t>芜湖</w:t>
            </w:r>
            <w:r>
              <w:rPr>
                <w:rFonts w:ascii="宋体" w:hAnsi="宋体" w:cs="宋体" w:eastAsia="宋体" w:hint="default"/>
                <w:spacing w:val="45"/>
                <w:sz w:val="15"/>
                <w:szCs w:val="15"/>
              </w:rPr>
              <w:t> </w:t>
            </w:r>
            <w:r>
              <w:rPr>
                <w:rFonts w:ascii="宋体" w:hAnsi="宋体" w:cs="宋体" w:eastAsia="宋体" w:hint="default"/>
                <w:sz w:val="15"/>
                <w:szCs w:val="15"/>
              </w:rPr>
              <w:t>有限责任公司</w:t>
            </w:r>
          </w:p>
        </w:tc>
        <w:tc>
          <w:tcPr>
            <w:tcW w:w="1047"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right="105"/>
              <w:jc w:val="right"/>
              <w:rPr>
                <w:rFonts w:ascii="Times New Roman" w:hAnsi="Times New Roman" w:cs="Times New Roman" w:eastAsia="Times New Roman" w:hint="default"/>
                <w:sz w:val="15"/>
                <w:szCs w:val="15"/>
              </w:rPr>
            </w:pPr>
            <w:r>
              <w:rPr>
                <w:rFonts w:ascii="Times New Roman"/>
                <w:spacing w:val="-1"/>
                <w:sz w:val="15"/>
              </w:rPr>
              <w:t>10,000,000</w:t>
            </w:r>
          </w:p>
        </w:tc>
        <w:tc>
          <w:tcPr>
            <w:tcW w:w="1796"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服务</w:t>
            </w:r>
          </w:p>
        </w:tc>
        <w:tc>
          <w:tcPr>
            <w:tcW w:w="992"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184" w:right="0"/>
              <w:jc w:val="left"/>
              <w:rPr>
                <w:rFonts w:ascii="Times New Roman" w:hAnsi="Times New Roman" w:cs="Times New Roman" w:eastAsia="Times New Roman" w:hint="default"/>
                <w:sz w:val="15"/>
                <w:szCs w:val="15"/>
              </w:rPr>
            </w:pPr>
            <w:r>
              <w:rPr>
                <w:rFonts w:ascii="Times New Roman"/>
                <w:sz w:val="15"/>
              </w:rPr>
              <w:t>10,000,000</w:t>
            </w:r>
          </w:p>
        </w:tc>
        <w:tc>
          <w:tcPr>
            <w:tcW w:w="737" w:type="dxa"/>
            <w:tcBorders>
              <w:top w:val="nil" w:sz="6" w:space="0" w:color="auto"/>
              <w:left w:val="nil" w:sz="6" w:space="0" w:color="auto"/>
              <w:bottom w:val="single" w:sz="12" w:space="0" w:color="000000"/>
              <w:right w:val="nil" w:sz="6" w:space="0" w:color="auto"/>
            </w:tcBorders>
          </w:tcPr>
          <w:p>
            <w:pPr/>
          </w:p>
        </w:tc>
        <w:tc>
          <w:tcPr>
            <w:tcW w:w="458"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right="19"/>
              <w:jc w:val="center"/>
              <w:rPr>
                <w:rFonts w:ascii="Times New Roman" w:hAnsi="Times New Roman" w:cs="Times New Roman" w:eastAsia="Times New Roman" w:hint="default"/>
                <w:sz w:val="15"/>
                <w:szCs w:val="15"/>
              </w:rPr>
            </w:pPr>
            <w:r>
              <w:rPr>
                <w:rFonts w:ascii="Times New Roman"/>
                <w:sz w:val="15"/>
              </w:rPr>
              <w:t>100</w:t>
            </w:r>
          </w:p>
        </w:tc>
        <w:tc>
          <w:tcPr>
            <w:tcW w:w="719"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right="1"/>
              <w:jc w:val="center"/>
              <w:rPr>
                <w:rFonts w:ascii="Times New Roman" w:hAnsi="Times New Roman" w:cs="Times New Roman" w:eastAsia="Times New Roman" w:hint="default"/>
                <w:sz w:val="15"/>
                <w:szCs w:val="15"/>
              </w:rPr>
            </w:pPr>
            <w:r>
              <w:rPr>
                <w:rFonts w:ascii="Times New Roman"/>
                <w:sz w:val="15"/>
              </w:rPr>
              <w:t>100</w:t>
            </w:r>
          </w:p>
        </w:tc>
        <w:tc>
          <w:tcPr>
            <w:tcW w:w="555" w:type="dxa"/>
            <w:tcBorders>
              <w:top w:val="nil" w:sz="6" w:space="0" w:color="auto"/>
              <w:left w:val="nil" w:sz="6" w:space="0" w:color="auto"/>
              <w:bottom w:val="single" w:sz="12" w:space="0" w:color="000000"/>
              <w:right w:val="nil" w:sz="6" w:space="0" w:color="auto"/>
            </w:tcBorders>
          </w:tcPr>
          <w:p>
            <w:pPr>
              <w:pStyle w:val="TableParagraph"/>
              <w:spacing w:line="175" w:lineRule="exact"/>
              <w:ind w:right="45"/>
              <w:jc w:val="center"/>
              <w:rPr>
                <w:rFonts w:ascii="宋体" w:hAnsi="宋体" w:cs="宋体" w:eastAsia="宋体" w:hint="default"/>
                <w:sz w:val="15"/>
                <w:szCs w:val="15"/>
              </w:rPr>
            </w:pPr>
            <w:r>
              <w:rPr>
                <w:rFonts w:ascii="宋体" w:hAnsi="宋体" w:cs="宋体" w:eastAsia="宋体" w:hint="default"/>
                <w:sz w:val="15"/>
                <w:szCs w:val="15"/>
              </w:rPr>
              <w:t>是</w:t>
            </w:r>
          </w:p>
        </w:tc>
        <w:tc>
          <w:tcPr>
            <w:tcW w:w="877" w:type="dxa"/>
            <w:tcBorders>
              <w:top w:val="nil" w:sz="6" w:space="0" w:color="auto"/>
              <w:left w:val="nil" w:sz="6" w:space="0" w:color="auto"/>
              <w:bottom w:val="single" w:sz="12" w:space="0" w:color="000000"/>
              <w:right w:val="nil" w:sz="6" w:space="0" w:color="auto"/>
            </w:tcBorders>
          </w:tcPr>
          <w:p>
            <w:pPr/>
          </w:p>
        </w:tc>
        <w:tc>
          <w:tcPr>
            <w:tcW w:w="740" w:type="dxa"/>
            <w:tcBorders>
              <w:top w:val="nil" w:sz="6" w:space="0" w:color="auto"/>
              <w:left w:val="nil" w:sz="6" w:space="0" w:color="auto"/>
              <w:bottom w:val="single" w:sz="12" w:space="0" w:color="000000"/>
              <w:right w:val="nil" w:sz="6" w:space="0" w:color="auto"/>
            </w:tcBorders>
          </w:tcPr>
          <w:p>
            <w:pPr/>
          </w:p>
        </w:tc>
        <w:tc>
          <w:tcPr>
            <w:tcW w:w="1639" w:type="dxa"/>
            <w:tcBorders>
              <w:top w:val="nil" w:sz="6" w:space="0" w:color="auto"/>
              <w:left w:val="nil" w:sz="6" w:space="0" w:color="auto"/>
              <w:bottom w:val="single" w:sz="12" w:space="0" w:color="000000"/>
              <w:right w:val="nil" w:sz="6" w:space="0" w:color="auto"/>
            </w:tcBorders>
          </w:tcPr>
          <w:p>
            <w:pPr/>
          </w:p>
        </w:tc>
      </w:tr>
    </w:tbl>
    <w:p>
      <w:pPr>
        <w:spacing w:after="0"/>
        <w:sectPr>
          <w:pgSz w:w="16840" w:h="11910" w:orient="landscape"/>
          <w:pgMar w:header="883" w:footer="999" w:top="1600" w:bottom="1180" w:left="1300" w:right="66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6"/>
          <w:szCs w:val="16"/>
        </w:rPr>
      </w:pPr>
    </w:p>
    <w:p>
      <w:pPr>
        <w:spacing w:after="0" w:line="240" w:lineRule="auto"/>
        <w:rPr>
          <w:rFonts w:ascii="Times New Roman" w:hAnsi="Times New Roman" w:cs="Times New Roman" w:eastAsia="Times New Roman" w:hint="default"/>
          <w:sz w:val="16"/>
          <w:szCs w:val="16"/>
        </w:rPr>
        <w:sectPr>
          <w:pgSz w:w="16840" w:h="11910" w:orient="landscape"/>
          <w:pgMar w:header="883" w:footer="999" w:top="1600" w:bottom="1180" w:left="1300" w:right="660"/>
        </w:sect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before="88"/>
        <w:ind w:left="0" w:right="0" w:firstLine="0"/>
        <w:jc w:val="right"/>
        <w:rPr>
          <w:rFonts w:ascii="宋体" w:hAnsi="宋体" w:cs="宋体" w:eastAsia="宋体" w:hint="default"/>
          <w:sz w:val="15"/>
          <w:szCs w:val="15"/>
        </w:rPr>
      </w:pPr>
      <w:r>
        <w:rPr>
          <w:rFonts w:ascii="宋体" w:hAnsi="宋体" w:cs="宋体" w:eastAsia="宋体" w:hint="default"/>
          <w:sz w:val="15"/>
          <w:szCs w:val="15"/>
        </w:rPr>
        <w:t>子公司全称</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before="121"/>
        <w:ind w:left="793" w:right="-19" w:firstLine="0"/>
        <w:jc w:val="left"/>
        <w:rPr>
          <w:rFonts w:ascii="宋体" w:hAnsi="宋体" w:cs="宋体" w:eastAsia="宋体" w:hint="default"/>
          <w:sz w:val="15"/>
          <w:szCs w:val="15"/>
        </w:rPr>
      </w:pPr>
      <w:r>
        <w:rPr>
          <w:rFonts w:ascii="宋体" w:hAnsi="宋体" w:cs="宋体" w:eastAsia="宋体" w:hint="default"/>
          <w:sz w:val="15"/>
          <w:szCs w:val="15"/>
        </w:rPr>
        <w:t>子公司</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8"/>
        <w:rPr>
          <w:rFonts w:ascii="宋体" w:hAnsi="宋体" w:cs="宋体" w:eastAsia="宋体" w:hint="default"/>
          <w:sz w:val="10"/>
          <w:szCs w:val="10"/>
        </w:rPr>
      </w:pPr>
    </w:p>
    <w:p>
      <w:pPr>
        <w:tabs>
          <w:tab w:pos="1769" w:val="left" w:leader="none"/>
          <w:tab w:pos="3244" w:val="left" w:leader="none"/>
        </w:tabs>
        <w:spacing w:before="0"/>
        <w:ind w:left="78" w:right="-20" w:firstLine="0"/>
        <w:jc w:val="left"/>
        <w:rPr>
          <w:rFonts w:ascii="宋体" w:hAnsi="宋体" w:cs="宋体" w:eastAsia="宋体" w:hint="default"/>
          <w:sz w:val="15"/>
          <w:szCs w:val="15"/>
        </w:rPr>
      </w:pPr>
      <w:r>
        <w:rPr>
          <w:rFonts w:ascii="宋体" w:hAnsi="宋体" w:cs="宋体" w:eastAsia="宋体" w:hint="default"/>
          <w:sz w:val="15"/>
          <w:szCs w:val="15"/>
        </w:rPr>
        <w:t>注册地</w:t>
      </w:r>
      <w:r>
        <w:rPr>
          <w:rFonts w:ascii="宋体" w:hAnsi="宋体" w:cs="宋体" w:eastAsia="宋体" w:hint="default"/>
          <w:spacing w:val="66"/>
          <w:sz w:val="15"/>
          <w:szCs w:val="15"/>
        </w:rPr>
        <w:t> </w:t>
      </w:r>
      <w:r>
        <w:rPr>
          <w:rFonts w:ascii="宋体" w:hAnsi="宋体" w:cs="宋体" w:eastAsia="宋体" w:hint="default"/>
          <w:sz w:val="15"/>
          <w:szCs w:val="15"/>
        </w:rPr>
        <w:t>企业性质</w:t>
        <w:tab/>
        <w:t>注册资本</w:t>
        <w:tab/>
        <w:t>经营范围</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before="121"/>
        <w:ind w:left="592" w:right="-20" w:firstLine="0"/>
        <w:jc w:val="left"/>
        <w:rPr>
          <w:rFonts w:ascii="宋体" w:hAnsi="宋体" w:cs="宋体" w:eastAsia="宋体" w:hint="default"/>
          <w:sz w:val="15"/>
          <w:szCs w:val="15"/>
        </w:rPr>
      </w:pPr>
      <w:r>
        <w:rPr>
          <w:rFonts w:ascii="宋体" w:hAnsi="宋体" w:cs="宋体" w:eastAsia="宋体" w:hint="default"/>
          <w:sz w:val="15"/>
          <w:szCs w:val="15"/>
        </w:rPr>
        <w:t>期末实际投资</w:t>
      </w:r>
    </w:p>
    <w:p>
      <w:pPr>
        <w:spacing w:line="240" w:lineRule="auto" w:before="5"/>
        <w:rPr>
          <w:rFonts w:ascii="宋体" w:hAnsi="宋体" w:cs="宋体" w:eastAsia="宋体" w:hint="default"/>
          <w:sz w:val="19"/>
          <w:szCs w:val="19"/>
        </w:rPr>
      </w:pPr>
      <w:r>
        <w:rPr/>
        <w:br w:type="column"/>
      </w:r>
      <w:r>
        <w:rPr>
          <w:rFonts w:ascii="宋体"/>
          <w:sz w:val="19"/>
        </w:rPr>
      </w:r>
    </w:p>
    <w:p>
      <w:pPr>
        <w:spacing w:line="489" w:lineRule="auto" w:before="0"/>
        <w:ind w:left="66" w:right="-20" w:firstLine="0"/>
        <w:jc w:val="left"/>
        <w:rPr>
          <w:rFonts w:ascii="宋体" w:hAnsi="宋体" w:cs="宋体" w:eastAsia="宋体" w:hint="default"/>
          <w:sz w:val="15"/>
          <w:szCs w:val="15"/>
        </w:rPr>
      </w:pPr>
      <w:r>
        <w:rPr>
          <w:rFonts w:ascii="宋体" w:hAnsi="宋体" w:cs="宋体" w:eastAsia="宋体" w:hint="default"/>
          <w:sz w:val="15"/>
          <w:szCs w:val="15"/>
        </w:rPr>
        <w:t>实质上构 成对子公</w:t>
      </w:r>
    </w:p>
    <w:p>
      <w:pPr>
        <w:spacing w:before="48"/>
        <w:ind w:left="66" w:right="-20" w:firstLine="0"/>
        <w:jc w:val="left"/>
        <w:rPr>
          <w:rFonts w:ascii="宋体" w:hAnsi="宋体" w:cs="宋体" w:eastAsia="宋体" w:hint="default"/>
          <w:sz w:val="15"/>
          <w:szCs w:val="15"/>
        </w:rPr>
      </w:pPr>
      <w:r>
        <w:rPr>
          <w:rFonts w:ascii="宋体" w:hAnsi="宋体" w:cs="宋体" w:eastAsia="宋体" w:hint="default"/>
          <w:sz w:val="15"/>
          <w:szCs w:val="15"/>
        </w:rPr>
        <w:t>司净投资</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before="104"/>
        <w:ind w:left="127" w:right="-20" w:firstLine="0"/>
        <w:jc w:val="left"/>
        <w:rPr>
          <w:rFonts w:ascii="宋体" w:hAnsi="宋体" w:cs="宋体" w:eastAsia="宋体" w:hint="default"/>
          <w:sz w:val="15"/>
          <w:szCs w:val="15"/>
        </w:rPr>
      </w:pPr>
      <w:r>
        <w:rPr>
          <w:rFonts w:ascii="宋体" w:hAnsi="宋体" w:cs="宋体" w:eastAsia="宋体" w:hint="default"/>
          <w:sz w:val="15"/>
          <w:szCs w:val="15"/>
        </w:rPr>
        <w:t>持股</w:t>
      </w:r>
    </w:p>
    <w:p>
      <w:pPr>
        <w:spacing w:before="4"/>
        <w:ind w:left="575" w:right="-20" w:firstLine="0"/>
        <w:jc w:val="left"/>
        <w:rPr>
          <w:rFonts w:ascii="宋体" w:hAnsi="宋体" w:cs="宋体" w:eastAsia="宋体" w:hint="default"/>
          <w:sz w:val="15"/>
          <w:szCs w:val="15"/>
        </w:rPr>
      </w:pPr>
      <w:r>
        <w:rPr>
          <w:rFonts w:ascii="宋体" w:hAnsi="宋体" w:cs="宋体" w:eastAsia="宋体" w:hint="default"/>
          <w:sz w:val="15"/>
          <w:szCs w:val="15"/>
        </w:rPr>
        <w:t>表决权比</w:t>
      </w:r>
      <w:r>
        <w:rPr>
          <w:rFonts w:ascii="宋体" w:hAnsi="宋体" w:cs="宋体" w:eastAsia="宋体" w:hint="default"/>
          <w:spacing w:val="16"/>
          <w:sz w:val="15"/>
          <w:szCs w:val="15"/>
        </w:rPr>
        <w:t> </w:t>
      </w:r>
      <w:r>
        <w:rPr>
          <w:rFonts w:ascii="宋体" w:hAnsi="宋体" w:cs="宋体" w:eastAsia="宋体" w:hint="default"/>
          <w:sz w:val="15"/>
          <w:szCs w:val="15"/>
        </w:rPr>
        <w:t>是否合</w:t>
      </w:r>
    </w:p>
    <w:p>
      <w:pPr>
        <w:spacing w:before="4"/>
        <w:ind w:left="127" w:right="-20" w:firstLine="0"/>
        <w:jc w:val="left"/>
        <w:rPr>
          <w:rFonts w:ascii="宋体" w:hAnsi="宋体" w:cs="宋体" w:eastAsia="宋体" w:hint="default"/>
          <w:sz w:val="15"/>
          <w:szCs w:val="15"/>
        </w:rPr>
      </w:pPr>
      <w:r>
        <w:rPr>
          <w:rFonts w:ascii="宋体" w:hAnsi="宋体" w:cs="宋体" w:eastAsia="宋体" w:hint="default"/>
          <w:sz w:val="15"/>
          <w:szCs w:val="15"/>
        </w:rPr>
        <w:t>比例</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before="121"/>
        <w:ind w:left="78" w:right="-20" w:firstLine="0"/>
        <w:jc w:val="left"/>
        <w:rPr>
          <w:rFonts w:ascii="宋体" w:hAnsi="宋体" w:cs="宋体" w:eastAsia="宋体" w:hint="default"/>
          <w:sz w:val="15"/>
          <w:szCs w:val="15"/>
        </w:rPr>
      </w:pPr>
      <w:r>
        <w:rPr>
          <w:rFonts w:ascii="宋体" w:hAnsi="宋体" w:cs="宋体" w:eastAsia="宋体" w:hint="default"/>
          <w:sz w:val="15"/>
          <w:szCs w:val="15"/>
        </w:rPr>
        <w:t>少数股东权</w:t>
      </w:r>
    </w:p>
    <w:p>
      <w:pPr>
        <w:spacing w:line="240" w:lineRule="auto" w:before="5"/>
        <w:rPr>
          <w:rFonts w:ascii="宋体" w:hAnsi="宋体" w:cs="宋体" w:eastAsia="宋体" w:hint="default"/>
          <w:sz w:val="19"/>
          <w:szCs w:val="19"/>
        </w:rPr>
      </w:pPr>
      <w:r>
        <w:rPr/>
        <w:br w:type="column"/>
      </w:r>
      <w:r>
        <w:rPr>
          <w:rFonts w:ascii="宋体"/>
          <w:sz w:val="19"/>
        </w:rPr>
      </w:r>
    </w:p>
    <w:p>
      <w:pPr>
        <w:spacing w:line="489" w:lineRule="auto" w:before="0"/>
        <w:ind w:left="94" w:right="-20" w:firstLine="0"/>
        <w:jc w:val="left"/>
        <w:rPr>
          <w:rFonts w:ascii="宋体" w:hAnsi="宋体" w:cs="宋体" w:eastAsia="宋体" w:hint="default"/>
          <w:sz w:val="15"/>
          <w:szCs w:val="15"/>
        </w:rPr>
      </w:pPr>
      <w:r>
        <w:rPr>
          <w:rFonts w:ascii="宋体" w:hAnsi="宋体" w:cs="宋体" w:eastAsia="宋体" w:hint="default"/>
          <w:sz w:val="15"/>
          <w:szCs w:val="15"/>
        </w:rPr>
        <w:t>少数股东 权益中用</w:t>
      </w:r>
    </w:p>
    <w:p>
      <w:pPr>
        <w:spacing w:before="48"/>
        <w:ind w:left="94" w:right="-20" w:firstLine="0"/>
        <w:jc w:val="left"/>
        <w:rPr>
          <w:rFonts w:ascii="宋体" w:hAnsi="宋体" w:cs="宋体" w:eastAsia="宋体" w:hint="default"/>
          <w:sz w:val="15"/>
          <w:szCs w:val="15"/>
        </w:rPr>
      </w:pPr>
      <w:r>
        <w:rPr>
          <w:rFonts w:ascii="宋体" w:hAnsi="宋体" w:cs="宋体" w:eastAsia="宋体" w:hint="default"/>
          <w:sz w:val="15"/>
          <w:szCs w:val="15"/>
        </w:rPr>
        <w:t>于冲减少</w:t>
      </w:r>
    </w:p>
    <w:p>
      <w:pPr>
        <w:spacing w:line="489" w:lineRule="auto" w:before="53"/>
        <w:ind w:left="106" w:right="194" w:firstLine="0"/>
        <w:jc w:val="both"/>
        <w:rPr>
          <w:rFonts w:ascii="宋体" w:hAnsi="宋体" w:cs="宋体" w:eastAsia="宋体" w:hint="default"/>
          <w:sz w:val="15"/>
          <w:szCs w:val="15"/>
        </w:rPr>
      </w:pPr>
      <w:r>
        <w:rPr/>
        <w:br w:type="column"/>
      </w:r>
      <w:r>
        <w:rPr>
          <w:rFonts w:ascii="宋体" w:hAnsi="宋体" w:cs="宋体" w:eastAsia="宋体" w:hint="default"/>
          <w:sz w:val="15"/>
          <w:szCs w:val="15"/>
        </w:rPr>
        <w:t>从母公司所有者权益冲 减子公司少数股东分担 的本期亏损超过少数股</w:t>
      </w:r>
    </w:p>
    <w:p>
      <w:pPr>
        <w:spacing w:after="0" w:line="489" w:lineRule="auto"/>
        <w:jc w:val="both"/>
        <w:rPr>
          <w:rFonts w:ascii="宋体" w:hAnsi="宋体" w:cs="宋体" w:eastAsia="宋体" w:hint="default"/>
          <w:sz w:val="15"/>
          <w:szCs w:val="15"/>
        </w:rPr>
        <w:sectPr>
          <w:type w:val="continuous"/>
          <w:pgSz w:w="16840" w:h="11910" w:orient="landscape"/>
          <w:pgMar w:top="1600" w:bottom="280" w:left="1300" w:right="660"/>
          <w:cols w:num="9" w:equalWidth="0">
            <w:col w:w="2270" w:space="40"/>
            <w:col w:w="1244" w:space="40"/>
            <w:col w:w="3845" w:space="40"/>
            <w:col w:w="1493" w:space="40"/>
            <w:col w:w="667" w:space="40"/>
            <w:col w:w="1717" w:space="40"/>
            <w:col w:w="829" w:space="40"/>
            <w:col w:w="695" w:space="40"/>
            <w:col w:w="1800"/>
          </w:cols>
        </w:sectPr>
      </w:pPr>
    </w:p>
    <w:p>
      <w:pPr>
        <w:tabs>
          <w:tab w:pos="8444" w:val="left" w:leader="none"/>
        </w:tabs>
        <w:spacing w:before="3"/>
        <w:ind w:left="3179" w:right="-19" w:firstLine="0"/>
        <w:jc w:val="left"/>
        <w:rPr>
          <w:rFonts w:ascii="宋体" w:hAnsi="宋体" w:cs="宋体" w:eastAsia="宋体" w:hint="default"/>
          <w:sz w:val="15"/>
          <w:szCs w:val="15"/>
        </w:rPr>
      </w:pPr>
      <w:r>
        <w:rPr>
          <w:rFonts w:ascii="宋体" w:hAnsi="宋体" w:cs="宋体" w:eastAsia="宋体" w:hint="default"/>
          <w:sz w:val="15"/>
          <w:szCs w:val="15"/>
        </w:rPr>
        <w:t>类型</w:t>
        <w:tab/>
        <w:t>额</w:t>
      </w:r>
    </w:p>
    <w:p>
      <w:pPr>
        <w:spacing w:line="240" w:lineRule="auto" w:before="7"/>
        <w:rPr>
          <w:rFonts w:ascii="宋体" w:hAnsi="宋体" w:cs="宋体" w:eastAsia="宋体" w:hint="default"/>
          <w:sz w:val="15"/>
          <w:szCs w:val="15"/>
        </w:rPr>
      </w:pPr>
      <w:r>
        <w:rPr/>
        <w:br w:type="column"/>
      </w:r>
      <w:r>
        <w:rPr>
          <w:rFonts w:ascii="宋体"/>
          <w:sz w:val="15"/>
        </w:rPr>
      </w:r>
    </w:p>
    <w:p>
      <w:pPr>
        <w:spacing w:line="489" w:lineRule="auto" w:before="0"/>
        <w:ind w:left="516" w:right="-19" w:hanging="75"/>
        <w:jc w:val="left"/>
        <w:rPr>
          <w:rFonts w:ascii="宋体" w:hAnsi="宋体" w:cs="宋体" w:eastAsia="宋体" w:hint="default"/>
          <w:sz w:val="15"/>
          <w:szCs w:val="15"/>
        </w:rPr>
      </w:pPr>
      <w:r>
        <w:rPr>
          <w:rFonts w:ascii="宋体" w:hAnsi="宋体" w:cs="宋体" w:eastAsia="宋体" w:hint="default"/>
          <w:sz w:val="15"/>
          <w:szCs w:val="15"/>
        </w:rPr>
        <w:t>的其他项 目余额</w:t>
      </w:r>
    </w:p>
    <w:p>
      <w:pPr>
        <w:spacing w:line="240" w:lineRule="auto" w:before="11"/>
        <w:rPr>
          <w:rFonts w:ascii="宋体" w:hAnsi="宋体" w:cs="宋体" w:eastAsia="宋体" w:hint="default"/>
          <w:sz w:val="18"/>
          <w:szCs w:val="18"/>
        </w:rPr>
      </w:pPr>
      <w:r>
        <w:rPr/>
        <w:br w:type="column"/>
      </w:r>
      <w:r>
        <w:rPr>
          <w:rFonts w:ascii="宋体"/>
          <w:sz w:val="18"/>
        </w:rPr>
      </w:r>
    </w:p>
    <w:p>
      <w:pPr>
        <w:spacing w:before="0"/>
        <w:ind w:left="166" w:right="-20" w:firstLine="0"/>
        <w:jc w:val="left"/>
        <w:rPr>
          <w:rFonts w:ascii="Times New Roman" w:hAnsi="Times New Roman" w:cs="Times New Roman" w:eastAsia="Times New Roman" w:hint="default"/>
          <w:sz w:val="15"/>
          <w:szCs w:val="15"/>
        </w:rPr>
      </w:pPr>
      <w:r>
        <w:rPr>
          <w:rFonts w:ascii="Times New Roman"/>
          <w:sz w:val="15"/>
        </w:rPr>
        <w:t>(%)</w:t>
      </w:r>
    </w:p>
    <w:p>
      <w:pPr>
        <w:spacing w:before="3"/>
        <w:ind w:left="256" w:right="-19" w:firstLine="0"/>
        <w:jc w:val="left"/>
        <w:rPr>
          <w:rFonts w:ascii="Times New Roman" w:hAnsi="Times New Roman" w:cs="Times New Roman" w:eastAsia="Times New Roman" w:hint="default"/>
          <w:sz w:val="15"/>
          <w:szCs w:val="15"/>
        </w:rPr>
      </w:pPr>
      <w:r>
        <w:rPr/>
        <w:br w:type="column"/>
      </w: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p>
      <w:pPr>
        <w:tabs>
          <w:tab w:pos="1031" w:val="left" w:leader="none"/>
        </w:tabs>
        <w:spacing w:before="3"/>
        <w:ind w:left="163" w:right="-20" w:firstLine="0"/>
        <w:jc w:val="left"/>
        <w:rPr>
          <w:rFonts w:ascii="宋体" w:hAnsi="宋体" w:cs="宋体" w:eastAsia="宋体" w:hint="default"/>
          <w:sz w:val="15"/>
          <w:szCs w:val="15"/>
        </w:rPr>
      </w:pPr>
      <w:r>
        <w:rPr/>
        <w:br w:type="column"/>
      </w:r>
      <w:r>
        <w:rPr>
          <w:rFonts w:ascii="宋体" w:hAnsi="宋体" w:cs="宋体" w:eastAsia="宋体" w:hint="default"/>
          <w:sz w:val="15"/>
          <w:szCs w:val="15"/>
        </w:rPr>
        <w:t>并报表</w:t>
        <w:tab/>
        <w:t>益</w:t>
      </w:r>
    </w:p>
    <w:p>
      <w:pPr>
        <w:spacing w:line="240" w:lineRule="auto" w:before="7"/>
        <w:rPr>
          <w:rFonts w:ascii="宋体" w:hAnsi="宋体" w:cs="宋体" w:eastAsia="宋体" w:hint="default"/>
          <w:sz w:val="15"/>
          <w:szCs w:val="15"/>
        </w:rPr>
      </w:pPr>
      <w:r>
        <w:rPr/>
        <w:br w:type="column"/>
      </w:r>
      <w:r>
        <w:rPr>
          <w:rFonts w:ascii="宋体"/>
          <w:sz w:val="15"/>
        </w:rPr>
      </w:r>
    </w:p>
    <w:p>
      <w:pPr>
        <w:spacing w:line="489" w:lineRule="auto" w:before="0"/>
        <w:ind w:left="394" w:right="-20" w:firstLine="0"/>
        <w:jc w:val="left"/>
        <w:rPr>
          <w:rFonts w:ascii="宋体" w:hAnsi="宋体" w:cs="宋体" w:eastAsia="宋体" w:hint="default"/>
          <w:sz w:val="15"/>
          <w:szCs w:val="15"/>
        </w:rPr>
      </w:pPr>
      <w:r>
        <w:rPr>
          <w:rFonts w:ascii="宋体" w:hAnsi="宋体" w:cs="宋体" w:eastAsia="宋体" w:hint="default"/>
          <w:sz w:val="15"/>
          <w:szCs w:val="15"/>
        </w:rPr>
        <w:t>数股东损 益的金额</w:t>
      </w:r>
    </w:p>
    <w:p>
      <w:pPr>
        <w:spacing w:line="489" w:lineRule="auto" w:before="3"/>
        <w:ind w:left="106" w:right="194" w:firstLine="0"/>
        <w:jc w:val="center"/>
        <w:rPr>
          <w:rFonts w:ascii="宋体" w:hAnsi="宋体" w:cs="宋体" w:eastAsia="宋体" w:hint="default"/>
          <w:sz w:val="15"/>
          <w:szCs w:val="15"/>
        </w:rPr>
      </w:pPr>
      <w:r>
        <w:rPr/>
        <w:br w:type="column"/>
      </w:r>
      <w:r>
        <w:rPr>
          <w:rFonts w:ascii="宋体" w:hAnsi="宋体" w:cs="宋体" w:eastAsia="宋体" w:hint="default"/>
          <w:sz w:val="15"/>
          <w:szCs w:val="15"/>
        </w:rPr>
        <w:t>东在该子公司期初所有 者权益中所享有份额后 的余额</w:t>
      </w:r>
    </w:p>
    <w:p>
      <w:pPr>
        <w:spacing w:after="0" w:line="489" w:lineRule="auto"/>
        <w:jc w:val="center"/>
        <w:rPr>
          <w:rFonts w:ascii="宋体" w:hAnsi="宋体" w:cs="宋体" w:eastAsia="宋体" w:hint="default"/>
          <w:sz w:val="15"/>
          <w:szCs w:val="15"/>
        </w:rPr>
        <w:sectPr>
          <w:type w:val="continuous"/>
          <w:pgSz w:w="16840" w:h="11910" w:orient="landscape"/>
          <w:pgMar w:top="1600" w:bottom="280" w:left="1300" w:right="660"/>
          <w:cols w:num="7" w:equalWidth="0">
            <w:col w:w="8596" w:space="40"/>
            <w:col w:w="1043" w:space="40"/>
            <w:col w:w="392" w:space="40"/>
            <w:col w:w="633" w:space="40"/>
            <w:col w:w="1182" w:space="40"/>
            <w:col w:w="995" w:space="40"/>
            <w:col w:w="1799"/>
          </w:cols>
        </w:sectPr>
      </w:pPr>
    </w:p>
    <w:p>
      <w:pPr>
        <w:spacing w:line="240" w:lineRule="auto" w:before="11"/>
        <w:rPr>
          <w:rFonts w:ascii="宋体" w:hAnsi="宋体" w:cs="宋体" w:eastAsia="宋体" w:hint="default"/>
          <w:sz w:val="7"/>
          <w:szCs w:val="7"/>
        </w:rPr>
      </w:pPr>
    </w:p>
    <w:p>
      <w:pPr>
        <w:tabs>
          <w:tab w:pos="3694" w:val="left" w:leader="none"/>
          <w:tab w:pos="5453" w:val="left" w:leader="none"/>
          <w:tab w:pos="8216" w:val="left" w:leader="none"/>
          <w:tab w:pos="9904" w:val="left" w:leader="none"/>
          <w:tab w:pos="10501" w:val="left" w:leader="none"/>
          <w:tab w:pos="11117" w:val="left" w:leader="none"/>
          <w:tab w:pos="11575" w:val="left" w:leader="none"/>
        </w:tabs>
        <w:spacing w:before="52"/>
        <w:ind w:left="847"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广东东软时尚数字技术有限公司 </w:t>
      </w:r>
      <w:r>
        <w:rPr>
          <w:rFonts w:ascii="宋体" w:hAnsi="宋体" w:cs="宋体" w:eastAsia="宋体" w:hint="default"/>
          <w:spacing w:val="18"/>
          <w:position w:val="1"/>
          <w:sz w:val="15"/>
          <w:szCs w:val="15"/>
        </w:rPr>
        <w:t> </w:t>
      </w:r>
      <w:r>
        <w:rPr>
          <w:rFonts w:ascii="宋体" w:hAnsi="宋体" w:cs="宋体" w:eastAsia="宋体" w:hint="default"/>
          <w:position w:val="1"/>
          <w:sz w:val="15"/>
          <w:szCs w:val="15"/>
        </w:rPr>
        <w:t>控股</w:t>
        <w:tab/>
        <w:t>广州</w:t>
      </w:r>
      <w:r>
        <w:rPr>
          <w:rFonts w:ascii="宋体" w:hAnsi="宋体" w:cs="宋体" w:eastAsia="宋体" w:hint="default"/>
          <w:spacing w:val="45"/>
          <w:position w:val="1"/>
          <w:sz w:val="15"/>
          <w:szCs w:val="15"/>
        </w:rPr>
        <w:t> </w:t>
      </w:r>
      <w:r>
        <w:rPr>
          <w:rFonts w:ascii="宋体" w:hAnsi="宋体" w:cs="宋体" w:eastAsia="宋体" w:hint="default"/>
          <w:position w:val="1"/>
          <w:sz w:val="15"/>
          <w:szCs w:val="15"/>
        </w:rPr>
        <w:t>有限责任公司</w:t>
        <w:tab/>
      </w:r>
      <w:r>
        <w:rPr>
          <w:rFonts w:ascii="Times New Roman" w:hAnsi="Times New Roman" w:cs="Times New Roman" w:eastAsia="Times New Roman" w:hint="default"/>
          <w:spacing w:val="-1"/>
          <w:sz w:val="15"/>
          <w:szCs w:val="15"/>
        </w:rPr>
        <w:t>37,500,000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2"/>
          <w:sz w:val="15"/>
          <w:szCs w:val="15"/>
        </w:rPr>
        <w:t> </w:t>
      </w:r>
      <w:r>
        <w:rPr>
          <w:rFonts w:ascii="宋体" w:hAnsi="宋体" w:cs="宋体" w:eastAsia="宋体" w:hint="default"/>
          <w:spacing w:val="-1"/>
          <w:position w:val="1"/>
          <w:sz w:val="15"/>
          <w:szCs w:val="15"/>
        </w:rPr>
        <w:t>计算机软</w:t>
      </w:r>
      <w:r>
        <w:rPr>
          <w:rFonts w:ascii="Times New Roman" w:hAnsi="Times New Roman" w:cs="Times New Roman" w:eastAsia="Times New Roman" w:hint="default"/>
          <w:spacing w:val="-1"/>
          <w:position w:val="1"/>
          <w:sz w:val="15"/>
          <w:szCs w:val="15"/>
        </w:rPr>
        <w:t>,</w:t>
      </w:r>
      <w:r>
        <w:rPr>
          <w:rFonts w:ascii="宋体" w:hAnsi="宋体" w:cs="宋体" w:eastAsia="宋体" w:hint="default"/>
          <w:spacing w:val="-1"/>
          <w:position w:val="1"/>
          <w:sz w:val="15"/>
          <w:szCs w:val="15"/>
        </w:rPr>
        <w:t>硬件</w:t>
      </w:r>
      <w:r>
        <w:rPr>
          <w:rFonts w:ascii="Times New Roman" w:hAnsi="Times New Roman" w:cs="Times New Roman" w:eastAsia="Times New Roman" w:hint="default"/>
          <w:spacing w:val="-1"/>
          <w:position w:val="1"/>
          <w:sz w:val="15"/>
          <w:szCs w:val="15"/>
        </w:rPr>
        <w:t>,</w:t>
      </w:r>
      <w:r>
        <w:rPr>
          <w:rFonts w:ascii="宋体" w:hAnsi="宋体" w:cs="宋体" w:eastAsia="宋体" w:hint="default"/>
          <w:spacing w:val="-1"/>
          <w:position w:val="1"/>
          <w:sz w:val="15"/>
          <w:szCs w:val="15"/>
        </w:rPr>
        <w:t>开发</w:t>
      </w:r>
      <w:r>
        <w:rPr>
          <w:rFonts w:ascii="Times New Roman" w:hAnsi="Times New Roman" w:cs="Times New Roman" w:eastAsia="Times New Roman" w:hint="default"/>
          <w:spacing w:val="-1"/>
          <w:position w:val="1"/>
          <w:sz w:val="15"/>
          <w:szCs w:val="15"/>
        </w:rPr>
        <w:t>,</w:t>
      </w:r>
      <w:r>
        <w:rPr>
          <w:rFonts w:ascii="宋体" w:hAnsi="宋体" w:cs="宋体" w:eastAsia="宋体" w:hint="default"/>
          <w:spacing w:val="-1"/>
          <w:position w:val="1"/>
          <w:sz w:val="15"/>
          <w:szCs w:val="15"/>
        </w:rPr>
        <w:t>销售</w:t>
        <w:tab/>
      </w:r>
      <w:r>
        <w:rPr>
          <w:rFonts w:ascii="Times New Roman" w:hAnsi="Times New Roman" w:cs="Times New Roman" w:eastAsia="Times New Roman" w:hint="default"/>
          <w:spacing w:val="-1"/>
          <w:sz w:val="15"/>
          <w:szCs w:val="15"/>
        </w:rPr>
        <w:t>22,500,000</w:t>
        <w:tab/>
      </w:r>
      <w:r>
        <w:rPr>
          <w:rFonts w:ascii="Times New Roman" w:hAnsi="Times New Roman" w:cs="Times New Roman" w:eastAsia="Times New Roman" w:hint="default"/>
          <w:sz w:val="15"/>
          <w:szCs w:val="15"/>
        </w:rPr>
        <w:t>60</w:t>
        <w:tab/>
        <w:t>60</w:t>
        <w:tab/>
      </w:r>
      <w:r>
        <w:rPr>
          <w:rFonts w:ascii="宋体" w:hAnsi="宋体" w:cs="宋体" w:eastAsia="宋体" w:hint="default"/>
          <w:position w:val="1"/>
          <w:sz w:val="15"/>
          <w:szCs w:val="15"/>
        </w:rPr>
        <w:t>是</w:t>
        <w:tab/>
      </w:r>
      <w:r>
        <w:rPr>
          <w:rFonts w:ascii="Times New Roman" w:hAnsi="Times New Roman" w:cs="Times New Roman" w:eastAsia="Times New Roman" w:hint="default"/>
          <w:spacing w:val="-1"/>
          <w:sz w:val="15"/>
          <w:szCs w:val="15"/>
        </w:rPr>
        <w:t>13,867,532</w:t>
      </w:r>
    </w:p>
    <w:p>
      <w:pPr>
        <w:spacing w:line="240" w:lineRule="auto" w:before="11"/>
        <w:rPr>
          <w:rFonts w:ascii="Times New Roman" w:hAnsi="Times New Roman" w:cs="Times New Roman" w:eastAsia="Times New Roman" w:hint="default"/>
          <w:sz w:val="28"/>
          <w:szCs w:val="28"/>
        </w:rPr>
      </w:pPr>
    </w:p>
    <w:p>
      <w:pPr>
        <w:spacing w:after="0" w:line="240" w:lineRule="auto"/>
        <w:rPr>
          <w:rFonts w:ascii="Times New Roman" w:hAnsi="Times New Roman" w:cs="Times New Roman" w:eastAsia="Times New Roman" w:hint="default"/>
          <w:sz w:val="28"/>
          <w:szCs w:val="28"/>
        </w:rPr>
        <w:sectPr>
          <w:type w:val="continuous"/>
          <w:pgSz w:w="16840" w:h="11910" w:orient="landscape"/>
          <w:pgMar w:top="1600" w:bottom="280" w:left="1300" w:right="660"/>
        </w:sectPr>
      </w:pPr>
    </w:p>
    <w:p>
      <w:pPr>
        <w:spacing w:before="53"/>
        <w:ind w:left="857" w:right="-20" w:firstLine="0"/>
        <w:jc w:val="left"/>
        <w:rPr>
          <w:rFonts w:ascii="宋体" w:hAnsi="宋体" w:cs="宋体" w:eastAsia="宋体" w:hint="default"/>
          <w:sz w:val="15"/>
          <w:szCs w:val="15"/>
        </w:rPr>
      </w:pPr>
      <w:r>
        <w:rPr>
          <w:rFonts w:ascii="宋体" w:hAnsi="宋体" w:cs="宋体" w:eastAsia="宋体" w:hint="default"/>
          <w:sz w:val="15"/>
          <w:szCs w:val="15"/>
        </w:rPr>
        <w:t>天津东软软件技术有限公司</w:t>
      </w:r>
    </w:p>
    <w:p>
      <w:pPr>
        <w:spacing w:line="240" w:lineRule="auto" w:before="7"/>
        <w:rPr>
          <w:rFonts w:ascii="宋体" w:hAnsi="宋体" w:cs="宋体" w:eastAsia="宋体" w:hint="default"/>
          <w:sz w:val="15"/>
          <w:szCs w:val="15"/>
        </w:rPr>
      </w:pPr>
    </w:p>
    <w:p>
      <w:pPr>
        <w:spacing w:before="0"/>
        <w:ind w:left="857" w:right="-20" w:firstLine="0"/>
        <w:jc w:val="left"/>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2</w:t>
      </w:r>
      <w:r>
        <w:rPr>
          <w:rFonts w:ascii="宋体" w:hAnsi="宋体" w:cs="宋体" w:eastAsia="宋体" w:hint="default"/>
          <w:sz w:val="15"/>
          <w:szCs w:val="15"/>
        </w:rPr>
        <w:t>）</w:t>
      </w:r>
    </w:p>
    <w:p>
      <w:pPr>
        <w:spacing w:line="240" w:lineRule="auto" w:before="4"/>
        <w:rPr>
          <w:rFonts w:ascii="宋体" w:hAnsi="宋体" w:cs="宋体" w:eastAsia="宋体" w:hint="default"/>
          <w:sz w:val="19"/>
          <w:szCs w:val="19"/>
        </w:rPr>
      </w:pPr>
      <w:r>
        <w:rPr/>
        <w:br w:type="column"/>
      </w:r>
      <w:r>
        <w:rPr>
          <w:rFonts w:ascii="宋体"/>
          <w:sz w:val="19"/>
        </w:rPr>
      </w:r>
    </w:p>
    <w:p>
      <w:pPr>
        <w:tabs>
          <w:tab w:pos="1027" w:val="left" w:leader="none"/>
          <w:tab w:pos="2830" w:val="left" w:leader="none"/>
        </w:tabs>
        <w:spacing w:before="0"/>
        <w:ind w:left="418" w:right="-1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全资</w:t>
        <w:tab/>
        <w:t>天津</w:t>
      </w:r>
      <w:r>
        <w:rPr>
          <w:rFonts w:ascii="宋体" w:hAnsi="宋体" w:cs="宋体" w:eastAsia="宋体" w:hint="default"/>
          <w:spacing w:val="13"/>
          <w:position w:val="1"/>
          <w:sz w:val="15"/>
          <w:szCs w:val="15"/>
        </w:rPr>
        <w:t> </w:t>
      </w:r>
      <w:r>
        <w:rPr>
          <w:rFonts w:ascii="宋体" w:hAnsi="宋体" w:cs="宋体" w:eastAsia="宋体" w:hint="default"/>
          <w:position w:val="1"/>
          <w:sz w:val="15"/>
          <w:szCs w:val="15"/>
        </w:rPr>
        <w:t>有限责任公司</w:t>
        <w:tab/>
      </w:r>
      <w:r>
        <w:rPr>
          <w:rFonts w:ascii="Times New Roman" w:hAnsi="Times New Roman" w:cs="Times New Roman" w:eastAsia="Times New Roman" w:hint="default"/>
          <w:spacing w:val="-1"/>
          <w:sz w:val="15"/>
          <w:szCs w:val="15"/>
        </w:rPr>
        <w:t>5,000,000</w:t>
      </w:r>
    </w:p>
    <w:p>
      <w:pPr>
        <w:spacing w:line="489" w:lineRule="auto" w:before="53"/>
        <w:ind w:left="175" w:right="-20" w:firstLine="0"/>
        <w:jc w:val="left"/>
        <w:rPr>
          <w:rFonts w:ascii="宋体" w:hAnsi="宋体" w:cs="宋体" w:eastAsia="宋体" w:hint="default"/>
          <w:sz w:val="15"/>
          <w:szCs w:val="15"/>
        </w:rPr>
      </w:pPr>
      <w:r>
        <w:rPr/>
        <w:br w:type="column"/>
      </w:r>
      <w:r>
        <w:rPr>
          <w:rFonts w:ascii="宋体" w:hAnsi="宋体" w:cs="宋体" w:eastAsia="宋体" w:hint="default"/>
          <w:sz w:val="15"/>
          <w:szCs w:val="15"/>
        </w:rPr>
        <w:t>计算机软硬件、系统集 成、技术咨询服务</w:t>
      </w:r>
    </w:p>
    <w:p>
      <w:pPr>
        <w:spacing w:line="240" w:lineRule="auto" w:before="4"/>
        <w:rPr>
          <w:rFonts w:ascii="宋体" w:hAnsi="宋体" w:cs="宋体" w:eastAsia="宋体" w:hint="default"/>
          <w:sz w:val="19"/>
          <w:szCs w:val="19"/>
        </w:rPr>
      </w:pPr>
      <w:r>
        <w:rPr/>
        <w:br w:type="column"/>
      </w:r>
      <w:r>
        <w:rPr>
          <w:rFonts w:ascii="宋体"/>
          <w:sz w:val="19"/>
        </w:rPr>
      </w:r>
    </w:p>
    <w:p>
      <w:pPr>
        <w:tabs>
          <w:tab w:pos="2580" w:val="left" w:leader="none"/>
          <w:tab w:pos="3233" w:val="left" w:leader="none"/>
        </w:tabs>
        <w:spacing w:before="0"/>
        <w:ind w:left="407"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5,000,000</w:t>
        <w:tab/>
        <w:t>100</w:t>
        <w:tab/>
      </w:r>
      <w:r>
        <w:rPr>
          <w:rFonts w:ascii="宋体" w:hAnsi="宋体" w:cs="宋体" w:eastAsia="宋体" w:hint="default"/>
          <w:position w:val="1"/>
          <w:sz w:val="15"/>
          <w:szCs w:val="15"/>
        </w:rPr>
        <w:t>是</w:t>
      </w:r>
      <w:r>
        <w:rPr>
          <w:rFonts w:ascii="宋体" w:hAnsi="宋体" w:cs="宋体" w:eastAsia="宋体" w:hint="default"/>
          <w:sz w:val="15"/>
          <w:szCs w:val="15"/>
        </w:rPr>
      </w:r>
    </w:p>
    <w:p>
      <w:pPr>
        <w:spacing w:after="0"/>
        <w:jc w:val="left"/>
        <w:rPr>
          <w:rFonts w:ascii="宋体" w:hAnsi="宋体" w:cs="宋体" w:eastAsia="宋体" w:hint="default"/>
          <w:sz w:val="15"/>
          <w:szCs w:val="15"/>
        </w:rPr>
        <w:sectPr>
          <w:type w:val="continuous"/>
          <w:pgSz w:w="16840" w:h="11910" w:orient="landscape"/>
          <w:pgMar w:top="1600" w:bottom="280" w:left="1300" w:right="660"/>
          <w:cols w:num="4" w:equalWidth="0">
            <w:col w:w="2658" w:space="40"/>
            <w:col w:w="3431" w:space="40"/>
            <w:col w:w="1676" w:space="40"/>
            <w:col w:w="6995"/>
          </w:cols>
        </w:sectPr>
      </w:pPr>
    </w:p>
    <w:p>
      <w:pPr>
        <w:spacing w:line="477" w:lineRule="auto" w:before="142"/>
        <w:ind w:left="857" w:right="-20" w:firstLine="0"/>
        <w:jc w:val="left"/>
        <w:rPr>
          <w:rFonts w:ascii="宋体" w:hAnsi="宋体" w:cs="宋体" w:eastAsia="宋体" w:hint="default"/>
          <w:sz w:val="15"/>
          <w:szCs w:val="15"/>
        </w:rPr>
      </w:pPr>
      <w:r>
        <w:rPr>
          <w:rFonts w:ascii="宋体" w:hAnsi="宋体" w:cs="宋体" w:eastAsia="宋体" w:hint="default"/>
          <w:sz w:val="15"/>
          <w:szCs w:val="15"/>
        </w:rPr>
        <w:t>沈阳东软医疗系统进出口有限公 司（注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3</w:t>
      </w:r>
      <w:r>
        <w:rPr>
          <w:rFonts w:ascii="宋体" w:hAnsi="宋体" w:cs="宋体" w:eastAsia="宋体" w:hint="default"/>
          <w:sz w:val="15"/>
          <w:szCs w:val="15"/>
        </w:rPr>
        <w:t>）</w:t>
      </w:r>
    </w:p>
    <w:p>
      <w:pPr>
        <w:spacing w:line="240" w:lineRule="auto" w:before="0"/>
        <w:rPr>
          <w:rFonts w:ascii="宋体" w:hAnsi="宋体" w:cs="宋体" w:eastAsia="宋体" w:hint="default"/>
          <w:sz w:val="16"/>
          <w:szCs w:val="16"/>
        </w:rPr>
      </w:pPr>
      <w:r>
        <w:rPr/>
        <w:br w:type="column"/>
      </w:r>
      <w:r>
        <w:rPr>
          <w:rFonts w:ascii="宋体"/>
          <w:sz w:val="16"/>
        </w:rPr>
      </w:r>
    </w:p>
    <w:p>
      <w:pPr>
        <w:tabs>
          <w:tab w:pos="727" w:val="left" w:leader="none"/>
          <w:tab w:pos="2530" w:val="left" w:leader="none"/>
          <w:tab w:pos="3346" w:val="left" w:leader="none"/>
          <w:tab w:pos="5293" w:val="left" w:leader="none"/>
          <w:tab w:pos="7467" w:val="left" w:leader="none"/>
          <w:tab w:pos="8119" w:val="left" w:leader="none"/>
        </w:tabs>
        <w:spacing w:before="126"/>
        <w:ind w:left="118" w:right="0" w:firstLine="0"/>
        <w:jc w:val="left"/>
        <w:rPr>
          <w:rFonts w:ascii="宋体" w:hAnsi="宋体" w:cs="宋体" w:eastAsia="宋体" w:hint="default"/>
          <w:sz w:val="15"/>
          <w:szCs w:val="15"/>
        </w:rPr>
      </w:pPr>
      <w:r>
        <w:rPr>
          <w:rFonts w:ascii="宋体" w:hAnsi="宋体" w:cs="宋体" w:eastAsia="宋体" w:hint="default"/>
          <w:position w:val="1"/>
          <w:sz w:val="15"/>
          <w:szCs w:val="15"/>
        </w:rPr>
        <w:t>全资</w:t>
        <w:tab/>
        <w:t>沈阳</w:t>
      </w:r>
      <w:r>
        <w:rPr>
          <w:rFonts w:ascii="宋体" w:hAnsi="宋体" w:cs="宋体" w:eastAsia="宋体" w:hint="default"/>
          <w:spacing w:val="13"/>
          <w:position w:val="1"/>
          <w:sz w:val="15"/>
          <w:szCs w:val="15"/>
        </w:rPr>
        <w:t> </w:t>
      </w:r>
      <w:r>
        <w:rPr>
          <w:rFonts w:ascii="宋体" w:hAnsi="宋体" w:cs="宋体" w:eastAsia="宋体" w:hint="default"/>
          <w:position w:val="1"/>
          <w:sz w:val="15"/>
          <w:szCs w:val="15"/>
        </w:rPr>
        <w:t>有限责任公司</w:t>
        <w:tab/>
      </w:r>
      <w:r>
        <w:rPr>
          <w:rFonts w:ascii="Times New Roman" w:hAnsi="Times New Roman" w:cs="Times New Roman" w:eastAsia="Times New Roman" w:hint="default"/>
          <w:spacing w:val="-1"/>
          <w:sz w:val="15"/>
          <w:szCs w:val="15"/>
        </w:rPr>
        <w:t>5,000,000</w:t>
        <w:tab/>
      </w:r>
      <w:r>
        <w:rPr>
          <w:rFonts w:ascii="宋体" w:hAnsi="宋体" w:cs="宋体" w:eastAsia="宋体" w:hint="default"/>
          <w:position w:val="1"/>
          <w:sz w:val="15"/>
          <w:szCs w:val="15"/>
        </w:rPr>
        <w:t>商品、技术进出口</w:t>
        <w:tab/>
      </w:r>
      <w:r>
        <w:rPr>
          <w:rFonts w:ascii="Times New Roman" w:hAnsi="Times New Roman" w:cs="Times New Roman" w:eastAsia="Times New Roman" w:hint="default"/>
          <w:spacing w:val="-1"/>
          <w:sz w:val="15"/>
          <w:szCs w:val="15"/>
        </w:rPr>
        <w:t>5,000,000</w:t>
        <w:tab/>
        <w:t>100</w:t>
        <w:tab/>
      </w:r>
      <w:r>
        <w:rPr>
          <w:rFonts w:ascii="宋体" w:hAnsi="宋体" w:cs="宋体" w:eastAsia="宋体" w:hint="default"/>
          <w:position w:val="1"/>
          <w:sz w:val="15"/>
          <w:szCs w:val="15"/>
        </w:rPr>
        <w:t>是</w:t>
      </w:r>
      <w:r>
        <w:rPr>
          <w:rFonts w:ascii="宋体" w:hAnsi="宋体" w:cs="宋体" w:eastAsia="宋体" w:hint="default"/>
          <w:sz w:val="15"/>
          <w:szCs w:val="15"/>
        </w:rPr>
      </w:r>
    </w:p>
    <w:p>
      <w:pPr>
        <w:spacing w:after="0"/>
        <w:jc w:val="left"/>
        <w:rPr>
          <w:rFonts w:ascii="宋体" w:hAnsi="宋体" w:cs="宋体" w:eastAsia="宋体" w:hint="default"/>
          <w:sz w:val="15"/>
          <w:szCs w:val="15"/>
        </w:rPr>
        <w:sectPr>
          <w:type w:val="continuous"/>
          <w:pgSz w:w="16840" w:h="11910" w:orient="landscape"/>
          <w:pgMar w:top="1600" w:bottom="280" w:left="1300" w:right="660"/>
          <w:cols w:num="2" w:equalWidth="0">
            <w:col w:w="2958" w:space="40"/>
            <w:col w:w="11882"/>
          </w:cols>
        </w:sectPr>
      </w:pPr>
    </w:p>
    <w:p>
      <w:pPr>
        <w:spacing w:before="28"/>
        <w:ind w:left="857" w:right="-20" w:firstLine="0"/>
        <w:jc w:val="left"/>
        <w:rPr>
          <w:rFonts w:ascii="宋体" w:hAnsi="宋体" w:cs="宋体" w:eastAsia="宋体" w:hint="default"/>
          <w:sz w:val="15"/>
          <w:szCs w:val="15"/>
        </w:rPr>
      </w:pPr>
      <w:r>
        <w:rPr>
          <w:rFonts w:ascii="宋体" w:hAnsi="宋体" w:cs="宋体" w:eastAsia="宋体" w:hint="default"/>
          <w:sz w:val="15"/>
          <w:szCs w:val="15"/>
        </w:rPr>
        <w:t>东软医疗（美国）有限公司</w:t>
      </w:r>
    </w:p>
    <w:p>
      <w:pPr>
        <w:spacing w:line="240" w:lineRule="auto" w:before="11"/>
        <w:rPr>
          <w:rFonts w:ascii="宋体" w:hAnsi="宋体" w:cs="宋体" w:eastAsia="宋体" w:hint="default"/>
          <w:sz w:val="14"/>
          <w:szCs w:val="14"/>
        </w:rPr>
      </w:pPr>
    </w:p>
    <w:p>
      <w:pPr>
        <w:spacing w:before="0"/>
        <w:ind w:left="857" w:right="-20" w:firstLine="0"/>
        <w:jc w:val="left"/>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4</w:t>
      </w:r>
      <w:r>
        <w:rPr>
          <w:rFonts w:ascii="宋体" w:hAnsi="宋体" w:cs="宋体" w:eastAsia="宋体" w:hint="default"/>
          <w:sz w:val="15"/>
          <w:szCs w:val="15"/>
        </w:rPr>
        <w:t>）</w:t>
      </w:r>
    </w:p>
    <w:p>
      <w:pPr>
        <w:spacing w:line="240" w:lineRule="auto" w:before="1"/>
        <w:rPr>
          <w:rFonts w:ascii="宋体" w:hAnsi="宋体" w:cs="宋体" w:eastAsia="宋体" w:hint="default"/>
          <w:sz w:val="17"/>
          <w:szCs w:val="17"/>
        </w:rPr>
      </w:pPr>
      <w:r>
        <w:rPr/>
        <w:br w:type="column"/>
      </w:r>
      <w:r>
        <w:rPr>
          <w:rFonts w:ascii="宋体"/>
          <w:sz w:val="17"/>
        </w:rPr>
      </w:r>
    </w:p>
    <w:p>
      <w:pPr>
        <w:tabs>
          <w:tab w:pos="1027" w:val="left" w:leader="none"/>
        </w:tabs>
        <w:spacing w:before="0"/>
        <w:ind w:left="418" w:right="-19" w:firstLine="0"/>
        <w:jc w:val="left"/>
        <w:rPr>
          <w:rFonts w:ascii="宋体" w:hAnsi="宋体" w:cs="宋体" w:eastAsia="宋体" w:hint="default"/>
          <w:sz w:val="15"/>
          <w:szCs w:val="15"/>
        </w:rPr>
      </w:pPr>
      <w:r>
        <w:rPr>
          <w:rFonts w:ascii="宋体" w:hAnsi="宋体" w:cs="宋体" w:eastAsia="宋体" w:hint="default"/>
          <w:sz w:val="15"/>
          <w:szCs w:val="15"/>
        </w:rPr>
        <w:t>全资</w:t>
        <w:tab/>
        <w:t>美国</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p>
      <w:pPr>
        <w:spacing w:before="28"/>
        <w:ind w:left="0" w:right="0" w:firstLine="0"/>
        <w:jc w:val="right"/>
        <w:rPr>
          <w:rFonts w:ascii="宋体" w:hAnsi="宋体" w:cs="宋体" w:eastAsia="宋体" w:hint="default"/>
          <w:sz w:val="15"/>
          <w:szCs w:val="15"/>
        </w:rPr>
      </w:pPr>
      <w:r>
        <w:rPr/>
        <w:br w:type="column"/>
      </w:r>
      <w:r>
        <w:rPr>
          <w:rFonts w:ascii="宋体" w:hAnsi="宋体" w:cs="宋体" w:eastAsia="宋体" w:hint="default"/>
          <w:sz w:val="15"/>
          <w:szCs w:val="15"/>
        </w:rPr>
        <w:t>美元</w:t>
      </w:r>
    </w:p>
    <w:p>
      <w:pPr>
        <w:spacing w:line="240" w:lineRule="auto" w:before="2"/>
        <w:rPr>
          <w:rFonts w:ascii="宋体" w:hAnsi="宋体" w:cs="宋体" w:eastAsia="宋体" w:hint="default"/>
          <w:sz w:val="18"/>
          <w:szCs w:val="18"/>
        </w:rPr>
      </w:pPr>
    </w:p>
    <w:p>
      <w:pPr>
        <w:spacing w:before="0"/>
        <w:ind w:left="0" w:right="0" w:firstLine="0"/>
        <w:jc w:val="right"/>
        <w:rPr>
          <w:rFonts w:ascii="Times New Roman" w:hAnsi="Times New Roman" w:cs="Times New Roman" w:eastAsia="Times New Roman" w:hint="default"/>
          <w:sz w:val="15"/>
          <w:szCs w:val="15"/>
        </w:rPr>
      </w:pPr>
      <w:r>
        <w:rPr>
          <w:rFonts w:ascii="Times New Roman"/>
          <w:spacing w:val="-1"/>
          <w:sz w:val="15"/>
        </w:rPr>
        <w:t>4,000,000</w:t>
      </w:r>
    </w:p>
    <w:p>
      <w:pPr>
        <w:spacing w:line="477" w:lineRule="auto" w:before="28"/>
        <w:ind w:left="175" w:right="-20" w:firstLine="0"/>
        <w:jc w:val="left"/>
        <w:rPr>
          <w:rFonts w:ascii="宋体" w:hAnsi="宋体" w:cs="宋体" w:eastAsia="宋体" w:hint="default"/>
          <w:sz w:val="15"/>
          <w:szCs w:val="15"/>
        </w:rPr>
      </w:pPr>
      <w:r>
        <w:rPr/>
        <w:br w:type="column"/>
      </w:r>
      <w:r>
        <w:rPr>
          <w:rFonts w:ascii="宋体" w:hAnsi="宋体" w:cs="宋体" w:eastAsia="宋体" w:hint="default"/>
          <w:sz w:val="15"/>
          <w:szCs w:val="15"/>
        </w:rPr>
        <w:t>产品的研发、制造、技 术咨询和服务等</w:t>
      </w:r>
    </w:p>
    <w:p>
      <w:pPr>
        <w:spacing w:line="240" w:lineRule="auto" w:before="0"/>
        <w:rPr>
          <w:rFonts w:ascii="宋体" w:hAnsi="宋体" w:cs="宋体" w:eastAsia="宋体" w:hint="default"/>
          <w:sz w:val="12"/>
          <w:szCs w:val="12"/>
        </w:rPr>
      </w:pPr>
      <w:r>
        <w:rPr/>
        <w:br w:type="column"/>
      </w:r>
      <w:r>
        <w:rPr>
          <w:rFonts w:ascii="宋体"/>
          <w:sz w:val="12"/>
        </w:rPr>
      </w:r>
    </w:p>
    <w:p>
      <w:pPr>
        <w:spacing w:line="118" w:lineRule="exact" w:before="0"/>
        <w:ind w:left="333" w:right="0" w:firstLine="0"/>
        <w:jc w:val="left"/>
        <w:rPr>
          <w:rFonts w:ascii="Times New Roman" w:hAnsi="Times New Roman" w:cs="Times New Roman" w:eastAsia="Times New Roman" w:hint="default"/>
          <w:sz w:val="15"/>
          <w:szCs w:val="15"/>
        </w:rPr>
      </w:pPr>
      <w:r>
        <w:rPr>
          <w:rFonts w:ascii="Times New Roman"/>
          <w:sz w:val="15"/>
        </w:rPr>
        <w:t>16,525,050</w:t>
      </w:r>
    </w:p>
    <w:p>
      <w:pPr>
        <w:tabs>
          <w:tab w:pos="3233" w:val="left" w:leader="none"/>
        </w:tabs>
        <w:spacing w:line="163" w:lineRule="exact" w:before="0"/>
        <w:ind w:left="2580"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100</w:t>
        <w:tab/>
      </w:r>
      <w:r>
        <w:rPr>
          <w:rFonts w:ascii="宋体" w:hAnsi="宋体" w:cs="宋体" w:eastAsia="宋体" w:hint="default"/>
          <w:position w:val="1"/>
          <w:sz w:val="15"/>
          <w:szCs w:val="15"/>
        </w:rPr>
        <w:t>是</w:t>
      </w:r>
      <w:r>
        <w:rPr>
          <w:rFonts w:ascii="宋体" w:hAnsi="宋体" w:cs="宋体" w:eastAsia="宋体" w:hint="default"/>
          <w:sz w:val="15"/>
          <w:szCs w:val="15"/>
        </w:rPr>
      </w:r>
    </w:p>
    <w:p>
      <w:pPr>
        <w:spacing w:after="0" w:line="163" w:lineRule="exact"/>
        <w:jc w:val="left"/>
        <w:rPr>
          <w:rFonts w:ascii="宋体" w:hAnsi="宋体" w:cs="宋体" w:eastAsia="宋体" w:hint="default"/>
          <w:sz w:val="15"/>
          <w:szCs w:val="15"/>
        </w:rPr>
        <w:sectPr>
          <w:type w:val="continuous"/>
          <w:pgSz w:w="16840" w:h="11910" w:orient="landscape"/>
          <w:pgMar w:top="1600" w:bottom="280" w:left="1300" w:right="660"/>
          <w:cols w:num="5" w:equalWidth="0">
            <w:col w:w="2658" w:space="40"/>
            <w:col w:w="2317" w:space="40"/>
            <w:col w:w="1075" w:space="40"/>
            <w:col w:w="1676" w:space="40"/>
            <w:col w:w="6994"/>
          </w:cols>
        </w:sectPr>
      </w:pPr>
    </w:p>
    <w:p>
      <w:pPr>
        <w:spacing w:line="240" w:lineRule="auto" w:before="1"/>
        <w:rPr>
          <w:rFonts w:ascii="宋体" w:hAnsi="宋体" w:cs="宋体" w:eastAsia="宋体" w:hint="default"/>
          <w:sz w:val="19"/>
          <w:szCs w:val="19"/>
        </w:rPr>
      </w:pPr>
    </w:p>
    <w:p>
      <w:pPr>
        <w:spacing w:line="477" w:lineRule="auto" w:before="0"/>
        <w:ind w:left="857" w:right="-20" w:firstLine="0"/>
        <w:jc w:val="left"/>
        <w:rPr>
          <w:rFonts w:ascii="宋体" w:hAnsi="宋体" w:cs="宋体" w:eastAsia="宋体" w:hint="default"/>
          <w:sz w:val="15"/>
          <w:szCs w:val="15"/>
        </w:rPr>
      </w:pPr>
      <w:r>
        <w:rPr>
          <w:rFonts w:ascii="宋体" w:hAnsi="宋体" w:cs="宋体" w:eastAsia="宋体" w:hint="default"/>
          <w:sz w:val="15"/>
          <w:szCs w:val="15"/>
        </w:rPr>
        <w:t>沈阳东软波谱磁共振技术有限公 司（注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5</w:t>
      </w:r>
      <w:r>
        <w:rPr>
          <w:rFonts w:ascii="宋体" w:hAnsi="宋体" w:cs="宋体" w:eastAsia="宋体" w:hint="default"/>
          <w:sz w:val="15"/>
          <w:szCs w:val="15"/>
        </w:rPr>
        <w:t>）</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1"/>
        <w:rPr>
          <w:rFonts w:ascii="宋体" w:hAnsi="宋体" w:cs="宋体" w:eastAsia="宋体" w:hint="default"/>
          <w:sz w:val="17"/>
          <w:szCs w:val="17"/>
        </w:rPr>
      </w:pPr>
    </w:p>
    <w:p>
      <w:pPr>
        <w:tabs>
          <w:tab w:pos="727" w:val="left" w:leader="none"/>
          <w:tab w:pos="2455" w:val="left" w:leader="none"/>
        </w:tabs>
        <w:spacing w:before="0"/>
        <w:ind w:left="118" w:right="-9"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控股</w:t>
        <w:tab/>
        <w:t>沈阳</w:t>
      </w:r>
      <w:r>
        <w:rPr>
          <w:rFonts w:ascii="宋体" w:hAnsi="宋体" w:cs="宋体" w:eastAsia="宋体" w:hint="default"/>
          <w:spacing w:val="13"/>
          <w:position w:val="1"/>
          <w:sz w:val="15"/>
          <w:szCs w:val="15"/>
        </w:rPr>
        <w:t> </w:t>
      </w:r>
      <w:r>
        <w:rPr>
          <w:rFonts w:ascii="宋体" w:hAnsi="宋体" w:cs="宋体" w:eastAsia="宋体" w:hint="default"/>
          <w:position w:val="1"/>
          <w:sz w:val="15"/>
          <w:szCs w:val="15"/>
        </w:rPr>
        <w:t>有限责任公司</w:t>
        <w:tab/>
      </w:r>
      <w:r>
        <w:rPr>
          <w:rFonts w:ascii="Times New Roman" w:hAnsi="Times New Roman" w:cs="Times New Roman" w:eastAsia="Times New Roman" w:hint="default"/>
          <w:spacing w:val="-1"/>
          <w:sz w:val="15"/>
          <w:szCs w:val="15"/>
        </w:rPr>
        <w:t>10,000,000</w:t>
      </w:r>
    </w:p>
    <w:p>
      <w:pPr>
        <w:spacing w:line="477" w:lineRule="auto" w:before="55"/>
        <w:ind w:left="175" w:right="-20" w:firstLine="0"/>
        <w:jc w:val="left"/>
        <w:rPr>
          <w:rFonts w:ascii="宋体" w:hAnsi="宋体" w:cs="宋体" w:eastAsia="宋体" w:hint="default"/>
          <w:sz w:val="15"/>
          <w:szCs w:val="15"/>
        </w:rPr>
      </w:pPr>
      <w:r>
        <w:rPr/>
        <w:br w:type="column"/>
      </w:r>
      <w:r>
        <w:rPr>
          <w:rFonts w:ascii="宋体" w:hAnsi="宋体" w:cs="宋体" w:eastAsia="宋体" w:hint="default"/>
          <w:sz w:val="15"/>
          <w:szCs w:val="15"/>
        </w:rPr>
        <w:t>低场永磁产品研究制 造，磁共振技术开发、 咨询</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1"/>
        <w:rPr>
          <w:rFonts w:ascii="宋体" w:hAnsi="宋体" w:cs="宋体" w:eastAsia="宋体" w:hint="default"/>
          <w:sz w:val="17"/>
          <w:szCs w:val="17"/>
        </w:rPr>
      </w:pPr>
    </w:p>
    <w:p>
      <w:pPr>
        <w:tabs>
          <w:tab w:pos="2617" w:val="left" w:leader="none"/>
          <w:tab w:pos="3233" w:val="left" w:leader="none"/>
          <w:tab w:pos="3766" w:val="left" w:leader="none"/>
        </w:tabs>
        <w:spacing w:before="0"/>
        <w:ind w:left="407"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8,000,000</w:t>
        <w:tab/>
      </w:r>
      <w:r>
        <w:rPr>
          <w:rFonts w:ascii="Times New Roman" w:hAnsi="Times New Roman" w:cs="Times New Roman" w:eastAsia="Times New Roman" w:hint="default"/>
          <w:sz w:val="15"/>
          <w:szCs w:val="15"/>
        </w:rPr>
        <w:t>80</w:t>
        <w:tab/>
      </w:r>
      <w:r>
        <w:rPr>
          <w:rFonts w:ascii="宋体" w:hAnsi="宋体" w:cs="宋体" w:eastAsia="宋体" w:hint="default"/>
          <w:position w:val="1"/>
          <w:sz w:val="15"/>
          <w:szCs w:val="15"/>
        </w:rPr>
        <w:t>是</w:t>
        <w:tab/>
      </w:r>
      <w:r>
        <w:rPr>
          <w:rFonts w:ascii="Times New Roman" w:hAnsi="Times New Roman" w:cs="Times New Roman" w:eastAsia="Times New Roman" w:hint="default"/>
          <w:spacing w:val="-1"/>
          <w:sz w:val="15"/>
          <w:szCs w:val="15"/>
        </w:rPr>
        <w:t>3,092,567</w:t>
      </w:r>
    </w:p>
    <w:p>
      <w:pPr>
        <w:spacing w:after="0"/>
        <w:jc w:val="left"/>
        <w:rPr>
          <w:rFonts w:ascii="Times New Roman" w:hAnsi="Times New Roman" w:cs="Times New Roman" w:eastAsia="Times New Roman" w:hint="default"/>
          <w:sz w:val="15"/>
          <w:szCs w:val="15"/>
        </w:rPr>
        <w:sectPr>
          <w:type w:val="continuous"/>
          <w:pgSz w:w="16840" w:h="11910" w:orient="landscape"/>
          <w:pgMar w:top="1600" w:bottom="280" w:left="1300" w:right="660"/>
          <w:cols w:num="4" w:equalWidth="0">
            <w:col w:w="2958" w:space="40"/>
            <w:col w:w="3131" w:space="40"/>
            <w:col w:w="1676" w:space="40"/>
            <w:col w:w="6995"/>
          </w:cols>
        </w:sectPr>
      </w:pPr>
    </w:p>
    <w:p>
      <w:pPr>
        <w:spacing w:line="240" w:lineRule="auto" w:before="0"/>
        <w:rPr>
          <w:rFonts w:ascii="Times New Roman" w:hAnsi="Times New Roman" w:cs="Times New Roman" w:eastAsia="Times New Roman" w:hint="default"/>
          <w:sz w:val="16"/>
          <w:szCs w:val="16"/>
        </w:rPr>
      </w:pPr>
      <w:r>
        <w:rPr/>
        <w:pict>
          <v:group style="position:absolute;margin-left:101.000999pt;margin-top:93.419998pt;width:702.45pt;height:405.15pt;mso-position-horizontal-relative:page;mso-position-vertical-relative:page;z-index:-1130776" coordorigin="2020,1868" coordsize="14049,8103">
            <v:group style="position:absolute;left:2049;top:1883;width:14001;height:2" coordorigin="2049,1883" coordsize="14001,2">
              <v:shape style="position:absolute;left:2049;top:1883;width:14001;height:2" coordorigin="2049,1883" coordsize="14001,0" path="m2049,1883l16050,1883e" filled="false" stroked="true" strokeweight="1.5pt" strokecolor="#000000">
                <v:path arrowok="t"/>
              </v:shape>
              <v:shape style="position:absolute;left:4274;top:1870;width:10144;height:2458" type="#_x0000_t75" stroked="false">
                <v:imagedata r:id="rId56" o:title=""/>
              </v:shape>
            </v:group>
            <v:group style="position:absolute;left:2035;top:9956;width:2268;height:2" coordorigin="2035,9956" coordsize="2268,2">
              <v:shape style="position:absolute;left:2035;top:9956;width:2268;height:2" coordorigin="2035,9956" coordsize="2268,0" path="m2035,9956l4303,9956e" filled="false" stroked="true" strokeweight="1.5pt" strokecolor="#000000">
                <v:path arrowok="t"/>
              </v:shape>
              <v:shape style="position:absolute;left:2030;top:4279;width:14039;height:5690" type="#_x0000_t75" stroked="false">
                <v:imagedata r:id="rId71" o:title=""/>
              </v:shape>
            </v:group>
            <v:group style="position:absolute;left:4303;top:9956;width:610;height:2" coordorigin="4303,9956" coordsize="610,2">
              <v:shape style="position:absolute;left:4303;top:9956;width:610;height:2" coordorigin="4303,9956" coordsize="610,0" path="m4303,9956l4913,9956e" filled="false" stroked="true" strokeweight="1.5pt" strokecolor="#000000">
                <v:path arrowok="t"/>
              </v:shape>
              <v:shape style="position:absolute;left:4884;top:8645;width:67;height:1325" type="#_x0000_t75" stroked="false">
                <v:imagedata r:id="rId72" o:title=""/>
              </v:shape>
            </v:group>
            <v:group style="position:absolute;left:4913;top:9956;width:502;height:2" coordorigin="4913,9956" coordsize="502,2">
              <v:shape style="position:absolute;left:4913;top:9956;width:502;height:2" coordorigin="4913,9956" coordsize="502,0" path="m4913,9956l5414,9956e" filled="false" stroked="true" strokeweight="1.5pt" strokecolor="#000000">
                <v:path arrowok="t"/>
              </v:shape>
              <v:shape style="position:absolute;left:5385;top:8645;width:67;height:1325" type="#_x0000_t75" stroked="false">
                <v:imagedata r:id="rId73" o:title=""/>
              </v:shape>
            </v:group>
            <v:group style="position:absolute;left:5414;top:9956;width:939;height:2" coordorigin="5414,9956" coordsize="939,2">
              <v:shape style="position:absolute;left:5414;top:9956;width:939;height:2" coordorigin="5414,9956" coordsize="939,0" path="m5414,9956l6353,9956e" filled="false" stroked="true" strokeweight="1.5pt" strokecolor="#000000">
                <v:path arrowok="t"/>
              </v:shape>
              <v:shape style="position:absolute;left:6324;top:8645;width:67;height:1325" type="#_x0000_t75" stroked="false">
                <v:imagedata r:id="rId72" o:title=""/>
              </v:shape>
            </v:group>
            <v:group style="position:absolute;left:6353;top:9956;width:1179;height:2" coordorigin="6353,9956" coordsize="1179,2">
              <v:shape style="position:absolute;left:6353;top:9956;width:1179;height:2" coordorigin="6353,9956" coordsize="1179,0" path="m6353,9956l7531,9956e" filled="false" stroked="true" strokeweight="1.5pt" strokecolor="#000000">
                <v:path arrowok="t"/>
              </v:shape>
              <v:shape style="position:absolute;left:7502;top:8645;width:67;height:1306" type="#_x0000_t75" stroked="false">
                <v:imagedata r:id="rId74" o:title=""/>
              </v:shape>
            </v:group>
            <v:group style="position:absolute;left:7531;top:9956;width:1773;height:2" coordorigin="7531,9956" coordsize="1773,2">
              <v:shape style="position:absolute;left:7531;top:9956;width:1773;height:2" coordorigin="7531,9956" coordsize="1773,0" path="m7531,9956l9303,9956e" filled="false" stroked="true" strokeweight="1.5pt" strokecolor="#000000">
                <v:path arrowok="t"/>
              </v:shape>
              <v:shape style="position:absolute;left:9275;top:8645;width:67;height:1325" type="#_x0000_t75" stroked="false">
                <v:imagedata r:id="rId72" o:title=""/>
              </v:shape>
            </v:group>
            <v:group style="position:absolute;left:9303;top:9956;width:992;height:2" coordorigin="9303,9956" coordsize="992,2">
              <v:shape style="position:absolute;left:9303;top:9956;width:992;height:2" coordorigin="9303,9956" coordsize="992,0" path="m9303,9956l10295,9956e" filled="false" stroked="true" strokeweight="1.5pt" strokecolor="#000000">
                <v:path arrowok="t"/>
              </v:shape>
              <v:shape style="position:absolute;left:10266;top:8645;width:67;height:1325" type="#_x0000_t75" stroked="false">
                <v:imagedata r:id="rId72" o:title=""/>
              </v:shape>
            </v:group>
            <v:group style="position:absolute;left:10295;top:9956;width:725;height:2" coordorigin="10295,9956" coordsize="725,2">
              <v:shape style="position:absolute;left:10295;top:9956;width:725;height:2" coordorigin="10295,9956" coordsize="725,0" path="m10295,9956l11019,9956e" filled="false" stroked="true" strokeweight="1.5pt" strokecolor="#000000">
                <v:path arrowok="t"/>
              </v:shape>
              <v:shape style="position:absolute;left:10991;top:8645;width:67;height:1325" type="#_x0000_t75" stroked="false">
                <v:imagedata r:id="rId72" o:title=""/>
              </v:shape>
            </v:group>
            <v:group style="position:absolute;left:11019;top:9956;width:510;height:2" coordorigin="11019,9956" coordsize="510,2">
              <v:shape style="position:absolute;left:11019;top:9956;width:510;height:2" coordorigin="11019,9956" coordsize="510,0" path="m11019,9956l11529,9956e" filled="false" stroked="true" strokeweight="1.5pt" strokecolor="#000000">
                <v:path arrowok="t"/>
              </v:shape>
              <v:shape style="position:absolute;left:11501;top:8645;width:67;height:1325" type="#_x0000_t75" stroked="false">
                <v:imagedata r:id="rId73" o:title=""/>
              </v:shape>
            </v:group>
            <v:group style="position:absolute;left:11529;top:9956;width:686;height:2" coordorigin="11529,9956" coordsize="686,2">
              <v:shape style="position:absolute;left:11529;top:9956;width:686;height:2" coordorigin="11529,9956" coordsize="686,0" path="m11529,9956l12215,9956e" filled="false" stroked="true" strokeweight="1.5pt" strokecolor="#000000">
                <v:path arrowok="t"/>
              </v:shape>
              <v:shape style="position:absolute;left:12186;top:8645;width:67;height:1306" type="#_x0000_t75" stroked="false">
                <v:imagedata r:id="rId74" o:title=""/>
              </v:shape>
            </v:group>
            <v:group style="position:absolute;left:12215;top:9956;width:546;height:2" coordorigin="12215,9956" coordsize="546,2">
              <v:shape style="position:absolute;left:12215;top:9956;width:546;height:2" coordorigin="12215,9956" coordsize="546,0" path="m12215,9956l12761,9956e" filled="false" stroked="true" strokeweight="1.5pt" strokecolor="#000000">
                <v:path arrowok="t"/>
              </v:shape>
              <v:shape style="position:absolute;left:12732;top:8645;width:67;height:1325" type="#_x0000_t75" stroked="false">
                <v:imagedata r:id="rId72" o:title=""/>
              </v:shape>
            </v:group>
            <v:group style="position:absolute;left:12761;top:9956;width:894;height:2" coordorigin="12761,9956" coordsize="894,2">
              <v:shape style="position:absolute;left:12761;top:9956;width:894;height:2" coordorigin="12761,9956" coordsize="894,0" path="m12761,9956l13655,9956e" filled="false" stroked="true" strokeweight="1.5pt" strokecolor="#000000">
                <v:path arrowok="t"/>
              </v:shape>
              <v:shape style="position:absolute;left:13626;top:8645;width:67;height:1325" type="#_x0000_t75" stroked="false">
                <v:imagedata r:id="rId72" o:title=""/>
              </v:shape>
            </v:group>
            <v:group style="position:absolute;left:13655;top:9956;width:725;height:2" coordorigin="13655,9956" coordsize="725,2">
              <v:shape style="position:absolute;left:13655;top:9956;width:725;height:2" coordorigin="13655,9956" coordsize="725,0" path="m13655,9956l14379,9956e" filled="false" stroked="true" strokeweight="1.5pt" strokecolor="#000000">
                <v:path arrowok="t"/>
              </v:shape>
              <v:shape style="position:absolute;left:14351;top:8645;width:67;height:1325" type="#_x0000_t75" stroked="false">
                <v:imagedata r:id="rId72" o:title=""/>
              </v:shape>
            </v:group>
            <v:group style="position:absolute;left:14379;top:9956;width:1671;height:2" coordorigin="14379,9956" coordsize="1671,2">
              <v:shape style="position:absolute;left:14379;top:9956;width:1671;height:2" coordorigin="14379,9956" coordsize="1671,0" path="m14379,9956l16050,9956e" filled="false" stroked="true" strokeweight="1.5pt" strokecolor="#000000">
                <v:path arrowok="t"/>
              </v:shape>
            </v:group>
            <w10:wrap type="none"/>
          </v:group>
        </w:pict>
      </w:r>
    </w:p>
    <w:p>
      <w:pPr>
        <w:spacing w:line="477" w:lineRule="auto" w:before="114"/>
        <w:ind w:left="857" w:right="-20" w:firstLine="0"/>
        <w:jc w:val="left"/>
        <w:rPr>
          <w:rFonts w:ascii="宋体" w:hAnsi="宋体" w:cs="宋体" w:eastAsia="宋体" w:hint="default"/>
          <w:sz w:val="15"/>
          <w:szCs w:val="15"/>
        </w:rPr>
      </w:pPr>
      <w:r>
        <w:rPr>
          <w:rFonts w:ascii="宋体" w:hAnsi="宋体" w:cs="宋体" w:eastAsia="宋体" w:hint="default"/>
          <w:sz w:val="15"/>
          <w:szCs w:val="15"/>
        </w:rPr>
        <w:t>沈阳东软派斯通医疗系统有限公 司（注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6</w:t>
      </w:r>
      <w:r>
        <w:rPr>
          <w:rFonts w:ascii="宋体" w:hAnsi="宋体" w:cs="宋体" w:eastAsia="宋体" w:hint="default"/>
          <w:sz w:val="15"/>
          <w:szCs w:val="15"/>
        </w:rPr>
        <w:t>）</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10"/>
        <w:rPr>
          <w:rFonts w:ascii="宋体" w:hAnsi="宋体" w:cs="宋体" w:eastAsia="宋体" w:hint="default"/>
          <w:sz w:val="9"/>
          <w:szCs w:val="9"/>
        </w:rPr>
      </w:pPr>
    </w:p>
    <w:p>
      <w:pPr>
        <w:tabs>
          <w:tab w:pos="727" w:val="left" w:leader="none"/>
        </w:tabs>
        <w:spacing w:before="0"/>
        <w:ind w:left="118" w:right="-19" w:firstLine="0"/>
        <w:jc w:val="left"/>
        <w:rPr>
          <w:rFonts w:ascii="宋体" w:hAnsi="宋体" w:cs="宋体" w:eastAsia="宋体" w:hint="default"/>
          <w:sz w:val="15"/>
          <w:szCs w:val="15"/>
        </w:rPr>
      </w:pPr>
      <w:r>
        <w:rPr>
          <w:rFonts w:ascii="宋体" w:hAnsi="宋体" w:cs="宋体" w:eastAsia="宋体" w:hint="default"/>
          <w:sz w:val="15"/>
          <w:szCs w:val="15"/>
        </w:rPr>
        <w:t>控股</w:t>
        <w:tab/>
        <w:t>沈阳</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p>
      <w:pPr>
        <w:spacing w:line="240" w:lineRule="auto" w:before="0"/>
        <w:rPr>
          <w:rFonts w:ascii="宋体" w:hAnsi="宋体" w:cs="宋体" w:eastAsia="宋体" w:hint="default"/>
          <w:sz w:val="14"/>
          <w:szCs w:val="14"/>
        </w:rPr>
      </w:pPr>
      <w:r>
        <w:rPr/>
        <w:br w:type="column"/>
      </w:r>
      <w:r>
        <w:rPr>
          <w:rFonts w:ascii="宋体"/>
          <w:sz w:val="14"/>
        </w:rPr>
      </w:r>
    </w:p>
    <w:p>
      <w:pPr>
        <w:spacing w:before="115"/>
        <w:ind w:left="0" w:right="0" w:firstLine="0"/>
        <w:jc w:val="right"/>
        <w:rPr>
          <w:rFonts w:ascii="宋体" w:hAnsi="宋体" w:cs="宋体" w:eastAsia="宋体" w:hint="default"/>
          <w:sz w:val="15"/>
          <w:szCs w:val="15"/>
        </w:rPr>
      </w:pPr>
      <w:r>
        <w:rPr>
          <w:rFonts w:ascii="宋体" w:hAnsi="宋体" w:cs="宋体" w:eastAsia="宋体" w:hint="default"/>
          <w:sz w:val="15"/>
          <w:szCs w:val="15"/>
        </w:rPr>
        <w:t>美元</w:t>
      </w:r>
    </w:p>
    <w:p>
      <w:pPr>
        <w:spacing w:line="240" w:lineRule="auto" w:before="2"/>
        <w:rPr>
          <w:rFonts w:ascii="宋体" w:hAnsi="宋体" w:cs="宋体" w:eastAsia="宋体" w:hint="default"/>
          <w:sz w:val="18"/>
          <w:szCs w:val="18"/>
        </w:rPr>
      </w:pPr>
    </w:p>
    <w:p>
      <w:pPr>
        <w:spacing w:before="0"/>
        <w:ind w:left="0" w:right="0" w:firstLine="0"/>
        <w:jc w:val="right"/>
        <w:rPr>
          <w:rFonts w:ascii="Times New Roman" w:hAnsi="Times New Roman" w:cs="Times New Roman" w:eastAsia="Times New Roman" w:hint="default"/>
          <w:sz w:val="15"/>
          <w:szCs w:val="15"/>
        </w:rPr>
      </w:pPr>
      <w:r>
        <w:rPr>
          <w:rFonts w:ascii="Times New Roman"/>
          <w:spacing w:val="-1"/>
          <w:sz w:val="15"/>
        </w:rPr>
        <w:t>3,500,000</w:t>
      </w:r>
    </w:p>
    <w:p>
      <w:pPr>
        <w:spacing w:line="477" w:lineRule="auto" w:before="104"/>
        <w:ind w:left="156" w:right="0" w:firstLine="0"/>
        <w:jc w:val="both"/>
        <w:rPr>
          <w:rFonts w:ascii="宋体" w:hAnsi="宋体" w:cs="宋体" w:eastAsia="宋体" w:hint="default"/>
          <w:sz w:val="15"/>
          <w:szCs w:val="15"/>
        </w:rPr>
      </w:pPr>
      <w:r>
        <w:rPr>
          <w:spacing w:val="-1"/>
        </w:rPr>
        <w:br w:type="column"/>
      </w:r>
      <w:r>
        <w:rPr>
          <w:rFonts w:ascii="宋体" w:hAnsi="宋体" w:cs="宋体" w:eastAsia="宋体" w:hint="default"/>
          <w:spacing w:val="-1"/>
          <w:sz w:val="15"/>
          <w:szCs w:val="15"/>
        </w:rPr>
        <w:t>开发、生产正电子发射计</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pacing w:val="-1"/>
          <w:sz w:val="15"/>
          <w:szCs w:val="15"/>
        </w:rPr>
        <w:t>算机断层显像系统，相关</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技术咨询、服务</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8"/>
        <w:rPr>
          <w:rFonts w:ascii="宋体" w:hAnsi="宋体" w:cs="宋体" w:eastAsia="宋体" w:hint="default"/>
          <w:sz w:val="21"/>
          <w:szCs w:val="21"/>
        </w:rPr>
      </w:pPr>
    </w:p>
    <w:p>
      <w:pPr>
        <w:tabs>
          <w:tab w:pos="2495" w:val="left" w:leader="none"/>
          <w:tab w:pos="3111" w:val="left" w:leader="none"/>
          <w:tab w:pos="3831" w:val="left" w:leader="none"/>
        </w:tabs>
        <w:spacing w:before="0"/>
        <w:ind w:left="21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pacing w:val="-1"/>
          <w:sz w:val="15"/>
          <w:szCs w:val="15"/>
        </w:rPr>
        <w:t>21,150,450</w:t>
        <w:tab/>
      </w:r>
      <w:r>
        <w:rPr>
          <w:rFonts w:ascii="Times New Roman" w:hAnsi="Times New Roman" w:cs="Times New Roman" w:eastAsia="Times New Roman" w:hint="default"/>
          <w:sz w:val="15"/>
          <w:szCs w:val="15"/>
        </w:rPr>
        <w:t>99</w:t>
        <w:tab/>
      </w:r>
      <w:r>
        <w:rPr>
          <w:rFonts w:ascii="宋体" w:hAnsi="宋体" w:cs="宋体" w:eastAsia="宋体" w:hint="default"/>
          <w:position w:val="1"/>
          <w:sz w:val="15"/>
          <w:szCs w:val="15"/>
        </w:rPr>
        <w:t>是</w:t>
        <w:tab/>
      </w:r>
      <w:r>
        <w:rPr>
          <w:rFonts w:ascii="Times New Roman" w:hAnsi="Times New Roman" w:cs="Times New Roman" w:eastAsia="Times New Roman" w:hint="default"/>
          <w:spacing w:val="-1"/>
          <w:sz w:val="15"/>
          <w:szCs w:val="15"/>
        </w:rPr>
        <w:t>27,612</w:t>
      </w:r>
    </w:p>
    <w:p>
      <w:pPr>
        <w:spacing w:after="0"/>
        <w:jc w:val="left"/>
        <w:rPr>
          <w:rFonts w:ascii="Times New Roman" w:hAnsi="Times New Roman" w:cs="Times New Roman" w:eastAsia="Times New Roman" w:hint="default"/>
          <w:sz w:val="15"/>
          <w:szCs w:val="15"/>
        </w:rPr>
        <w:sectPr>
          <w:type w:val="continuous"/>
          <w:pgSz w:w="16840" w:h="11910" w:orient="landscape"/>
          <w:pgMar w:top="1600" w:bottom="280" w:left="1300" w:right="660"/>
          <w:cols w:num="5" w:equalWidth="0">
            <w:col w:w="2958" w:space="40"/>
            <w:col w:w="2017" w:space="40"/>
            <w:col w:w="1075" w:space="40"/>
            <w:col w:w="1798" w:space="40"/>
            <w:col w:w="6872"/>
          </w:cols>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6"/>
          <w:szCs w:val="16"/>
        </w:rPr>
      </w:pPr>
    </w:p>
    <w:p>
      <w:pPr>
        <w:spacing w:after="0" w:line="240" w:lineRule="auto"/>
        <w:rPr>
          <w:rFonts w:ascii="Times New Roman" w:hAnsi="Times New Roman" w:cs="Times New Roman" w:eastAsia="Times New Roman" w:hint="default"/>
          <w:sz w:val="16"/>
          <w:szCs w:val="16"/>
        </w:rPr>
        <w:sectPr>
          <w:pgSz w:w="16840" w:h="11910" w:orient="landscape"/>
          <w:pgMar w:header="883" w:footer="999" w:top="1600" w:bottom="1180" w:left="1300" w:right="660"/>
        </w:sectPr>
      </w:pPr>
    </w:p>
    <w:p>
      <w:pPr>
        <w:spacing w:line="240" w:lineRule="auto" w:before="0"/>
        <w:rPr>
          <w:rFonts w:ascii="Times New Roman" w:hAnsi="Times New Roman" w:cs="Times New Roman" w:eastAsia="Times New Roman" w:hint="default"/>
          <w:sz w:val="14"/>
          <w:szCs w:val="14"/>
        </w:rPr>
      </w:pPr>
      <w:r>
        <w:rPr/>
        <w:pict>
          <v:group style="position:absolute;margin-left:101.511002pt;margin-top:93.419998pt;width:701.95pt;height:410.2pt;mso-position-horizontal-relative:page;mso-position-vertical-relative:page;z-index:-1130752" coordorigin="2030,1868" coordsize="14039,8204">
            <v:group style="position:absolute;left:2049;top:1883;width:14001;height:2" coordorigin="2049,1883" coordsize="14001,2">
              <v:shape style="position:absolute;left:2049;top:1883;width:14001;height:2" coordorigin="2049,1883" coordsize="14001,0" path="m2049,1883l16050,1883e" filled="false" stroked="true" strokeweight="1.5pt" strokecolor="#000000">
                <v:path arrowok="t"/>
              </v:shape>
              <v:shape style="position:absolute;left:4274;top:1870;width:10144;height:2458" type="#_x0000_t75" stroked="false">
                <v:imagedata r:id="rId56" o:title=""/>
              </v:shape>
              <v:shape style="position:absolute;left:2030;top:4279;width:14039;height:5793" type="#_x0000_t75" stroked="false">
                <v:imagedata r:id="rId75" o:title=""/>
              </v:shape>
              <v:shape style="position:absolute;left:4893;top:9232;width:49;height:840" type="#_x0000_t75" stroked="false">
                <v:imagedata r:id="rId76" o:title=""/>
              </v:shape>
              <v:shape style="position:absolute;left:5394;top:9232;width:49;height:840" type="#_x0000_t75" stroked="false">
                <v:imagedata r:id="rId76" o:title=""/>
              </v:shape>
              <v:shape style="position:absolute;left:6333;top:9232;width:49;height:840" type="#_x0000_t75" stroked="false">
                <v:imagedata r:id="rId77" o:title=""/>
              </v:shape>
              <v:shape style="position:absolute;left:7511;top:9232;width:49;height:840" type="#_x0000_t75" stroked="false">
                <v:imagedata r:id="rId76" o:title=""/>
              </v:shape>
              <v:shape style="position:absolute;left:9284;top:9232;width:49;height:840" type="#_x0000_t75" stroked="false">
                <v:imagedata r:id="rId78" o:title=""/>
              </v:shape>
              <v:shape style="position:absolute;left:10266;top:9223;width:67;height:845" type="#_x0000_t75" stroked="false">
                <v:imagedata r:id="rId79" o:title=""/>
              </v:shape>
              <v:shape style="position:absolute;left:11000;top:9232;width:49;height:840" type="#_x0000_t75" stroked="false">
                <v:imagedata r:id="rId78" o:title=""/>
              </v:shape>
              <v:shape style="position:absolute;left:11510;top:9232;width:49;height:840" type="#_x0000_t75" stroked="false">
                <v:imagedata r:id="rId78" o:title=""/>
              </v:shape>
              <v:shape style="position:absolute;left:12195;top:9232;width:49;height:840" type="#_x0000_t75" stroked="false">
                <v:imagedata r:id="rId78" o:title=""/>
              </v:shape>
              <v:shape style="position:absolute;left:12741;top:9232;width:49;height:840" type="#_x0000_t75" stroked="false">
                <v:imagedata r:id="rId76" o:title=""/>
              </v:shape>
              <v:shape style="position:absolute;left:13635;top:9232;width:49;height:840" type="#_x0000_t75" stroked="false">
                <v:imagedata r:id="rId78" o:title=""/>
              </v:shape>
              <v:shape style="position:absolute;left:14360;top:9232;width:49;height:840" type="#_x0000_t75" stroked="false">
                <v:imagedata r:id="rId78" o:title=""/>
              </v:shape>
            </v:group>
            <w10:wrap type="none"/>
          </v:group>
        </w:pict>
      </w: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before="88"/>
        <w:ind w:left="0" w:right="0" w:firstLine="0"/>
        <w:jc w:val="right"/>
        <w:rPr>
          <w:rFonts w:ascii="宋体" w:hAnsi="宋体" w:cs="宋体" w:eastAsia="宋体" w:hint="default"/>
          <w:sz w:val="15"/>
          <w:szCs w:val="15"/>
        </w:rPr>
      </w:pPr>
      <w:r>
        <w:rPr/>
        <w:pict>
          <v:shape style="position:absolute;margin-left:101.750999pt;margin-top:16.214453pt;width:700.75pt;height:339.1pt;mso-position-horizontal-relative:page;mso-position-vertical-relative:paragraph;z-index:38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302"/>
                    <w:gridCol w:w="566"/>
                    <w:gridCol w:w="1631"/>
                    <w:gridCol w:w="963"/>
                    <w:gridCol w:w="1908"/>
                    <w:gridCol w:w="879"/>
                    <w:gridCol w:w="796"/>
                    <w:gridCol w:w="477"/>
                    <w:gridCol w:w="625"/>
                    <w:gridCol w:w="660"/>
                    <w:gridCol w:w="802"/>
                    <w:gridCol w:w="766"/>
                    <w:gridCol w:w="1639"/>
                  </w:tblGrid>
                  <w:tr>
                    <w:trPr>
                      <w:trHeight w:val="393" w:hRule="exact"/>
                    </w:trPr>
                    <w:tc>
                      <w:tcPr>
                        <w:tcW w:w="2302" w:type="dxa"/>
                        <w:vMerge w:val="restart"/>
                        <w:tcBorders>
                          <w:top w:val="nil" w:sz="6" w:space="0" w:color="auto"/>
                          <w:left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Style w:val="TableParagraph"/>
                          <w:spacing w:line="159" w:lineRule="exact"/>
                          <w:ind w:left="19" w:right="0"/>
                          <w:jc w:val="center"/>
                          <w:rPr>
                            <w:rFonts w:ascii="宋体" w:hAnsi="宋体" w:cs="宋体" w:eastAsia="宋体" w:hint="default"/>
                            <w:sz w:val="15"/>
                            <w:szCs w:val="15"/>
                          </w:rPr>
                        </w:pPr>
                        <w:r>
                          <w:rPr>
                            <w:rFonts w:ascii="宋体" w:hAnsi="宋体" w:cs="宋体" w:eastAsia="宋体" w:hint="default"/>
                            <w:sz w:val="15"/>
                            <w:szCs w:val="15"/>
                          </w:rPr>
                          <w:t>类型</w:t>
                        </w:r>
                      </w:p>
                    </w:tc>
                    <w:tc>
                      <w:tcPr>
                        <w:tcW w:w="1631"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c>
                      <w:tcPr>
                        <w:tcW w:w="879" w:type="dxa"/>
                        <w:tcBorders>
                          <w:top w:val="nil" w:sz="6" w:space="0" w:color="auto"/>
                          <w:left w:val="nil" w:sz="6" w:space="0" w:color="auto"/>
                          <w:bottom w:val="nil" w:sz="6" w:space="0" w:color="auto"/>
                          <w:right w:val="nil" w:sz="6" w:space="0" w:color="auto"/>
                        </w:tcBorders>
                      </w:tcPr>
                      <w:p>
                        <w:pPr>
                          <w:pStyle w:val="TableParagraph"/>
                          <w:spacing w:line="159" w:lineRule="exact"/>
                          <w:ind w:right="48"/>
                          <w:jc w:val="center"/>
                          <w:rPr>
                            <w:rFonts w:ascii="宋体" w:hAnsi="宋体" w:cs="宋体" w:eastAsia="宋体" w:hint="default"/>
                            <w:sz w:val="15"/>
                            <w:szCs w:val="15"/>
                          </w:rPr>
                        </w:pPr>
                        <w:r>
                          <w:rPr>
                            <w:rFonts w:ascii="宋体" w:hAnsi="宋体" w:cs="宋体" w:eastAsia="宋体" w:hint="default"/>
                            <w:sz w:val="15"/>
                            <w:szCs w:val="15"/>
                          </w:rPr>
                          <w:t>额</w:t>
                        </w:r>
                      </w:p>
                    </w:tc>
                    <w:tc>
                      <w:tcPr>
                        <w:tcW w:w="7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8"/>
                          <w:jc w:val="center"/>
                          <w:rPr>
                            <w:rFonts w:ascii="宋体" w:hAnsi="宋体" w:cs="宋体" w:eastAsia="宋体" w:hint="default"/>
                            <w:sz w:val="15"/>
                            <w:szCs w:val="15"/>
                          </w:rPr>
                        </w:pPr>
                        <w:r>
                          <w:rPr>
                            <w:rFonts w:ascii="宋体" w:hAnsi="宋体" w:cs="宋体" w:eastAsia="宋体" w:hint="default"/>
                            <w:sz w:val="15"/>
                            <w:szCs w:val="15"/>
                          </w:rPr>
                          <w:t>的其他项</w:t>
                        </w:r>
                      </w:p>
                    </w:tc>
                    <w:tc>
                      <w:tcPr>
                        <w:tcW w:w="47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Times New Roman" w:hAnsi="Times New Roman" w:cs="Times New Roman" w:eastAsia="Times New Roman" w:hint="default"/>
                            <w:sz w:val="15"/>
                            <w:szCs w:val="15"/>
                          </w:rPr>
                        </w:pPr>
                        <w:r>
                          <w:rPr>
                            <w:rFonts w:ascii="Times New Roman"/>
                            <w:sz w:val="15"/>
                          </w:rPr>
                          <w:t>(%)</w:t>
                        </w:r>
                      </w:p>
                    </w:tc>
                    <w:tc>
                      <w:tcPr>
                        <w:tcW w:w="625" w:type="dxa"/>
                        <w:tcBorders>
                          <w:top w:val="nil" w:sz="6" w:space="0" w:color="auto"/>
                          <w:left w:val="nil" w:sz="6" w:space="0" w:color="auto"/>
                          <w:bottom w:val="nil" w:sz="6" w:space="0" w:color="auto"/>
                          <w:right w:val="nil" w:sz="6" w:space="0" w:color="auto"/>
                        </w:tcBorders>
                      </w:tcPr>
                      <w:p>
                        <w:pPr>
                          <w:pStyle w:val="TableParagraph"/>
                          <w:spacing w:line="171" w:lineRule="exact"/>
                          <w:ind w:left="46" w:right="0"/>
                          <w:jc w:val="center"/>
                          <w:rPr>
                            <w:rFonts w:ascii="Times New Roman" w:hAnsi="Times New Roman" w:cs="Times New Roman" w:eastAsia="Times New Roman" w:hint="default"/>
                            <w:sz w:val="15"/>
                            <w:szCs w:val="15"/>
                          </w:rPr>
                        </w:pP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660" w:type="dxa"/>
                        <w:tcBorders>
                          <w:top w:val="nil" w:sz="6" w:space="0" w:color="auto"/>
                          <w:left w:val="nil" w:sz="6" w:space="0" w:color="auto"/>
                          <w:bottom w:val="nil" w:sz="6" w:space="0" w:color="auto"/>
                          <w:right w:val="nil" w:sz="6" w:space="0" w:color="auto"/>
                        </w:tcBorders>
                      </w:tcPr>
                      <w:p>
                        <w:pPr>
                          <w:pStyle w:val="TableParagraph"/>
                          <w:spacing w:line="159" w:lineRule="exact"/>
                          <w:ind w:right="4"/>
                          <w:jc w:val="center"/>
                          <w:rPr>
                            <w:rFonts w:ascii="宋体" w:hAnsi="宋体" w:cs="宋体" w:eastAsia="宋体" w:hint="default"/>
                            <w:sz w:val="15"/>
                            <w:szCs w:val="15"/>
                          </w:rPr>
                        </w:pPr>
                        <w:r>
                          <w:rPr>
                            <w:rFonts w:ascii="宋体" w:hAnsi="宋体" w:cs="宋体" w:eastAsia="宋体" w:hint="default"/>
                            <w:sz w:val="15"/>
                            <w:szCs w:val="15"/>
                          </w:rPr>
                          <w:t>并报表</w:t>
                        </w:r>
                      </w:p>
                    </w:tc>
                    <w:tc>
                      <w:tcPr>
                        <w:tcW w:w="802" w:type="dxa"/>
                        <w:tcBorders>
                          <w:top w:val="nil" w:sz="6" w:space="0" w:color="auto"/>
                          <w:left w:val="nil" w:sz="6" w:space="0" w:color="auto"/>
                          <w:bottom w:val="nil" w:sz="6" w:space="0" w:color="auto"/>
                          <w:right w:val="nil" w:sz="6" w:space="0" w:color="auto"/>
                        </w:tcBorders>
                      </w:tcPr>
                      <w:p>
                        <w:pPr>
                          <w:pStyle w:val="TableParagraph"/>
                          <w:spacing w:line="159" w:lineRule="exact"/>
                          <w:ind w:right="28"/>
                          <w:jc w:val="center"/>
                          <w:rPr>
                            <w:rFonts w:ascii="宋体" w:hAnsi="宋体" w:cs="宋体" w:eastAsia="宋体" w:hint="default"/>
                            <w:sz w:val="15"/>
                            <w:szCs w:val="15"/>
                          </w:rPr>
                        </w:pPr>
                        <w:r>
                          <w:rPr>
                            <w:rFonts w:ascii="宋体" w:hAnsi="宋体" w:cs="宋体" w:eastAsia="宋体" w:hint="default"/>
                            <w:sz w:val="15"/>
                            <w:szCs w:val="15"/>
                          </w:rPr>
                          <w:t>益</w:t>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0" w:right="0"/>
                          <w:jc w:val="center"/>
                          <w:rPr>
                            <w:rFonts w:ascii="宋体" w:hAnsi="宋体" w:cs="宋体" w:eastAsia="宋体" w:hint="default"/>
                            <w:sz w:val="15"/>
                            <w:szCs w:val="15"/>
                          </w:rPr>
                        </w:pPr>
                        <w:r>
                          <w:rPr>
                            <w:rFonts w:ascii="宋体" w:hAnsi="宋体" w:cs="宋体" w:eastAsia="宋体" w:hint="default"/>
                            <w:sz w:val="15"/>
                            <w:szCs w:val="15"/>
                          </w:rPr>
                          <w:t>数股东损</w:t>
                        </w:r>
                      </w:p>
                    </w:tc>
                    <w:tc>
                      <w:tcPr>
                        <w:tcW w:w="1639" w:type="dxa"/>
                        <w:tcBorders>
                          <w:top w:val="nil" w:sz="6" w:space="0" w:color="auto"/>
                          <w:left w:val="nil" w:sz="6" w:space="0" w:color="auto"/>
                          <w:bottom w:val="nil" w:sz="6" w:space="0" w:color="auto"/>
                          <w:right w:val="nil" w:sz="6" w:space="0" w:color="auto"/>
                        </w:tcBorders>
                      </w:tcPr>
                      <w:p>
                        <w:pPr>
                          <w:pStyle w:val="TableParagraph"/>
                          <w:spacing w:line="159" w:lineRule="exact"/>
                          <w:ind w:left="7" w:right="0"/>
                          <w:jc w:val="center"/>
                          <w:rPr>
                            <w:rFonts w:ascii="宋体" w:hAnsi="宋体" w:cs="宋体" w:eastAsia="宋体" w:hint="default"/>
                            <w:sz w:val="15"/>
                            <w:szCs w:val="15"/>
                          </w:rPr>
                        </w:pPr>
                        <w:r>
                          <w:rPr>
                            <w:rFonts w:ascii="宋体" w:hAnsi="宋体" w:cs="宋体" w:eastAsia="宋体" w:hint="default"/>
                            <w:sz w:val="15"/>
                            <w:szCs w:val="15"/>
                          </w:rPr>
                          <w:t>东在该子公司期初所有</w:t>
                        </w:r>
                      </w:p>
                    </w:tc>
                  </w:tr>
                  <w:tr>
                    <w:trPr>
                      <w:trHeight w:val="191" w:hRule="exact"/>
                    </w:trPr>
                    <w:tc>
                      <w:tcPr>
                        <w:tcW w:w="2302" w:type="dxa"/>
                        <w:vMerge/>
                        <w:tcBorders>
                          <w:left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c>
                      <w:tcPr>
                        <w:tcW w:w="879"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c>
                      <w:tcPr>
                        <w:tcW w:w="477"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c>
                      <w:tcPr>
                        <w:tcW w:w="766"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Style w:val="TableParagraph"/>
                          <w:spacing w:line="167" w:lineRule="exact"/>
                          <w:ind w:left="7" w:right="0"/>
                          <w:jc w:val="center"/>
                          <w:rPr>
                            <w:rFonts w:ascii="宋体" w:hAnsi="宋体" w:cs="宋体" w:eastAsia="宋体" w:hint="default"/>
                            <w:sz w:val="15"/>
                            <w:szCs w:val="15"/>
                          </w:rPr>
                        </w:pPr>
                        <w:r>
                          <w:rPr>
                            <w:rFonts w:ascii="宋体" w:hAnsi="宋体" w:cs="宋体" w:eastAsia="宋体" w:hint="default"/>
                            <w:sz w:val="15"/>
                            <w:szCs w:val="15"/>
                          </w:rPr>
                          <w:t>者权益中所享有份额后</w:t>
                        </w:r>
                      </w:p>
                    </w:tc>
                  </w:tr>
                  <w:tr>
                    <w:trPr>
                      <w:trHeight w:val="200" w:hRule="exact"/>
                    </w:trPr>
                    <w:tc>
                      <w:tcPr>
                        <w:tcW w:w="2302" w:type="dxa"/>
                        <w:vMerge/>
                        <w:tcBorders>
                          <w:left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c>
                      <w:tcPr>
                        <w:tcW w:w="879"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Style w:val="TableParagraph"/>
                          <w:spacing w:line="175" w:lineRule="exact"/>
                          <w:ind w:right="9"/>
                          <w:jc w:val="center"/>
                          <w:rPr>
                            <w:rFonts w:ascii="宋体" w:hAnsi="宋体" w:cs="宋体" w:eastAsia="宋体" w:hint="default"/>
                            <w:sz w:val="15"/>
                            <w:szCs w:val="15"/>
                          </w:rPr>
                        </w:pPr>
                        <w:r>
                          <w:rPr>
                            <w:rFonts w:ascii="宋体" w:hAnsi="宋体" w:cs="宋体" w:eastAsia="宋体" w:hint="default"/>
                            <w:sz w:val="15"/>
                            <w:szCs w:val="15"/>
                          </w:rPr>
                          <w:t>目余额</w:t>
                        </w:r>
                      </w:p>
                    </w:tc>
                    <w:tc>
                      <w:tcPr>
                        <w:tcW w:w="477"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c>
                      <w:tcPr>
                        <w:tcW w:w="766" w:type="dxa"/>
                        <w:tcBorders>
                          <w:top w:val="nil" w:sz="6" w:space="0" w:color="auto"/>
                          <w:left w:val="nil" w:sz="6" w:space="0" w:color="auto"/>
                          <w:bottom w:val="nil" w:sz="6" w:space="0" w:color="auto"/>
                          <w:right w:val="nil" w:sz="6" w:space="0" w:color="auto"/>
                        </w:tcBorders>
                      </w:tcPr>
                      <w:p>
                        <w:pPr>
                          <w:pStyle w:val="TableParagraph"/>
                          <w:spacing w:line="175" w:lineRule="exact"/>
                          <w:ind w:left="20" w:right="0"/>
                          <w:jc w:val="center"/>
                          <w:rPr>
                            <w:rFonts w:ascii="宋体" w:hAnsi="宋体" w:cs="宋体" w:eastAsia="宋体" w:hint="default"/>
                            <w:sz w:val="15"/>
                            <w:szCs w:val="15"/>
                          </w:rPr>
                        </w:pPr>
                        <w:r>
                          <w:rPr>
                            <w:rFonts w:ascii="宋体" w:hAnsi="宋体" w:cs="宋体" w:eastAsia="宋体" w:hint="default"/>
                            <w:sz w:val="15"/>
                            <w:szCs w:val="15"/>
                          </w:rPr>
                          <w:t>益的金额</w:t>
                        </w:r>
                      </w:p>
                    </w:tc>
                    <w:tc>
                      <w:tcPr>
                        <w:tcW w:w="1639" w:type="dxa"/>
                        <w:tcBorders>
                          <w:top w:val="nil" w:sz="6" w:space="0" w:color="auto"/>
                          <w:left w:val="nil" w:sz="6" w:space="0" w:color="auto"/>
                          <w:bottom w:val="nil" w:sz="6" w:space="0" w:color="auto"/>
                          <w:right w:val="nil" w:sz="6" w:space="0" w:color="auto"/>
                        </w:tcBorders>
                      </w:tcPr>
                      <w:p>
                        <w:pPr/>
                      </w:p>
                    </w:tc>
                  </w:tr>
                  <w:tr>
                    <w:trPr>
                      <w:trHeight w:val="301" w:hRule="exact"/>
                    </w:trPr>
                    <w:tc>
                      <w:tcPr>
                        <w:tcW w:w="2302" w:type="dxa"/>
                        <w:vMerge/>
                        <w:tcBorders>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c>
                      <w:tcPr>
                        <w:tcW w:w="879"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c>
                      <w:tcPr>
                        <w:tcW w:w="477"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c>
                      <w:tcPr>
                        <w:tcW w:w="766"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Style w:val="TableParagraph"/>
                          <w:spacing w:line="175" w:lineRule="exact"/>
                          <w:ind w:left="5" w:right="0"/>
                          <w:jc w:val="center"/>
                          <w:rPr>
                            <w:rFonts w:ascii="宋体" w:hAnsi="宋体" w:cs="宋体" w:eastAsia="宋体" w:hint="default"/>
                            <w:sz w:val="15"/>
                            <w:szCs w:val="15"/>
                          </w:rPr>
                        </w:pPr>
                        <w:r>
                          <w:rPr>
                            <w:rFonts w:ascii="宋体" w:hAnsi="宋体" w:cs="宋体" w:eastAsia="宋体" w:hint="default"/>
                            <w:sz w:val="15"/>
                            <w:szCs w:val="15"/>
                          </w:rPr>
                          <w:t>的余额</w:t>
                        </w:r>
                      </w:p>
                    </w:tc>
                  </w:tr>
                  <w:tr>
                    <w:trPr>
                      <w:trHeight w:val="298"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深圳市东软移动终端设计有限公</w:t>
                        </w:r>
                      </w:p>
                    </w:tc>
                    <w:tc>
                      <w:tcPr>
                        <w:tcW w:w="566"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46" w:right="0"/>
                          <w:jc w:val="left"/>
                          <w:rPr>
                            <w:rFonts w:ascii="宋体" w:hAnsi="宋体" w:cs="宋体" w:eastAsia="宋体" w:hint="default"/>
                            <w:sz w:val="15"/>
                            <w:szCs w:val="15"/>
                          </w:rPr>
                        </w:pPr>
                        <w:r>
                          <w:rPr>
                            <w:rFonts w:ascii="宋体" w:hAnsi="宋体" w:cs="宋体" w:eastAsia="宋体" w:hint="default"/>
                            <w:sz w:val="15"/>
                            <w:szCs w:val="15"/>
                          </w:rPr>
                          <w:t>电子产品技术开发销</w:t>
                        </w:r>
                      </w:p>
                    </w:tc>
                    <w:tc>
                      <w:tcPr>
                        <w:tcW w:w="879"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c>
                      <w:tcPr>
                        <w:tcW w:w="477"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c>
                      <w:tcPr>
                        <w:tcW w:w="766"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528"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司（注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7</w:t>
                        </w:r>
                        <w:r>
                          <w:rPr>
                            <w:rFonts w:ascii="宋体" w:hAnsi="宋体" w:cs="宋体" w:eastAsia="宋体" w:hint="default"/>
                            <w:sz w:val="15"/>
                            <w:szCs w:val="15"/>
                          </w:rPr>
                          <w:t>）</w:t>
                        </w:r>
                      </w:p>
                    </w:tc>
                    <w:tc>
                      <w:tcPr>
                        <w:tcW w:w="566" w:type="dxa"/>
                        <w:tcBorders>
                          <w:top w:val="nil" w:sz="6" w:space="0" w:color="auto"/>
                          <w:left w:val="nil" w:sz="6" w:space="0" w:color="auto"/>
                          <w:bottom w:val="nil" w:sz="6" w:space="0" w:color="auto"/>
                          <w:right w:val="nil" w:sz="6" w:space="0" w:color="auto"/>
                        </w:tcBorders>
                      </w:tcPr>
                      <w:p>
                        <w:pPr>
                          <w:pStyle w:val="TableParagraph"/>
                          <w:spacing w:line="172" w:lineRule="exact"/>
                          <w:ind w:right="105"/>
                          <w:jc w:val="center"/>
                          <w:rPr>
                            <w:rFonts w:ascii="宋体" w:hAnsi="宋体" w:cs="宋体" w:eastAsia="宋体" w:hint="default"/>
                            <w:sz w:val="15"/>
                            <w:szCs w:val="15"/>
                          </w:rPr>
                        </w:pPr>
                        <w:r>
                          <w:rPr>
                            <w:rFonts w:ascii="宋体" w:hAnsi="宋体" w:cs="宋体" w:eastAsia="宋体" w:hint="default"/>
                            <w:sz w:val="15"/>
                            <w:szCs w:val="15"/>
                          </w:rPr>
                          <w:t>控股</w:t>
                        </w:r>
                      </w:p>
                    </w:tc>
                    <w:tc>
                      <w:tcPr>
                        <w:tcW w:w="1631" w:type="dxa"/>
                        <w:tcBorders>
                          <w:top w:val="nil" w:sz="6" w:space="0" w:color="auto"/>
                          <w:left w:val="nil" w:sz="6" w:space="0" w:color="auto"/>
                          <w:bottom w:val="nil" w:sz="6" w:space="0" w:color="auto"/>
                          <w:right w:val="nil" w:sz="6" w:space="0" w:color="auto"/>
                        </w:tcBorders>
                      </w:tcPr>
                      <w:p>
                        <w:pPr>
                          <w:pStyle w:val="TableParagraph"/>
                          <w:spacing w:line="172" w:lineRule="exact"/>
                          <w:ind w:left="122" w:right="0"/>
                          <w:jc w:val="left"/>
                          <w:rPr>
                            <w:rFonts w:ascii="宋体" w:hAnsi="宋体" w:cs="宋体" w:eastAsia="宋体" w:hint="default"/>
                            <w:sz w:val="15"/>
                            <w:szCs w:val="15"/>
                          </w:rPr>
                        </w:pPr>
                        <w:r>
                          <w:rPr>
                            <w:rFonts w:ascii="宋体" w:hAnsi="宋体" w:cs="宋体" w:eastAsia="宋体" w:hint="default"/>
                            <w:sz w:val="15"/>
                            <w:szCs w:val="15"/>
                          </w:rPr>
                          <w:t>深圳</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66"/>
                          <w:jc w:val="right"/>
                          <w:rPr>
                            <w:rFonts w:ascii="Times New Roman" w:hAnsi="Times New Roman" w:cs="Times New Roman" w:eastAsia="Times New Roman" w:hint="default"/>
                            <w:sz w:val="15"/>
                            <w:szCs w:val="15"/>
                          </w:rPr>
                        </w:pPr>
                        <w:r>
                          <w:rPr>
                            <w:rFonts w:ascii="Times New Roman"/>
                            <w:spacing w:val="-1"/>
                            <w:sz w:val="15"/>
                          </w:rPr>
                          <w:t>5,000,000</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46" w:right="0"/>
                          <w:jc w:val="left"/>
                          <w:rPr>
                            <w:rFonts w:ascii="宋体" w:hAnsi="宋体" w:cs="宋体" w:eastAsia="宋体" w:hint="default"/>
                            <w:sz w:val="15"/>
                            <w:szCs w:val="15"/>
                          </w:rPr>
                        </w:pPr>
                        <w:r>
                          <w:rPr>
                            <w:rFonts w:ascii="宋体" w:hAnsi="宋体" w:cs="宋体" w:eastAsia="宋体" w:hint="default"/>
                            <w:sz w:val="15"/>
                            <w:szCs w:val="15"/>
                          </w:rPr>
                          <w:t>售、技术咨询</w:t>
                        </w:r>
                      </w:p>
                    </w:tc>
                    <w:tc>
                      <w:tcPr>
                        <w:tcW w:w="87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90"/>
                          <w:jc w:val="right"/>
                          <w:rPr>
                            <w:rFonts w:ascii="Times New Roman" w:hAnsi="Times New Roman" w:cs="Times New Roman" w:eastAsia="Times New Roman" w:hint="default"/>
                            <w:sz w:val="15"/>
                            <w:szCs w:val="15"/>
                          </w:rPr>
                        </w:pPr>
                        <w:r>
                          <w:rPr>
                            <w:rFonts w:ascii="Times New Roman"/>
                            <w:spacing w:val="-1"/>
                            <w:sz w:val="15"/>
                          </w:rPr>
                          <w:t>3,500,000</w:t>
                        </w:r>
                      </w:p>
                    </w:tc>
                    <w:tc>
                      <w:tcPr>
                        <w:tcW w:w="796" w:type="dxa"/>
                        <w:tcBorders>
                          <w:top w:val="nil" w:sz="6" w:space="0" w:color="auto"/>
                          <w:left w:val="nil" w:sz="6" w:space="0" w:color="auto"/>
                          <w:bottom w:val="nil" w:sz="6" w:space="0" w:color="auto"/>
                          <w:right w:val="nil" w:sz="6" w:space="0" w:color="auto"/>
                        </w:tcBorders>
                      </w:tcPr>
                      <w:p>
                        <w:pPr/>
                      </w:p>
                    </w:tc>
                    <w:tc>
                      <w:tcPr>
                        <w:tcW w:w="477"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4" w:right="0"/>
                          <w:jc w:val="center"/>
                          <w:rPr>
                            <w:rFonts w:ascii="Times New Roman" w:hAnsi="Times New Roman" w:cs="Times New Roman" w:eastAsia="Times New Roman" w:hint="default"/>
                            <w:sz w:val="15"/>
                            <w:szCs w:val="15"/>
                          </w:rPr>
                        </w:pPr>
                        <w:r>
                          <w:rPr>
                            <w:rFonts w:ascii="Times New Roman"/>
                            <w:sz w:val="15"/>
                          </w:rPr>
                          <w:t>70</w:t>
                        </w:r>
                      </w:p>
                    </w:tc>
                    <w:tc>
                      <w:tcPr>
                        <w:tcW w:w="660" w:type="dxa"/>
                        <w:tcBorders>
                          <w:top w:val="nil" w:sz="6" w:space="0" w:color="auto"/>
                          <w:left w:val="nil" w:sz="6" w:space="0" w:color="auto"/>
                          <w:bottom w:val="nil" w:sz="6" w:space="0" w:color="auto"/>
                          <w:right w:val="nil" w:sz="6" w:space="0" w:color="auto"/>
                        </w:tcBorders>
                      </w:tcPr>
                      <w:p>
                        <w:pPr>
                          <w:pStyle w:val="TableParagraph"/>
                          <w:spacing w:line="172" w:lineRule="exact"/>
                          <w:ind w:right="38"/>
                          <w:jc w:val="center"/>
                          <w:rPr>
                            <w:rFonts w:ascii="宋体" w:hAnsi="宋体" w:cs="宋体" w:eastAsia="宋体" w:hint="default"/>
                            <w:sz w:val="15"/>
                            <w:szCs w:val="15"/>
                          </w:rPr>
                        </w:pPr>
                        <w:r>
                          <w:rPr>
                            <w:rFonts w:ascii="宋体" w:hAnsi="宋体" w:cs="宋体" w:eastAsia="宋体" w:hint="default"/>
                            <w:sz w:val="15"/>
                            <w:szCs w:val="15"/>
                          </w:rPr>
                          <w:t>是</w:t>
                        </w:r>
                      </w:p>
                    </w:tc>
                    <w:tc>
                      <w:tcPr>
                        <w:tcW w:w="80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91"/>
                          <w:jc w:val="right"/>
                          <w:rPr>
                            <w:rFonts w:ascii="Times New Roman" w:hAnsi="Times New Roman" w:cs="Times New Roman" w:eastAsia="Times New Roman" w:hint="default"/>
                            <w:sz w:val="15"/>
                            <w:szCs w:val="15"/>
                          </w:rPr>
                        </w:pPr>
                        <w:r>
                          <w:rPr>
                            <w:rFonts w:ascii="Times New Roman"/>
                            <w:spacing w:val="-1"/>
                            <w:sz w:val="15"/>
                          </w:rPr>
                          <w:t>531,733</w:t>
                        </w:r>
                      </w:p>
                    </w:tc>
                    <w:tc>
                      <w:tcPr>
                        <w:tcW w:w="766"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324"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22" w:right="0"/>
                          <w:jc w:val="left"/>
                          <w:rPr>
                            <w:rFonts w:ascii="宋体" w:hAnsi="宋体" w:cs="宋体" w:eastAsia="宋体" w:hint="default"/>
                            <w:sz w:val="15"/>
                            <w:szCs w:val="15"/>
                          </w:rPr>
                        </w:pPr>
                        <w:r>
                          <w:rPr>
                            <w:rFonts w:ascii="宋体" w:hAnsi="宋体" w:cs="宋体" w:eastAsia="宋体" w:hint="default"/>
                            <w:sz w:val="15"/>
                            <w:szCs w:val="15"/>
                          </w:rPr>
                          <w:t>北京东软越通软件技术有限公司</w:t>
                        </w:r>
                      </w:p>
                    </w:tc>
                    <w:tc>
                      <w:tcPr>
                        <w:tcW w:w="566"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46" w:right="0"/>
                          <w:jc w:val="left"/>
                          <w:rPr>
                            <w:rFonts w:ascii="宋体" w:hAnsi="宋体" w:cs="宋体" w:eastAsia="宋体" w:hint="default"/>
                            <w:sz w:val="15"/>
                            <w:szCs w:val="15"/>
                          </w:rPr>
                        </w:pPr>
                        <w:r>
                          <w:rPr>
                            <w:rFonts w:ascii="宋体" w:hAnsi="宋体" w:cs="宋体" w:eastAsia="宋体" w:hint="default"/>
                            <w:sz w:val="15"/>
                            <w:szCs w:val="15"/>
                          </w:rPr>
                          <w:t>经营计算机软、硬件以</w:t>
                        </w:r>
                      </w:p>
                    </w:tc>
                    <w:tc>
                      <w:tcPr>
                        <w:tcW w:w="879"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c>
                      <w:tcPr>
                        <w:tcW w:w="477"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c>
                      <w:tcPr>
                        <w:tcW w:w="766"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533"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8</w:t>
                        </w:r>
                        <w:r>
                          <w:rPr>
                            <w:rFonts w:ascii="宋体" w:hAnsi="宋体" w:cs="宋体" w:eastAsia="宋体" w:hint="default"/>
                            <w:sz w:val="15"/>
                            <w:szCs w:val="15"/>
                          </w:rPr>
                          <w:t>）</w:t>
                        </w:r>
                      </w:p>
                    </w:tc>
                    <w:tc>
                      <w:tcPr>
                        <w:tcW w:w="566" w:type="dxa"/>
                        <w:tcBorders>
                          <w:top w:val="nil" w:sz="6" w:space="0" w:color="auto"/>
                          <w:left w:val="nil" w:sz="6" w:space="0" w:color="auto"/>
                          <w:bottom w:val="nil" w:sz="6" w:space="0" w:color="auto"/>
                          <w:right w:val="nil" w:sz="6" w:space="0" w:color="auto"/>
                        </w:tcBorders>
                      </w:tcPr>
                      <w:p>
                        <w:pPr>
                          <w:pStyle w:val="TableParagraph"/>
                          <w:spacing w:line="172" w:lineRule="exact"/>
                          <w:ind w:right="105"/>
                          <w:jc w:val="center"/>
                          <w:rPr>
                            <w:rFonts w:ascii="宋体" w:hAnsi="宋体" w:cs="宋体" w:eastAsia="宋体" w:hint="default"/>
                            <w:sz w:val="15"/>
                            <w:szCs w:val="15"/>
                          </w:rPr>
                        </w:pPr>
                        <w:r>
                          <w:rPr>
                            <w:rFonts w:ascii="宋体" w:hAnsi="宋体" w:cs="宋体" w:eastAsia="宋体" w:hint="default"/>
                            <w:sz w:val="15"/>
                            <w:szCs w:val="15"/>
                          </w:rPr>
                          <w:t>控股</w:t>
                        </w:r>
                      </w:p>
                    </w:tc>
                    <w:tc>
                      <w:tcPr>
                        <w:tcW w:w="1631" w:type="dxa"/>
                        <w:tcBorders>
                          <w:top w:val="nil" w:sz="6" w:space="0" w:color="auto"/>
                          <w:left w:val="nil" w:sz="6" w:space="0" w:color="auto"/>
                          <w:bottom w:val="nil" w:sz="6" w:space="0" w:color="auto"/>
                          <w:right w:val="nil" w:sz="6" w:space="0" w:color="auto"/>
                        </w:tcBorders>
                      </w:tcPr>
                      <w:p>
                        <w:pPr>
                          <w:pStyle w:val="TableParagraph"/>
                          <w:spacing w:line="172" w:lineRule="exact"/>
                          <w:ind w:left="122" w:right="0"/>
                          <w:jc w:val="left"/>
                          <w:rPr>
                            <w:rFonts w:ascii="宋体" w:hAnsi="宋体" w:cs="宋体" w:eastAsia="宋体" w:hint="default"/>
                            <w:sz w:val="15"/>
                            <w:szCs w:val="15"/>
                          </w:rPr>
                        </w:pPr>
                        <w:r>
                          <w:rPr>
                            <w:rFonts w:ascii="宋体" w:hAnsi="宋体" w:cs="宋体" w:eastAsia="宋体" w:hint="default"/>
                            <w:sz w:val="15"/>
                            <w:szCs w:val="15"/>
                          </w:rPr>
                          <w:t>北京</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66"/>
                          <w:jc w:val="right"/>
                          <w:rPr>
                            <w:rFonts w:ascii="Times New Roman" w:hAnsi="Times New Roman" w:cs="Times New Roman" w:eastAsia="Times New Roman" w:hint="default"/>
                            <w:sz w:val="15"/>
                            <w:szCs w:val="15"/>
                          </w:rPr>
                        </w:pPr>
                        <w:r>
                          <w:rPr>
                            <w:rFonts w:ascii="Times New Roman"/>
                            <w:spacing w:val="-1"/>
                            <w:sz w:val="15"/>
                          </w:rPr>
                          <w:t>15,000,000</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46" w:right="0"/>
                          <w:jc w:val="left"/>
                          <w:rPr>
                            <w:rFonts w:ascii="宋体" w:hAnsi="宋体" w:cs="宋体" w:eastAsia="宋体" w:hint="default"/>
                            <w:sz w:val="15"/>
                            <w:szCs w:val="15"/>
                          </w:rPr>
                        </w:pPr>
                        <w:r>
                          <w:rPr>
                            <w:rFonts w:ascii="宋体" w:hAnsi="宋体" w:cs="宋体" w:eastAsia="宋体" w:hint="default"/>
                            <w:sz w:val="15"/>
                            <w:szCs w:val="15"/>
                          </w:rPr>
                          <w:t>及服务</w:t>
                        </w:r>
                      </w:p>
                    </w:tc>
                    <w:tc>
                      <w:tcPr>
                        <w:tcW w:w="87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90"/>
                          <w:jc w:val="right"/>
                          <w:rPr>
                            <w:rFonts w:ascii="Times New Roman" w:hAnsi="Times New Roman" w:cs="Times New Roman" w:eastAsia="Times New Roman" w:hint="default"/>
                            <w:sz w:val="15"/>
                            <w:szCs w:val="15"/>
                          </w:rPr>
                        </w:pPr>
                        <w:r>
                          <w:rPr>
                            <w:rFonts w:ascii="Times New Roman"/>
                            <w:spacing w:val="-1"/>
                            <w:sz w:val="15"/>
                          </w:rPr>
                          <w:t>10,500,000</w:t>
                        </w:r>
                      </w:p>
                    </w:tc>
                    <w:tc>
                      <w:tcPr>
                        <w:tcW w:w="796" w:type="dxa"/>
                        <w:tcBorders>
                          <w:top w:val="nil" w:sz="6" w:space="0" w:color="auto"/>
                          <w:left w:val="nil" w:sz="6" w:space="0" w:color="auto"/>
                          <w:bottom w:val="nil" w:sz="6" w:space="0" w:color="auto"/>
                          <w:right w:val="nil" w:sz="6" w:space="0" w:color="auto"/>
                        </w:tcBorders>
                      </w:tcPr>
                      <w:p>
                        <w:pPr/>
                      </w:p>
                    </w:tc>
                    <w:tc>
                      <w:tcPr>
                        <w:tcW w:w="477"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4" w:right="0"/>
                          <w:jc w:val="center"/>
                          <w:rPr>
                            <w:rFonts w:ascii="Times New Roman" w:hAnsi="Times New Roman" w:cs="Times New Roman" w:eastAsia="Times New Roman" w:hint="default"/>
                            <w:sz w:val="15"/>
                            <w:szCs w:val="15"/>
                          </w:rPr>
                        </w:pPr>
                        <w:r>
                          <w:rPr>
                            <w:rFonts w:ascii="Times New Roman"/>
                            <w:sz w:val="15"/>
                          </w:rPr>
                          <w:t>70</w:t>
                        </w:r>
                      </w:p>
                    </w:tc>
                    <w:tc>
                      <w:tcPr>
                        <w:tcW w:w="660" w:type="dxa"/>
                        <w:tcBorders>
                          <w:top w:val="nil" w:sz="6" w:space="0" w:color="auto"/>
                          <w:left w:val="nil" w:sz="6" w:space="0" w:color="auto"/>
                          <w:bottom w:val="nil" w:sz="6" w:space="0" w:color="auto"/>
                          <w:right w:val="nil" w:sz="6" w:space="0" w:color="auto"/>
                        </w:tcBorders>
                      </w:tcPr>
                      <w:p>
                        <w:pPr>
                          <w:pStyle w:val="TableParagraph"/>
                          <w:spacing w:line="172" w:lineRule="exact"/>
                          <w:ind w:right="38"/>
                          <w:jc w:val="center"/>
                          <w:rPr>
                            <w:rFonts w:ascii="宋体" w:hAnsi="宋体" w:cs="宋体" w:eastAsia="宋体" w:hint="default"/>
                            <w:sz w:val="15"/>
                            <w:szCs w:val="15"/>
                          </w:rPr>
                        </w:pPr>
                        <w:r>
                          <w:rPr>
                            <w:rFonts w:ascii="宋体" w:hAnsi="宋体" w:cs="宋体" w:eastAsia="宋体" w:hint="default"/>
                            <w:sz w:val="15"/>
                            <w:szCs w:val="15"/>
                          </w:rPr>
                          <w:t>是</w:t>
                        </w:r>
                      </w:p>
                    </w:tc>
                    <w:tc>
                      <w:tcPr>
                        <w:tcW w:w="80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91"/>
                          <w:jc w:val="right"/>
                          <w:rPr>
                            <w:rFonts w:ascii="Times New Roman" w:hAnsi="Times New Roman" w:cs="Times New Roman" w:eastAsia="Times New Roman" w:hint="default"/>
                            <w:sz w:val="15"/>
                            <w:szCs w:val="15"/>
                          </w:rPr>
                        </w:pPr>
                        <w:r>
                          <w:rPr>
                            <w:rFonts w:ascii="Times New Roman"/>
                            <w:spacing w:val="-1"/>
                            <w:sz w:val="15"/>
                          </w:rPr>
                          <w:t>4,346,376</w:t>
                        </w:r>
                      </w:p>
                    </w:tc>
                    <w:tc>
                      <w:tcPr>
                        <w:tcW w:w="766"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331"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122" w:right="0"/>
                          <w:jc w:val="left"/>
                          <w:rPr>
                            <w:rFonts w:ascii="宋体" w:hAnsi="宋体" w:cs="宋体" w:eastAsia="宋体" w:hint="default"/>
                            <w:sz w:val="15"/>
                            <w:szCs w:val="15"/>
                          </w:rPr>
                        </w:pPr>
                        <w:r>
                          <w:rPr>
                            <w:rFonts w:ascii="宋体" w:hAnsi="宋体" w:cs="宋体" w:eastAsia="宋体" w:hint="default"/>
                            <w:sz w:val="15"/>
                            <w:szCs w:val="15"/>
                          </w:rPr>
                          <w:t>北京英博睿智咨询有限公司</w:t>
                        </w:r>
                      </w:p>
                    </w:tc>
                    <w:tc>
                      <w:tcPr>
                        <w:tcW w:w="566"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c>
                      <w:tcPr>
                        <w:tcW w:w="879"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c>
                      <w:tcPr>
                        <w:tcW w:w="477"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c>
                      <w:tcPr>
                        <w:tcW w:w="766"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509"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9</w:t>
                        </w:r>
                        <w:r>
                          <w:rPr>
                            <w:rFonts w:ascii="宋体" w:hAnsi="宋体" w:cs="宋体" w:eastAsia="宋体" w:hint="default"/>
                            <w:sz w:val="15"/>
                            <w:szCs w:val="15"/>
                          </w:rPr>
                          <w:t>）</w:t>
                        </w:r>
                      </w:p>
                    </w:tc>
                    <w:tc>
                      <w:tcPr>
                        <w:tcW w:w="566" w:type="dxa"/>
                        <w:tcBorders>
                          <w:top w:val="nil" w:sz="6" w:space="0" w:color="auto"/>
                          <w:left w:val="nil" w:sz="6" w:space="0" w:color="auto"/>
                          <w:bottom w:val="nil" w:sz="6" w:space="0" w:color="auto"/>
                          <w:right w:val="nil" w:sz="6" w:space="0" w:color="auto"/>
                        </w:tcBorders>
                      </w:tcPr>
                      <w:p>
                        <w:pPr>
                          <w:pStyle w:val="TableParagraph"/>
                          <w:spacing w:line="175" w:lineRule="exact"/>
                          <w:ind w:right="105"/>
                          <w:jc w:val="center"/>
                          <w:rPr>
                            <w:rFonts w:ascii="宋体" w:hAnsi="宋体" w:cs="宋体" w:eastAsia="宋体" w:hint="default"/>
                            <w:sz w:val="15"/>
                            <w:szCs w:val="15"/>
                          </w:rPr>
                        </w:pPr>
                        <w:r>
                          <w:rPr>
                            <w:rFonts w:ascii="宋体" w:hAnsi="宋体" w:cs="宋体" w:eastAsia="宋体" w:hint="default"/>
                            <w:sz w:val="15"/>
                            <w:szCs w:val="15"/>
                          </w:rPr>
                          <w:t>全资</w:t>
                        </w:r>
                      </w:p>
                    </w:tc>
                    <w:tc>
                      <w:tcPr>
                        <w:tcW w:w="1631" w:type="dxa"/>
                        <w:tcBorders>
                          <w:top w:val="nil" w:sz="6" w:space="0" w:color="auto"/>
                          <w:left w:val="nil" w:sz="6" w:space="0" w:color="auto"/>
                          <w:bottom w:val="nil" w:sz="6" w:space="0" w:color="auto"/>
                          <w:right w:val="nil" w:sz="6" w:space="0" w:color="auto"/>
                        </w:tcBorders>
                      </w:tcPr>
                      <w:p>
                        <w:pPr>
                          <w:pStyle w:val="TableParagraph"/>
                          <w:spacing w:line="175" w:lineRule="exact"/>
                          <w:ind w:left="122" w:right="0"/>
                          <w:jc w:val="left"/>
                          <w:rPr>
                            <w:rFonts w:ascii="宋体" w:hAnsi="宋体" w:cs="宋体" w:eastAsia="宋体" w:hint="default"/>
                            <w:sz w:val="15"/>
                            <w:szCs w:val="15"/>
                          </w:rPr>
                        </w:pPr>
                        <w:r>
                          <w:rPr>
                            <w:rFonts w:ascii="宋体" w:hAnsi="宋体" w:cs="宋体" w:eastAsia="宋体" w:hint="default"/>
                            <w:sz w:val="15"/>
                            <w:szCs w:val="15"/>
                          </w:rPr>
                          <w:t>北京</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66"/>
                          <w:jc w:val="right"/>
                          <w:rPr>
                            <w:rFonts w:ascii="Times New Roman" w:hAnsi="Times New Roman" w:cs="Times New Roman" w:eastAsia="Times New Roman" w:hint="default"/>
                            <w:sz w:val="15"/>
                            <w:szCs w:val="15"/>
                          </w:rPr>
                        </w:pPr>
                        <w:r>
                          <w:rPr>
                            <w:rFonts w:ascii="Times New Roman"/>
                            <w:spacing w:val="-1"/>
                            <w:sz w:val="15"/>
                          </w:rPr>
                          <w:t>100,000</w:t>
                        </w:r>
                      </w:p>
                    </w:tc>
                    <w:tc>
                      <w:tcPr>
                        <w:tcW w:w="1908" w:type="dxa"/>
                        <w:tcBorders>
                          <w:top w:val="nil" w:sz="6" w:space="0" w:color="auto"/>
                          <w:left w:val="nil" w:sz="6" w:space="0" w:color="auto"/>
                          <w:bottom w:val="nil" w:sz="6" w:space="0" w:color="auto"/>
                          <w:right w:val="nil" w:sz="6" w:space="0" w:color="auto"/>
                        </w:tcBorders>
                      </w:tcPr>
                      <w:p>
                        <w:pPr>
                          <w:pStyle w:val="TableParagraph"/>
                          <w:spacing w:line="175" w:lineRule="exact"/>
                          <w:ind w:left="68" w:right="0"/>
                          <w:jc w:val="left"/>
                          <w:rPr>
                            <w:rFonts w:ascii="宋体" w:hAnsi="宋体" w:cs="宋体" w:eastAsia="宋体" w:hint="default"/>
                            <w:sz w:val="15"/>
                            <w:szCs w:val="15"/>
                          </w:rPr>
                        </w:pPr>
                        <w:r>
                          <w:rPr>
                            <w:rFonts w:ascii="宋体" w:hAnsi="宋体" w:cs="宋体" w:eastAsia="宋体" w:hint="default"/>
                            <w:sz w:val="15"/>
                            <w:szCs w:val="15"/>
                          </w:rPr>
                          <w:t>招聘外包和提供猎头服务</w:t>
                        </w:r>
                      </w:p>
                    </w:tc>
                    <w:tc>
                      <w:tcPr>
                        <w:tcW w:w="87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90"/>
                          <w:jc w:val="right"/>
                          <w:rPr>
                            <w:rFonts w:ascii="Times New Roman" w:hAnsi="Times New Roman" w:cs="Times New Roman" w:eastAsia="Times New Roman" w:hint="default"/>
                            <w:sz w:val="15"/>
                            <w:szCs w:val="15"/>
                          </w:rPr>
                        </w:pPr>
                        <w:r>
                          <w:rPr>
                            <w:rFonts w:ascii="Times New Roman"/>
                            <w:spacing w:val="-1"/>
                            <w:sz w:val="15"/>
                          </w:rPr>
                          <w:t>100,000</w:t>
                        </w:r>
                      </w:p>
                    </w:tc>
                    <w:tc>
                      <w:tcPr>
                        <w:tcW w:w="796" w:type="dxa"/>
                        <w:tcBorders>
                          <w:top w:val="nil" w:sz="6" w:space="0" w:color="auto"/>
                          <w:left w:val="nil" w:sz="6" w:space="0" w:color="auto"/>
                          <w:bottom w:val="nil" w:sz="6" w:space="0" w:color="auto"/>
                          <w:right w:val="nil" w:sz="6" w:space="0" w:color="auto"/>
                        </w:tcBorders>
                      </w:tcPr>
                      <w:p>
                        <w:pPr/>
                      </w:p>
                    </w:tc>
                    <w:tc>
                      <w:tcPr>
                        <w:tcW w:w="477"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4" w:right="0"/>
                          <w:jc w:val="center"/>
                          <w:rPr>
                            <w:rFonts w:ascii="Times New Roman" w:hAnsi="Times New Roman" w:cs="Times New Roman" w:eastAsia="Times New Roman" w:hint="default"/>
                            <w:sz w:val="15"/>
                            <w:szCs w:val="15"/>
                          </w:rPr>
                        </w:pPr>
                        <w:r>
                          <w:rPr>
                            <w:rFonts w:ascii="Times New Roman"/>
                            <w:sz w:val="15"/>
                          </w:rPr>
                          <w:t>100</w:t>
                        </w:r>
                      </w:p>
                    </w:tc>
                    <w:tc>
                      <w:tcPr>
                        <w:tcW w:w="660" w:type="dxa"/>
                        <w:tcBorders>
                          <w:top w:val="nil" w:sz="6" w:space="0" w:color="auto"/>
                          <w:left w:val="nil" w:sz="6" w:space="0" w:color="auto"/>
                          <w:bottom w:val="nil" w:sz="6" w:space="0" w:color="auto"/>
                          <w:right w:val="nil" w:sz="6" w:space="0" w:color="auto"/>
                        </w:tcBorders>
                      </w:tcPr>
                      <w:p>
                        <w:pPr>
                          <w:pStyle w:val="TableParagraph"/>
                          <w:spacing w:line="175" w:lineRule="exact"/>
                          <w:ind w:right="38"/>
                          <w:jc w:val="center"/>
                          <w:rPr>
                            <w:rFonts w:ascii="宋体" w:hAnsi="宋体" w:cs="宋体" w:eastAsia="宋体" w:hint="default"/>
                            <w:sz w:val="15"/>
                            <w:szCs w:val="15"/>
                          </w:rPr>
                        </w:pPr>
                        <w:r>
                          <w:rPr>
                            <w:rFonts w:ascii="宋体" w:hAnsi="宋体" w:cs="宋体" w:eastAsia="宋体" w:hint="default"/>
                            <w:sz w:val="15"/>
                            <w:szCs w:val="15"/>
                          </w:rPr>
                          <w:t>是</w:t>
                        </w:r>
                      </w:p>
                    </w:tc>
                    <w:tc>
                      <w:tcPr>
                        <w:tcW w:w="802" w:type="dxa"/>
                        <w:tcBorders>
                          <w:top w:val="nil" w:sz="6" w:space="0" w:color="auto"/>
                          <w:left w:val="nil" w:sz="6" w:space="0" w:color="auto"/>
                          <w:bottom w:val="nil" w:sz="6" w:space="0" w:color="auto"/>
                          <w:right w:val="nil" w:sz="6" w:space="0" w:color="auto"/>
                        </w:tcBorders>
                      </w:tcPr>
                      <w:p>
                        <w:pPr/>
                      </w:p>
                    </w:tc>
                    <w:tc>
                      <w:tcPr>
                        <w:tcW w:w="766"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301"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22" w:right="0"/>
                          <w:jc w:val="left"/>
                          <w:rPr>
                            <w:rFonts w:ascii="宋体" w:hAnsi="宋体" w:cs="宋体" w:eastAsia="宋体" w:hint="default"/>
                            <w:sz w:val="15"/>
                            <w:szCs w:val="15"/>
                          </w:rPr>
                        </w:pPr>
                        <w:r>
                          <w:rPr>
                            <w:rFonts w:ascii="宋体" w:hAnsi="宋体" w:cs="宋体" w:eastAsia="宋体" w:hint="default"/>
                            <w:sz w:val="15"/>
                            <w:szCs w:val="15"/>
                          </w:rPr>
                          <w:t>大连东软商业流程咨询服务有限</w:t>
                        </w:r>
                      </w:p>
                    </w:tc>
                    <w:tc>
                      <w:tcPr>
                        <w:tcW w:w="566"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c>
                      <w:tcPr>
                        <w:tcW w:w="879"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c>
                      <w:tcPr>
                        <w:tcW w:w="477"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c>
                      <w:tcPr>
                        <w:tcW w:w="766"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509"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公司（注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10</w:t>
                        </w:r>
                        <w:r>
                          <w:rPr>
                            <w:rFonts w:ascii="宋体" w:hAnsi="宋体" w:cs="宋体" w:eastAsia="宋体" w:hint="default"/>
                            <w:sz w:val="15"/>
                            <w:szCs w:val="15"/>
                          </w:rPr>
                          <w:t>）</w:t>
                        </w:r>
                      </w:p>
                    </w:tc>
                    <w:tc>
                      <w:tcPr>
                        <w:tcW w:w="566" w:type="dxa"/>
                        <w:tcBorders>
                          <w:top w:val="nil" w:sz="6" w:space="0" w:color="auto"/>
                          <w:left w:val="nil" w:sz="6" w:space="0" w:color="auto"/>
                          <w:bottom w:val="nil" w:sz="6" w:space="0" w:color="auto"/>
                          <w:right w:val="nil" w:sz="6" w:space="0" w:color="auto"/>
                        </w:tcBorders>
                      </w:tcPr>
                      <w:p>
                        <w:pPr>
                          <w:pStyle w:val="TableParagraph"/>
                          <w:spacing w:line="175" w:lineRule="exact"/>
                          <w:ind w:right="105"/>
                          <w:jc w:val="center"/>
                          <w:rPr>
                            <w:rFonts w:ascii="宋体" w:hAnsi="宋体" w:cs="宋体" w:eastAsia="宋体" w:hint="default"/>
                            <w:sz w:val="15"/>
                            <w:szCs w:val="15"/>
                          </w:rPr>
                        </w:pPr>
                        <w:r>
                          <w:rPr>
                            <w:rFonts w:ascii="宋体" w:hAnsi="宋体" w:cs="宋体" w:eastAsia="宋体" w:hint="default"/>
                            <w:sz w:val="15"/>
                            <w:szCs w:val="15"/>
                          </w:rPr>
                          <w:t>全资</w:t>
                        </w:r>
                      </w:p>
                    </w:tc>
                    <w:tc>
                      <w:tcPr>
                        <w:tcW w:w="1631" w:type="dxa"/>
                        <w:tcBorders>
                          <w:top w:val="nil" w:sz="6" w:space="0" w:color="auto"/>
                          <w:left w:val="nil" w:sz="6" w:space="0" w:color="auto"/>
                          <w:bottom w:val="nil" w:sz="6" w:space="0" w:color="auto"/>
                          <w:right w:val="nil" w:sz="6" w:space="0" w:color="auto"/>
                        </w:tcBorders>
                      </w:tcPr>
                      <w:p>
                        <w:pPr>
                          <w:pStyle w:val="TableParagraph"/>
                          <w:spacing w:line="175" w:lineRule="exact"/>
                          <w:ind w:left="122" w:right="0"/>
                          <w:jc w:val="left"/>
                          <w:rPr>
                            <w:rFonts w:ascii="宋体" w:hAnsi="宋体" w:cs="宋体" w:eastAsia="宋体" w:hint="default"/>
                            <w:sz w:val="15"/>
                            <w:szCs w:val="15"/>
                          </w:rPr>
                        </w:pPr>
                        <w:r>
                          <w:rPr>
                            <w:rFonts w:ascii="宋体" w:hAnsi="宋体" w:cs="宋体" w:eastAsia="宋体" w:hint="default"/>
                            <w:sz w:val="15"/>
                            <w:szCs w:val="15"/>
                          </w:rPr>
                          <w:t>大连</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66"/>
                          <w:jc w:val="right"/>
                          <w:rPr>
                            <w:rFonts w:ascii="Times New Roman" w:hAnsi="Times New Roman" w:cs="Times New Roman" w:eastAsia="Times New Roman" w:hint="default"/>
                            <w:sz w:val="15"/>
                            <w:szCs w:val="15"/>
                          </w:rPr>
                        </w:pPr>
                        <w:r>
                          <w:rPr>
                            <w:rFonts w:ascii="Times New Roman"/>
                            <w:spacing w:val="-1"/>
                            <w:sz w:val="15"/>
                          </w:rPr>
                          <w:t>5,000,000</w:t>
                        </w:r>
                      </w:p>
                    </w:tc>
                    <w:tc>
                      <w:tcPr>
                        <w:tcW w:w="1908" w:type="dxa"/>
                        <w:tcBorders>
                          <w:top w:val="nil" w:sz="6" w:space="0" w:color="auto"/>
                          <w:left w:val="nil" w:sz="6" w:space="0" w:color="auto"/>
                          <w:bottom w:val="nil" w:sz="6" w:space="0" w:color="auto"/>
                          <w:right w:val="nil" w:sz="6" w:space="0" w:color="auto"/>
                        </w:tcBorders>
                      </w:tcPr>
                      <w:p>
                        <w:pPr>
                          <w:pStyle w:val="TableParagraph"/>
                          <w:spacing w:line="175" w:lineRule="exact"/>
                          <w:ind w:left="146"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87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90"/>
                          <w:jc w:val="right"/>
                          <w:rPr>
                            <w:rFonts w:ascii="Times New Roman" w:hAnsi="Times New Roman" w:cs="Times New Roman" w:eastAsia="Times New Roman" w:hint="default"/>
                            <w:sz w:val="15"/>
                            <w:szCs w:val="15"/>
                          </w:rPr>
                        </w:pPr>
                        <w:r>
                          <w:rPr>
                            <w:rFonts w:ascii="Times New Roman"/>
                            <w:spacing w:val="-1"/>
                            <w:sz w:val="15"/>
                          </w:rPr>
                          <w:t>5,000,000</w:t>
                        </w:r>
                      </w:p>
                    </w:tc>
                    <w:tc>
                      <w:tcPr>
                        <w:tcW w:w="796" w:type="dxa"/>
                        <w:tcBorders>
                          <w:top w:val="nil" w:sz="6" w:space="0" w:color="auto"/>
                          <w:left w:val="nil" w:sz="6" w:space="0" w:color="auto"/>
                          <w:bottom w:val="nil" w:sz="6" w:space="0" w:color="auto"/>
                          <w:right w:val="nil" w:sz="6" w:space="0" w:color="auto"/>
                        </w:tcBorders>
                      </w:tcPr>
                      <w:p>
                        <w:pPr/>
                      </w:p>
                    </w:tc>
                    <w:tc>
                      <w:tcPr>
                        <w:tcW w:w="477"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4" w:right="0"/>
                          <w:jc w:val="center"/>
                          <w:rPr>
                            <w:rFonts w:ascii="Times New Roman" w:hAnsi="Times New Roman" w:cs="Times New Roman" w:eastAsia="Times New Roman" w:hint="default"/>
                            <w:sz w:val="15"/>
                            <w:szCs w:val="15"/>
                          </w:rPr>
                        </w:pPr>
                        <w:r>
                          <w:rPr>
                            <w:rFonts w:ascii="Times New Roman"/>
                            <w:sz w:val="15"/>
                          </w:rPr>
                          <w:t>100</w:t>
                        </w:r>
                      </w:p>
                    </w:tc>
                    <w:tc>
                      <w:tcPr>
                        <w:tcW w:w="660" w:type="dxa"/>
                        <w:tcBorders>
                          <w:top w:val="nil" w:sz="6" w:space="0" w:color="auto"/>
                          <w:left w:val="nil" w:sz="6" w:space="0" w:color="auto"/>
                          <w:bottom w:val="nil" w:sz="6" w:space="0" w:color="auto"/>
                          <w:right w:val="nil" w:sz="6" w:space="0" w:color="auto"/>
                        </w:tcBorders>
                      </w:tcPr>
                      <w:p>
                        <w:pPr>
                          <w:pStyle w:val="TableParagraph"/>
                          <w:spacing w:line="175" w:lineRule="exact"/>
                          <w:ind w:right="38"/>
                          <w:jc w:val="center"/>
                          <w:rPr>
                            <w:rFonts w:ascii="宋体" w:hAnsi="宋体" w:cs="宋体" w:eastAsia="宋体" w:hint="default"/>
                            <w:sz w:val="15"/>
                            <w:szCs w:val="15"/>
                          </w:rPr>
                        </w:pPr>
                        <w:r>
                          <w:rPr>
                            <w:rFonts w:ascii="宋体" w:hAnsi="宋体" w:cs="宋体" w:eastAsia="宋体" w:hint="default"/>
                            <w:sz w:val="15"/>
                            <w:szCs w:val="15"/>
                          </w:rPr>
                          <w:t>是</w:t>
                        </w:r>
                      </w:p>
                    </w:tc>
                    <w:tc>
                      <w:tcPr>
                        <w:tcW w:w="802" w:type="dxa"/>
                        <w:tcBorders>
                          <w:top w:val="nil" w:sz="6" w:space="0" w:color="auto"/>
                          <w:left w:val="nil" w:sz="6" w:space="0" w:color="auto"/>
                          <w:bottom w:val="nil" w:sz="6" w:space="0" w:color="auto"/>
                          <w:right w:val="nil" w:sz="6" w:space="0" w:color="auto"/>
                        </w:tcBorders>
                      </w:tcPr>
                      <w:p>
                        <w:pPr/>
                      </w:p>
                    </w:tc>
                    <w:tc>
                      <w:tcPr>
                        <w:tcW w:w="766"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301"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80"/>
                          <w:ind w:left="57" w:right="0"/>
                          <w:jc w:val="left"/>
                          <w:rPr>
                            <w:rFonts w:ascii="宋体" w:hAnsi="宋体" w:cs="宋体" w:eastAsia="宋体" w:hint="default"/>
                            <w:sz w:val="15"/>
                            <w:szCs w:val="15"/>
                          </w:rPr>
                        </w:pPr>
                        <w:r>
                          <w:rPr>
                            <w:rFonts w:ascii="宋体" w:hAnsi="宋体" w:cs="宋体" w:eastAsia="宋体" w:hint="default"/>
                            <w:sz w:val="15"/>
                            <w:szCs w:val="15"/>
                          </w:rPr>
                          <w:t>合肥东软信息技术有限公司</w:t>
                        </w:r>
                      </w:p>
                    </w:tc>
                    <w:tc>
                      <w:tcPr>
                        <w:tcW w:w="566"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46" w:right="0"/>
                          <w:jc w:val="left"/>
                          <w:rPr>
                            <w:rFonts w:ascii="宋体" w:hAnsi="宋体" w:cs="宋体" w:eastAsia="宋体" w:hint="default"/>
                            <w:sz w:val="15"/>
                            <w:szCs w:val="15"/>
                          </w:rPr>
                        </w:pPr>
                        <w:r>
                          <w:rPr>
                            <w:rFonts w:ascii="宋体" w:hAnsi="宋体" w:cs="宋体" w:eastAsia="宋体" w:hint="default"/>
                            <w:sz w:val="15"/>
                            <w:szCs w:val="15"/>
                          </w:rPr>
                          <w:t>计算机软硬件、系统集</w:t>
                        </w:r>
                      </w:p>
                    </w:tc>
                    <w:tc>
                      <w:tcPr>
                        <w:tcW w:w="879"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c>
                      <w:tcPr>
                        <w:tcW w:w="477"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c>
                      <w:tcPr>
                        <w:tcW w:w="766"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509"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23" w:right="0"/>
                          <w:jc w:val="left"/>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44"/>
                            <w:sz w:val="15"/>
                            <w:szCs w:val="15"/>
                          </w:rPr>
                          <w:t> </w:t>
                        </w:r>
                        <w:r>
                          <w:rPr>
                            <w:rFonts w:ascii="Times New Roman" w:hAnsi="Times New Roman" w:cs="Times New Roman" w:eastAsia="Times New Roman" w:hint="default"/>
                            <w:sz w:val="15"/>
                            <w:szCs w:val="15"/>
                          </w:rPr>
                          <w:t>11</w:t>
                        </w:r>
                        <w:r>
                          <w:rPr>
                            <w:rFonts w:ascii="宋体" w:hAnsi="宋体" w:cs="宋体" w:eastAsia="宋体" w:hint="default"/>
                            <w:sz w:val="15"/>
                            <w:szCs w:val="15"/>
                          </w:rPr>
                          <w:t>）</w:t>
                        </w:r>
                      </w:p>
                    </w:tc>
                    <w:tc>
                      <w:tcPr>
                        <w:tcW w:w="566" w:type="dxa"/>
                        <w:tcBorders>
                          <w:top w:val="nil" w:sz="6" w:space="0" w:color="auto"/>
                          <w:left w:val="nil" w:sz="6" w:space="0" w:color="auto"/>
                          <w:bottom w:val="nil" w:sz="6" w:space="0" w:color="auto"/>
                          <w:right w:val="nil" w:sz="6" w:space="0" w:color="auto"/>
                        </w:tcBorders>
                      </w:tcPr>
                      <w:p>
                        <w:pPr>
                          <w:pStyle w:val="TableParagraph"/>
                          <w:spacing w:line="175" w:lineRule="exact"/>
                          <w:ind w:right="105"/>
                          <w:jc w:val="center"/>
                          <w:rPr>
                            <w:rFonts w:ascii="宋体" w:hAnsi="宋体" w:cs="宋体" w:eastAsia="宋体" w:hint="default"/>
                            <w:sz w:val="15"/>
                            <w:szCs w:val="15"/>
                          </w:rPr>
                        </w:pPr>
                        <w:r>
                          <w:rPr>
                            <w:rFonts w:ascii="宋体" w:hAnsi="宋体" w:cs="宋体" w:eastAsia="宋体" w:hint="default"/>
                            <w:sz w:val="15"/>
                            <w:szCs w:val="15"/>
                          </w:rPr>
                          <w:t>全资</w:t>
                        </w:r>
                      </w:p>
                    </w:tc>
                    <w:tc>
                      <w:tcPr>
                        <w:tcW w:w="1631" w:type="dxa"/>
                        <w:tcBorders>
                          <w:top w:val="nil" w:sz="6" w:space="0" w:color="auto"/>
                          <w:left w:val="nil" w:sz="6" w:space="0" w:color="auto"/>
                          <w:bottom w:val="nil" w:sz="6" w:space="0" w:color="auto"/>
                          <w:right w:val="nil" w:sz="6" w:space="0" w:color="auto"/>
                        </w:tcBorders>
                      </w:tcPr>
                      <w:p>
                        <w:pPr>
                          <w:pStyle w:val="TableParagraph"/>
                          <w:spacing w:line="175" w:lineRule="exact"/>
                          <w:ind w:left="123" w:right="0"/>
                          <w:jc w:val="left"/>
                          <w:rPr>
                            <w:rFonts w:ascii="宋体" w:hAnsi="宋体" w:cs="宋体" w:eastAsia="宋体" w:hint="default"/>
                            <w:sz w:val="15"/>
                            <w:szCs w:val="15"/>
                          </w:rPr>
                        </w:pPr>
                        <w:r>
                          <w:rPr>
                            <w:rFonts w:ascii="宋体" w:hAnsi="宋体" w:cs="宋体" w:eastAsia="宋体" w:hint="default"/>
                            <w:sz w:val="15"/>
                            <w:szCs w:val="15"/>
                          </w:rPr>
                          <w:t>合肥</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66"/>
                          <w:jc w:val="right"/>
                          <w:rPr>
                            <w:rFonts w:ascii="Times New Roman" w:hAnsi="Times New Roman" w:cs="Times New Roman" w:eastAsia="Times New Roman" w:hint="default"/>
                            <w:sz w:val="15"/>
                            <w:szCs w:val="15"/>
                          </w:rPr>
                        </w:pPr>
                        <w:r>
                          <w:rPr>
                            <w:rFonts w:ascii="Times New Roman"/>
                            <w:spacing w:val="-1"/>
                            <w:sz w:val="15"/>
                          </w:rPr>
                          <w:t>500,000</w:t>
                        </w: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46" w:right="0"/>
                          <w:jc w:val="left"/>
                          <w:rPr>
                            <w:rFonts w:ascii="宋体" w:hAnsi="宋体" w:cs="宋体" w:eastAsia="宋体" w:hint="default"/>
                            <w:sz w:val="15"/>
                            <w:szCs w:val="15"/>
                          </w:rPr>
                        </w:pPr>
                        <w:r>
                          <w:rPr>
                            <w:rFonts w:ascii="宋体" w:hAnsi="宋体" w:cs="宋体" w:eastAsia="宋体" w:hint="default"/>
                            <w:sz w:val="15"/>
                            <w:szCs w:val="15"/>
                          </w:rPr>
                          <w:t>成、技术咨询服务</w:t>
                        </w:r>
                      </w:p>
                    </w:tc>
                    <w:tc>
                      <w:tcPr>
                        <w:tcW w:w="87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90"/>
                          <w:jc w:val="right"/>
                          <w:rPr>
                            <w:rFonts w:ascii="Times New Roman" w:hAnsi="Times New Roman" w:cs="Times New Roman" w:eastAsia="Times New Roman" w:hint="default"/>
                            <w:sz w:val="15"/>
                            <w:szCs w:val="15"/>
                          </w:rPr>
                        </w:pPr>
                        <w:r>
                          <w:rPr>
                            <w:rFonts w:ascii="Times New Roman"/>
                            <w:spacing w:val="-1"/>
                            <w:sz w:val="15"/>
                          </w:rPr>
                          <w:t>500,000</w:t>
                        </w:r>
                      </w:p>
                    </w:tc>
                    <w:tc>
                      <w:tcPr>
                        <w:tcW w:w="796" w:type="dxa"/>
                        <w:tcBorders>
                          <w:top w:val="nil" w:sz="6" w:space="0" w:color="auto"/>
                          <w:left w:val="nil" w:sz="6" w:space="0" w:color="auto"/>
                          <w:bottom w:val="nil" w:sz="6" w:space="0" w:color="auto"/>
                          <w:right w:val="nil" w:sz="6" w:space="0" w:color="auto"/>
                        </w:tcBorders>
                      </w:tcPr>
                      <w:p>
                        <w:pPr/>
                      </w:p>
                    </w:tc>
                    <w:tc>
                      <w:tcPr>
                        <w:tcW w:w="477"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4" w:right="0"/>
                          <w:jc w:val="center"/>
                          <w:rPr>
                            <w:rFonts w:ascii="Times New Roman" w:hAnsi="Times New Roman" w:cs="Times New Roman" w:eastAsia="Times New Roman" w:hint="default"/>
                            <w:sz w:val="15"/>
                            <w:szCs w:val="15"/>
                          </w:rPr>
                        </w:pPr>
                        <w:r>
                          <w:rPr>
                            <w:rFonts w:ascii="Times New Roman"/>
                            <w:sz w:val="15"/>
                          </w:rPr>
                          <w:t>100</w:t>
                        </w:r>
                      </w:p>
                    </w:tc>
                    <w:tc>
                      <w:tcPr>
                        <w:tcW w:w="660" w:type="dxa"/>
                        <w:tcBorders>
                          <w:top w:val="nil" w:sz="6" w:space="0" w:color="auto"/>
                          <w:left w:val="nil" w:sz="6" w:space="0" w:color="auto"/>
                          <w:bottom w:val="nil" w:sz="6" w:space="0" w:color="auto"/>
                          <w:right w:val="nil" w:sz="6" w:space="0" w:color="auto"/>
                        </w:tcBorders>
                      </w:tcPr>
                      <w:p>
                        <w:pPr>
                          <w:pStyle w:val="TableParagraph"/>
                          <w:spacing w:line="175" w:lineRule="exact"/>
                          <w:ind w:right="38"/>
                          <w:jc w:val="center"/>
                          <w:rPr>
                            <w:rFonts w:ascii="宋体" w:hAnsi="宋体" w:cs="宋体" w:eastAsia="宋体" w:hint="default"/>
                            <w:sz w:val="15"/>
                            <w:szCs w:val="15"/>
                          </w:rPr>
                        </w:pPr>
                        <w:r>
                          <w:rPr>
                            <w:rFonts w:ascii="宋体" w:hAnsi="宋体" w:cs="宋体" w:eastAsia="宋体" w:hint="default"/>
                            <w:sz w:val="15"/>
                            <w:szCs w:val="15"/>
                          </w:rPr>
                          <w:t>是</w:t>
                        </w:r>
                      </w:p>
                    </w:tc>
                    <w:tc>
                      <w:tcPr>
                        <w:tcW w:w="802" w:type="dxa"/>
                        <w:tcBorders>
                          <w:top w:val="nil" w:sz="6" w:space="0" w:color="auto"/>
                          <w:left w:val="nil" w:sz="6" w:space="0" w:color="auto"/>
                          <w:bottom w:val="nil" w:sz="6" w:space="0" w:color="auto"/>
                          <w:right w:val="nil" w:sz="6" w:space="0" w:color="auto"/>
                        </w:tcBorders>
                      </w:tcPr>
                      <w:p>
                        <w:pPr/>
                      </w:p>
                    </w:tc>
                    <w:tc>
                      <w:tcPr>
                        <w:tcW w:w="766"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301"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22" w:right="0"/>
                          <w:jc w:val="left"/>
                          <w:rPr>
                            <w:rFonts w:ascii="宋体" w:hAnsi="宋体" w:cs="宋体" w:eastAsia="宋体" w:hint="default"/>
                            <w:sz w:val="15"/>
                            <w:szCs w:val="15"/>
                          </w:rPr>
                        </w:pPr>
                        <w:r>
                          <w:rPr>
                            <w:rFonts w:ascii="宋体" w:hAnsi="宋体" w:cs="宋体" w:eastAsia="宋体" w:hint="default"/>
                            <w:sz w:val="15"/>
                            <w:szCs w:val="15"/>
                          </w:rPr>
                          <w:t>北京东软慧聚信息技术有限公司</w:t>
                        </w:r>
                      </w:p>
                    </w:tc>
                    <w:tc>
                      <w:tcPr>
                        <w:tcW w:w="566"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c>
                      <w:tcPr>
                        <w:tcW w:w="879"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c>
                      <w:tcPr>
                        <w:tcW w:w="477"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c>
                      <w:tcPr>
                        <w:tcW w:w="766"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509"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12</w:t>
                        </w:r>
                        <w:r>
                          <w:rPr>
                            <w:rFonts w:ascii="宋体" w:hAnsi="宋体" w:cs="宋体" w:eastAsia="宋体" w:hint="default"/>
                            <w:sz w:val="15"/>
                            <w:szCs w:val="15"/>
                          </w:rPr>
                          <w:t>）</w:t>
                        </w:r>
                      </w:p>
                    </w:tc>
                    <w:tc>
                      <w:tcPr>
                        <w:tcW w:w="566" w:type="dxa"/>
                        <w:tcBorders>
                          <w:top w:val="nil" w:sz="6" w:space="0" w:color="auto"/>
                          <w:left w:val="nil" w:sz="6" w:space="0" w:color="auto"/>
                          <w:bottom w:val="nil" w:sz="6" w:space="0" w:color="auto"/>
                          <w:right w:val="nil" w:sz="6" w:space="0" w:color="auto"/>
                        </w:tcBorders>
                      </w:tcPr>
                      <w:p>
                        <w:pPr>
                          <w:pStyle w:val="TableParagraph"/>
                          <w:spacing w:line="175" w:lineRule="exact"/>
                          <w:ind w:right="105"/>
                          <w:jc w:val="center"/>
                          <w:rPr>
                            <w:rFonts w:ascii="宋体" w:hAnsi="宋体" w:cs="宋体" w:eastAsia="宋体" w:hint="default"/>
                            <w:sz w:val="15"/>
                            <w:szCs w:val="15"/>
                          </w:rPr>
                        </w:pPr>
                        <w:r>
                          <w:rPr>
                            <w:rFonts w:ascii="宋体" w:hAnsi="宋体" w:cs="宋体" w:eastAsia="宋体" w:hint="default"/>
                            <w:sz w:val="15"/>
                            <w:szCs w:val="15"/>
                          </w:rPr>
                          <w:t>控股</w:t>
                        </w:r>
                      </w:p>
                    </w:tc>
                    <w:tc>
                      <w:tcPr>
                        <w:tcW w:w="1631" w:type="dxa"/>
                        <w:tcBorders>
                          <w:top w:val="nil" w:sz="6" w:space="0" w:color="auto"/>
                          <w:left w:val="nil" w:sz="6" w:space="0" w:color="auto"/>
                          <w:bottom w:val="nil" w:sz="6" w:space="0" w:color="auto"/>
                          <w:right w:val="nil" w:sz="6" w:space="0" w:color="auto"/>
                        </w:tcBorders>
                      </w:tcPr>
                      <w:p>
                        <w:pPr>
                          <w:pStyle w:val="TableParagraph"/>
                          <w:spacing w:line="175" w:lineRule="exact"/>
                          <w:ind w:left="122" w:right="0"/>
                          <w:jc w:val="left"/>
                          <w:rPr>
                            <w:rFonts w:ascii="宋体" w:hAnsi="宋体" w:cs="宋体" w:eastAsia="宋体" w:hint="default"/>
                            <w:sz w:val="15"/>
                            <w:szCs w:val="15"/>
                          </w:rPr>
                        </w:pPr>
                        <w:r>
                          <w:rPr>
                            <w:rFonts w:ascii="宋体" w:hAnsi="宋体" w:cs="宋体" w:eastAsia="宋体" w:hint="default"/>
                            <w:sz w:val="15"/>
                            <w:szCs w:val="15"/>
                          </w:rPr>
                          <w:t>北京</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66"/>
                          <w:jc w:val="right"/>
                          <w:rPr>
                            <w:rFonts w:ascii="Times New Roman" w:hAnsi="Times New Roman" w:cs="Times New Roman" w:eastAsia="Times New Roman" w:hint="default"/>
                            <w:sz w:val="15"/>
                            <w:szCs w:val="15"/>
                          </w:rPr>
                        </w:pPr>
                        <w:r>
                          <w:rPr>
                            <w:rFonts w:ascii="Times New Roman"/>
                            <w:spacing w:val="-1"/>
                            <w:sz w:val="15"/>
                          </w:rPr>
                          <w:t>26,650,000</w:t>
                        </w:r>
                      </w:p>
                    </w:tc>
                    <w:tc>
                      <w:tcPr>
                        <w:tcW w:w="1908" w:type="dxa"/>
                        <w:tcBorders>
                          <w:top w:val="nil" w:sz="6" w:space="0" w:color="auto"/>
                          <w:left w:val="nil" w:sz="6" w:space="0" w:color="auto"/>
                          <w:bottom w:val="nil" w:sz="6" w:space="0" w:color="auto"/>
                          <w:right w:val="nil" w:sz="6" w:space="0" w:color="auto"/>
                        </w:tcBorders>
                      </w:tcPr>
                      <w:p>
                        <w:pPr>
                          <w:pStyle w:val="TableParagraph"/>
                          <w:spacing w:line="175" w:lineRule="exact"/>
                          <w:ind w:left="146" w:right="0"/>
                          <w:jc w:val="left"/>
                          <w:rPr>
                            <w:rFonts w:ascii="宋体" w:hAnsi="宋体" w:cs="宋体" w:eastAsia="宋体" w:hint="default"/>
                            <w:sz w:val="15"/>
                            <w:szCs w:val="15"/>
                          </w:rPr>
                        </w:pPr>
                        <w:r>
                          <w:rPr>
                            <w:rFonts w:ascii="宋体" w:hAnsi="宋体" w:cs="宋体" w:eastAsia="宋体" w:hint="default"/>
                            <w:sz w:val="15"/>
                            <w:szCs w:val="15"/>
                          </w:rPr>
                          <w:t>计算机软硬件、技术服务</w:t>
                        </w:r>
                      </w:p>
                    </w:tc>
                    <w:tc>
                      <w:tcPr>
                        <w:tcW w:w="879"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90"/>
                          <w:jc w:val="right"/>
                          <w:rPr>
                            <w:rFonts w:ascii="Times New Roman" w:hAnsi="Times New Roman" w:cs="Times New Roman" w:eastAsia="Times New Roman" w:hint="default"/>
                            <w:sz w:val="15"/>
                            <w:szCs w:val="15"/>
                          </w:rPr>
                        </w:pPr>
                        <w:r>
                          <w:rPr>
                            <w:rFonts w:ascii="Times New Roman"/>
                            <w:spacing w:val="-1"/>
                            <w:sz w:val="15"/>
                          </w:rPr>
                          <w:t>27,265,000</w:t>
                        </w:r>
                      </w:p>
                    </w:tc>
                    <w:tc>
                      <w:tcPr>
                        <w:tcW w:w="796" w:type="dxa"/>
                        <w:tcBorders>
                          <w:top w:val="nil" w:sz="6" w:space="0" w:color="auto"/>
                          <w:left w:val="nil" w:sz="6" w:space="0" w:color="auto"/>
                          <w:bottom w:val="nil" w:sz="6" w:space="0" w:color="auto"/>
                          <w:right w:val="nil" w:sz="6" w:space="0" w:color="auto"/>
                        </w:tcBorders>
                      </w:tcPr>
                      <w:p>
                        <w:pPr/>
                      </w:p>
                    </w:tc>
                    <w:tc>
                      <w:tcPr>
                        <w:tcW w:w="477"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4" w:right="0"/>
                          <w:jc w:val="center"/>
                          <w:rPr>
                            <w:rFonts w:ascii="Times New Roman" w:hAnsi="Times New Roman" w:cs="Times New Roman" w:eastAsia="Times New Roman" w:hint="default"/>
                            <w:sz w:val="15"/>
                            <w:szCs w:val="15"/>
                          </w:rPr>
                        </w:pPr>
                        <w:r>
                          <w:rPr>
                            <w:rFonts w:ascii="Times New Roman"/>
                            <w:sz w:val="15"/>
                          </w:rPr>
                          <w:t>80.28</w:t>
                        </w:r>
                      </w:p>
                    </w:tc>
                    <w:tc>
                      <w:tcPr>
                        <w:tcW w:w="660" w:type="dxa"/>
                        <w:tcBorders>
                          <w:top w:val="nil" w:sz="6" w:space="0" w:color="auto"/>
                          <w:left w:val="nil" w:sz="6" w:space="0" w:color="auto"/>
                          <w:bottom w:val="nil" w:sz="6" w:space="0" w:color="auto"/>
                          <w:right w:val="nil" w:sz="6" w:space="0" w:color="auto"/>
                        </w:tcBorders>
                      </w:tcPr>
                      <w:p>
                        <w:pPr>
                          <w:pStyle w:val="TableParagraph"/>
                          <w:spacing w:line="175" w:lineRule="exact"/>
                          <w:ind w:right="38"/>
                          <w:jc w:val="center"/>
                          <w:rPr>
                            <w:rFonts w:ascii="宋体" w:hAnsi="宋体" w:cs="宋体" w:eastAsia="宋体" w:hint="default"/>
                            <w:sz w:val="15"/>
                            <w:szCs w:val="15"/>
                          </w:rPr>
                        </w:pPr>
                        <w:r>
                          <w:rPr>
                            <w:rFonts w:ascii="宋体" w:hAnsi="宋体" w:cs="宋体" w:eastAsia="宋体" w:hint="default"/>
                            <w:sz w:val="15"/>
                            <w:szCs w:val="15"/>
                          </w:rPr>
                          <w:t>是</w:t>
                        </w:r>
                      </w:p>
                    </w:tc>
                    <w:tc>
                      <w:tcPr>
                        <w:tcW w:w="80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91"/>
                          <w:jc w:val="right"/>
                          <w:rPr>
                            <w:rFonts w:ascii="Times New Roman" w:hAnsi="Times New Roman" w:cs="Times New Roman" w:eastAsia="Times New Roman" w:hint="default"/>
                            <w:sz w:val="15"/>
                            <w:szCs w:val="15"/>
                          </w:rPr>
                        </w:pPr>
                        <w:r>
                          <w:rPr>
                            <w:rFonts w:ascii="Times New Roman"/>
                            <w:spacing w:val="-1"/>
                            <w:sz w:val="15"/>
                          </w:rPr>
                          <w:t>5,852,441</w:t>
                        </w:r>
                      </w:p>
                    </w:tc>
                    <w:tc>
                      <w:tcPr>
                        <w:tcW w:w="766"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301" w:hRule="exact"/>
                    </w:trPr>
                    <w:tc>
                      <w:tcPr>
                        <w:tcW w:w="2302"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22" w:right="0"/>
                          <w:jc w:val="left"/>
                          <w:rPr>
                            <w:rFonts w:ascii="宋体" w:hAnsi="宋体" w:cs="宋体" w:eastAsia="宋体" w:hint="default"/>
                            <w:sz w:val="15"/>
                            <w:szCs w:val="15"/>
                          </w:rPr>
                        </w:pPr>
                        <w:r>
                          <w:rPr>
                            <w:rFonts w:ascii="宋体" w:hAnsi="宋体" w:cs="宋体" w:eastAsia="宋体" w:hint="default"/>
                            <w:sz w:val="15"/>
                            <w:szCs w:val="15"/>
                          </w:rPr>
                          <w:t>东软越通软件技术（大连）有限</w:t>
                        </w:r>
                      </w:p>
                    </w:tc>
                    <w:tc>
                      <w:tcPr>
                        <w:tcW w:w="566"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46" w:right="0"/>
                          <w:jc w:val="left"/>
                          <w:rPr>
                            <w:rFonts w:ascii="宋体" w:hAnsi="宋体" w:cs="宋体" w:eastAsia="宋体" w:hint="default"/>
                            <w:sz w:val="15"/>
                            <w:szCs w:val="15"/>
                          </w:rPr>
                        </w:pPr>
                        <w:r>
                          <w:rPr>
                            <w:rFonts w:ascii="宋体" w:hAnsi="宋体" w:cs="宋体" w:eastAsia="宋体" w:hint="default"/>
                            <w:sz w:val="15"/>
                            <w:szCs w:val="15"/>
                          </w:rPr>
                          <w:t>计算机软硬件、技术咨</w:t>
                        </w:r>
                      </w:p>
                    </w:tc>
                    <w:tc>
                      <w:tcPr>
                        <w:tcW w:w="879" w:type="dxa"/>
                        <w:tcBorders>
                          <w:top w:val="nil" w:sz="6" w:space="0" w:color="auto"/>
                          <w:left w:val="nil" w:sz="6" w:space="0" w:color="auto"/>
                          <w:bottom w:val="nil" w:sz="6" w:space="0" w:color="auto"/>
                          <w:right w:val="nil" w:sz="6" w:space="0" w:color="auto"/>
                        </w:tcBorders>
                      </w:tcPr>
                      <w:p>
                        <w:pPr/>
                      </w:p>
                    </w:tc>
                    <w:tc>
                      <w:tcPr>
                        <w:tcW w:w="796" w:type="dxa"/>
                        <w:tcBorders>
                          <w:top w:val="nil" w:sz="6" w:space="0" w:color="auto"/>
                          <w:left w:val="nil" w:sz="6" w:space="0" w:color="auto"/>
                          <w:bottom w:val="nil" w:sz="6" w:space="0" w:color="auto"/>
                          <w:right w:val="nil" w:sz="6" w:space="0" w:color="auto"/>
                        </w:tcBorders>
                      </w:tcPr>
                      <w:p>
                        <w:pPr/>
                      </w:p>
                    </w:tc>
                    <w:tc>
                      <w:tcPr>
                        <w:tcW w:w="477"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c>
                      <w:tcPr>
                        <w:tcW w:w="766" w:type="dxa"/>
                        <w:tcBorders>
                          <w:top w:val="nil" w:sz="6" w:space="0" w:color="auto"/>
                          <w:left w:val="nil" w:sz="6" w:space="0" w:color="auto"/>
                          <w:bottom w:val="nil" w:sz="6" w:space="0" w:color="auto"/>
                          <w:right w:val="nil" w:sz="6" w:space="0" w:color="auto"/>
                        </w:tcBorders>
                      </w:tcPr>
                      <w:p>
                        <w:pPr/>
                      </w:p>
                    </w:tc>
                    <w:tc>
                      <w:tcPr>
                        <w:tcW w:w="1639" w:type="dxa"/>
                        <w:tcBorders>
                          <w:top w:val="nil" w:sz="6" w:space="0" w:color="auto"/>
                          <w:left w:val="nil" w:sz="6" w:space="0" w:color="auto"/>
                          <w:bottom w:val="nil" w:sz="6" w:space="0" w:color="auto"/>
                          <w:right w:val="nil" w:sz="6" w:space="0" w:color="auto"/>
                        </w:tcBorders>
                      </w:tcPr>
                      <w:p>
                        <w:pPr/>
                      </w:p>
                    </w:tc>
                  </w:tr>
                  <w:tr>
                    <w:trPr>
                      <w:trHeight w:val="413" w:hRule="exact"/>
                    </w:trPr>
                    <w:tc>
                      <w:tcPr>
                        <w:tcW w:w="2302"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公司（注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13</w:t>
                        </w:r>
                        <w:r>
                          <w:rPr>
                            <w:rFonts w:ascii="宋体" w:hAnsi="宋体" w:cs="宋体" w:eastAsia="宋体" w:hint="default"/>
                            <w:sz w:val="15"/>
                            <w:szCs w:val="15"/>
                          </w:rPr>
                          <w:t>）</w:t>
                        </w:r>
                      </w:p>
                    </w:tc>
                    <w:tc>
                      <w:tcPr>
                        <w:tcW w:w="566" w:type="dxa"/>
                        <w:tcBorders>
                          <w:top w:val="nil" w:sz="6" w:space="0" w:color="auto"/>
                          <w:left w:val="nil" w:sz="6" w:space="0" w:color="auto"/>
                          <w:bottom w:val="single" w:sz="12" w:space="0" w:color="000000"/>
                          <w:right w:val="nil" w:sz="6" w:space="0" w:color="auto"/>
                        </w:tcBorders>
                      </w:tcPr>
                      <w:p>
                        <w:pPr>
                          <w:pStyle w:val="TableParagraph"/>
                          <w:spacing w:line="175" w:lineRule="exact"/>
                          <w:ind w:right="105"/>
                          <w:jc w:val="center"/>
                          <w:rPr>
                            <w:rFonts w:ascii="宋体" w:hAnsi="宋体" w:cs="宋体" w:eastAsia="宋体" w:hint="default"/>
                            <w:sz w:val="15"/>
                            <w:szCs w:val="15"/>
                          </w:rPr>
                        </w:pPr>
                        <w:r>
                          <w:rPr>
                            <w:rFonts w:ascii="宋体" w:hAnsi="宋体" w:cs="宋体" w:eastAsia="宋体" w:hint="default"/>
                            <w:sz w:val="15"/>
                            <w:szCs w:val="15"/>
                          </w:rPr>
                          <w:t>全资</w:t>
                        </w:r>
                      </w:p>
                    </w:tc>
                    <w:tc>
                      <w:tcPr>
                        <w:tcW w:w="1631" w:type="dxa"/>
                        <w:tcBorders>
                          <w:top w:val="nil" w:sz="6" w:space="0" w:color="auto"/>
                          <w:left w:val="nil" w:sz="6" w:space="0" w:color="auto"/>
                          <w:bottom w:val="single" w:sz="12" w:space="0" w:color="000000"/>
                          <w:right w:val="nil" w:sz="6" w:space="0" w:color="auto"/>
                        </w:tcBorders>
                      </w:tcPr>
                      <w:p>
                        <w:pPr>
                          <w:pStyle w:val="TableParagraph"/>
                          <w:spacing w:line="175" w:lineRule="exact"/>
                          <w:ind w:left="122" w:right="0"/>
                          <w:jc w:val="left"/>
                          <w:rPr>
                            <w:rFonts w:ascii="宋体" w:hAnsi="宋体" w:cs="宋体" w:eastAsia="宋体" w:hint="default"/>
                            <w:sz w:val="15"/>
                            <w:szCs w:val="15"/>
                          </w:rPr>
                        </w:pPr>
                        <w:r>
                          <w:rPr>
                            <w:rFonts w:ascii="宋体" w:hAnsi="宋体" w:cs="宋体" w:eastAsia="宋体" w:hint="default"/>
                            <w:sz w:val="15"/>
                            <w:szCs w:val="15"/>
                          </w:rPr>
                          <w:t>大连</w:t>
                        </w:r>
                        <w:r>
                          <w:rPr>
                            <w:rFonts w:ascii="宋体" w:hAnsi="宋体" w:cs="宋体" w:eastAsia="宋体" w:hint="default"/>
                            <w:spacing w:val="13"/>
                            <w:sz w:val="15"/>
                            <w:szCs w:val="15"/>
                          </w:rPr>
                          <w:t> </w:t>
                        </w:r>
                        <w:r>
                          <w:rPr>
                            <w:rFonts w:ascii="宋体" w:hAnsi="宋体" w:cs="宋体" w:eastAsia="宋体" w:hint="default"/>
                            <w:sz w:val="15"/>
                            <w:szCs w:val="15"/>
                          </w:rPr>
                          <w:t>有限责任公司</w:t>
                        </w:r>
                      </w:p>
                    </w:tc>
                    <w:tc>
                      <w:tcPr>
                        <w:tcW w:w="963"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right="66"/>
                          <w:jc w:val="right"/>
                          <w:rPr>
                            <w:rFonts w:ascii="Times New Roman" w:hAnsi="Times New Roman" w:cs="Times New Roman" w:eastAsia="Times New Roman" w:hint="default"/>
                            <w:sz w:val="15"/>
                            <w:szCs w:val="15"/>
                          </w:rPr>
                        </w:pPr>
                        <w:r>
                          <w:rPr>
                            <w:rFonts w:ascii="Times New Roman"/>
                            <w:spacing w:val="-1"/>
                            <w:sz w:val="15"/>
                          </w:rPr>
                          <w:t>5,000,000</w:t>
                        </w:r>
                      </w:p>
                    </w:tc>
                    <w:tc>
                      <w:tcPr>
                        <w:tcW w:w="1908"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46" w:right="0"/>
                          <w:jc w:val="left"/>
                          <w:rPr>
                            <w:rFonts w:ascii="宋体" w:hAnsi="宋体" w:cs="宋体" w:eastAsia="宋体" w:hint="default"/>
                            <w:sz w:val="15"/>
                            <w:szCs w:val="15"/>
                          </w:rPr>
                        </w:pPr>
                        <w:r>
                          <w:rPr>
                            <w:rFonts w:ascii="宋体" w:hAnsi="宋体" w:cs="宋体" w:eastAsia="宋体" w:hint="default"/>
                            <w:sz w:val="15"/>
                            <w:szCs w:val="15"/>
                          </w:rPr>
                          <w:t>询服务</w:t>
                        </w:r>
                      </w:p>
                    </w:tc>
                    <w:tc>
                      <w:tcPr>
                        <w:tcW w:w="879"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right="90"/>
                          <w:jc w:val="right"/>
                          <w:rPr>
                            <w:rFonts w:ascii="Times New Roman" w:hAnsi="Times New Roman" w:cs="Times New Roman" w:eastAsia="Times New Roman" w:hint="default"/>
                            <w:sz w:val="15"/>
                            <w:szCs w:val="15"/>
                          </w:rPr>
                        </w:pPr>
                        <w:r>
                          <w:rPr>
                            <w:rFonts w:ascii="Times New Roman"/>
                            <w:spacing w:val="-1"/>
                            <w:sz w:val="15"/>
                          </w:rPr>
                          <w:t>5,000,000</w:t>
                        </w:r>
                      </w:p>
                    </w:tc>
                    <w:tc>
                      <w:tcPr>
                        <w:tcW w:w="796" w:type="dxa"/>
                        <w:tcBorders>
                          <w:top w:val="nil" w:sz="6" w:space="0" w:color="auto"/>
                          <w:left w:val="nil" w:sz="6" w:space="0" w:color="auto"/>
                          <w:bottom w:val="single" w:sz="12" w:space="0" w:color="000000"/>
                          <w:right w:val="nil" w:sz="6" w:space="0" w:color="auto"/>
                        </w:tcBorders>
                      </w:tcPr>
                      <w:p>
                        <w:pPr/>
                      </w:p>
                    </w:tc>
                    <w:tc>
                      <w:tcPr>
                        <w:tcW w:w="477" w:type="dxa"/>
                        <w:tcBorders>
                          <w:top w:val="nil" w:sz="6" w:space="0" w:color="auto"/>
                          <w:left w:val="nil" w:sz="6" w:space="0" w:color="auto"/>
                          <w:bottom w:val="single" w:sz="12" w:space="0" w:color="000000"/>
                          <w:right w:val="nil" w:sz="6" w:space="0" w:color="auto"/>
                        </w:tcBorders>
                      </w:tcPr>
                      <w:p>
                        <w:pPr/>
                      </w:p>
                    </w:tc>
                    <w:tc>
                      <w:tcPr>
                        <w:tcW w:w="625"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14" w:right="0"/>
                          <w:jc w:val="center"/>
                          <w:rPr>
                            <w:rFonts w:ascii="Times New Roman" w:hAnsi="Times New Roman" w:cs="Times New Roman" w:eastAsia="Times New Roman" w:hint="default"/>
                            <w:sz w:val="15"/>
                            <w:szCs w:val="15"/>
                          </w:rPr>
                        </w:pPr>
                        <w:r>
                          <w:rPr>
                            <w:rFonts w:ascii="Times New Roman"/>
                            <w:sz w:val="15"/>
                          </w:rPr>
                          <w:t>100</w:t>
                        </w:r>
                      </w:p>
                    </w:tc>
                    <w:tc>
                      <w:tcPr>
                        <w:tcW w:w="660" w:type="dxa"/>
                        <w:tcBorders>
                          <w:top w:val="nil" w:sz="6" w:space="0" w:color="auto"/>
                          <w:left w:val="nil" w:sz="6" w:space="0" w:color="auto"/>
                          <w:bottom w:val="single" w:sz="12" w:space="0" w:color="000000"/>
                          <w:right w:val="nil" w:sz="6" w:space="0" w:color="auto"/>
                        </w:tcBorders>
                      </w:tcPr>
                      <w:p>
                        <w:pPr>
                          <w:pStyle w:val="TableParagraph"/>
                          <w:spacing w:line="175" w:lineRule="exact"/>
                          <w:ind w:right="38"/>
                          <w:jc w:val="center"/>
                          <w:rPr>
                            <w:rFonts w:ascii="宋体" w:hAnsi="宋体" w:cs="宋体" w:eastAsia="宋体" w:hint="default"/>
                            <w:sz w:val="15"/>
                            <w:szCs w:val="15"/>
                          </w:rPr>
                        </w:pPr>
                        <w:r>
                          <w:rPr>
                            <w:rFonts w:ascii="宋体" w:hAnsi="宋体" w:cs="宋体" w:eastAsia="宋体" w:hint="default"/>
                            <w:sz w:val="15"/>
                            <w:szCs w:val="15"/>
                          </w:rPr>
                          <w:t>是</w:t>
                        </w:r>
                      </w:p>
                    </w:tc>
                    <w:tc>
                      <w:tcPr>
                        <w:tcW w:w="802" w:type="dxa"/>
                        <w:tcBorders>
                          <w:top w:val="nil" w:sz="6" w:space="0" w:color="auto"/>
                          <w:left w:val="nil" w:sz="6" w:space="0" w:color="auto"/>
                          <w:bottom w:val="single" w:sz="12" w:space="0" w:color="000000"/>
                          <w:right w:val="nil" w:sz="6" w:space="0" w:color="auto"/>
                        </w:tcBorders>
                      </w:tcPr>
                      <w:p>
                        <w:pPr/>
                      </w:p>
                    </w:tc>
                    <w:tc>
                      <w:tcPr>
                        <w:tcW w:w="766" w:type="dxa"/>
                        <w:tcBorders>
                          <w:top w:val="nil" w:sz="6" w:space="0" w:color="auto"/>
                          <w:left w:val="nil" w:sz="6" w:space="0" w:color="auto"/>
                          <w:bottom w:val="single" w:sz="12" w:space="0" w:color="000000"/>
                          <w:right w:val="nil" w:sz="6" w:space="0" w:color="auto"/>
                        </w:tcBorders>
                      </w:tcPr>
                      <w:p>
                        <w:pPr/>
                      </w:p>
                    </w:tc>
                    <w:tc>
                      <w:tcPr>
                        <w:tcW w:w="1639" w:type="dxa"/>
                        <w:tcBorders>
                          <w:top w:val="nil" w:sz="6" w:space="0" w:color="auto"/>
                          <w:left w:val="nil" w:sz="6" w:space="0" w:color="auto"/>
                          <w:bottom w:val="single" w:sz="12" w:space="0" w:color="000000"/>
                          <w:right w:val="nil" w:sz="6" w:space="0" w:color="auto"/>
                        </w:tcBorders>
                      </w:tcPr>
                      <w:p>
                        <w:pPr/>
                      </w:p>
                    </w:tc>
                  </w:tr>
                </w:tbl>
                <w:p>
                  <w:pPr/>
                </w:p>
              </w:txbxContent>
            </v:textbox>
            <w10:wrap type="none"/>
          </v:shape>
        </w:pict>
      </w:r>
      <w:r>
        <w:rPr>
          <w:rFonts w:ascii="宋体" w:hAnsi="宋体" w:cs="宋体" w:eastAsia="宋体" w:hint="default"/>
          <w:sz w:val="15"/>
          <w:szCs w:val="15"/>
        </w:rPr>
        <w:t>子公司全称</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before="121"/>
        <w:ind w:left="793" w:right="-19" w:firstLine="0"/>
        <w:jc w:val="left"/>
        <w:rPr>
          <w:rFonts w:ascii="宋体" w:hAnsi="宋体" w:cs="宋体" w:eastAsia="宋体" w:hint="default"/>
          <w:sz w:val="15"/>
          <w:szCs w:val="15"/>
        </w:rPr>
      </w:pPr>
      <w:r>
        <w:rPr>
          <w:rFonts w:ascii="宋体" w:hAnsi="宋体" w:cs="宋体" w:eastAsia="宋体" w:hint="default"/>
          <w:sz w:val="15"/>
          <w:szCs w:val="15"/>
        </w:rPr>
        <w:t>子公司</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8"/>
        <w:rPr>
          <w:rFonts w:ascii="宋体" w:hAnsi="宋体" w:cs="宋体" w:eastAsia="宋体" w:hint="default"/>
          <w:sz w:val="10"/>
          <w:szCs w:val="10"/>
        </w:rPr>
      </w:pPr>
    </w:p>
    <w:p>
      <w:pPr>
        <w:tabs>
          <w:tab w:pos="1769" w:val="left" w:leader="none"/>
          <w:tab w:pos="3244" w:val="left" w:leader="none"/>
        </w:tabs>
        <w:spacing w:before="0"/>
        <w:ind w:left="78" w:right="-20" w:firstLine="0"/>
        <w:jc w:val="left"/>
        <w:rPr>
          <w:rFonts w:ascii="宋体" w:hAnsi="宋体" w:cs="宋体" w:eastAsia="宋体" w:hint="default"/>
          <w:sz w:val="15"/>
          <w:szCs w:val="15"/>
        </w:rPr>
      </w:pPr>
      <w:r>
        <w:rPr>
          <w:rFonts w:ascii="宋体" w:hAnsi="宋体" w:cs="宋体" w:eastAsia="宋体" w:hint="default"/>
          <w:sz w:val="15"/>
          <w:szCs w:val="15"/>
        </w:rPr>
        <w:t>注册地</w:t>
      </w:r>
      <w:r>
        <w:rPr>
          <w:rFonts w:ascii="宋体" w:hAnsi="宋体" w:cs="宋体" w:eastAsia="宋体" w:hint="default"/>
          <w:spacing w:val="66"/>
          <w:sz w:val="15"/>
          <w:szCs w:val="15"/>
        </w:rPr>
        <w:t> </w:t>
      </w:r>
      <w:r>
        <w:rPr>
          <w:rFonts w:ascii="宋体" w:hAnsi="宋体" w:cs="宋体" w:eastAsia="宋体" w:hint="default"/>
          <w:sz w:val="15"/>
          <w:szCs w:val="15"/>
        </w:rPr>
        <w:t>企业性质</w:t>
        <w:tab/>
        <w:t>注册资本</w:t>
        <w:tab/>
        <w:t>经营范围</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before="121"/>
        <w:ind w:left="592" w:right="-20" w:firstLine="0"/>
        <w:jc w:val="left"/>
        <w:rPr>
          <w:rFonts w:ascii="宋体" w:hAnsi="宋体" w:cs="宋体" w:eastAsia="宋体" w:hint="default"/>
          <w:sz w:val="15"/>
          <w:szCs w:val="15"/>
        </w:rPr>
      </w:pPr>
      <w:r>
        <w:rPr>
          <w:rFonts w:ascii="宋体" w:hAnsi="宋体" w:cs="宋体" w:eastAsia="宋体" w:hint="default"/>
          <w:sz w:val="15"/>
          <w:szCs w:val="15"/>
        </w:rPr>
        <w:t>期末实际投资</w:t>
      </w:r>
    </w:p>
    <w:p>
      <w:pPr>
        <w:spacing w:line="240" w:lineRule="auto" w:before="5"/>
        <w:rPr>
          <w:rFonts w:ascii="宋体" w:hAnsi="宋体" w:cs="宋体" w:eastAsia="宋体" w:hint="default"/>
          <w:sz w:val="19"/>
          <w:szCs w:val="19"/>
        </w:rPr>
      </w:pPr>
      <w:r>
        <w:rPr/>
        <w:br w:type="column"/>
      </w:r>
      <w:r>
        <w:rPr>
          <w:rFonts w:ascii="宋体"/>
          <w:sz w:val="19"/>
        </w:rPr>
      </w:r>
    </w:p>
    <w:p>
      <w:pPr>
        <w:spacing w:line="489" w:lineRule="auto" w:before="0"/>
        <w:ind w:left="66" w:right="0" w:firstLine="0"/>
        <w:jc w:val="both"/>
        <w:rPr>
          <w:rFonts w:ascii="宋体" w:hAnsi="宋体" w:cs="宋体" w:eastAsia="宋体" w:hint="default"/>
          <w:sz w:val="15"/>
          <w:szCs w:val="15"/>
        </w:rPr>
      </w:pPr>
      <w:r>
        <w:rPr>
          <w:rFonts w:ascii="宋体" w:hAnsi="宋体" w:cs="宋体" w:eastAsia="宋体" w:hint="default"/>
          <w:sz w:val="15"/>
          <w:szCs w:val="15"/>
        </w:rPr>
        <w:t>实质上构 成对子公 司净投资</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before="104"/>
        <w:ind w:left="127" w:right="-20" w:firstLine="0"/>
        <w:jc w:val="left"/>
        <w:rPr>
          <w:rFonts w:ascii="宋体" w:hAnsi="宋体" w:cs="宋体" w:eastAsia="宋体" w:hint="default"/>
          <w:sz w:val="15"/>
          <w:szCs w:val="15"/>
        </w:rPr>
      </w:pPr>
      <w:r>
        <w:rPr>
          <w:rFonts w:ascii="宋体" w:hAnsi="宋体" w:cs="宋体" w:eastAsia="宋体" w:hint="default"/>
          <w:sz w:val="15"/>
          <w:szCs w:val="15"/>
        </w:rPr>
        <w:t>持股</w:t>
      </w:r>
    </w:p>
    <w:p>
      <w:pPr>
        <w:spacing w:before="4"/>
        <w:ind w:left="575" w:right="-20" w:firstLine="0"/>
        <w:jc w:val="left"/>
        <w:rPr>
          <w:rFonts w:ascii="宋体" w:hAnsi="宋体" w:cs="宋体" w:eastAsia="宋体" w:hint="default"/>
          <w:sz w:val="15"/>
          <w:szCs w:val="15"/>
        </w:rPr>
      </w:pPr>
      <w:r>
        <w:rPr>
          <w:rFonts w:ascii="宋体" w:hAnsi="宋体" w:cs="宋体" w:eastAsia="宋体" w:hint="default"/>
          <w:sz w:val="15"/>
          <w:szCs w:val="15"/>
        </w:rPr>
        <w:t>表决权比</w:t>
      </w:r>
      <w:r>
        <w:rPr>
          <w:rFonts w:ascii="宋体" w:hAnsi="宋体" w:cs="宋体" w:eastAsia="宋体" w:hint="default"/>
          <w:spacing w:val="16"/>
          <w:sz w:val="15"/>
          <w:szCs w:val="15"/>
        </w:rPr>
        <w:t> </w:t>
      </w:r>
      <w:r>
        <w:rPr>
          <w:rFonts w:ascii="宋体" w:hAnsi="宋体" w:cs="宋体" w:eastAsia="宋体" w:hint="default"/>
          <w:sz w:val="15"/>
          <w:szCs w:val="15"/>
        </w:rPr>
        <w:t>是否合</w:t>
      </w:r>
    </w:p>
    <w:p>
      <w:pPr>
        <w:spacing w:before="4"/>
        <w:ind w:left="127" w:right="-20" w:firstLine="0"/>
        <w:jc w:val="left"/>
        <w:rPr>
          <w:rFonts w:ascii="宋体" w:hAnsi="宋体" w:cs="宋体" w:eastAsia="宋体" w:hint="default"/>
          <w:sz w:val="15"/>
          <w:szCs w:val="15"/>
        </w:rPr>
      </w:pPr>
      <w:r>
        <w:rPr>
          <w:rFonts w:ascii="宋体" w:hAnsi="宋体" w:cs="宋体" w:eastAsia="宋体" w:hint="default"/>
          <w:sz w:val="15"/>
          <w:szCs w:val="15"/>
        </w:rPr>
        <w:t>比例</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before="121"/>
        <w:ind w:left="78" w:right="-20" w:firstLine="0"/>
        <w:jc w:val="left"/>
        <w:rPr>
          <w:rFonts w:ascii="宋体" w:hAnsi="宋体" w:cs="宋体" w:eastAsia="宋体" w:hint="default"/>
          <w:sz w:val="15"/>
          <w:szCs w:val="15"/>
        </w:rPr>
      </w:pPr>
      <w:r>
        <w:rPr>
          <w:rFonts w:ascii="宋体" w:hAnsi="宋体" w:cs="宋体" w:eastAsia="宋体" w:hint="default"/>
          <w:sz w:val="15"/>
          <w:szCs w:val="15"/>
        </w:rPr>
        <w:t>少数股东权</w:t>
      </w:r>
    </w:p>
    <w:p>
      <w:pPr>
        <w:spacing w:line="240" w:lineRule="auto" w:before="5"/>
        <w:rPr>
          <w:rFonts w:ascii="宋体" w:hAnsi="宋体" w:cs="宋体" w:eastAsia="宋体" w:hint="default"/>
          <w:sz w:val="19"/>
          <w:szCs w:val="19"/>
        </w:rPr>
      </w:pPr>
      <w:r>
        <w:rPr/>
        <w:br w:type="column"/>
      </w:r>
      <w:r>
        <w:rPr>
          <w:rFonts w:ascii="宋体"/>
          <w:sz w:val="19"/>
        </w:rPr>
      </w:r>
    </w:p>
    <w:p>
      <w:pPr>
        <w:spacing w:line="489" w:lineRule="auto" w:before="0"/>
        <w:ind w:left="94" w:right="0" w:firstLine="0"/>
        <w:jc w:val="both"/>
        <w:rPr>
          <w:rFonts w:ascii="宋体" w:hAnsi="宋体" w:cs="宋体" w:eastAsia="宋体" w:hint="default"/>
          <w:sz w:val="15"/>
          <w:szCs w:val="15"/>
        </w:rPr>
      </w:pPr>
      <w:r>
        <w:rPr>
          <w:rFonts w:ascii="宋体" w:hAnsi="宋体" w:cs="宋体" w:eastAsia="宋体" w:hint="default"/>
          <w:sz w:val="15"/>
          <w:szCs w:val="15"/>
        </w:rPr>
        <w:t>少数股东 权益中用 于冲减少</w:t>
      </w:r>
    </w:p>
    <w:p>
      <w:pPr>
        <w:spacing w:line="489" w:lineRule="auto" w:before="53"/>
        <w:ind w:left="106" w:right="194" w:firstLine="0"/>
        <w:jc w:val="both"/>
        <w:rPr>
          <w:rFonts w:ascii="宋体" w:hAnsi="宋体" w:cs="宋体" w:eastAsia="宋体" w:hint="default"/>
          <w:sz w:val="15"/>
          <w:szCs w:val="15"/>
        </w:rPr>
      </w:pPr>
      <w:r>
        <w:rPr/>
        <w:br w:type="column"/>
      </w:r>
      <w:r>
        <w:rPr>
          <w:rFonts w:ascii="宋体" w:hAnsi="宋体" w:cs="宋体" w:eastAsia="宋体" w:hint="default"/>
          <w:sz w:val="15"/>
          <w:szCs w:val="15"/>
        </w:rPr>
        <w:t>从母公司所有者权益冲 减子公司少数股东分担 的本期亏损超过少数股</w:t>
      </w:r>
    </w:p>
    <w:p>
      <w:pPr>
        <w:spacing w:after="0" w:line="489" w:lineRule="auto"/>
        <w:jc w:val="both"/>
        <w:rPr>
          <w:rFonts w:ascii="宋体" w:hAnsi="宋体" w:cs="宋体" w:eastAsia="宋体" w:hint="default"/>
          <w:sz w:val="15"/>
          <w:szCs w:val="15"/>
        </w:rPr>
        <w:sectPr>
          <w:type w:val="continuous"/>
          <w:pgSz w:w="16840" w:h="11910" w:orient="landscape"/>
          <w:pgMar w:top="1600" w:bottom="280" w:left="1300" w:right="660"/>
          <w:cols w:num="9" w:equalWidth="0">
            <w:col w:w="2270" w:space="40"/>
            <w:col w:w="1244" w:space="40"/>
            <w:col w:w="3845" w:space="40"/>
            <w:col w:w="1493" w:space="40"/>
            <w:col w:w="667" w:space="40"/>
            <w:col w:w="1717" w:space="40"/>
            <w:col w:w="829" w:space="40"/>
            <w:col w:w="695" w:space="40"/>
            <w:col w:w="1800"/>
          </w:cols>
        </w:sect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6840" w:h="11910" w:orient="landscape"/>
          <w:pgMar w:header="883" w:footer="999" w:top="1600" w:bottom="1180" w:left="1300" w:right="660"/>
        </w:sect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before="117"/>
        <w:ind w:left="0" w:right="0" w:firstLine="0"/>
        <w:jc w:val="right"/>
        <w:rPr>
          <w:rFonts w:ascii="宋体" w:hAnsi="宋体" w:cs="宋体" w:eastAsia="宋体" w:hint="default"/>
          <w:sz w:val="15"/>
          <w:szCs w:val="15"/>
        </w:rPr>
      </w:pPr>
      <w:r>
        <w:rPr>
          <w:rFonts w:ascii="宋体" w:hAnsi="宋体" w:cs="宋体" w:eastAsia="宋体" w:hint="default"/>
          <w:sz w:val="15"/>
          <w:szCs w:val="15"/>
        </w:rPr>
        <w:t>子公司全称</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before="100"/>
        <w:ind w:left="793" w:right="-19" w:firstLine="0"/>
        <w:jc w:val="left"/>
        <w:rPr>
          <w:rFonts w:ascii="宋体" w:hAnsi="宋体" w:cs="宋体" w:eastAsia="宋体" w:hint="default"/>
          <w:sz w:val="15"/>
          <w:szCs w:val="15"/>
        </w:rPr>
      </w:pPr>
      <w:r>
        <w:rPr>
          <w:rFonts w:ascii="宋体" w:hAnsi="宋体" w:cs="宋体" w:eastAsia="宋体" w:hint="default"/>
          <w:sz w:val="15"/>
          <w:szCs w:val="15"/>
        </w:rPr>
        <w:t>子公司</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tabs>
          <w:tab w:pos="1769" w:val="left" w:leader="none"/>
          <w:tab w:pos="3244" w:val="left" w:leader="none"/>
        </w:tabs>
        <w:spacing w:before="117"/>
        <w:ind w:left="78" w:right="-20" w:firstLine="0"/>
        <w:jc w:val="left"/>
        <w:rPr>
          <w:rFonts w:ascii="宋体" w:hAnsi="宋体" w:cs="宋体" w:eastAsia="宋体" w:hint="default"/>
          <w:sz w:val="15"/>
          <w:szCs w:val="15"/>
        </w:rPr>
      </w:pPr>
      <w:r>
        <w:rPr>
          <w:rFonts w:ascii="宋体" w:hAnsi="宋体" w:cs="宋体" w:eastAsia="宋体" w:hint="default"/>
          <w:sz w:val="15"/>
          <w:szCs w:val="15"/>
        </w:rPr>
        <w:t>注册地</w:t>
      </w:r>
      <w:r>
        <w:rPr>
          <w:rFonts w:ascii="宋体" w:hAnsi="宋体" w:cs="宋体" w:eastAsia="宋体" w:hint="default"/>
          <w:spacing w:val="66"/>
          <w:sz w:val="15"/>
          <w:szCs w:val="15"/>
        </w:rPr>
        <w:t> </w:t>
      </w:r>
      <w:r>
        <w:rPr>
          <w:rFonts w:ascii="宋体" w:hAnsi="宋体" w:cs="宋体" w:eastAsia="宋体" w:hint="default"/>
          <w:sz w:val="15"/>
          <w:szCs w:val="15"/>
        </w:rPr>
        <w:t>企业性质</w:t>
        <w:tab/>
        <w:t>注册资本</w:t>
        <w:tab/>
        <w:t>经营范围</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before="100"/>
        <w:ind w:left="592" w:right="-20" w:firstLine="0"/>
        <w:jc w:val="left"/>
        <w:rPr>
          <w:rFonts w:ascii="宋体" w:hAnsi="宋体" w:cs="宋体" w:eastAsia="宋体" w:hint="default"/>
          <w:sz w:val="15"/>
          <w:szCs w:val="15"/>
        </w:rPr>
      </w:pPr>
      <w:r>
        <w:rPr>
          <w:rFonts w:ascii="宋体" w:hAnsi="宋体" w:cs="宋体" w:eastAsia="宋体" w:hint="default"/>
          <w:sz w:val="15"/>
          <w:szCs w:val="15"/>
        </w:rPr>
        <w:t>期末实际投资</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11"/>
        <w:rPr>
          <w:rFonts w:ascii="宋体" w:hAnsi="宋体" w:cs="宋体" w:eastAsia="宋体" w:hint="default"/>
          <w:sz w:val="17"/>
          <w:szCs w:val="17"/>
        </w:rPr>
      </w:pPr>
    </w:p>
    <w:p>
      <w:pPr>
        <w:spacing w:line="489" w:lineRule="auto" w:before="0"/>
        <w:ind w:left="66" w:right="-20" w:firstLine="0"/>
        <w:jc w:val="left"/>
        <w:rPr>
          <w:rFonts w:ascii="宋体" w:hAnsi="宋体" w:cs="宋体" w:eastAsia="宋体" w:hint="default"/>
          <w:sz w:val="15"/>
          <w:szCs w:val="15"/>
        </w:rPr>
      </w:pPr>
      <w:r>
        <w:rPr>
          <w:rFonts w:ascii="宋体" w:hAnsi="宋体" w:cs="宋体" w:eastAsia="宋体" w:hint="default"/>
          <w:sz w:val="15"/>
          <w:szCs w:val="15"/>
        </w:rPr>
        <w:t>实质上构 成对子公</w:t>
      </w:r>
    </w:p>
    <w:p>
      <w:pPr>
        <w:spacing w:before="48"/>
        <w:ind w:left="66" w:right="-20" w:firstLine="0"/>
        <w:jc w:val="left"/>
        <w:rPr>
          <w:rFonts w:ascii="宋体" w:hAnsi="宋体" w:cs="宋体" w:eastAsia="宋体" w:hint="default"/>
          <w:sz w:val="15"/>
          <w:szCs w:val="15"/>
        </w:rPr>
      </w:pPr>
      <w:r>
        <w:rPr>
          <w:rFonts w:ascii="宋体" w:hAnsi="宋体" w:cs="宋体" w:eastAsia="宋体" w:hint="default"/>
          <w:sz w:val="15"/>
          <w:szCs w:val="15"/>
        </w:rPr>
        <w:t>司净投资</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5"/>
        <w:rPr>
          <w:rFonts w:ascii="宋体" w:hAnsi="宋体" w:cs="宋体" w:eastAsia="宋体" w:hint="default"/>
          <w:sz w:val="20"/>
          <w:szCs w:val="20"/>
        </w:rPr>
      </w:pPr>
    </w:p>
    <w:p>
      <w:pPr>
        <w:spacing w:before="0"/>
        <w:ind w:left="127" w:right="-20" w:firstLine="0"/>
        <w:jc w:val="left"/>
        <w:rPr>
          <w:rFonts w:ascii="宋体" w:hAnsi="宋体" w:cs="宋体" w:eastAsia="宋体" w:hint="default"/>
          <w:sz w:val="15"/>
          <w:szCs w:val="15"/>
        </w:rPr>
      </w:pPr>
      <w:r>
        <w:rPr>
          <w:rFonts w:ascii="宋体" w:hAnsi="宋体" w:cs="宋体" w:eastAsia="宋体" w:hint="default"/>
          <w:sz w:val="15"/>
          <w:szCs w:val="15"/>
        </w:rPr>
        <w:t>持股</w:t>
      </w:r>
    </w:p>
    <w:p>
      <w:pPr>
        <w:spacing w:before="4"/>
        <w:ind w:left="575" w:right="-20" w:firstLine="0"/>
        <w:jc w:val="left"/>
        <w:rPr>
          <w:rFonts w:ascii="宋体" w:hAnsi="宋体" w:cs="宋体" w:eastAsia="宋体" w:hint="default"/>
          <w:sz w:val="15"/>
          <w:szCs w:val="15"/>
        </w:rPr>
      </w:pPr>
      <w:r>
        <w:rPr>
          <w:rFonts w:ascii="宋体" w:hAnsi="宋体" w:cs="宋体" w:eastAsia="宋体" w:hint="default"/>
          <w:sz w:val="15"/>
          <w:szCs w:val="15"/>
        </w:rPr>
        <w:t>表决权比</w:t>
      </w:r>
      <w:r>
        <w:rPr>
          <w:rFonts w:ascii="宋体" w:hAnsi="宋体" w:cs="宋体" w:eastAsia="宋体" w:hint="default"/>
          <w:spacing w:val="16"/>
          <w:sz w:val="15"/>
          <w:szCs w:val="15"/>
        </w:rPr>
        <w:t> </w:t>
      </w:r>
      <w:r>
        <w:rPr>
          <w:rFonts w:ascii="宋体" w:hAnsi="宋体" w:cs="宋体" w:eastAsia="宋体" w:hint="default"/>
          <w:sz w:val="15"/>
          <w:szCs w:val="15"/>
        </w:rPr>
        <w:t>是否合</w:t>
      </w:r>
    </w:p>
    <w:p>
      <w:pPr>
        <w:spacing w:before="4"/>
        <w:ind w:left="127" w:right="-20" w:firstLine="0"/>
        <w:jc w:val="left"/>
        <w:rPr>
          <w:rFonts w:ascii="宋体" w:hAnsi="宋体" w:cs="宋体" w:eastAsia="宋体" w:hint="default"/>
          <w:sz w:val="15"/>
          <w:szCs w:val="15"/>
        </w:rPr>
      </w:pPr>
      <w:r>
        <w:rPr>
          <w:rFonts w:ascii="宋体" w:hAnsi="宋体" w:cs="宋体" w:eastAsia="宋体" w:hint="default"/>
          <w:sz w:val="15"/>
          <w:szCs w:val="15"/>
        </w:rPr>
        <w:t>比例</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before="100"/>
        <w:ind w:left="78" w:right="-20" w:firstLine="0"/>
        <w:jc w:val="left"/>
        <w:rPr>
          <w:rFonts w:ascii="宋体" w:hAnsi="宋体" w:cs="宋体" w:eastAsia="宋体" w:hint="default"/>
          <w:sz w:val="15"/>
          <w:szCs w:val="15"/>
        </w:rPr>
      </w:pPr>
      <w:r>
        <w:rPr>
          <w:rFonts w:ascii="宋体" w:hAnsi="宋体" w:cs="宋体" w:eastAsia="宋体" w:hint="default"/>
          <w:sz w:val="15"/>
          <w:szCs w:val="15"/>
        </w:rPr>
        <w:t>少数股东权</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11"/>
        <w:rPr>
          <w:rFonts w:ascii="宋体" w:hAnsi="宋体" w:cs="宋体" w:eastAsia="宋体" w:hint="default"/>
          <w:sz w:val="17"/>
          <w:szCs w:val="17"/>
        </w:rPr>
      </w:pPr>
    </w:p>
    <w:p>
      <w:pPr>
        <w:spacing w:line="489" w:lineRule="auto" w:before="0"/>
        <w:ind w:left="94" w:right="-20" w:firstLine="0"/>
        <w:jc w:val="left"/>
        <w:rPr>
          <w:rFonts w:ascii="宋体" w:hAnsi="宋体" w:cs="宋体" w:eastAsia="宋体" w:hint="default"/>
          <w:sz w:val="15"/>
          <w:szCs w:val="15"/>
        </w:rPr>
      </w:pPr>
      <w:r>
        <w:rPr>
          <w:rFonts w:ascii="宋体" w:hAnsi="宋体" w:cs="宋体" w:eastAsia="宋体" w:hint="default"/>
          <w:sz w:val="15"/>
          <w:szCs w:val="15"/>
        </w:rPr>
        <w:t>少数股东 权益中用</w:t>
      </w:r>
    </w:p>
    <w:p>
      <w:pPr>
        <w:spacing w:before="48"/>
        <w:ind w:left="94" w:right="-20" w:firstLine="0"/>
        <w:jc w:val="left"/>
        <w:rPr>
          <w:rFonts w:ascii="宋体" w:hAnsi="宋体" w:cs="宋体" w:eastAsia="宋体" w:hint="default"/>
          <w:sz w:val="15"/>
          <w:szCs w:val="15"/>
        </w:rPr>
      </w:pPr>
      <w:r>
        <w:rPr>
          <w:rFonts w:ascii="宋体" w:hAnsi="宋体" w:cs="宋体" w:eastAsia="宋体" w:hint="default"/>
          <w:sz w:val="15"/>
          <w:szCs w:val="15"/>
        </w:rPr>
        <w:t>于冲减少</w:t>
      </w:r>
    </w:p>
    <w:p>
      <w:pPr>
        <w:spacing w:line="240" w:lineRule="auto" w:before="7"/>
        <w:rPr>
          <w:rFonts w:ascii="宋体" w:hAnsi="宋体" w:cs="宋体" w:eastAsia="宋体" w:hint="default"/>
          <w:sz w:val="16"/>
          <w:szCs w:val="16"/>
        </w:rPr>
      </w:pPr>
      <w:r>
        <w:rPr/>
        <w:br w:type="column"/>
      </w:r>
      <w:r>
        <w:rPr>
          <w:rFonts w:ascii="宋体"/>
          <w:sz w:val="16"/>
        </w:rPr>
      </w:r>
    </w:p>
    <w:p>
      <w:pPr>
        <w:spacing w:line="489" w:lineRule="auto" w:before="0"/>
        <w:ind w:left="106" w:right="194" w:firstLine="0"/>
        <w:jc w:val="both"/>
        <w:rPr>
          <w:rFonts w:ascii="宋体" w:hAnsi="宋体" w:cs="宋体" w:eastAsia="宋体" w:hint="default"/>
          <w:sz w:val="15"/>
          <w:szCs w:val="15"/>
        </w:rPr>
      </w:pPr>
      <w:r>
        <w:rPr>
          <w:rFonts w:ascii="宋体" w:hAnsi="宋体" w:cs="宋体" w:eastAsia="宋体" w:hint="default"/>
          <w:sz w:val="15"/>
          <w:szCs w:val="15"/>
        </w:rPr>
        <w:t>从母公司所有者权益冲 减子公司少数股东分担 的本期亏损超过少数股</w:t>
      </w:r>
    </w:p>
    <w:p>
      <w:pPr>
        <w:spacing w:after="0" w:line="489" w:lineRule="auto"/>
        <w:jc w:val="both"/>
        <w:rPr>
          <w:rFonts w:ascii="宋体" w:hAnsi="宋体" w:cs="宋体" w:eastAsia="宋体" w:hint="default"/>
          <w:sz w:val="15"/>
          <w:szCs w:val="15"/>
        </w:rPr>
        <w:sectPr>
          <w:type w:val="continuous"/>
          <w:pgSz w:w="16840" w:h="11910" w:orient="landscape"/>
          <w:pgMar w:top="1600" w:bottom="280" w:left="1300" w:right="660"/>
          <w:cols w:num="9" w:equalWidth="0">
            <w:col w:w="2270" w:space="40"/>
            <w:col w:w="1244" w:space="40"/>
            <w:col w:w="3845" w:space="40"/>
            <w:col w:w="1493" w:space="40"/>
            <w:col w:w="667" w:space="40"/>
            <w:col w:w="1717" w:space="40"/>
            <w:col w:w="829" w:space="40"/>
            <w:col w:w="695" w:space="40"/>
            <w:col w:w="1800"/>
          </w:cols>
        </w:sectPr>
      </w:pPr>
    </w:p>
    <w:p>
      <w:pPr>
        <w:tabs>
          <w:tab w:pos="8444" w:val="left" w:leader="none"/>
        </w:tabs>
        <w:spacing w:before="3"/>
        <w:ind w:left="3179" w:right="-19" w:firstLine="0"/>
        <w:jc w:val="left"/>
        <w:rPr>
          <w:rFonts w:ascii="宋体" w:hAnsi="宋体" w:cs="宋体" w:eastAsia="宋体" w:hint="default"/>
          <w:sz w:val="15"/>
          <w:szCs w:val="15"/>
        </w:rPr>
      </w:pPr>
      <w:r>
        <w:rPr>
          <w:rFonts w:ascii="宋体" w:hAnsi="宋体" w:cs="宋体" w:eastAsia="宋体" w:hint="default"/>
          <w:sz w:val="15"/>
          <w:szCs w:val="15"/>
        </w:rPr>
        <w:t>类型</w:t>
        <w:tab/>
        <w:t>额</w:t>
      </w:r>
    </w:p>
    <w:p>
      <w:pPr>
        <w:spacing w:line="240" w:lineRule="auto" w:before="7"/>
        <w:rPr>
          <w:rFonts w:ascii="宋体" w:hAnsi="宋体" w:cs="宋体" w:eastAsia="宋体" w:hint="default"/>
          <w:sz w:val="15"/>
          <w:szCs w:val="15"/>
        </w:rPr>
      </w:pPr>
      <w:r>
        <w:rPr/>
        <w:br w:type="column"/>
      </w:r>
      <w:r>
        <w:rPr>
          <w:rFonts w:ascii="宋体"/>
          <w:sz w:val="15"/>
        </w:rPr>
      </w:r>
    </w:p>
    <w:p>
      <w:pPr>
        <w:spacing w:line="489" w:lineRule="auto" w:before="0"/>
        <w:ind w:left="516" w:right="-19" w:hanging="75"/>
        <w:jc w:val="left"/>
        <w:rPr>
          <w:rFonts w:ascii="宋体" w:hAnsi="宋体" w:cs="宋体" w:eastAsia="宋体" w:hint="default"/>
          <w:sz w:val="15"/>
          <w:szCs w:val="15"/>
        </w:rPr>
      </w:pPr>
      <w:r>
        <w:rPr>
          <w:rFonts w:ascii="宋体" w:hAnsi="宋体" w:cs="宋体" w:eastAsia="宋体" w:hint="default"/>
          <w:sz w:val="15"/>
          <w:szCs w:val="15"/>
        </w:rPr>
        <w:t>的其他项 目余额</w:t>
      </w:r>
    </w:p>
    <w:p>
      <w:pPr>
        <w:spacing w:line="240" w:lineRule="auto" w:before="11"/>
        <w:rPr>
          <w:rFonts w:ascii="宋体" w:hAnsi="宋体" w:cs="宋体" w:eastAsia="宋体" w:hint="default"/>
          <w:sz w:val="18"/>
          <w:szCs w:val="18"/>
        </w:rPr>
      </w:pPr>
      <w:r>
        <w:rPr/>
        <w:br w:type="column"/>
      </w:r>
      <w:r>
        <w:rPr>
          <w:rFonts w:ascii="宋体"/>
          <w:sz w:val="18"/>
        </w:rPr>
      </w:r>
    </w:p>
    <w:p>
      <w:pPr>
        <w:spacing w:before="0"/>
        <w:ind w:left="166" w:right="-20" w:firstLine="0"/>
        <w:jc w:val="left"/>
        <w:rPr>
          <w:rFonts w:ascii="Times New Roman" w:hAnsi="Times New Roman" w:cs="Times New Roman" w:eastAsia="Times New Roman" w:hint="default"/>
          <w:sz w:val="15"/>
          <w:szCs w:val="15"/>
        </w:rPr>
      </w:pPr>
      <w:r>
        <w:rPr>
          <w:rFonts w:ascii="Times New Roman"/>
          <w:sz w:val="15"/>
        </w:rPr>
        <w:t>(%)</w:t>
      </w:r>
    </w:p>
    <w:p>
      <w:pPr>
        <w:spacing w:before="3"/>
        <w:ind w:left="256" w:right="-19" w:firstLine="0"/>
        <w:jc w:val="left"/>
        <w:rPr>
          <w:rFonts w:ascii="Times New Roman" w:hAnsi="Times New Roman" w:cs="Times New Roman" w:eastAsia="Times New Roman" w:hint="default"/>
          <w:sz w:val="15"/>
          <w:szCs w:val="15"/>
        </w:rPr>
      </w:pPr>
      <w:r>
        <w:rPr/>
        <w:br w:type="column"/>
      </w: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p>
      <w:pPr>
        <w:tabs>
          <w:tab w:pos="1031" w:val="left" w:leader="none"/>
        </w:tabs>
        <w:spacing w:before="3"/>
        <w:ind w:left="163" w:right="-20" w:firstLine="0"/>
        <w:jc w:val="left"/>
        <w:rPr>
          <w:rFonts w:ascii="宋体" w:hAnsi="宋体" w:cs="宋体" w:eastAsia="宋体" w:hint="default"/>
          <w:sz w:val="15"/>
          <w:szCs w:val="15"/>
        </w:rPr>
      </w:pPr>
      <w:r>
        <w:rPr/>
        <w:br w:type="column"/>
      </w:r>
      <w:r>
        <w:rPr>
          <w:rFonts w:ascii="宋体" w:hAnsi="宋体" w:cs="宋体" w:eastAsia="宋体" w:hint="default"/>
          <w:sz w:val="15"/>
          <w:szCs w:val="15"/>
        </w:rPr>
        <w:t>并报表</w:t>
        <w:tab/>
        <w:t>益</w:t>
      </w:r>
    </w:p>
    <w:p>
      <w:pPr>
        <w:spacing w:line="240" w:lineRule="auto" w:before="7"/>
        <w:rPr>
          <w:rFonts w:ascii="宋体" w:hAnsi="宋体" w:cs="宋体" w:eastAsia="宋体" w:hint="default"/>
          <w:sz w:val="15"/>
          <w:szCs w:val="15"/>
        </w:rPr>
      </w:pPr>
      <w:r>
        <w:rPr/>
        <w:br w:type="column"/>
      </w:r>
      <w:r>
        <w:rPr>
          <w:rFonts w:ascii="宋体"/>
          <w:sz w:val="15"/>
        </w:rPr>
      </w:r>
    </w:p>
    <w:p>
      <w:pPr>
        <w:spacing w:line="489" w:lineRule="auto" w:before="0"/>
        <w:ind w:left="394" w:right="-20" w:firstLine="0"/>
        <w:jc w:val="left"/>
        <w:rPr>
          <w:rFonts w:ascii="宋体" w:hAnsi="宋体" w:cs="宋体" w:eastAsia="宋体" w:hint="default"/>
          <w:sz w:val="15"/>
          <w:szCs w:val="15"/>
        </w:rPr>
      </w:pPr>
      <w:r>
        <w:rPr>
          <w:rFonts w:ascii="宋体" w:hAnsi="宋体" w:cs="宋体" w:eastAsia="宋体" w:hint="default"/>
          <w:sz w:val="15"/>
          <w:szCs w:val="15"/>
        </w:rPr>
        <w:t>数股东损 益的金额</w:t>
      </w:r>
    </w:p>
    <w:p>
      <w:pPr>
        <w:spacing w:line="489" w:lineRule="auto" w:before="3"/>
        <w:ind w:left="106" w:right="194" w:firstLine="0"/>
        <w:jc w:val="center"/>
        <w:rPr>
          <w:rFonts w:ascii="宋体" w:hAnsi="宋体" w:cs="宋体" w:eastAsia="宋体" w:hint="default"/>
          <w:sz w:val="15"/>
          <w:szCs w:val="15"/>
        </w:rPr>
      </w:pPr>
      <w:r>
        <w:rPr/>
        <w:br w:type="column"/>
      </w:r>
      <w:r>
        <w:rPr>
          <w:rFonts w:ascii="宋体" w:hAnsi="宋体" w:cs="宋体" w:eastAsia="宋体" w:hint="default"/>
          <w:sz w:val="15"/>
          <w:szCs w:val="15"/>
        </w:rPr>
        <w:t>东在该子公司期初所有 者权益中所享有份额后 的余额</w:t>
      </w:r>
    </w:p>
    <w:p>
      <w:pPr>
        <w:spacing w:after="0" w:line="489" w:lineRule="auto"/>
        <w:jc w:val="center"/>
        <w:rPr>
          <w:rFonts w:ascii="宋体" w:hAnsi="宋体" w:cs="宋体" w:eastAsia="宋体" w:hint="default"/>
          <w:sz w:val="15"/>
          <w:szCs w:val="15"/>
        </w:rPr>
        <w:sectPr>
          <w:type w:val="continuous"/>
          <w:pgSz w:w="16840" w:h="11910" w:orient="landscape"/>
          <w:pgMar w:top="1600" w:bottom="280" w:left="1300" w:right="660"/>
          <w:cols w:num="7" w:equalWidth="0">
            <w:col w:w="8596" w:space="40"/>
            <w:col w:w="1043" w:space="40"/>
            <w:col w:w="392" w:space="40"/>
            <w:col w:w="633" w:space="40"/>
            <w:col w:w="1182" w:space="40"/>
            <w:col w:w="995" w:space="40"/>
            <w:col w:w="1799"/>
          </w:cols>
        </w:sectPr>
      </w:pPr>
    </w:p>
    <w:p>
      <w:pPr>
        <w:spacing w:line="489" w:lineRule="auto" w:before="58"/>
        <w:ind w:left="847" w:right="-20" w:firstLine="0"/>
        <w:jc w:val="left"/>
        <w:rPr>
          <w:rFonts w:ascii="宋体" w:hAnsi="宋体" w:cs="宋体" w:eastAsia="宋体" w:hint="default"/>
          <w:sz w:val="15"/>
          <w:szCs w:val="15"/>
        </w:rPr>
      </w:pPr>
      <w:r>
        <w:rPr>
          <w:rFonts w:ascii="宋体" w:hAnsi="宋体" w:cs="宋体" w:eastAsia="宋体" w:hint="default"/>
          <w:sz w:val="15"/>
          <w:szCs w:val="15"/>
        </w:rPr>
        <w:t>东软医疗（中东）自由区有限责 任公司（注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14</w:t>
      </w:r>
      <w:r>
        <w:rPr>
          <w:rFonts w:ascii="宋体" w:hAnsi="宋体" w:cs="宋体" w:eastAsia="宋体" w:hint="default"/>
          <w:sz w:val="15"/>
          <w:szCs w:val="15"/>
        </w:rPr>
        <w:t>）</w:t>
      </w:r>
    </w:p>
    <w:p>
      <w:pPr>
        <w:spacing w:line="240" w:lineRule="auto" w:before="9"/>
        <w:rPr>
          <w:rFonts w:ascii="宋体" w:hAnsi="宋体" w:cs="宋体" w:eastAsia="宋体" w:hint="default"/>
          <w:sz w:val="19"/>
          <w:szCs w:val="19"/>
        </w:rPr>
      </w:pPr>
      <w:r>
        <w:rPr/>
        <w:br w:type="column"/>
      </w:r>
      <w:r>
        <w:rPr>
          <w:rFonts w:ascii="宋体"/>
          <w:sz w:val="19"/>
        </w:rPr>
      </w:r>
    </w:p>
    <w:p>
      <w:pPr>
        <w:tabs>
          <w:tab w:pos="706" w:val="left" w:leader="none"/>
        </w:tabs>
        <w:spacing w:before="0"/>
        <w:ind w:left="96" w:right="-15"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全资</w:t>
        <w:tab/>
      </w:r>
      <w:r>
        <w:rPr>
          <w:rFonts w:ascii="宋体" w:hAnsi="宋体" w:cs="宋体" w:eastAsia="宋体" w:hint="default"/>
          <w:spacing w:val="-4"/>
          <w:sz w:val="15"/>
          <w:szCs w:val="15"/>
        </w:rPr>
        <w:t>阿联酋有限责任公司  </w:t>
      </w:r>
      <w:r>
        <w:rPr>
          <w:rFonts w:ascii="宋体" w:hAnsi="宋体" w:cs="宋体" w:eastAsia="宋体" w:hint="default"/>
          <w:sz w:val="15"/>
          <w:szCs w:val="15"/>
        </w:rPr>
        <w:t>美元</w:t>
      </w:r>
      <w:r>
        <w:rPr>
          <w:rFonts w:ascii="宋体" w:hAnsi="宋体" w:cs="宋体" w:eastAsia="宋体" w:hint="default"/>
          <w:spacing w:val="-3"/>
          <w:sz w:val="15"/>
          <w:szCs w:val="15"/>
        </w:rPr>
        <w:t> </w:t>
      </w:r>
      <w:r>
        <w:rPr>
          <w:rFonts w:ascii="Times New Roman" w:hAnsi="Times New Roman" w:cs="Times New Roman" w:eastAsia="Times New Roman" w:hint="default"/>
          <w:sz w:val="15"/>
          <w:szCs w:val="15"/>
        </w:rPr>
        <w:t>3,500,000</w:t>
      </w:r>
    </w:p>
    <w:p>
      <w:pPr>
        <w:spacing w:line="489" w:lineRule="auto" w:before="58"/>
        <w:ind w:left="145" w:right="-14" w:firstLine="0"/>
        <w:jc w:val="left"/>
        <w:rPr>
          <w:rFonts w:ascii="宋体" w:hAnsi="宋体" w:cs="宋体" w:eastAsia="宋体" w:hint="default"/>
          <w:sz w:val="15"/>
          <w:szCs w:val="15"/>
        </w:rPr>
      </w:pPr>
      <w:r>
        <w:rPr>
          <w:spacing w:val="-2"/>
        </w:rPr>
        <w:br w:type="column"/>
      </w:r>
      <w:r>
        <w:rPr>
          <w:rFonts w:ascii="宋体" w:hAnsi="宋体" w:cs="宋体" w:eastAsia="宋体" w:hint="default"/>
          <w:spacing w:val="-2"/>
          <w:sz w:val="15"/>
          <w:szCs w:val="15"/>
        </w:rPr>
        <w:t>经营医疗系统，相关技术</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z w:val="15"/>
          <w:szCs w:val="15"/>
        </w:rPr>
        <w:t>咨询、服务</w:t>
      </w:r>
    </w:p>
    <w:p>
      <w:pPr>
        <w:spacing w:line="240" w:lineRule="auto" w:before="4"/>
        <w:rPr>
          <w:rFonts w:ascii="宋体" w:hAnsi="宋体" w:cs="宋体" w:eastAsia="宋体" w:hint="default"/>
          <w:sz w:val="14"/>
          <w:szCs w:val="14"/>
        </w:rPr>
      </w:pPr>
      <w:r>
        <w:rPr/>
        <w:br w:type="column"/>
      </w:r>
      <w:r>
        <w:rPr>
          <w:rFonts w:ascii="宋体"/>
          <w:sz w:val="14"/>
        </w:rPr>
      </w:r>
    </w:p>
    <w:p>
      <w:pPr>
        <w:spacing w:before="0"/>
        <w:ind w:left="304" w:right="-10" w:firstLine="0"/>
        <w:jc w:val="left"/>
        <w:rPr>
          <w:rFonts w:ascii="Times New Roman" w:hAnsi="Times New Roman" w:cs="Times New Roman" w:eastAsia="Times New Roman" w:hint="default"/>
          <w:sz w:val="15"/>
          <w:szCs w:val="15"/>
        </w:rPr>
      </w:pPr>
      <w:r>
        <w:rPr>
          <w:rFonts w:ascii="Times New Roman"/>
          <w:spacing w:val="-1"/>
          <w:sz w:val="15"/>
        </w:rPr>
        <w:t>9,236,815</w:t>
      </w:r>
    </w:p>
    <w:p>
      <w:pPr>
        <w:spacing w:line="240" w:lineRule="auto" w:before="3"/>
        <w:rPr>
          <w:rFonts w:ascii="Times New Roman" w:hAnsi="Times New Roman" w:cs="Times New Roman" w:eastAsia="Times New Roman" w:hint="default"/>
          <w:sz w:val="22"/>
          <w:szCs w:val="22"/>
        </w:rPr>
      </w:pPr>
      <w:r>
        <w:rPr/>
        <w:br w:type="column"/>
      </w:r>
      <w:r>
        <w:rPr>
          <w:rFonts w:ascii="Times New Roman"/>
          <w:sz w:val="22"/>
        </w:rPr>
      </w:r>
    </w:p>
    <w:p>
      <w:pPr>
        <w:tabs>
          <w:tab w:pos="1500" w:val="left" w:leader="none"/>
        </w:tabs>
        <w:spacing w:before="0"/>
        <w:ind w:left="847"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100</w:t>
        <w:tab/>
      </w:r>
      <w:r>
        <w:rPr>
          <w:rFonts w:ascii="宋体" w:hAnsi="宋体" w:cs="宋体" w:eastAsia="宋体" w:hint="default"/>
          <w:position w:val="1"/>
          <w:sz w:val="15"/>
          <w:szCs w:val="15"/>
        </w:rPr>
        <w:t>是</w:t>
      </w:r>
      <w:r>
        <w:rPr>
          <w:rFonts w:ascii="宋体" w:hAnsi="宋体" w:cs="宋体" w:eastAsia="宋体" w:hint="default"/>
          <w:sz w:val="15"/>
          <w:szCs w:val="15"/>
        </w:rPr>
      </w:r>
    </w:p>
    <w:p>
      <w:pPr>
        <w:spacing w:after="0"/>
        <w:jc w:val="left"/>
        <w:rPr>
          <w:rFonts w:ascii="宋体" w:hAnsi="宋体" w:cs="宋体" w:eastAsia="宋体" w:hint="default"/>
          <w:sz w:val="15"/>
          <w:szCs w:val="15"/>
        </w:rPr>
        <w:sectPr>
          <w:type w:val="continuous"/>
          <w:pgSz w:w="16840" w:h="11910" w:orient="landscape"/>
          <w:pgMar w:top="1600" w:bottom="280" w:left="1300" w:right="660"/>
          <w:cols w:num="5" w:equalWidth="0">
            <w:col w:w="2948" w:space="40"/>
            <w:col w:w="3140" w:space="40"/>
            <w:col w:w="1780" w:space="40"/>
            <w:col w:w="905" w:space="724"/>
            <w:col w:w="5263"/>
          </w:cols>
        </w:sectPr>
      </w:pPr>
    </w:p>
    <w:p>
      <w:pPr>
        <w:spacing w:line="240" w:lineRule="auto" w:before="7"/>
        <w:rPr>
          <w:rFonts w:ascii="宋体" w:hAnsi="宋体" w:cs="宋体" w:eastAsia="宋体" w:hint="default"/>
          <w:sz w:val="17"/>
          <w:szCs w:val="17"/>
        </w:rPr>
      </w:pPr>
    </w:p>
    <w:p>
      <w:pPr>
        <w:spacing w:before="0"/>
        <w:ind w:left="846" w:right="-18" w:firstLine="0"/>
        <w:jc w:val="left"/>
        <w:rPr>
          <w:rFonts w:ascii="宋体" w:hAnsi="宋体" w:cs="宋体" w:eastAsia="宋体" w:hint="default"/>
          <w:sz w:val="15"/>
          <w:szCs w:val="15"/>
        </w:rPr>
      </w:pPr>
      <w:r>
        <w:rPr>
          <w:rFonts w:ascii="宋体" w:hAnsi="宋体" w:cs="宋体" w:eastAsia="宋体" w:hint="default"/>
          <w:sz w:val="15"/>
          <w:szCs w:val="15"/>
        </w:rPr>
        <w:t>东软熙康控股有限公司（注 </w:t>
      </w:r>
      <w:r>
        <w:rPr>
          <w:rFonts w:ascii="Times New Roman" w:hAnsi="Times New Roman" w:cs="Times New Roman" w:eastAsia="Times New Roman" w:hint="default"/>
          <w:sz w:val="15"/>
          <w:szCs w:val="15"/>
        </w:rPr>
        <w:t>15</w:t>
      </w:r>
      <w:r>
        <w:rPr>
          <w:rFonts w:ascii="宋体" w:hAnsi="宋体" w:cs="宋体" w:eastAsia="宋体" w:hint="default"/>
          <w:sz w:val="15"/>
          <w:szCs w:val="15"/>
        </w:rPr>
        <w:t>）</w:t>
      </w:r>
      <w:r>
        <w:rPr>
          <w:rFonts w:ascii="宋体" w:hAnsi="宋体" w:cs="宋体" w:eastAsia="宋体" w:hint="default"/>
          <w:spacing w:val="-14"/>
          <w:sz w:val="15"/>
          <w:szCs w:val="15"/>
        </w:rPr>
        <w:t> </w:t>
      </w:r>
      <w:r>
        <w:rPr>
          <w:rFonts w:ascii="宋体" w:hAnsi="宋体" w:cs="宋体" w:eastAsia="宋体" w:hint="default"/>
          <w:sz w:val="15"/>
          <w:szCs w:val="15"/>
        </w:rPr>
        <w:t>控股</w:t>
      </w:r>
    </w:p>
    <w:p>
      <w:pPr>
        <w:spacing w:before="30"/>
        <w:ind w:left="269" w:right="-19" w:firstLine="0"/>
        <w:jc w:val="left"/>
        <w:rPr>
          <w:rFonts w:ascii="宋体" w:hAnsi="宋体" w:cs="宋体" w:eastAsia="宋体" w:hint="default"/>
          <w:sz w:val="15"/>
          <w:szCs w:val="15"/>
        </w:rPr>
      </w:pPr>
      <w:r>
        <w:rPr/>
        <w:br w:type="column"/>
      </w:r>
      <w:r>
        <w:rPr>
          <w:rFonts w:ascii="宋体" w:hAnsi="宋体" w:cs="宋体" w:eastAsia="宋体" w:hint="default"/>
          <w:sz w:val="15"/>
          <w:szCs w:val="15"/>
        </w:rPr>
        <w:t>开曼</w:t>
      </w:r>
    </w:p>
    <w:p>
      <w:pPr>
        <w:tabs>
          <w:tab w:pos="1878" w:val="left" w:leader="none"/>
          <w:tab w:pos="2887" w:val="left" w:leader="none"/>
        </w:tabs>
        <w:spacing w:line="204" w:lineRule="exact" w:before="3"/>
        <w:ind w:left="689" w:right="-19" w:firstLine="0"/>
        <w:jc w:val="left"/>
        <w:rPr>
          <w:rFonts w:ascii="宋体" w:hAnsi="宋体" w:cs="宋体" w:eastAsia="宋体" w:hint="default"/>
          <w:sz w:val="15"/>
          <w:szCs w:val="15"/>
        </w:rPr>
      </w:pPr>
      <w:r>
        <w:rPr>
          <w:rFonts w:ascii="宋体" w:hAnsi="宋体" w:cs="宋体" w:eastAsia="宋体" w:hint="default"/>
          <w:sz w:val="15"/>
          <w:szCs w:val="15"/>
        </w:rPr>
        <w:t>有限责任公司</w:t>
        <w:tab/>
        <w:t>美元</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50,000</w:t>
        <w:tab/>
        <w:t>IT</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及相关咨询服务</w:t>
      </w:r>
    </w:p>
    <w:p>
      <w:pPr>
        <w:spacing w:line="193" w:lineRule="exact" w:before="0"/>
        <w:ind w:left="269" w:right="-19" w:firstLine="0"/>
        <w:jc w:val="left"/>
        <w:rPr>
          <w:rFonts w:ascii="宋体" w:hAnsi="宋体" w:cs="宋体" w:eastAsia="宋体" w:hint="default"/>
          <w:sz w:val="15"/>
          <w:szCs w:val="15"/>
        </w:rPr>
      </w:pPr>
      <w:r>
        <w:rPr>
          <w:rFonts w:ascii="宋体" w:hAnsi="宋体" w:cs="宋体" w:eastAsia="宋体" w:hint="default"/>
          <w:sz w:val="15"/>
          <w:szCs w:val="15"/>
        </w:rPr>
        <w:t>群岛</w:t>
      </w:r>
    </w:p>
    <w:p>
      <w:pPr>
        <w:spacing w:before="30"/>
        <w:ind w:left="0" w:right="0" w:firstLine="0"/>
        <w:jc w:val="right"/>
        <w:rPr>
          <w:rFonts w:ascii="宋体" w:hAnsi="宋体" w:cs="宋体" w:eastAsia="宋体" w:hint="default"/>
          <w:sz w:val="15"/>
          <w:szCs w:val="15"/>
        </w:rPr>
      </w:pPr>
      <w:r>
        <w:rPr/>
        <w:br w:type="column"/>
      </w:r>
      <w:r>
        <w:rPr>
          <w:rFonts w:ascii="宋体" w:hAnsi="宋体" w:cs="宋体" w:eastAsia="宋体" w:hint="default"/>
          <w:sz w:val="15"/>
          <w:szCs w:val="15"/>
        </w:rPr>
        <w:t>美元</w:t>
      </w:r>
    </w:p>
    <w:p>
      <w:pPr>
        <w:spacing w:line="240" w:lineRule="auto" w:before="11"/>
        <w:rPr>
          <w:rFonts w:ascii="宋体" w:hAnsi="宋体" w:cs="宋体" w:eastAsia="宋体" w:hint="default"/>
          <w:sz w:val="18"/>
          <w:szCs w:val="18"/>
        </w:rPr>
      </w:pPr>
    </w:p>
    <w:p>
      <w:pPr>
        <w:spacing w:before="0"/>
        <w:ind w:left="0" w:right="0" w:firstLine="0"/>
        <w:jc w:val="right"/>
        <w:rPr>
          <w:rFonts w:ascii="Times New Roman" w:hAnsi="Times New Roman" w:cs="Times New Roman" w:eastAsia="Times New Roman" w:hint="default"/>
          <w:sz w:val="15"/>
          <w:szCs w:val="15"/>
        </w:rPr>
      </w:pPr>
      <w:r>
        <w:rPr>
          <w:rFonts w:ascii="Times New Roman"/>
          <w:spacing w:val="-1"/>
          <w:sz w:val="15"/>
        </w:rPr>
        <w:t>35,000</w:t>
      </w:r>
    </w:p>
    <w:p>
      <w:pPr>
        <w:spacing w:line="240" w:lineRule="auto" w:before="9"/>
        <w:rPr>
          <w:rFonts w:ascii="Times New Roman" w:hAnsi="Times New Roman" w:cs="Times New Roman" w:eastAsia="Times New Roman" w:hint="default"/>
          <w:sz w:val="19"/>
          <w:szCs w:val="19"/>
        </w:rPr>
      </w:pPr>
      <w:r>
        <w:rPr/>
        <w:br w:type="column"/>
      </w:r>
      <w:r>
        <w:rPr>
          <w:rFonts w:ascii="Times New Roman"/>
          <w:sz w:val="19"/>
        </w:rPr>
      </w:r>
    </w:p>
    <w:p>
      <w:pPr>
        <w:tabs>
          <w:tab w:pos="1462" w:val="left" w:leader="none"/>
          <w:tab w:pos="1944" w:val="left" w:leader="none"/>
        </w:tabs>
        <w:spacing w:before="0"/>
        <w:ind w:left="846"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70</w:t>
        <w:tab/>
      </w:r>
      <w:r>
        <w:rPr>
          <w:rFonts w:ascii="宋体" w:hAnsi="宋体" w:cs="宋体" w:eastAsia="宋体" w:hint="default"/>
          <w:position w:val="1"/>
          <w:sz w:val="15"/>
          <w:szCs w:val="15"/>
        </w:rPr>
        <w:t>是</w:t>
        <w:tab/>
      </w:r>
      <w:r>
        <w:rPr>
          <w:rFonts w:ascii="Times New Roman" w:hAnsi="Times New Roman" w:cs="Times New Roman" w:eastAsia="Times New Roman" w:hint="default"/>
          <w:sz w:val="15"/>
          <w:szCs w:val="15"/>
        </w:rPr>
        <w:t>-4,747,484</w:t>
      </w:r>
    </w:p>
    <w:p>
      <w:pPr>
        <w:spacing w:after="0"/>
        <w:jc w:val="left"/>
        <w:rPr>
          <w:rFonts w:ascii="Times New Roman" w:hAnsi="Times New Roman" w:cs="Times New Roman" w:eastAsia="Times New Roman" w:hint="default"/>
          <w:sz w:val="15"/>
          <w:szCs w:val="15"/>
        </w:rPr>
        <w:sectPr>
          <w:type w:val="continuous"/>
          <w:pgSz w:w="16840" w:h="11910" w:orient="landscape"/>
          <w:pgMar w:top="1600" w:bottom="280" w:left="1300" w:right="660"/>
          <w:cols w:num="4" w:equalWidth="0">
            <w:col w:w="3385" w:space="40"/>
            <w:col w:w="4117" w:space="90"/>
            <w:col w:w="1261" w:space="763"/>
            <w:col w:w="5224"/>
          </w:cols>
        </w:sectPr>
      </w:pPr>
    </w:p>
    <w:p>
      <w:pPr>
        <w:spacing w:line="240" w:lineRule="auto" w:before="3"/>
        <w:rPr>
          <w:rFonts w:ascii="Times New Roman" w:hAnsi="Times New Roman" w:cs="Times New Roman" w:eastAsia="Times New Roman" w:hint="default"/>
          <w:sz w:val="12"/>
          <w:szCs w:val="12"/>
        </w:rPr>
      </w:pPr>
    </w:p>
    <w:p>
      <w:pPr>
        <w:spacing w:after="0" w:line="240" w:lineRule="auto"/>
        <w:rPr>
          <w:rFonts w:ascii="Times New Roman" w:hAnsi="Times New Roman" w:cs="Times New Roman" w:eastAsia="Times New Roman" w:hint="default"/>
          <w:sz w:val="12"/>
          <w:szCs w:val="12"/>
        </w:rPr>
        <w:sectPr>
          <w:type w:val="continuous"/>
          <w:pgSz w:w="16840" w:h="11910" w:orient="landscape"/>
          <w:pgMar w:top="1600" w:bottom="280" w:left="1300" w:right="660"/>
        </w:sectPr>
      </w:pPr>
    </w:p>
    <w:p>
      <w:pPr>
        <w:spacing w:line="240" w:lineRule="auto" w:before="11"/>
        <w:rPr>
          <w:rFonts w:ascii="Times New Roman" w:hAnsi="Times New Roman" w:cs="Times New Roman" w:eastAsia="Times New Roman" w:hint="default"/>
          <w:sz w:val="21"/>
          <w:szCs w:val="21"/>
        </w:rPr>
      </w:pPr>
    </w:p>
    <w:p>
      <w:pPr>
        <w:tabs>
          <w:tab w:pos="3694" w:val="left" w:leader="none"/>
        </w:tabs>
        <w:spacing w:before="0"/>
        <w:ind w:left="846" w:right="-20" w:firstLine="0"/>
        <w:jc w:val="left"/>
        <w:rPr>
          <w:rFonts w:ascii="宋体" w:hAnsi="宋体" w:cs="宋体" w:eastAsia="宋体" w:hint="default"/>
          <w:sz w:val="15"/>
          <w:szCs w:val="15"/>
        </w:rPr>
      </w:pPr>
      <w:r>
        <w:rPr>
          <w:rFonts w:ascii="宋体" w:hAnsi="宋体" w:cs="宋体" w:eastAsia="宋体" w:hint="default"/>
          <w:sz w:val="15"/>
          <w:szCs w:val="15"/>
        </w:rPr>
        <w:t>东软熙康国际有限公司（注 </w:t>
      </w:r>
      <w:r>
        <w:rPr>
          <w:rFonts w:ascii="Times New Roman" w:hAnsi="Times New Roman" w:cs="Times New Roman" w:eastAsia="Times New Roman" w:hint="default"/>
          <w:sz w:val="15"/>
          <w:szCs w:val="15"/>
        </w:rPr>
        <w:t>16</w:t>
      </w:r>
      <w:r>
        <w:rPr>
          <w:rFonts w:ascii="宋体" w:hAnsi="宋体" w:cs="宋体" w:eastAsia="宋体" w:hint="default"/>
          <w:sz w:val="15"/>
          <w:szCs w:val="15"/>
        </w:rPr>
        <w:t>）</w:t>
      </w:r>
      <w:r>
        <w:rPr>
          <w:rFonts w:ascii="宋体" w:hAnsi="宋体" w:cs="宋体" w:eastAsia="宋体" w:hint="default"/>
          <w:spacing w:val="-14"/>
          <w:sz w:val="15"/>
          <w:szCs w:val="15"/>
        </w:rPr>
        <w:t> </w:t>
      </w:r>
      <w:r>
        <w:rPr>
          <w:rFonts w:ascii="宋体" w:hAnsi="宋体" w:cs="宋体" w:eastAsia="宋体" w:hint="default"/>
          <w:sz w:val="15"/>
          <w:szCs w:val="15"/>
        </w:rPr>
        <w:t>全资</w:t>
        <w:tab/>
        <w:t>香港</w:t>
      </w:r>
      <w:r>
        <w:rPr>
          <w:rFonts w:ascii="宋体" w:hAnsi="宋体" w:cs="宋体" w:eastAsia="宋体" w:hint="default"/>
          <w:spacing w:val="45"/>
          <w:sz w:val="15"/>
          <w:szCs w:val="15"/>
        </w:rPr>
        <w:t> </w:t>
      </w:r>
      <w:r>
        <w:rPr>
          <w:rFonts w:ascii="宋体" w:hAnsi="宋体" w:cs="宋体" w:eastAsia="宋体" w:hint="default"/>
          <w:sz w:val="15"/>
          <w:szCs w:val="15"/>
        </w:rPr>
        <w:t>有限责任公司</w:t>
      </w:r>
    </w:p>
    <w:p>
      <w:pPr>
        <w:spacing w:before="53"/>
        <w:ind w:left="0" w:right="0" w:firstLine="0"/>
        <w:jc w:val="right"/>
        <w:rPr>
          <w:rFonts w:ascii="宋体" w:hAnsi="宋体" w:cs="宋体" w:eastAsia="宋体" w:hint="default"/>
          <w:sz w:val="15"/>
          <w:szCs w:val="15"/>
        </w:rPr>
      </w:pPr>
      <w:r>
        <w:rPr/>
        <w:br w:type="column"/>
      </w:r>
      <w:r>
        <w:rPr>
          <w:rFonts w:ascii="宋体" w:hAnsi="宋体" w:cs="宋体" w:eastAsia="宋体" w:hint="default"/>
          <w:sz w:val="15"/>
          <w:szCs w:val="15"/>
        </w:rPr>
        <w:t>港元</w:t>
      </w:r>
    </w:p>
    <w:p>
      <w:pPr>
        <w:spacing w:line="240" w:lineRule="auto" w:before="11"/>
        <w:rPr>
          <w:rFonts w:ascii="宋体" w:hAnsi="宋体" w:cs="宋体" w:eastAsia="宋体" w:hint="default"/>
          <w:sz w:val="18"/>
          <w:szCs w:val="18"/>
        </w:rPr>
      </w:pPr>
    </w:p>
    <w:p>
      <w:pPr>
        <w:spacing w:before="0"/>
        <w:ind w:left="0" w:right="0" w:firstLine="0"/>
        <w:jc w:val="right"/>
        <w:rPr>
          <w:rFonts w:ascii="Times New Roman" w:hAnsi="Times New Roman" w:cs="Times New Roman" w:eastAsia="Times New Roman" w:hint="default"/>
          <w:sz w:val="15"/>
          <w:szCs w:val="15"/>
        </w:rPr>
      </w:pPr>
      <w:r>
        <w:rPr>
          <w:rFonts w:ascii="Times New Roman"/>
          <w:spacing w:val="-1"/>
          <w:sz w:val="15"/>
        </w:rPr>
        <w:t>1,000,000</w:t>
      </w:r>
    </w:p>
    <w:p>
      <w:pPr>
        <w:spacing w:line="240" w:lineRule="auto" w:before="11"/>
        <w:rPr>
          <w:rFonts w:ascii="Times New Roman" w:hAnsi="Times New Roman" w:cs="Times New Roman" w:eastAsia="Times New Roman" w:hint="default"/>
          <w:sz w:val="21"/>
          <w:szCs w:val="21"/>
        </w:rPr>
      </w:pPr>
      <w:r>
        <w:rPr/>
        <w:br w:type="column"/>
      </w:r>
      <w:r>
        <w:rPr>
          <w:rFonts w:ascii="Times New Roman"/>
          <w:sz w:val="21"/>
        </w:rPr>
      </w:r>
    </w:p>
    <w:p>
      <w:pPr>
        <w:spacing w:before="0"/>
        <w:ind w:left="144" w:right="-2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IT</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及相关咨询服务</w:t>
      </w:r>
    </w:p>
    <w:p>
      <w:pPr>
        <w:spacing w:before="53"/>
        <w:ind w:left="0" w:right="0" w:firstLine="0"/>
        <w:jc w:val="right"/>
        <w:rPr>
          <w:rFonts w:ascii="宋体" w:hAnsi="宋体" w:cs="宋体" w:eastAsia="宋体" w:hint="default"/>
          <w:sz w:val="15"/>
          <w:szCs w:val="15"/>
        </w:rPr>
      </w:pPr>
      <w:r>
        <w:rPr/>
        <w:br w:type="column"/>
      </w:r>
      <w:r>
        <w:rPr>
          <w:rFonts w:ascii="宋体" w:hAnsi="宋体" w:cs="宋体" w:eastAsia="宋体" w:hint="default"/>
          <w:sz w:val="15"/>
          <w:szCs w:val="15"/>
        </w:rPr>
        <w:t>港元</w:t>
      </w:r>
    </w:p>
    <w:p>
      <w:pPr>
        <w:spacing w:line="240" w:lineRule="auto" w:before="11"/>
        <w:rPr>
          <w:rFonts w:ascii="宋体" w:hAnsi="宋体" w:cs="宋体" w:eastAsia="宋体" w:hint="default"/>
          <w:sz w:val="18"/>
          <w:szCs w:val="18"/>
        </w:rPr>
      </w:pPr>
    </w:p>
    <w:p>
      <w:pPr>
        <w:spacing w:before="0"/>
        <w:ind w:left="0" w:right="0" w:firstLine="0"/>
        <w:jc w:val="right"/>
        <w:rPr>
          <w:rFonts w:ascii="Times New Roman" w:hAnsi="Times New Roman" w:cs="Times New Roman" w:eastAsia="Times New Roman" w:hint="default"/>
          <w:sz w:val="15"/>
          <w:szCs w:val="15"/>
        </w:rPr>
      </w:pPr>
      <w:r>
        <w:rPr>
          <w:rFonts w:ascii="Times New Roman"/>
          <w:spacing w:val="-1"/>
          <w:sz w:val="15"/>
        </w:rPr>
        <w:t>1,000,000</w:t>
      </w:r>
    </w:p>
    <w:p>
      <w:pPr>
        <w:spacing w:line="240" w:lineRule="auto" w:before="10"/>
        <w:rPr>
          <w:rFonts w:ascii="Times New Roman" w:hAnsi="Times New Roman" w:cs="Times New Roman" w:eastAsia="Times New Roman" w:hint="default"/>
          <w:sz w:val="21"/>
          <w:szCs w:val="21"/>
        </w:rPr>
      </w:pPr>
      <w:r>
        <w:rPr/>
        <w:br w:type="column"/>
      </w:r>
      <w:r>
        <w:rPr>
          <w:rFonts w:ascii="Times New Roman"/>
          <w:sz w:val="21"/>
        </w:rPr>
      </w:r>
    </w:p>
    <w:p>
      <w:pPr>
        <w:tabs>
          <w:tab w:pos="1499" w:val="left" w:leader="none"/>
        </w:tabs>
        <w:spacing w:before="0"/>
        <w:ind w:left="846"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100</w:t>
        <w:tab/>
      </w:r>
      <w:r>
        <w:rPr>
          <w:rFonts w:ascii="宋体" w:hAnsi="宋体" w:cs="宋体" w:eastAsia="宋体" w:hint="default"/>
          <w:position w:val="1"/>
          <w:sz w:val="15"/>
          <w:szCs w:val="15"/>
        </w:rPr>
        <w:t>是</w:t>
      </w:r>
      <w:r>
        <w:rPr>
          <w:rFonts w:ascii="宋体" w:hAnsi="宋体" w:cs="宋体" w:eastAsia="宋体" w:hint="default"/>
          <w:sz w:val="15"/>
          <w:szCs w:val="15"/>
        </w:rPr>
      </w:r>
    </w:p>
    <w:p>
      <w:pPr>
        <w:spacing w:after="0"/>
        <w:jc w:val="left"/>
        <w:rPr>
          <w:rFonts w:ascii="宋体" w:hAnsi="宋体" w:cs="宋体" w:eastAsia="宋体" w:hint="default"/>
          <w:sz w:val="15"/>
          <w:szCs w:val="15"/>
        </w:rPr>
        <w:sectPr>
          <w:type w:val="continuous"/>
          <w:pgSz w:w="16840" w:h="11910" w:orient="landscape"/>
          <w:pgMar w:top="1600" w:bottom="280" w:left="1300" w:right="660"/>
          <w:cols w:num="5" w:equalWidth="0">
            <w:col w:w="5015" w:space="40"/>
            <w:col w:w="1075" w:space="40"/>
            <w:col w:w="1374" w:space="40"/>
            <w:col w:w="1311" w:space="725"/>
            <w:col w:w="5260"/>
          </w:cols>
        </w:sectPr>
      </w:pPr>
    </w:p>
    <w:p>
      <w:pPr>
        <w:spacing w:line="240" w:lineRule="auto" w:before="10"/>
        <w:rPr>
          <w:rFonts w:ascii="宋体" w:hAnsi="宋体" w:cs="宋体" w:eastAsia="宋体" w:hint="default"/>
          <w:sz w:val="10"/>
          <w:szCs w:val="10"/>
        </w:rPr>
      </w:pPr>
    </w:p>
    <w:p>
      <w:pPr>
        <w:spacing w:after="0" w:line="240" w:lineRule="auto"/>
        <w:rPr>
          <w:rFonts w:ascii="宋体" w:hAnsi="宋体" w:cs="宋体" w:eastAsia="宋体" w:hint="default"/>
          <w:sz w:val="10"/>
          <w:szCs w:val="10"/>
        </w:rPr>
        <w:sectPr>
          <w:type w:val="continuous"/>
          <w:pgSz w:w="16840" w:h="11910" w:orient="landscape"/>
          <w:pgMar w:top="1600" w:bottom="280" w:left="1300" w:right="660"/>
        </w:sectPr>
      </w:pPr>
    </w:p>
    <w:p>
      <w:pPr>
        <w:spacing w:line="240" w:lineRule="auto" w:before="4"/>
        <w:rPr>
          <w:rFonts w:ascii="宋体" w:hAnsi="宋体" w:cs="宋体" w:eastAsia="宋体" w:hint="default"/>
          <w:sz w:val="19"/>
          <w:szCs w:val="19"/>
        </w:rPr>
      </w:pPr>
    </w:p>
    <w:p>
      <w:pPr>
        <w:spacing w:before="0"/>
        <w:ind w:left="847" w:right="-20" w:firstLine="0"/>
        <w:jc w:val="left"/>
        <w:rPr>
          <w:rFonts w:ascii="宋体" w:hAnsi="宋体" w:cs="宋体" w:eastAsia="宋体" w:hint="default"/>
          <w:sz w:val="15"/>
          <w:szCs w:val="15"/>
        </w:rPr>
      </w:pPr>
      <w:r>
        <w:rPr>
          <w:rFonts w:ascii="宋体" w:hAnsi="宋体" w:cs="宋体" w:eastAsia="宋体" w:hint="default"/>
          <w:sz w:val="15"/>
          <w:szCs w:val="15"/>
        </w:rPr>
        <w:t>东软熙康健康科技有限公司</w:t>
      </w:r>
    </w:p>
    <w:p>
      <w:pPr>
        <w:spacing w:line="240" w:lineRule="auto" w:before="8"/>
        <w:rPr>
          <w:rFonts w:ascii="宋体" w:hAnsi="宋体" w:cs="宋体" w:eastAsia="宋体" w:hint="default"/>
          <w:sz w:val="15"/>
          <w:szCs w:val="15"/>
        </w:rPr>
      </w:pPr>
    </w:p>
    <w:p>
      <w:pPr>
        <w:spacing w:before="0"/>
        <w:ind w:left="847" w:right="-20" w:firstLine="0"/>
        <w:jc w:val="left"/>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17</w:t>
      </w:r>
      <w:r>
        <w:rPr>
          <w:rFonts w:ascii="宋体" w:hAnsi="宋体" w:cs="宋体" w:eastAsia="宋体" w:hint="default"/>
          <w:sz w:val="15"/>
          <w:szCs w:val="15"/>
        </w:rPr>
        <w:t>）</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8"/>
        <w:rPr>
          <w:rFonts w:ascii="宋体" w:hAnsi="宋体" w:cs="宋体" w:eastAsia="宋体" w:hint="default"/>
          <w:sz w:val="20"/>
          <w:szCs w:val="20"/>
        </w:rPr>
      </w:pPr>
    </w:p>
    <w:p>
      <w:pPr>
        <w:tabs>
          <w:tab w:pos="1006" w:val="left" w:leader="none"/>
        </w:tabs>
        <w:spacing w:before="0"/>
        <w:ind w:left="396" w:right="-20" w:firstLine="0"/>
        <w:jc w:val="left"/>
        <w:rPr>
          <w:rFonts w:ascii="宋体" w:hAnsi="宋体" w:cs="宋体" w:eastAsia="宋体" w:hint="default"/>
          <w:sz w:val="15"/>
          <w:szCs w:val="15"/>
        </w:rPr>
      </w:pPr>
      <w:r>
        <w:rPr>
          <w:rFonts w:ascii="宋体" w:hAnsi="宋体" w:cs="宋体" w:eastAsia="宋体" w:hint="default"/>
          <w:sz w:val="15"/>
          <w:szCs w:val="15"/>
        </w:rPr>
        <w:t>全资</w:t>
        <w:tab/>
        <w:t>北京</w:t>
      </w:r>
      <w:r>
        <w:rPr>
          <w:rFonts w:ascii="宋体" w:hAnsi="宋体" w:cs="宋体" w:eastAsia="宋体" w:hint="default"/>
          <w:spacing w:val="45"/>
          <w:sz w:val="15"/>
          <w:szCs w:val="15"/>
        </w:rPr>
        <w:t> </w:t>
      </w:r>
      <w:r>
        <w:rPr>
          <w:rFonts w:ascii="宋体" w:hAnsi="宋体" w:cs="宋体" w:eastAsia="宋体" w:hint="default"/>
          <w:sz w:val="15"/>
          <w:szCs w:val="15"/>
        </w:rPr>
        <w:t>有限责任公司</w:t>
      </w:r>
    </w:p>
    <w:p>
      <w:pPr>
        <w:spacing w:line="240" w:lineRule="auto" w:before="4"/>
        <w:rPr>
          <w:rFonts w:ascii="宋体" w:hAnsi="宋体" w:cs="宋体" w:eastAsia="宋体" w:hint="default"/>
          <w:sz w:val="19"/>
          <w:szCs w:val="19"/>
        </w:rPr>
      </w:pPr>
      <w:r>
        <w:rPr/>
        <w:br w:type="column"/>
      </w:r>
      <w:r>
        <w:rPr>
          <w:rFonts w:ascii="宋体"/>
          <w:sz w:val="19"/>
        </w:rPr>
      </w:r>
    </w:p>
    <w:p>
      <w:pPr>
        <w:spacing w:before="0"/>
        <w:ind w:left="0" w:right="0" w:firstLine="0"/>
        <w:jc w:val="right"/>
        <w:rPr>
          <w:rFonts w:ascii="宋体" w:hAnsi="宋体" w:cs="宋体" w:eastAsia="宋体" w:hint="default"/>
          <w:sz w:val="15"/>
          <w:szCs w:val="15"/>
        </w:rPr>
      </w:pPr>
      <w:r>
        <w:rPr>
          <w:rFonts w:ascii="宋体" w:hAnsi="宋体" w:cs="宋体" w:eastAsia="宋体" w:hint="default"/>
          <w:sz w:val="15"/>
          <w:szCs w:val="15"/>
        </w:rPr>
        <w:t>美元</w:t>
      </w:r>
    </w:p>
    <w:p>
      <w:pPr>
        <w:spacing w:line="240" w:lineRule="auto" w:before="13"/>
        <w:rPr>
          <w:rFonts w:ascii="宋体" w:hAnsi="宋体" w:cs="宋体" w:eastAsia="宋体" w:hint="default"/>
          <w:sz w:val="18"/>
          <w:szCs w:val="18"/>
        </w:rPr>
      </w:pPr>
    </w:p>
    <w:p>
      <w:pPr>
        <w:spacing w:before="0"/>
        <w:ind w:left="0" w:right="0" w:firstLine="0"/>
        <w:jc w:val="right"/>
        <w:rPr>
          <w:rFonts w:ascii="Times New Roman" w:hAnsi="Times New Roman" w:cs="Times New Roman" w:eastAsia="Times New Roman" w:hint="default"/>
          <w:sz w:val="15"/>
          <w:szCs w:val="15"/>
        </w:rPr>
      </w:pPr>
      <w:r>
        <w:rPr>
          <w:rFonts w:ascii="Times New Roman"/>
          <w:spacing w:val="-1"/>
          <w:sz w:val="15"/>
        </w:rPr>
        <w:t>8,000,000</w:t>
      </w:r>
    </w:p>
    <w:p>
      <w:pPr>
        <w:spacing w:line="489" w:lineRule="auto" w:before="53"/>
        <w:ind w:left="144" w:right="0" w:firstLine="0"/>
        <w:jc w:val="both"/>
        <w:rPr>
          <w:rFonts w:ascii="宋体" w:hAnsi="宋体" w:cs="宋体" w:eastAsia="宋体" w:hint="default"/>
          <w:sz w:val="15"/>
          <w:szCs w:val="15"/>
        </w:rPr>
      </w:pPr>
      <w:r>
        <w:rPr>
          <w:spacing w:val="-2"/>
        </w:rPr>
        <w:br w:type="column"/>
      </w:r>
      <w:r>
        <w:rPr>
          <w:rFonts w:ascii="宋体" w:hAnsi="宋体" w:cs="宋体" w:eastAsia="宋体" w:hint="default"/>
          <w:spacing w:val="-2"/>
          <w:sz w:val="15"/>
          <w:szCs w:val="15"/>
        </w:rPr>
        <w:t>计算机软硬件、电子产品</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pacing w:val="-2"/>
          <w:sz w:val="15"/>
          <w:szCs w:val="15"/>
        </w:rPr>
        <w:t>开发、企业投资管理咨询</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z w:val="15"/>
          <w:szCs w:val="15"/>
        </w:rPr>
        <w:t>等</w:t>
      </w:r>
    </w:p>
    <w:p>
      <w:pPr>
        <w:spacing w:line="240" w:lineRule="auto" w:before="4"/>
        <w:rPr>
          <w:rFonts w:ascii="宋体" w:hAnsi="宋体" w:cs="宋体" w:eastAsia="宋体" w:hint="default"/>
          <w:sz w:val="19"/>
          <w:szCs w:val="19"/>
        </w:rPr>
      </w:pPr>
      <w:r>
        <w:rPr/>
        <w:br w:type="column"/>
      </w:r>
      <w:r>
        <w:rPr>
          <w:rFonts w:ascii="宋体"/>
          <w:sz w:val="19"/>
        </w:rPr>
      </w:r>
    </w:p>
    <w:p>
      <w:pPr>
        <w:spacing w:before="0"/>
        <w:ind w:left="528" w:right="-19" w:firstLine="0"/>
        <w:jc w:val="left"/>
        <w:rPr>
          <w:rFonts w:ascii="宋体" w:hAnsi="宋体" w:cs="宋体" w:eastAsia="宋体" w:hint="default"/>
          <w:sz w:val="15"/>
          <w:szCs w:val="15"/>
        </w:rPr>
      </w:pPr>
      <w:r>
        <w:rPr>
          <w:rFonts w:ascii="宋体" w:hAnsi="宋体" w:cs="宋体" w:eastAsia="宋体" w:hint="default"/>
          <w:sz w:val="15"/>
          <w:szCs w:val="15"/>
        </w:rPr>
        <w:t>美元</w:t>
      </w:r>
    </w:p>
    <w:p>
      <w:pPr>
        <w:spacing w:line="240" w:lineRule="auto" w:before="13"/>
        <w:rPr>
          <w:rFonts w:ascii="宋体" w:hAnsi="宋体" w:cs="宋体" w:eastAsia="宋体" w:hint="default"/>
          <w:sz w:val="18"/>
          <w:szCs w:val="18"/>
        </w:rPr>
      </w:pPr>
    </w:p>
    <w:p>
      <w:pPr>
        <w:spacing w:before="0"/>
        <w:ind w:left="228" w:right="-19" w:firstLine="0"/>
        <w:jc w:val="left"/>
        <w:rPr>
          <w:rFonts w:ascii="Times New Roman" w:hAnsi="Times New Roman" w:cs="Times New Roman" w:eastAsia="Times New Roman" w:hint="default"/>
          <w:sz w:val="15"/>
          <w:szCs w:val="15"/>
        </w:rPr>
      </w:pPr>
      <w:r>
        <w:rPr>
          <w:rFonts w:ascii="Times New Roman"/>
          <w:sz w:val="15"/>
        </w:rPr>
        <w:t>8,000,000</w:t>
      </w:r>
    </w:p>
    <w:p>
      <w:pPr>
        <w:spacing w:line="240" w:lineRule="auto" w:before="0"/>
        <w:rPr>
          <w:rFonts w:ascii="Times New Roman" w:hAnsi="Times New Roman" w:cs="Times New Roman" w:eastAsia="Times New Roman" w:hint="default"/>
          <w:sz w:val="16"/>
          <w:szCs w:val="16"/>
        </w:rPr>
      </w:pPr>
      <w:r>
        <w:rPr/>
        <w:br w:type="column"/>
      </w:r>
      <w:r>
        <w:rPr>
          <w:rFonts w:ascii="Times New Roman"/>
          <w:sz w:val="16"/>
        </w:rPr>
      </w:r>
    </w:p>
    <w:p>
      <w:pPr>
        <w:spacing w:line="240" w:lineRule="auto" w:before="3"/>
        <w:rPr>
          <w:rFonts w:ascii="Times New Roman" w:hAnsi="Times New Roman" w:cs="Times New Roman" w:eastAsia="Times New Roman" w:hint="default"/>
          <w:sz w:val="23"/>
          <w:szCs w:val="23"/>
        </w:rPr>
      </w:pPr>
    </w:p>
    <w:p>
      <w:pPr>
        <w:tabs>
          <w:tab w:pos="1500" w:val="left" w:leader="none"/>
        </w:tabs>
        <w:spacing w:before="0"/>
        <w:ind w:left="847"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100</w:t>
        <w:tab/>
      </w:r>
      <w:r>
        <w:rPr>
          <w:rFonts w:ascii="宋体" w:hAnsi="宋体" w:cs="宋体" w:eastAsia="宋体" w:hint="default"/>
          <w:position w:val="1"/>
          <w:sz w:val="15"/>
          <w:szCs w:val="15"/>
        </w:rPr>
        <w:t>是</w:t>
      </w:r>
      <w:r>
        <w:rPr>
          <w:rFonts w:ascii="宋体" w:hAnsi="宋体" w:cs="宋体" w:eastAsia="宋体" w:hint="default"/>
          <w:sz w:val="15"/>
          <w:szCs w:val="15"/>
        </w:rPr>
      </w:r>
    </w:p>
    <w:p>
      <w:pPr>
        <w:spacing w:after="0"/>
        <w:jc w:val="left"/>
        <w:rPr>
          <w:rFonts w:ascii="宋体" w:hAnsi="宋体" w:cs="宋体" w:eastAsia="宋体" w:hint="default"/>
          <w:sz w:val="15"/>
          <w:szCs w:val="15"/>
        </w:rPr>
        <w:sectPr>
          <w:type w:val="continuous"/>
          <w:pgSz w:w="16840" w:h="11910" w:orient="landscape"/>
          <w:pgMar w:top="1600" w:bottom="280" w:left="1300" w:right="660"/>
          <w:cols w:num="6" w:equalWidth="0">
            <w:col w:w="2648" w:space="40"/>
            <w:col w:w="2327" w:space="40"/>
            <w:col w:w="1075" w:space="40"/>
            <w:col w:w="1779" w:space="40"/>
            <w:col w:w="830" w:space="800"/>
            <w:col w:w="5261"/>
          </w:cols>
        </w:sectPr>
      </w:pPr>
    </w:p>
    <w:p>
      <w:pPr>
        <w:spacing w:line="240" w:lineRule="auto" w:before="10"/>
        <w:rPr>
          <w:rFonts w:ascii="宋体" w:hAnsi="宋体" w:cs="宋体" w:eastAsia="宋体" w:hint="default"/>
          <w:sz w:val="19"/>
          <w:szCs w:val="19"/>
        </w:rPr>
      </w:pPr>
    </w:p>
    <w:p>
      <w:pPr>
        <w:spacing w:before="0"/>
        <w:ind w:left="857" w:right="-20" w:firstLine="0"/>
        <w:jc w:val="left"/>
        <w:rPr>
          <w:rFonts w:ascii="宋体" w:hAnsi="宋体" w:cs="宋体" w:eastAsia="宋体" w:hint="default"/>
          <w:sz w:val="15"/>
          <w:szCs w:val="15"/>
        </w:rPr>
      </w:pPr>
      <w:r>
        <w:rPr>
          <w:rFonts w:ascii="宋体" w:hAnsi="宋体" w:cs="宋体" w:eastAsia="宋体" w:hint="default"/>
          <w:sz w:val="15"/>
          <w:szCs w:val="15"/>
        </w:rPr>
        <w:t>辽宁东软熙康健康管理有限公司</w:t>
      </w:r>
    </w:p>
    <w:p>
      <w:pPr>
        <w:spacing w:line="240" w:lineRule="auto" w:before="7"/>
        <w:rPr>
          <w:rFonts w:ascii="宋体" w:hAnsi="宋体" w:cs="宋体" w:eastAsia="宋体" w:hint="default"/>
          <w:sz w:val="15"/>
          <w:szCs w:val="15"/>
        </w:rPr>
      </w:pPr>
    </w:p>
    <w:p>
      <w:pPr>
        <w:spacing w:before="0"/>
        <w:ind w:left="857" w:right="-20" w:firstLine="0"/>
        <w:jc w:val="left"/>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18</w:t>
      </w:r>
      <w:r>
        <w:rPr>
          <w:rFonts w:ascii="宋体" w:hAnsi="宋体" w:cs="宋体" w:eastAsia="宋体" w:hint="default"/>
          <w:sz w:val="15"/>
          <w:szCs w:val="15"/>
        </w:rPr>
        <w:t>）</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1"/>
        <w:rPr>
          <w:rFonts w:ascii="宋体" w:hAnsi="宋体" w:cs="宋体" w:eastAsia="宋体" w:hint="default"/>
          <w:sz w:val="18"/>
          <w:szCs w:val="18"/>
        </w:rPr>
      </w:pPr>
    </w:p>
    <w:p>
      <w:pPr>
        <w:tabs>
          <w:tab w:pos="696" w:val="left" w:leader="none"/>
          <w:tab w:pos="2455" w:val="left" w:leader="none"/>
        </w:tabs>
        <w:spacing w:before="0"/>
        <w:ind w:left="87" w:right="-9"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全资</w:t>
        <w:tab/>
        <w:t>沈阳</w:t>
      </w:r>
      <w:r>
        <w:rPr>
          <w:rFonts w:ascii="宋体" w:hAnsi="宋体" w:cs="宋体" w:eastAsia="宋体" w:hint="default"/>
          <w:spacing w:val="45"/>
          <w:position w:val="1"/>
          <w:sz w:val="15"/>
          <w:szCs w:val="15"/>
        </w:rPr>
        <w:t> </w:t>
      </w:r>
      <w:r>
        <w:rPr>
          <w:rFonts w:ascii="宋体" w:hAnsi="宋体" w:cs="宋体" w:eastAsia="宋体" w:hint="default"/>
          <w:position w:val="1"/>
          <w:sz w:val="15"/>
          <w:szCs w:val="15"/>
        </w:rPr>
        <w:t>有限责任公司</w:t>
        <w:tab/>
      </w:r>
      <w:r>
        <w:rPr>
          <w:rFonts w:ascii="Times New Roman" w:hAnsi="Times New Roman" w:cs="Times New Roman" w:eastAsia="Times New Roman" w:hint="default"/>
          <w:spacing w:val="-1"/>
          <w:sz w:val="15"/>
          <w:szCs w:val="15"/>
        </w:rPr>
        <w:t>30,000,000</w:t>
      </w:r>
    </w:p>
    <w:p>
      <w:pPr>
        <w:spacing w:line="489" w:lineRule="auto" w:before="58"/>
        <w:ind w:left="144" w:right="-14" w:firstLine="0"/>
        <w:jc w:val="left"/>
        <w:rPr>
          <w:rFonts w:ascii="宋体" w:hAnsi="宋体" w:cs="宋体" w:eastAsia="宋体" w:hint="default"/>
          <w:sz w:val="15"/>
          <w:szCs w:val="15"/>
        </w:rPr>
      </w:pPr>
      <w:r>
        <w:rPr/>
        <w:br w:type="column"/>
      </w:r>
      <w:r>
        <w:rPr>
          <w:rFonts w:ascii="宋体" w:hAnsi="宋体" w:cs="宋体" w:eastAsia="宋体" w:hint="default"/>
          <w:sz w:val="15"/>
          <w:szCs w:val="15"/>
        </w:rPr>
        <w:t>健康信息管理、信息咨 </w:t>
      </w:r>
      <w:r>
        <w:rPr>
          <w:rFonts w:ascii="宋体" w:hAnsi="宋体" w:cs="宋体" w:eastAsia="宋体" w:hint="default"/>
          <w:spacing w:val="-2"/>
          <w:sz w:val="15"/>
          <w:szCs w:val="15"/>
        </w:rPr>
        <w:t>询、管理服务及管理系统</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z w:val="15"/>
          <w:szCs w:val="15"/>
        </w:rPr>
        <w:t>开发</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1"/>
        <w:rPr>
          <w:rFonts w:ascii="宋体" w:hAnsi="宋体" w:cs="宋体" w:eastAsia="宋体" w:hint="default"/>
          <w:sz w:val="18"/>
          <w:szCs w:val="18"/>
        </w:rPr>
      </w:pPr>
    </w:p>
    <w:p>
      <w:pPr>
        <w:tabs>
          <w:tab w:pos="2477" w:val="left" w:leader="none"/>
          <w:tab w:pos="3130" w:val="left" w:leader="none"/>
        </w:tabs>
        <w:spacing w:before="0"/>
        <w:ind w:left="229"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30,000,000</w:t>
        <w:tab/>
        <w:t>100</w:t>
        <w:tab/>
      </w:r>
      <w:r>
        <w:rPr>
          <w:rFonts w:ascii="宋体" w:hAnsi="宋体" w:cs="宋体" w:eastAsia="宋体" w:hint="default"/>
          <w:position w:val="1"/>
          <w:sz w:val="15"/>
          <w:szCs w:val="15"/>
        </w:rPr>
        <w:t>是</w:t>
      </w:r>
      <w:r>
        <w:rPr>
          <w:rFonts w:ascii="宋体" w:hAnsi="宋体" w:cs="宋体" w:eastAsia="宋体" w:hint="default"/>
          <w:sz w:val="15"/>
          <w:szCs w:val="15"/>
        </w:rPr>
      </w:r>
    </w:p>
    <w:p>
      <w:pPr>
        <w:spacing w:after="0"/>
        <w:jc w:val="left"/>
        <w:rPr>
          <w:rFonts w:ascii="宋体" w:hAnsi="宋体" w:cs="宋体" w:eastAsia="宋体" w:hint="default"/>
          <w:sz w:val="15"/>
          <w:szCs w:val="15"/>
        </w:rPr>
        <w:sectPr>
          <w:type w:val="continuous"/>
          <w:pgSz w:w="16840" w:h="11910" w:orient="landscape"/>
          <w:pgMar w:top="1600" w:bottom="280" w:left="1300" w:right="660"/>
          <w:cols w:num="4" w:equalWidth="0">
            <w:col w:w="2958" w:space="40"/>
            <w:col w:w="3131" w:space="40"/>
            <w:col w:w="1779" w:space="40"/>
            <w:col w:w="6892"/>
          </w:cols>
        </w:sectPr>
      </w:pPr>
    </w:p>
    <w:p>
      <w:pPr>
        <w:spacing w:line="240" w:lineRule="auto" w:before="10"/>
        <w:rPr>
          <w:rFonts w:ascii="宋体" w:hAnsi="宋体" w:cs="宋体" w:eastAsia="宋体" w:hint="default"/>
          <w:sz w:val="7"/>
          <w:szCs w:val="7"/>
        </w:rPr>
      </w:pPr>
    </w:p>
    <w:p>
      <w:pPr>
        <w:spacing w:after="0" w:line="240" w:lineRule="auto"/>
        <w:rPr>
          <w:rFonts w:ascii="宋体" w:hAnsi="宋体" w:cs="宋体" w:eastAsia="宋体" w:hint="default"/>
          <w:sz w:val="7"/>
          <w:szCs w:val="7"/>
        </w:rPr>
        <w:sectPr>
          <w:type w:val="continuous"/>
          <w:pgSz w:w="16840" w:h="11910" w:orient="landscape"/>
          <w:pgMar w:top="1600" w:bottom="280" w:left="1300" w:right="660"/>
        </w:sectPr>
      </w:pPr>
    </w:p>
    <w:p>
      <w:pPr>
        <w:spacing w:before="53"/>
        <w:ind w:left="792" w:right="-20" w:firstLine="0"/>
        <w:jc w:val="left"/>
        <w:rPr>
          <w:rFonts w:ascii="宋体" w:hAnsi="宋体" w:cs="宋体" w:eastAsia="宋体" w:hint="default"/>
          <w:sz w:val="15"/>
          <w:szCs w:val="15"/>
        </w:rPr>
      </w:pPr>
      <w:r>
        <w:rPr/>
        <w:pict>
          <v:group style="position:absolute;margin-left:101.000999pt;margin-top:93.419998pt;width:702.45pt;height:415.9pt;mso-position-horizontal-relative:page;mso-position-vertical-relative:page;z-index:-1130704" coordorigin="2020,1868" coordsize="14049,8318">
            <v:group style="position:absolute;left:2049;top:1883;width:14001;height:2" coordorigin="2049,1883" coordsize="14001,2">
              <v:shape style="position:absolute;left:2049;top:1883;width:14001;height:2" coordorigin="2049,1883" coordsize="14001,0" path="m2049,1883l16050,1883e" filled="false" stroked="true" strokeweight="1.5pt" strokecolor="#000000">
                <v:path arrowok="t"/>
              </v:shape>
              <v:shape style="position:absolute;left:4274;top:1870;width:10144;height:2458" type="#_x0000_t75" stroked="false">
                <v:imagedata r:id="rId56" o:title=""/>
              </v:shape>
            </v:group>
            <v:group style="position:absolute;left:2035;top:10171;width:2268;height:2" coordorigin="2035,10171" coordsize="2268,2">
              <v:shape style="position:absolute;left:2035;top:10171;width:2268;height:2" coordorigin="2035,10171" coordsize="2268,0" path="m2035,10171l4303,10171e" filled="false" stroked="true" strokeweight="1.5pt" strokecolor="#000000">
                <v:path arrowok="t"/>
              </v:shape>
              <v:shape style="position:absolute;left:2030;top:4279;width:14039;height:5903" type="#_x0000_t75" stroked="false">
                <v:imagedata r:id="rId80" o:title=""/>
              </v:shape>
            </v:group>
            <v:group style="position:absolute;left:4303;top:10171;width:610;height:2" coordorigin="4303,10171" coordsize="610,2">
              <v:shape style="position:absolute;left:4303;top:10171;width:610;height:2" coordorigin="4303,10171" coordsize="610,0" path="m4303,10171l4913,10171e" filled="false" stroked="true" strokeweight="1.5pt" strokecolor="#000000">
                <v:path arrowok="t"/>
              </v:shape>
              <v:shape style="position:absolute;left:4886;top:9131;width:64;height:1051" type="#_x0000_t75" stroked="false">
                <v:imagedata r:id="rId81" o:title=""/>
              </v:shape>
            </v:group>
            <v:group style="position:absolute;left:4913;top:10171;width:502;height:2" coordorigin="4913,10171" coordsize="502,2">
              <v:shape style="position:absolute;left:4913;top:10171;width:502;height:2" coordorigin="4913,10171" coordsize="502,0" path="m4913,10171l5414,10171e" filled="false" stroked="true" strokeweight="1.5pt" strokecolor="#000000">
                <v:path arrowok="t"/>
              </v:shape>
              <v:shape style="position:absolute;left:5387;top:9131;width:64;height:1051" type="#_x0000_t75" stroked="false">
                <v:imagedata r:id="rId81" o:title=""/>
              </v:shape>
            </v:group>
            <v:group style="position:absolute;left:5414;top:10171;width:939;height:2" coordorigin="5414,10171" coordsize="939,2">
              <v:shape style="position:absolute;left:5414;top:10171;width:939;height:2" coordorigin="5414,10171" coordsize="939,0" path="m5414,10171l6353,10171e" filled="false" stroked="true" strokeweight="1.5pt" strokecolor="#000000">
                <v:path arrowok="t"/>
              </v:shape>
              <v:shape style="position:absolute;left:6326;top:9131;width:64;height:1051" type="#_x0000_t75" stroked="false">
                <v:imagedata r:id="rId81" o:title=""/>
              </v:shape>
            </v:group>
            <v:group style="position:absolute;left:6353;top:10171;width:1179;height:2" coordorigin="6353,10171" coordsize="1179,2">
              <v:shape style="position:absolute;left:6353;top:10171;width:1179;height:2" coordorigin="6353,10171" coordsize="1179,0" path="m6353,10171l7531,10171e" filled="false" stroked="true" strokeweight="1.5pt" strokecolor="#000000">
                <v:path arrowok="t"/>
              </v:shape>
              <v:shape style="position:absolute;left:7504;top:9131;width:64;height:1051" type="#_x0000_t75" stroked="false">
                <v:imagedata r:id="rId81" o:title=""/>
              </v:shape>
            </v:group>
            <v:group style="position:absolute;left:7531;top:10171;width:1773;height:2" coordorigin="7531,10171" coordsize="1773,2">
              <v:shape style="position:absolute;left:7531;top:10171;width:1773;height:2" coordorigin="7531,10171" coordsize="1773,0" path="m7531,10171l9303,10171e" filled="false" stroked="true" strokeweight="1.5pt" strokecolor="#000000">
                <v:path arrowok="t"/>
              </v:shape>
              <v:shape style="position:absolute;left:9275;top:9130;width:67;height:1037" type="#_x0000_t75" stroked="false">
                <v:imagedata r:id="rId82" o:title=""/>
              </v:shape>
            </v:group>
            <v:group style="position:absolute;left:9303;top:10171;width:992;height:2" coordorigin="9303,10171" coordsize="992,2">
              <v:shape style="position:absolute;left:9303;top:10171;width:992;height:2" coordorigin="9303,10171" coordsize="992,0" path="m9303,10171l10295,10171e" filled="false" stroked="true" strokeweight="1.5pt" strokecolor="#000000">
                <v:path arrowok="t"/>
              </v:shape>
              <v:shape style="position:absolute;left:10268;top:9131;width:64;height:1051" type="#_x0000_t75" stroked="false">
                <v:imagedata r:id="rId81" o:title=""/>
              </v:shape>
            </v:group>
            <v:group style="position:absolute;left:10295;top:10171;width:725;height:2" coordorigin="10295,10171" coordsize="725,2">
              <v:shape style="position:absolute;left:10295;top:10171;width:725;height:2" coordorigin="10295,10171" coordsize="725,0" path="m10295,10171l11019,10171e" filled="false" stroked="true" strokeweight="1.5pt" strokecolor="#000000">
                <v:path arrowok="t"/>
              </v:shape>
              <v:shape style="position:absolute;left:10992;top:9131;width:64;height:1051" type="#_x0000_t75" stroked="false">
                <v:imagedata r:id="rId81" o:title=""/>
              </v:shape>
            </v:group>
            <v:group style="position:absolute;left:11019;top:10171;width:510;height:2" coordorigin="11019,10171" coordsize="510,2">
              <v:shape style="position:absolute;left:11019;top:10171;width:510;height:2" coordorigin="11019,10171" coordsize="510,0" path="m11019,10171l11529,10171e" filled="false" stroked="true" strokeweight="1.5pt" strokecolor="#000000">
                <v:path arrowok="t"/>
              </v:shape>
              <v:shape style="position:absolute;left:11502;top:9131;width:64;height:1051" type="#_x0000_t75" stroked="false">
                <v:imagedata r:id="rId81" o:title=""/>
              </v:shape>
            </v:group>
            <v:group style="position:absolute;left:11529;top:10171;width:686;height:2" coordorigin="11529,10171" coordsize="686,2">
              <v:shape style="position:absolute;left:11529;top:10171;width:686;height:2" coordorigin="11529,10171" coordsize="686,0" path="m11529,10171l12215,10171e" filled="false" stroked="true" strokeweight="1.5pt" strokecolor="#000000">
                <v:path arrowok="t"/>
              </v:shape>
              <v:shape style="position:absolute;left:12188;top:9131;width:64;height:1051" type="#_x0000_t75" stroked="false">
                <v:imagedata r:id="rId81" o:title=""/>
              </v:shape>
            </v:group>
            <v:group style="position:absolute;left:12215;top:10171;width:546;height:2" coordorigin="12215,10171" coordsize="546,2">
              <v:shape style="position:absolute;left:12215;top:10171;width:546;height:2" coordorigin="12215,10171" coordsize="546,0" path="m12215,10171l12761,10171e" filled="false" stroked="true" strokeweight="1.5pt" strokecolor="#000000">
                <v:path arrowok="t"/>
              </v:shape>
              <v:shape style="position:absolute;left:12734;top:9131;width:64;height:1051" type="#_x0000_t75" stroked="false">
                <v:imagedata r:id="rId81" o:title=""/>
              </v:shape>
            </v:group>
            <v:group style="position:absolute;left:12761;top:10171;width:894;height:2" coordorigin="12761,10171" coordsize="894,2">
              <v:shape style="position:absolute;left:12761;top:10171;width:894;height:2" coordorigin="12761,10171" coordsize="894,0" path="m12761,10171l13655,10171e" filled="false" stroked="true" strokeweight="1.5pt" strokecolor="#000000">
                <v:path arrowok="t"/>
              </v:shape>
              <v:shape style="position:absolute;left:13626;top:9130;width:67;height:1037" type="#_x0000_t75" stroked="false">
                <v:imagedata r:id="rId82" o:title=""/>
              </v:shape>
            </v:group>
            <v:group style="position:absolute;left:13655;top:10171;width:725;height:2" coordorigin="13655,10171" coordsize="725,2">
              <v:shape style="position:absolute;left:13655;top:10171;width:725;height:2" coordorigin="13655,10171" coordsize="725,0" path="m13655,10171l14379,10171e" filled="false" stroked="true" strokeweight="1.5pt" strokecolor="#000000">
                <v:path arrowok="t"/>
              </v:shape>
              <v:shape style="position:absolute;left:14352;top:9131;width:64;height:1051" type="#_x0000_t75" stroked="false">
                <v:imagedata r:id="rId81" o:title=""/>
              </v:shape>
            </v:group>
            <v:group style="position:absolute;left:14379;top:10171;width:1671;height:2" coordorigin="14379,10171" coordsize="1671,2">
              <v:shape style="position:absolute;left:14379;top:10171;width:1671;height:2" coordorigin="14379,10171" coordsize="1671,0" path="m14379,10171l16050,10171e" filled="false" stroked="true" strokeweight="1.5pt" strokecolor="#000000">
                <v:path arrowok="t"/>
              </v:shape>
            </v:group>
            <w10:wrap type="none"/>
          </v:group>
        </w:pict>
      </w:r>
      <w:r>
        <w:rPr>
          <w:rFonts w:ascii="宋体" w:hAnsi="宋体" w:cs="宋体" w:eastAsia="宋体" w:hint="default"/>
          <w:sz w:val="15"/>
          <w:szCs w:val="15"/>
        </w:rPr>
        <w:t>沈阳东软熙康医疗系统有限公司</w:t>
      </w:r>
    </w:p>
    <w:p>
      <w:pPr>
        <w:spacing w:line="240" w:lineRule="auto" w:before="7"/>
        <w:rPr>
          <w:rFonts w:ascii="宋体" w:hAnsi="宋体" w:cs="宋体" w:eastAsia="宋体" w:hint="default"/>
          <w:sz w:val="15"/>
          <w:szCs w:val="15"/>
        </w:rPr>
      </w:pPr>
    </w:p>
    <w:p>
      <w:pPr>
        <w:spacing w:before="0"/>
        <w:ind w:left="847" w:right="-2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w:t>
      </w:r>
      <w:r>
        <w:rPr>
          <w:rFonts w:ascii="宋体" w:hAnsi="宋体" w:cs="宋体" w:eastAsia="宋体" w:hint="default"/>
          <w:sz w:val="15"/>
          <w:szCs w:val="15"/>
        </w:rPr>
        <w:t>注</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19)</w:t>
      </w:r>
    </w:p>
    <w:p>
      <w:pPr>
        <w:spacing w:line="240" w:lineRule="auto" w:before="11"/>
        <w:rPr>
          <w:rFonts w:ascii="Times New Roman" w:hAnsi="Times New Roman" w:cs="Times New Roman" w:eastAsia="Times New Roman" w:hint="default"/>
          <w:sz w:val="21"/>
          <w:szCs w:val="21"/>
        </w:rPr>
      </w:pPr>
      <w:r>
        <w:rPr/>
        <w:br w:type="column"/>
      </w:r>
      <w:r>
        <w:rPr>
          <w:rFonts w:ascii="Times New Roman"/>
          <w:sz w:val="21"/>
        </w:rPr>
      </w:r>
    </w:p>
    <w:p>
      <w:pPr>
        <w:tabs>
          <w:tab w:pos="761" w:val="left" w:leader="none"/>
          <w:tab w:pos="2520" w:val="left" w:leader="none"/>
        </w:tabs>
        <w:spacing w:before="0"/>
        <w:ind w:left="151" w:right="-1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全资</w:t>
        <w:tab/>
        <w:t>沈阳</w:t>
      </w:r>
      <w:r>
        <w:rPr>
          <w:rFonts w:ascii="宋体" w:hAnsi="宋体" w:cs="宋体" w:eastAsia="宋体" w:hint="default"/>
          <w:spacing w:val="45"/>
          <w:position w:val="1"/>
          <w:sz w:val="15"/>
          <w:szCs w:val="15"/>
        </w:rPr>
        <w:t> </w:t>
      </w:r>
      <w:r>
        <w:rPr>
          <w:rFonts w:ascii="宋体" w:hAnsi="宋体" w:cs="宋体" w:eastAsia="宋体" w:hint="default"/>
          <w:position w:val="1"/>
          <w:sz w:val="15"/>
          <w:szCs w:val="15"/>
        </w:rPr>
        <w:t>有限责任公司</w:t>
        <w:tab/>
      </w:r>
      <w:r>
        <w:rPr>
          <w:rFonts w:ascii="Times New Roman" w:hAnsi="Times New Roman" w:cs="Times New Roman" w:eastAsia="Times New Roman" w:hint="default"/>
          <w:spacing w:val="-1"/>
          <w:sz w:val="15"/>
          <w:szCs w:val="15"/>
        </w:rPr>
        <w:t>10,000,000</w:t>
      </w:r>
    </w:p>
    <w:p>
      <w:pPr>
        <w:spacing w:line="489" w:lineRule="auto" w:before="53"/>
        <w:ind w:left="144" w:right="-20" w:firstLine="0"/>
        <w:jc w:val="left"/>
        <w:rPr>
          <w:rFonts w:ascii="宋体" w:hAnsi="宋体" w:cs="宋体" w:eastAsia="宋体" w:hint="default"/>
          <w:sz w:val="15"/>
          <w:szCs w:val="15"/>
        </w:rPr>
      </w:pPr>
      <w:r>
        <w:rPr/>
        <w:br w:type="column"/>
      </w:r>
      <w:r>
        <w:rPr>
          <w:rFonts w:ascii="宋体" w:hAnsi="宋体" w:cs="宋体" w:eastAsia="宋体" w:hint="default"/>
          <w:sz w:val="15"/>
          <w:szCs w:val="15"/>
        </w:rPr>
        <w:t>医疗系统计算机软硬件开 发、健康管理咨询服务</w:t>
      </w:r>
    </w:p>
    <w:p>
      <w:pPr>
        <w:spacing w:line="240" w:lineRule="auto" w:before="4"/>
        <w:rPr>
          <w:rFonts w:ascii="宋体" w:hAnsi="宋体" w:cs="宋体" w:eastAsia="宋体" w:hint="default"/>
          <w:sz w:val="19"/>
          <w:szCs w:val="19"/>
        </w:rPr>
      </w:pPr>
      <w:r>
        <w:rPr/>
        <w:br w:type="column"/>
      </w:r>
      <w:r>
        <w:rPr>
          <w:rFonts w:ascii="宋体"/>
          <w:sz w:val="19"/>
        </w:rPr>
      </w:r>
    </w:p>
    <w:p>
      <w:pPr>
        <w:tabs>
          <w:tab w:pos="2461" w:val="left" w:leader="none"/>
          <w:tab w:pos="3114" w:val="left" w:leader="none"/>
        </w:tabs>
        <w:spacing w:before="0"/>
        <w:ind w:left="214" w:right="0" w:firstLine="0"/>
        <w:jc w:val="left"/>
        <w:rPr>
          <w:rFonts w:ascii="宋体" w:hAnsi="宋体" w:cs="宋体" w:eastAsia="宋体" w:hint="default"/>
          <w:sz w:val="15"/>
          <w:szCs w:val="15"/>
        </w:rPr>
      </w:pPr>
      <w:r>
        <w:rPr>
          <w:rFonts w:ascii="Times New Roman" w:hAnsi="Times New Roman" w:cs="Times New Roman" w:eastAsia="Times New Roman" w:hint="default"/>
          <w:spacing w:val="-1"/>
          <w:sz w:val="15"/>
          <w:szCs w:val="15"/>
        </w:rPr>
        <w:t>10,000,000</w:t>
        <w:tab/>
        <w:t>100</w:t>
        <w:tab/>
      </w:r>
      <w:r>
        <w:rPr>
          <w:rFonts w:ascii="宋体" w:hAnsi="宋体" w:cs="宋体" w:eastAsia="宋体" w:hint="default"/>
          <w:position w:val="1"/>
          <w:sz w:val="15"/>
          <w:szCs w:val="15"/>
        </w:rPr>
        <w:t>是</w:t>
      </w:r>
      <w:r>
        <w:rPr>
          <w:rFonts w:ascii="宋体" w:hAnsi="宋体" w:cs="宋体" w:eastAsia="宋体" w:hint="default"/>
          <w:sz w:val="15"/>
          <w:szCs w:val="15"/>
        </w:rPr>
      </w:r>
    </w:p>
    <w:p>
      <w:pPr>
        <w:spacing w:after="0"/>
        <w:jc w:val="left"/>
        <w:rPr>
          <w:rFonts w:ascii="宋体" w:hAnsi="宋体" w:cs="宋体" w:eastAsia="宋体" w:hint="default"/>
          <w:sz w:val="15"/>
          <w:szCs w:val="15"/>
        </w:rPr>
        <w:sectPr>
          <w:type w:val="continuous"/>
          <w:pgSz w:w="16840" w:h="11910" w:orient="landscape"/>
          <w:pgMar w:top="1600" w:bottom="280" w:left="1300" w:right="660"/>
          <w:cols w:num="4" w:equalWidth="0">
            <w:col w:w="2893" w:space="40"/>
            <w:col w:w="3196" w:space="40"/>
            <w:col w:w="1795" w:space="40"/>
            <w:col w:w="6876"/>
          </w:cols>
        </w:sectPr>
      </w:pPr>
    </w:p>
    <w:p>
      <w:pPr>
        <w:spacing w:line="240" w:lineRule="auto" w:before="6"/>
        <w:rPr>
          <w:rFonts w:ascii="宋体" w:hAnsi="宋体" w:cs="宋体" w:eastAsia="宋体" w:hint="default"/>
          <w:sz w:val="20"/>
          <w:szCs w:val="20"/>
        </w:rPr>
      </w:pPr>
    </w:p>
    <w:p>
      <w:pPr>
        <w:spacing w:line="5280" w:lineRule="exact"/>
        <w:ind w:left="720" w:right="0" w:firstLine="0"/>
        <w:rPr>
          <w:rFonts w:ascii="宋体" w:hAnsi="宋体" w:cs="宋体" w:eastAsia="宋体" w:hint="default"/>
          <w:sz w:val="20"/>
          <w:szCs w:val="20"/>
        </w:rPr>
      </w:pPr>
      <w:r>
        <w:rPr>
          <w:rFonts w:ascii="宋体" w:hAnsi="宋体" w:cs="宋体" w:eastAsia="宋体" w:hint="default"/>
          <w:position w:val="-105"/>
          <w:sz w:val="20"/>
          <w:szCs w:val="20"/>
        </w:rPr>
        <w:pict>
          <v:group style="width:702.45pt;height:264pt;mso-position-horizontal-relative:char;mso-position-vertical-relative:line" coordorigin="0,0" coordsize="14049,5280">
            <v:group style="position:absolute;left:29;top:15;width:14001;height:2" coordorigin="29,15" coordsize="14001,2">
              <v:shape style="position:absolute;left:29;top:15;width:14001;height:2" coordorigin="29,15" coordsize="14001,0" path="m29,15l14030,15e" filled="false" stroked="true" strokeweight="1.5pt" strokecolor="#000000">
                <v:path arrowok="t"/>
              </v:shape>
              <v:shape style="position:absolute;left:2254;top:1;width:10144;height:2458" type="#_x0000_t75" stroked="false">
                <v:imagedata r:id="rId56" o:title=""/>
              </v:shape>
            </v:group>
            <v:group style="position:absolute;left:15;top:5265;width:2268;height:2" coordorigin="15,5265" coordsize="2268,2">
              <v:shape style="position:absolute;left:15;top:5265;width:2268;height:2" coordorigin="15,5265" coordsize="2268,0" path="m15,5265l2283,5265e" filled="false" stroked="true" strokeweight="1.5pt" strokecolor="#000000">
                <v:path arrowok="t"/>
              </v:shape>
              <v:shape style="position:absolute;left:10;top:2411;width:14039;height:2859" type="#_x0000_t75" stroked="false">
                <v:imagedata r:id="rId83" o:title=""/>
              </v:shape>
            </v:group>
            <v:group style="position:absolute;left:2283;top:5265;width:610;height:2" coordorigin="2283,5265" coordsize="610,2">
              <v:shape style="position:absolute;left:2283;top:5265;width:610;height:2" coordorigin="2283,5265" coordsize="610,0" path="m2283,5265l2893,5265e" filled="false" stroked="true" strokeweight="1.5pt" strokecolor="#000000">
                <v:path arrowok="t"/>
              </v:shape>
              <v:shape style="position:absolute;left:2873;top:4430;width:49;height:840" type="#_x0000_t75" stroked="false">
                <v:imagedata r:id="rId84" o:title=""/>
              </v:shape>
            </v:group>
            <v:group style="position:absolute;left:2893;top:5265;width:502;height:2" coordorigin="2893,5265" coordsize="502,2">
              <v:shape style="position:absolute;left:2893;top:5265;width:502;height:2" coordorigin="2893,5265" coordsize="502,0" path="m2893,5265l3394,5265e" filled="false" stroked="true" strokeweight="1.5pt" strokecolor="#000000">
                <v:path arrowok="t"/>
              </v:shape>
              <v:shape style="position:absolute;left:3374;top:4430;width:49;height:840" type="#_x0000_t75" stroked="false">
                <v:imagedata r:id="rId84" o:title=""/>
              </v:shape>
            </v:group>
            <v:group style="position:absolute;left:3394;top:5265;width:939;height:2" coordorigin="3394,5265" coordsize="939,2">
              <v:shape style="position:absolute;left:3394;top:5265;width:939;height:2" coordorigin="3394,5265" coordsize="939,0" path="m3394,5265l4333,5265e" filled="false" stroked="true" strokeweight="1.5pt" strokecolor="#000000">
                <v:path arrowok="t"/>
              </v:shape>
              <v:shape style="position:absolute;left:4313;top:4430;width:49;height:840" type="#_x0000_t75" stroked="false">
                <v:imagedata r:id="rId85" o:title=""/>
              </v:shape>
            </v:group>
            <v:group style="position:absolute;left:4333;top:5265;width:1179;height:2" coordorigin="4333,5265" coordsize="1179,2">
              <v:shape style="position:absolute;left:4333;top:5265;width:1179;height:2" coordorigin="4333,5265" coordsize="1179,0" path="m4333,5265l5511,5265e" filled="false" stroked="true" strokeweight="1.5pt" strokecolor="#000000">
                <v:path arrowok="t"/>
              </v:shape>
              <v:shape style="position:absolute;left:5491;top:4430;width:49;height:840" type="#_x0000_t75" stroked="false">
                <v:imagedata r:id="rId84" o:title=""/>
              </v:shape>
            </v:group>
            <v:group style="position:absolute;left:5511;top:5265;width:1773;height:2" coordorigin="5511,5265" coordsize="1773,2">
              <v:shape style="position:absolute;left:5511;top:5265;width:1773;height:2" coordorigin="5511,5265" coordsize="1773,0" path="m5511,5265l7283,5265e" filled="false" stroked="true" strokeweight="1.5pt" strokecolor="#000000">
                <v:path arrowok="t"/>
              </v:shape>
              <v:shape style="position:absolute;left:7264;top:4430;width:49;height:840" type="#_x0000_t75" stroked="false">
                <v:imagedata r:id="rId86" o:title=""/>
              </v:shape>
            </v:group>
            <v:group style="position:absolute;left:7283;top:5265;width:992;height:2" coordorigin="7283,5265" coordsize="992,2">
              <v:shape style="position:absolute;left:7283;top:5265;width:992;height:2" coordorigin="7283,5265" coordsize="992,0" path="m7283,5265l8275,5265e" filled="false" stroked="true" strokeweight="1.5pt" strokecolor="#000000">
                <v:path arrowok="t"/>
              </v:shape>
              <v:shape style="position:absolute;left:8246;top:4421;width:67;height:845" type="#_x0000_t75" stroked="false">
                <v:imagedata r:id="rId87" o:title=""/>
              </v:shape>
            </v:group>
            <v:group style="position:absolute;left:8275;top:5265;width:725;height:2" coordorigin="8275,5265" coordsize="725,2">
              <v:shape style="position:absolute;left:8275;top:5265;width:725;height:2" coordorigin="8275,5265" coordsize="725,0" path="m8275,5265l8999,5265e" filled="false" stroked="true" strokeweight="1.5pt" strokecolor="#000000">
                <v:path arrowok="t"/>
              </v:shape>
              <v:shape style="position:absolute;left:8980;top:4430;width:49;height:840" type="#_x0000_t75" stroked="false">
                <v:imagedata r:id="rId86" o:title=""/>
              </v:shape>
            </v:group>
            <v:group style="position:absolute;left:8999;top:5265;width:510;height:2" coordorigin="8999,5265" coordsize="510,2">
              <v:shape style="position:absolute;left:8999;top:5265;width:510;height:2" coordorigin="8999,5265" coordsize="510,0" path="m8999,5265l9509,5265e" filled="false" stroked="true" strokeweight="1.5pt" strokecolor="#000000">
                <v:path arrowok="t"/>
              </v:shape>
              <v:shape style="position:absolute;left:9490;top:4430;width:49;height:840" type="#_x0000_t75" stroked="false">
                <v:imagedata r:id="rId86" o:title=""/>
              </v:shape>
            </v:group>
            <v:group style="position:absolute;left:9509;top:5265;width:686;height:2" coordorigin="9509,5265" coordsize="686,2">
              <v:shape style="position:absolute;left:9509;top:5265;width:686;height:2" coordorigin="9509,5265" coordsize="686,0" path="m9509,5265l10195,5265e" filled="false" stroked="true" strokeweight="1.5pt" strokecolor="#000000">
                <v:path arrowok="t"/>
              </v:shape>
              <v:shape style="position:absolute;left:10175;top:4430;width:49;height:840" type="#_x0000_t75" stroked="false">
                <v:imagedata r:id="rId86" o:title=""/>
              </v:shape>
            </v:group>
            <v:group style="position:absolute;left:10195;top:5265;width:546;height:2" coordorigin="10195,5265" coordsize="546,2">
              <v:shape style="position:absolute;left:10195;top:5265;width:546;height:2" coordorigin="10195,5265" coordsize="546,0" path="m10195,5265l10741,5265e" filled="false" stroked="true" strokeweight="1.5pt" strokecolor="#000000">
                <v:path arrowok="t"/>
              </v:shape>
              <v:shape style="position:absolute;left:10721;top:4430;width:49;height:840" type="#_x0000_t75" stroked="false">
                <v:imagedata r:id="rId84" o:title=""/>
              </v:shape>
            </v:group>
            <v:group style="position:absolute;left:10741;top:5265;width:894;height:2" coordorigin="10741,5265" coordsize="894,2">
              <v:shape style="position:absolute;left:10741;top:5265;width:894;height:2" coordorigin="10741,5265" coordsize="894,0" path="m10741,5265l11635,5265e" filled="false" stroked="true" strokeweight="1.5pt" strokecolor="#000000">
                <v:path arrowok="t"/>
              </v:shape>
              <v:shape style="position:absolute;left:11615;top:4430;width:49;height:840" type="#_x0000_t75" stroked="false">
                <v:imagedata r:id="rId86" o:title=""/>
              </v:shape>
            </v:group>
            <v:group style="position:absolute;left:11635;top:5265;width:725;height:2" coordorigin="11635,5265" coordsize="725,2">
              <v:shape style="position:absolute;left:11635;top:5265;width:725;height:2" coordorigin="11635,5265" coordsize="725,0" path="m11635,5265l12359,5265e" filled="false" stroked="true" strokeweight="1.5pt" strokecolor="#000000">
                <v:path arrowok="t"/>
              </v:shape>
              <v:shape style="position:absolute;left:12340;top:4430;width:49;height:840" type="#_x0000_t75" stroked="false">
                <v:imagedata r:id="rId86" o:title=""/>
              </v:shape>
            </v:group>
            <v:group style="position:absolute;left:12359;top:5265;width:1671;height:2" coordorigin="12359,5265" coordsize="1671,2">
              <v:shape style="position:absolute;left:12359;top:5265;width:1671;height:2" coordorigin="12359,5265" coordsize="1671,0" path="m12359,5265l14030,5265e" filled="false" stroked="true" strokeweight="1.5pt" strokecolor="#000000">
                <v:path arrowok="t"/>
              </v:shape>
              <v:shape style="position:absolute;left:12464;top:256;width:15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从母公司所有者权益冲</w:t>
                      </w:r>
                    </w:p>
                  </w:txbxContent>
                </v:textbox>
                <w10:wrap type="none"/>
              </v:shape>
              <v:shape style="position:absolute;left:8357;top:45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实质上构</w:t>
                      </w:r>
                    </w:p>
                  </w:txbxContent>
                </v:textbox>
                <w10:wrap type="none"/>
              </v:shape>
              <v:shape style="position:absolute;left:11717;top:45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少数股东</w:t>
                      </w:r>
                    </w:p>
                  </w:txbxContent>
                </v:textbox>
                <w10:wrap type="none"/>
              </v:shape>
              <v:shape style="position:absolute;left:12464;top:657;width:15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减子公司少数股东分担</w:t>
                      </w:r>
                    </w:p>
                  </w:txbxContent>
                </v:textbox>
                <w10:wrap type="none"/>
              </v:shape>
              <v:shape style="position:absolute;left:8357;top:856;width:1068;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成对子公 </w:t>
                      </w:r>
                      <w:r>
                        <w:rPr>
                          <w:rFonts w:ascii="宋体" w:hAnsi="宋体" w:cs="宋体" w:eastAsia="宋体" w:hint="default"/>
                          <w:spacing w:val="18"/>
                          <w:sz w:val="15"/>
                          <w:szCs w:val="15"/>
                        </w:rPr>
                        <w:t> </w:t>
                      </w:r>
                      <w:r>
                        <w:rPr>
                          <w:rFonts w:ascii="宋体" w:hAnsi="宋体" w:cs="宋体" w:eastAsia="宋体" w:hint="default"/>
                          <w:sz w:val="15"/>
                          <w:szCs w:val="15"/>
                        </w:rPr>
                        <w:t>持股</w:t>
                      </w:r>
                    </w:p>
                  </w:txbxContent>
                </v:textbox>
                <w10:wrap type="none"/>
              </v:shape>
              <v:shape style="position:absolute;left:11717;top:85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权益中用</w:t>
                      </w:r>
                    </w:p>
                  </w:txbxContent>
                </v:textbox>
                <w10:wrap type="none"/>
              </v:shape>
              <v:shape style="position:absolute;left:2384;top:1057;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子公司</w:t>
                      </w:r>
                    </w:p>
                  </w:txbxContent>
                </v:textbox>
                <w10:wrap type="none"/>
              </v:shape>
              <v:shape style="position:absolute;left:7351;top:1057;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期末实际投资</w:t>
                      </w:r>
                    </w:p>
                  </w:txbxContent>
                </v:textbox>
                <w10:wrap type="none"/>
              </v:shape>
              <v:shape style="position:absolute;left:9573;top:1057;width:201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表决权比 是否合</w:t>
                      </w:r>
                      <w:r>
                        <w:rPr>
                          <w:rFonts w:ascii="宋体" w:hAnsi="宋体" w:cs="宋体" w:eastAsia="宋体" w:hint="default"/>
                          <w:spacing w:val="59"/>
                          <w:sz w:val="15"/>
                          <w:szCs w:val="15"/>
                        </w:rPr>
                        <w:t> </w:t>
                      </w:r>
                      <w:r>
                        <w:rPr>
                          <w:rFonts w:ascii="宋体" w:hAnsi="宋体" w:cs="宋体" w:eastAsia="宋体" w:hint="default"/>
                          <w:sz w:val="15"/>
                          <w:szCs w:val="15"/>
                        </w:rPr>
                        <w:t>少数股东权</w:t>
                      </w:r>
                    </w:p>
                  </w:txbxContent>
                </v:textbox>
                <w10:wrap type="none"/>
              </v:shape>
              <v:shape style="position:absolute;left:12464;top:1057;width:15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的本期亏损超过少数股</w:t>
                      </w:r>
                    </w:p>
                  </w:txbxContent>
                </v:textbox>
                <w10:wrap type="none"/>
              </v:shape>
              <v:shape style="position:absolute;left:128;top:1257;width:13836;height:3160" type="#_x0000_t202" filled="false" stroked="false">
                <v:textbox inset="0,0,0,0">
                  <w:txbxContent>
                    <w:p>
                      <w:pPr>
                        <w:tabs>
                          <w:tab w:pos="2824" w:val="left" w:leader="none"/>
                          <w:tab w:pos="4515" w:val="left" w:leader="none"/>
                          <w:tab w:pos="5990" w:val="left" w:leader="none"/>
                          <w:tab w:pos="8229" w:val="left" w:leader="none"/>
                          <w:tab w:pos="11589" w:val="left" w:leader="none"/>
                        </w:tabs>
                        <w:spacing w:line="150" w:lineRule="exact" w:before="0"/>
                        <w:ind w:left="671" w:right="0" w:firstLine="0"/>
                        <w:jc w:val="left"/>
                        <w:rPr>
                          <w:rFonts w:ascii="宋体" w:hAnsi="宋体" w:cs="宋体" w:eastAsia="宋体" w:hint="default"/>
                          <w:sz w:val="15"/>
                          <w:szCs w:val="15"/>
                        </w:rPr>
                      </w:pPr>
                      <w:r>
                        <w:rPr>
                          <w:rFonts w:ascii="宋体" w:hAnsi="宋体" w:cs="宋体" w:eastAsia="宋体" w:hint="default"/>
                          <w:sz w:val="15"/>
                          <w:szCs w:val="15"/>
                        </w:rPr>
                        <w:t>子公司全称</w:t>
                        <w:tab/>
                        <w:t>注册地</w:t>
                      </w:r>
                      <w:r>
                        <w:rPr>
                          <w:rFonts w:ascii="宋体" w:hAnsi="宋体" w:cs="宋体" w:eastAsia="宋体" w:hint="default"/>
                          <w:spacing w:val="66"/>
                          <w:sz w:val="15"/>
                          <w:szCs w:val="15"/>
                        </w:rPr>
                        <w:t> </w:t>
                      </w:r>
                      <w:r>
                        <w:rPr>
                          <w:rFonts w:ascii="宋体" w:hAnsi="宋体" w:cs="宋体" w:eastAsia="宋体" w:hint="default"/>
                          <w:sz w:val="15"/>
                          <w:szCs w:val="15"/>
                        </w:rPr>
                        <w:t>企业性质</w:t>
                        <w:tab/>
                        <w:t>注册资本</w:t>
                        <w:tab/>
                        <w:t>经营范围</w:t>
                        <w:tab/>
                        <w:t>司净投资 </w:t>
                      </w:r>
                      <w:r>
                        <w:rPr>
                          <w:rFonts w:ascii="宋体" w:hAnsi="宋体" w:cs="宋体" w:eastAsia="宋体" w:hint="default"/>
                          <w:spacing w:val="18"/>
                          <w:sz w:val="15"/>
                          <w:szCs w:val="15"/>
                        </w:rPr>
                        <w:t> </w:t>
                      </w:r>
                      <w:r>
                        <w:rPr>
                          <w:rFonts w:ascii="宋体" w:hAnsi="宋体" w:cs="宋体" w:eastAsia="宋体" w:hint="default"/>
                          <w:sz w:val="15"/>
                          <w:szCs w:val="15"/>
                        </w:rPr>
                        <w:t>比例</w:t>
                        <w:tab/>
                        <w:t>于冲减少</w:t>
                      </w:r>
                    </w:p>
                    <w:p>
                      <w:pPr>
                        <w:tabs>
                          <w:tab w:pos="7597" w:val="left" w:leader="none"/>
                          <w:tab w:pos="9035" w:val="left" w:leader="none"/>
                          <w:tab w:pos="9557" w:val="left" w:leader="none"/>
                          <w:tab w:pos="10136" w:val="left" w:leader="none"/>
                          <w:tab w:pos="11005" w:val="left" w:leader="none"/>
                          <w:tab w:pos="11589" w:val="left" w:leader="none"/>
                          <w:tab w:pos="12335" w:val="left" w:leader="none"/>
                        </w:tabs>
                        <w:spacing w:line="208" w:lineRule="exact" w:before="11"/>
                        <w:ind w:left="8229" w:right="0" w:hanging="5898"/>
                        <w:jc w:val="left"/>
                        <w:rPr>
                          <w:rFonts w:ascii="宋体" w:hAnsi="宋体" w:cs="宋体" w:eastAsia="宋体" w:hint="default"/>
                          <w:sz w:val="15"/>
                          <w:szCs w:val="15"/>
                        </w:rPr>
                      </w:pPr>
                      <w:r>
                        <w:rPr>
                          <w:rFonts w:ascii="宋体" w:hAnsi="宋体" w:cs="宋体" w:eastAsia="宋体" w:hint="default"/>
                          <w:sz w:val="15"/>
                          <w:szCs w:val="15"/>
                        </w:rPr>
                        <w:t>类型</w:t>
                        <w:tab/>
                        <w:t>额</w:t>
                        <w:tab/>
                        <w:tab/>
                        <w:tab/>
                        <w:t>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并报表</w:t>
                        <w:tab/>
                        <w:t>益</w:t>
                        <w:tab/>
                        <w:tab/>
                        <w:t>东在该子公司期初所有 </w:t>
                      </w:r>
                      <w:r>
                        <w:rPr>
                          <w:rFonts w:ascii="宋体" w:hAnsi="宋体" w:cs="宋体" w:eastAsia="宋体" w:hint="default"/>
                          <w:position w:val="1"/>
                          <w:sz w:val="15"/>
                          <w:szCs w:val="15"/>
                        </w:rPr>
                        <w:t>的其他项</w:t>
                        <w:tab/>
                      </w:r>
                      <w:r>
                        <w:rPr>
                          <w:rFonts w:ascii="Times New Roman" w:hAnsi="Times New Roman" w:cs="Times New Roman" w:eastAsia="Times New Roman" w:hint="default"/>
                          <w:sz w:val="15"/>
                          <w:szCs w:val="15"/>
                        </w:rPr>
                        <w:t>(%)</w:t>
                        <w:tab/>
                        <w:tab/>
                        <w:tab/>
                        <w:tab/>
                      </w:r>
                      <w:r>
                        <w:rPr>
                          <w:rFonts w:ascii="宋体" w:hAnsi="宋体" w:cs="宋体" w:eastAsia="宋体" w:hint="default"/>
                          <w:position w:val="1"/>
                          <w:sz w:val="15"/>
                          <w:szCs w:val="15"/>
                        </w:rPr>
                        <w:t>数股东损</w:t>
                      </w:r>
                      <w:r>
                        <w:rPr>
                          <w:rFonts w:ascii="宋体" w:hAnsi="宋体" w:cs="宋体" w:eastAsia="宋体" w:hint="default"/>
                          <w:sz w:val="15"/>
                          <w:szCs w:val="15"/>
                        </w:rPr>
                      </w:r>
                    </w:p>
                    <w:p>
                      <w:pPr>
                        <w:spacing w:line="171" w:lineRule="exact" w:before="0"/>
                        <w:ind w:left="0" w:right="0" w:firstLine="0"/>
                        <w:jc w:val="right"/>
                        <w:rPr>
                          <w:rFonts w:ascii="宋体" w:hAnsi="宋体" w:cs="宋体" w:eastAsia="宋体" w:hint="default"/>
                          <w:sz w:val="15"/>
                          <w:szCs w:val="15"/>
                        </w:rPr>
                      </w:pPr>
                      <w:r>
                        <w:rPr>
                          <w:rFonts w:ascii="宋体" w:hAnsi="宋体" w:cs="宋体" w:eastAsia="宋体" w:hint="default"/>
                          <w:sz w:val="15"/>
                          <w:szCs w:val="15"/>
                        </w:rPr>
                        <w:t>者权益中所享有份额后</w:t>
                      </w:r>
                    </w:p>
                    <w:p>
                      <w:pPr>
                        <w:tabs>
                          <w:tab w:pos="11589" w:val="left" w:leader="none"/>
                        </w:tabs>
                        <w:spacing w:before="3"/>
                        <w:ind w:left="8304" w:right="0" w:firstLine="0"/>
                        <w:jc w:val="left"/>
                        <w:rPr>
                          <w:rFonts w:ascii="宋体" w:hAnsi="宋体" w:cs="宋体" w:eastAsia="宋体" w:hint="default"/>
                          <w:sz w:val="15"/>
                          <w:szCs w:val="15"/>
                        </w:rPr>
                      </w:pPr>
                      <w:r>
                        <w:rPr>
                          <w:rFonts w:ascii="宋体" w:hAnsi="宋体" w:cs="宋体" w:eastAsia="宋体" w:hint="default"/>
                          <w:sz w:val="15"/>
                          <w:szCs w:val="15"/>
                        </w:rPr>
                        <w:t>目余额</w:t>
                        <w:tab/>
                        <w:t>益的金额</w:t>
                      </w:r>
                    </w:p>
                    <w:p>
                      <w:pPr>
                        <w:spacing w:before="4"/>
                        <w:ind w:left="0" w:right="523" w:firstLine="0"/>
                        <w:jc w:val="right"/>
                        <w:rPr>
                          <w:rFonts w:ascii="宋体" w:hAnsi="宋体" w:cs="宋体" w:eastAsia="宋体" w:hint="default"/>
                          <w:sz w:val="15"/>
                          <w:szCs w:val="15"/>
                        </w:rPr>
                      </w:pPr>
                      <w:r>
                        <w:rPr>
                          <w:rFonts w:ascii="宋体" w:hAnsi="宋体" w:cs="宋体" w:eastAsia="宋体" w:hint="default"/>
                          <w:sz w:val="15"/>
                          <w:szCs w:val="15"/>
                        </w:rPr>
                        <w:t>的余额</w:t>
                      </w:r>
                    </w:p>
                    <w:p>
                      <w:pPr>
                        <w:spacing w:line="400" w:lineRule="atLeast" w:before="10"/>
                        <w:ind w:left="5486" w:right="6697" w:firstLine="0"/>
                        <w:jc w:val="center"/>
                        <w:rPr>
                          <w:rFonts w:ascii="宋体" w:hAnsi="宋体" w:cs="宋体" w:eastAsia="宋体" w:hint="default"/>
                          <w:sz w:val="15"/>
                          <w:szCs w:val="15"/>
                        </w:rPr>
                      </w:pPr>
                      <w:r>
                        <w:rPr>
                          <w:rFonts w:ascii="宋体" w:hAnsi="宋体" w:cs="宋体" w:eastAsia="宋体" w:hint="default"/>
                          <w:sz w:val="15"/>
                          <w:szCs w:val="15"/>
                        </w:rPr>
                        <w:t>手表式移动电话的设计、 研发、生产与销售；计算</w:t>
                      </w:r>
                    </w:p>
                    <w:p>
                      <w:pPr>
                        <w:spacing w:before="4"/>
                        <w:ind w:left="0" w:right="0" w:firstLine="0"/>
                        <w:jc w:val="left"/>
                        <w:rPr>
                          <w:rFonts w:ascii="宋体" w:hAnsi="宋体" w:cs="宋体" w:eastAsia="宋体" w:hint="default"/>
                          <w:sz w:val="15"/>
                          <w:szCs w:val="15"/>
                        </w:rPr>
                      </w:pPr>
                      <w:r>
                        <w:rPr>
                          <w:rFonts w:ascii="宋体" w:hAnsi="宋体" w:cs="宋体" w:eastAsia="宋体" w:hint="default"/>
                          <w:sz w:val="15"/>
                          <w:szCs w:val="15"/>
                        </w:rPr>
                        <w:t>深圳市东软时尚数字技术有限公</w:t>
                      </w:r>
                    </w:p>
                    <w:p>
                      <w:pPr>
                        <w:tabs>
                          <w:tab w:pos="2867" w:val="left" w:leader="none"/>
                          <w:tab w:pos="4766" w:val="left" w:leader="none"/>
                          <w:tab w:pos="7529" w:val="left" w:leader="none"/>
                          <w:tab w:pos="9825" w:val="left" w:leader="none"/>
                        </w:tabs>
                        <w:spacing w:line="210" w:lineRule="exact" w:before="1"/>
                        <w:ind w:left="2258" w:right="0" w:firstLine="0"/>
                        <w:jc w:val="left"/>
                        <w:rPr>
                          <w:rFonts w:ascii="宋体" w:hAnsi="宋体" w:cs="宋体" w:eastAsia="宋体" w:hint="default"/>
                          <w:sz w:val="15"/>
                          <w:szCs w:val="15"/>
                        </w:rPr>
                      </w:pPr>
                      <w:r>
                        <w:rPr>
                          <w:rFonts w:ascii="宋体" w:hAnsi="宋体" w:cs="宋体" w:eastAsia="宋体" w:hint="default"/>
                          <w:position w:val="1"/>
                          <w:sz w:val="15"/>
                          <w:szCs w:val="15"/>
                        </w:rPr>
                        <w:t>全资</w:t>
                        <w:tab/>
                        <w:t>深圳</w:t>
                      </w:r>
                      <w:r>
                        <w:rPr>
                          <w:rFonts w:ascii="宋体" w:hAnsi="宋体" w:cs="宋体" w:eastAsia="宋体" w:hint="default"/>
                          <w:spacing w:val="23"/>
                          <w:position w:val="1"/>
                          <w:sz w:val="15"/>
                          <w:szCs w:val="15"/>
                        </w:rPr>
                        <w:t> </w:t>
                      </w:r>
                      <w:r>
                        <w:rPr>
                          <w:rFonts w:ascii="宋体" w:hAnsi="宋体" w:cs="宋体" w:eastAsia="宋体" w:hint="default"/>
                          <w:position w:val="1"/>
                          <w:sz w:val="15"/>
                          <w:szCs w:val="15"/>
                        </w:rPr>
                        <w:t>有限责任公司</w:t>
                        <w:tab/>
                      </w:r>
                      <w:r>
                        <w:rPr>
                          <w:rFonts w:ascii="Times New Roman" w:hAnsi="Times New Roman" w:cs="Times New Roman" w:eastAsia="Times New Roman" w:hint="default"/>
                          <w:spacing w:val="-1"/>
                          <w:sz w:val="15"/>
                          <w:szCs w:val="15"/>
                        </w:rPr>
                        <w:t>1,000,000  </w:t>
                      </w:r>
                      <w:r>
                        <w:rPr>
                          <w:rFonts w:ascii="Times New Roman" w:hAnsi="Times New Roman" w:cs="Times New Roman" w:eastAsia="Times New Roman" w:hint="default"/>
                          <w:spacing w:val="13"/>
                          <w:sz w:val="15"/>
                          <w:szCs w:val="15"/>
                        </w:rPr>
                        <w:t> </w:t>
                      </w:r>
                      <w:r>
                        <w:rPr>
                          <w:rFonts w:ascii="宋体" w:hAnsi="宋体" w:cs="宋体" w:eastAsia="宋体" w:hint="default"/>
                          <w:position w:val="1"/>
                          <w:sz w:val="15"/>
                          <w:szCs w:val="15"/>
                        </w:rPr>
                        <w:t>机软硬件的技术开发与销</w:t>
                        <w:tab/>
                      </w:r>
                      <w:r>
                        <w:rPr>
                          <w:rFonts w:ascii="Times New Roman" w:hAnsi="Times New Roman" w:cs="Times New Roman" w:eastAsia="Times New Roman" w:hint="default"/>
                          <w:spacing w:val="-1"/>
                          <w:sz w:val="15"/>
                          <w:szCs w:val="15"/>
                        </w:rPr>
                        <w:t>1,000,000</w:t>
                        <w:tab/>
                        <w:t>100  </w:t>
                      </w:r>
                      <w:r>
                        <w:rPr>
                          <w:rFonts w:ascii="Times New Roman" w:hAnsi="Times New Roman" w:cs="Times New Roman" w:eastAsia="Times New Roman" w:hint="default"/>
                          <w:spacing w:val="10"/>
                          <w:sz w:val="15"/>
                          <w:szCs w:val="15"/>
                        </w:rPr>
                        <w:t> </w:t>
                      </w:r>
                      <w:r>
                        <w:rPr>
                          <w:rFonts w:ascii="宋体" w:hAnsi="宋体" w:cs="宋体" w:eastAsia="宋体" w:hint="default"/>
                          <w:position w:val="1"/>
                          <w:sz w:val="15"/>
                          <w:szCs w:val="15"/>
                        </w:rPr>
                        <w:t>是</w:t>
                      </w:r>
                      <w:r>
                        <w:rPr>
                          <w:rFonts w:ascii="宋体" w:hAnsi="宋体" w:cs="宋体" w:eastAsia="宋体" w:hint="default"/>
                          <w:sz w:val="15"/>
                          <w:szCs w:val="15"/>
                        </w:rPr>
                      </w:r>
                    </w:p>
                    <w:p>
                      <w:pPr>
                        <w:spacing w:line="196"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司（注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20</w:t>
                      </w:r>
                      <w:r>
                        <w:rPr>
                          <w:rFonts w:ascii="宋体" w:hAnsi="宋体" w:cs="宋体" w:eastAsia="宋体" w:hint="default"/>
                          <w:sz w:val="15"/>
                          <w:szCs w:val="15"/>
                        </w:rPr>
                        <w:t>）</w:t>
                      </w:r>
                    </w:p>
                    <w:p>
                      <w:pPr>
                        <w:spacing w:line="193" w:lineRule="exact" w:before="0"/>
                        <w:ind w:left="5486" w:right="0" w:firstLine="0"/>
                        <w:jc w:val="left"/>
                        <w:rPr>
                          <w:rFonts w:ascii="宋体" w:hAnsi="宋体" w:cs="宋体" w:eastAsia="宋体" w:hint="default"/>
                          <w:sz w:val="15"/>
                          <w:szCs w:val="15"/>
                        </w:rPr>
                      </w:pPr>
                      <w:r>
                        <w:rPr>
                          <w:rFonts w:ascii="宋体" w:hAnsi="宋体" w:cs="宋体" w:eastAsia="宋体" w:hint="default"/>
                          <w:sz w:val="15"/>
                          <w:szCs w:val="15"/>
                        </w:rPr>
                        <w:t>售；国内贸易、货物及技</w:t>
                      </w:r>
                    </w:p>
                    <w:p>
                      <w:pPr>
                        <w:spacing w:line="240" w:lineRule="auto" w:before="7"/>
                        <w:rPr>
                          <w:rFonts w:ascii="宋体" w:hAnsi="宋体" w:cs="宋体" w:eastAsia="宋体" w:hint="default"/>
                          <w:sz w:val="15"/>
                          <w:szCs w:val="15"/>
                        </w:rPr>
                      </w:pPr>
                    </w:p>
                    <w:p>
                      <w:pPr>
                        <w:spacing w:before="0"/>
                        <w:ind w:left="0" w:right="2261" w:firstLine="0"/>
                        <w:jc w:val="center"/>
                        <w:rPr>
                          <w:rFonts w:ascii="宋体" w:hAnsi="宋体" w:cs="宋体" w:eastAsia="宋体" w:hint="default"/>
                          <w:sz w:val="15"/>
                          <w:szCs w:val="15"/>
                        </w:rPr>
                      </w:pPr>
                      <w:r>
                        <w:rPr>
                          <w:rFonts w:ascii="宋体" w:hAnsi="宋体" w:cs="宋体" w:eastAsia="宋体" w:hint="default"/>
                          <w:sz w:val="15"/>
                          <w:szCs w:val="15"/>
                        </w:rPr>
                        <w:t>术进出口</w:t>
                      </w:r>
                    </w:p>
                  </w:txbxContent>
                </v:textbox>
                <w10:wrap type="none"/>
              </v:shape>
              <v:shape style="position:absolute;left:73;top:4677;width:18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天津熙康健康科技有限公司</w:t>
                      </w:r>
                    </w:p>
                  </w:txbxContent>
                </v:textbox>
                <w10:wrap type="none"/>
              </v:shape>
              <v:shape style="position:absolute;left:2386;top:4677;width:5873;height:366" type="#_x0000_t202" filled="false" stroked="false">
                <v:textbox inset="0,0,0,0">
                  <w:txbxContent>
                    <w:p>
                      <w:pPr>
                        <w:spacing w:line="150" w:lineRule="exact" w:before="0"/>
                        <w:ind w:left="3155" w:right="0" w:firstLine="0"/>
                        <w:jc w:val="left"/>
                        <w:rPr>
                          <w:rFonts w:ascii="宋体" w:hAnsi="宋体" w:cs="宋体" w:eastAsia="宋体" w:hint="default"/>
                          <w:sz w:val="15"/>
                          <w:szCs w:val="15"/>
                        </w:rPr>
                      </w:pPr>
                      <w:r>
                        <w:rPr>
                          <w:rFonts w:ascii="宋体" w:hAnsi="宋体" w:cs="宋体" w:eastAsia="宋体" w:hint="default"/>
                          <w:sz w:val="15"/>
                          <w:szCs w:val="15"/>
                        </w:rPr>
                        <w:t>计算机软硬件、电子产品开</w:t>
                      </w:r>
                    </w:p>
                    <w:p>
                      <w:pPr>
                        <w:tabs>
                          <w:tab w:pos="609" w:val="left" w:leader="none"/>
                          <w:tab w:pos="2433" w:val="left" w:leader="none"/>
                          <w:tab w:pos="5271" w:val="left" w:leader="none"/>
                        </w:tabs>
                        <w:spacing w:line="214" w:lineRule="exact" w:before="1"/>
                        <w:ind w:left="0"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控股</w:t>
                        <w:tab/>
                        <w:t>天津</w:t>
                      </w:r>
                      <w:r>
                        <w:rPr>
                          <w:rFonts w:ascii="宋体" w:hAnsi="宋体" w:cs="宋体" w:eastAsia="宋体" w:hint="default"/>
                          <w:spacing w:val="23"/>
                          <w:position w:val="1"/>
                          <w:sz w:val="15"/>
                          <w:szCs w:val="15"/>
                        </w:rPr>
                        <w:t> </w:t>
                      </w:r>
                      <w:r>
                        <w:rPr>
                          <w:rFonts w:ascii="宋体" w:hAnsi="宋体" w:cs="宋体" w:eastAsia="宋体" w:hint="default"/>
                          <w:position w:val="1"/>
                          <w:sz w:val="15"/>
                          <w:szCs w:val="15"/>
                        </w:rPr>
                        <w:t>有限责任公司</w:t>
                        <w:tab/>
                      </w:r>
                      <w:r>
                        <w:rPr>
                          <w:rFonts w:ascii="Times New Roman" w:hAnsi="Times New Roman" w:cs="Times New Roman" w:eastAsia="Times New Roman" w:hint="default"/>
                          <w:spacing w:val="-1"/>
                          <w:sz w:val="15"/>
                          <w:szCs w:val="15"/>
                        </w:rPr>
                        <w:t>30,000,000</w:t>
                        <w:tab/>
                        <w:t>4,500,000</w:t>
                      </w:r>
                    </w:p>
                  </w:txbxContent>
                </v:textbox>
                <w10:wrap type="none"/>
              </v:shape>
              <v:shape style="position:absolute;left:10028;top:4876;width:420;height:167" type="#_x0000_t202" filled="false" stroked="false">
                <v:textbox inset="0,0,0,0">
                  <w:txbxContent>
                    <w:p>
                      <w:pPr>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75  </w:t>
                      </w:r>
                      <w:r>
                        <w:rPr>
                          <w:rFonts w:ascii="Times New Roman" w:hAnsi="Times New Roman" w:cs="Times New Roman" w:eastAsia="Times New Roman" w:hint="default"/>
                          <w:spacing w:val="6"/>
                          <w:sz w:val="15"/>
                          <w:szCs w:val="15"/>
                        </w:rPr>
                        <w:t> </w:t>
                      </w:r>
                      <w:r>
                        <w:rPr>
                          <w:rFonts w:ascii="宋体" w:hAnsi="宋体" w:cs="宋体" w:eastAsia="宋体" w:hint="default"/>
                          <w:position w:val="1"/>
                          <w:sz w:val="15"/>
                          <w:szCs w:val="15"/>
                        </w:rPr>
                        <w:t>是</w:t>
                      </w:r>
                      <w:r>
                        <w:rPr>
                          <w:rFonts w:ascii="宋体" w:hAnsi="宋体" w:cs="宋体" w:eastAsia="宋体" w:hint="default"/>
                          <w:sz w:val="15"/>
                          <w:szCs w:val="15"/>
                        </w:rPr>
                      </w:r>
                    </w:p>
                  </w:txbxContent>
                </v:textbox>
                <w10:wrap type="none"/>
              </v:shape>
              <v:shape style="position:absolute;left:11017;top:4893;width:6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1,500,000</w:t>
                      </w:r>
                    </w:p>
                  </w:txbxContent>
                </v:textbox>
                <w10:wrap type="none"/>
              </v:shape>
              <v:shape style="position:absolute;left:128;top:5077;width:7065;height:159" type="#_x0000_t202" filled="false" stroked="false">
                <v:textbox inset="0,0,0,0">
                  <w:txbxContent>
                    <w:p>
                      <w:pPr>
                        <w:tabs>
                          <w:tab w:pos="5414" w:val="left" w:leader="none"/>
                        </w:tabs>
                        <w:spacing w:line="158"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（注</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21</w:t>
                      </w:r>
                      <w:r>
                        <w:rPr>
                          <w:rFonts w:ascii="宋体" w:hAnsi="宋体" w:cs="宋体" w:eastAsia="宋体" w:hint="default"/>
                          <w:sz w:val="15"/>
                          <w:szCs w:val="15"/>
                        </w:rPr>
                        <w:t>）</w:t>
                        <w:tab/>
                        <w:t>发、企业投资管理咨询等</w:t>
                      </w:r>
                    </w:p>
                  </w:txbxContent>
                </v:textbox>
                <w10:wrap type="none"/>
              </v:shape>
            </v:group>
          </v:group>
        </w:pict>
      </w:r>
      <w:r>
        <w:rPr>
          <w:rFonts w:ascii="宋体" w:hAnsi="宋体" w:cs="宋体" w:eastAsia="宋体" w:hint="default"/>
          <w:position w:val="-105"/>
          <w:sz w:val="20"/>
          <w:szCs w:val="20"/>
        </w:rPr>
      </w:r>
    </w:p>
    <w:p>
      <w:pPr>
        <w:pStyle w:val="BodyText"/>
        <w:spacing w:line="240" w:lineRule="auto" w:before="93"/>
        <w:ind w:left="666" w:right="0"/>
        <w:jc w:val="both"/>
      </w:pPr>
      <w:r>
        <w:rPr/>
        <w:t>注</w:t>
      </w:r>
      <w:r>
        <w:rPr>
          <w:spacing w:val="-55"/>
        </w:rPr>
        <w:t> </w:t>
      </w:r>
      <w:r>
        <w:rPr>
          <w:rFonts w:ascii="Times New Roman" w:hAnsi="Times New Roman" w:cs="Times New Roman" w:eastAsia="Times New Roman" w:hint="default"/>
        </w:rPr>
        <w:t>1</w:t>
      </w:r>
      <w:r>
        <w:rPr/>
        <w:t>：原北京东软超越技术有限公司更名为东软集团（北京）有限公司；</w:t>
      </w:r>
    </w:p>
    <w:p>
      <w:pPr>
        <w:pStyle w:val="BodyText"/>
        <w:spacing w:line="240" w:lineRule="auto" w:before="110"/>
        <w:ind w:left="666" w:right="0"/>
        <w:jc w:val="both"/>
      </w:pPr>
      <w:r>
        <w:rPr/>
        <w:t>注</w:t>
      </w:r>
      <w:r>
        <w:rPr>
          <w:spacing w:val="-55"/>
        </w:rPr>
        <w:t> </w:t>
      </w:r>
      <w:r>
        <w:rPr>
          <w:rFonts w:ascii="Times New Roman" w:hAnsi="Times New Roman" w:cs="Times New Roman" w:eastAsia="Times New Roman" w:hint="default"/>
        </w:rPr>
        <w:t>2</w:t>
      </w:r>
      <w:r>
        <w:rPr/>
        <w:t>：天津东软软件技术有限公司为本公司之子公司东软集团（北京）有限公司出资设立，持股比例为</w:t>
      </w:r>
      <w:r>
        <w:rPr>
          <w:spacing w:val="-55"/>
        </w:rPr>
        <w:t> </w:t>
      </w:r>
      <w:r>
        <w:rPr>
          <w:rFonts w:ascii="Times New Roman" w:hAnsi="Times New Roman" w:cs="Times New Roman" w:eastAsia="Times New Roman" w:hint="default"/>
        </w:rPr>
        <w:t>100%</w:t>
      </w:r>
      <w:r>
        <w:rPr/>
        <w:t>；</w:t>
      </w:r>
    </w:p>
    <w:p>
      <w:pPr>
        <w:pStyle w:val="BodyText"/>
        <w:spacing w:line="328" w:lineRule="auto" w:before="109"/>
        <w:ind w:left="666" w:right="3419"/>
        <w:jc w:val="left"/>
      </w:pPr>
      <w:r>
        <w:rPr/>
        <w:t>注</w:t>
      </w:r>
      <w:r>
        <w:rPr>
          <w:spacing w:val="-55"/>
        </w:rPr>
        <w:t> </w:t>
      </w:r>
      <w:r>
        <w:rPr>
          <w:rFonts w:ascii="Times New Roman" w:hAnsi="Times New Roman" w:cs="Times New Roman" w:eastAsia="Times New Roman" w:hint="default"/>
        </w:rPr>
        <w:t>3</w:t>
      </w:r>
      <w:r>
        <w:rPr/>
        <w:t>：沈阳东软医疗系统进出口有限公司为本公司之子公司沈阳东软医疗系统有限公司出资设立，持股比例为</w:t>
      </w:r>
      <w:r>
        <w:rPr>
          <w:spacing w:val="-55"/>
        </w:rPr>
        <w:t> </w:t>
      </w:r>
      <w:r>
        <w:rPr>
          <w:rFonts w:ascii="Times New Roman" w:hAnsi="Times New Roman" w:cs="Times New Roman" w:eastAsia="Times New Roman" w:hint="default"/>
        </w:rPr>
        <w:t>100%</w:t>
      </w:r>
      <w:r>
        <w:rPr/>
        <w:t>； 注</w:t>
      </w:r>
      <w:r>
        <w:rPr>
          <w:spacing w:val="-55"/>
        </w:rPr>
        <w:t> </w:t>
      </w:r>
      <w:r>
        <w:rPr>
          <w:rFonts w:ascii="Times New Roman" w:hAnsi="Times New Roman" w:cs="Times New Roman" w:eastAsia="Times New Roman" w:hint="default"/>
        </w:rPr>
        <w:t>4</w:t>
      </w:r>
      <w:r>
        <w:rPr/>
        <w:t>：东软医疗（美国）有限公司为本公司之子公司沈阳东软医疗系统有限公司出资设立，持股比例为</w:t>
      </w:r>
      <w:r>
        <w:rPr>
          <w:spacing w:val="-55"/>
        </w:rPr>
        <w:t> </w:t>
      </w:r>
      <w:r>
        <w:rPr>
          <w:rFonts w:ascii="Times New Roman" w:hAnsi="Times New Roman" w:cs="Times New Roman" w:eastAsia="Times New Roman" w:hint="default"/>
        </w:rPr>
        <w:t>100%</w:t>
      </w:r>
      <w:r>
        <w:rPr/>
        <w:t>；</w:t>
      </w:r>
    </w:p>
    <w:p>
      <w:pPr>
        <w:pStyle w:val="BodyText"/>
        <w:spacing w:line="328" w:lineRule="auto" w:before="24"/>
        <w:ind w:left="666" w:right="3536"/>
        <w:jc w:val="both"/>
      </w:pPr>
      <w:r>
        <w:rPr/>
        <w:t>注</w:t>
      </w:r>
      <w:r>
        <w:rPr>
          <w:spacing w:val="-55"/>
        </w:rPr>
        <w:t> </w:t>
      </w:r>
      <w:r>
        <w:rPr>
          <w:rFonts w:ascii="Times New Roman" w:hAnsi="Times New Roman" w:cs="Times New Roman" w:eastAsia="Times New Roman" w:hint="default"/>
        </w:rPr>
        <w:t>5</w:t>
      </w:r>
      <w:r>
        <w:rPr/>
        <w:t>：沈阳东软波谱磁共振技术有限公司为本公司之子公司沈阳东软医疗系统有限公司出资设立，持股比例为</w:t>
      </w:r>
      <w:r>
        <w:rPr>
          <w:spacing w:val="-55"/>
        </w:rPr>
        <w:t> </w:t>
      </w:r>
      <w:r>
        <w:rPr>
          <w:rFonts w:ascii="Times New Roman" w:hAnsi="Times New Roman" w:cs="Times New Roman" w:eastAsia="Times New Roman" w:hint="default"/>
        </w:rPr>
        <w:t>80%</w:t>
      </w:r>
      <w:r>
        <w:rPr/>
        <w:t>； 注</w:t>
      </w:r>
      <w:r>
        <w:rPr>
          <w:spacing w:val="-55"/>
        </w:rPr>
        <w:t> </w:t>
      </w:r>
      <w:r>
        <w:rPr>
          <w:rFonts w:ascii="Times New Roman" w:hAnsi="Times New Roman" w:cs="Times New Roman" w:eastAsia="Times New Roman" w:hint="default"/>
        </w:rPr>
        <w:t>6</w:t>
      </w:r>
      <w:r>
        <w:rPr/>
        <w:t>：沈阳东软派斯通医疗系统有限公司为本公司之子公司沈阳东软医疗系统有限公司出资设立，持股比例为</w:t>
      </w:r>
      <w:r>
        <w:rPr>
          <w:spacing w:val="-55"/>
        </w:rPr>
        <w:t> </w:t>
      </w:r>
      <w:r>
        <w:rPr>
          <w:rFonts w:ascii="Times New Roman" w:hAnsi="Times New Roman" w:cs="Times New Roman" w:eastAsia="Times New Roman" w:hint="default"/>
        </w:rPr>
        <w:t>99%</w:t>
      </w:r>
      <w:r>
        <w:rPr/>
        <w:t>； 注</w:t>
      </w:r>
      <w:r>
        <w:rPr>
          <w:spacing w:val="-55"/>
        </w:rPr>
        <w:t> </w:t>
      </w:r>
      <w:r>
        <w:rPr>
          <w:rFonts w:ascii="Times New Roman" w:hAnsi="Times New Roman" w:cs="Times New Roman" w:eastAsia="Times New Roman" w:hint="default"/>
        </w:rPr>
        <w:t>7</w:t>
      </w:r>
      <w:r>
        <w:rPr/>
        <w:t>：深圳市东软移动终端设计有限公司为本公司之子公司辽宁东软创业投资有限公司出资设立，持股比例为</w:t>
      </w:r>
      <w:r>
        <w:rPr>
          <w:spacing w:val="-55"/>
        </w:rPr>
        <w:t> </w:t>
      </w:r>
      <w:r>
        <w:rPr>
          <w:rFonts w:ascii="Times New Roman" w:hAnsi="Times New Roman" w:cs="Times New Roman" w:eastAsia="Times New Roman" w:hint="default"/>
        </w:rPr>
        <w:t>70%</w:t>
      </w:r>
      <w:r>
        <w:rPr/>
        <w:t>；</w:t>
      </w:r>
    </w:p>
    <w:p>
      <w:pPr>
        <w:spacing w:after="0" w:line="328" w:lineRule="auto"/>
        <w:jc w:val="both"/>
        <w:sectPr>
          <w:pgSz w:w="16840" w:h="11910" w:orient="landscape"/>
          <w:pgMar w:header="883" w:footer="999" w:top="1600" w:bottom="1180" w:left="1300" w:right="660"/>
        </w:sectPr>
      </w:pPr>
    </w:p>
    <w:p>
      <w:pPr>
        <w:spacing w:line="240" w:lineRule="auto" w:before="11"/>
        <w:rPr>
          <w:rFonts w:ascii="宋体" w:hAnsi="宋体" w:cs="宋体" w:eastAsia="宋体" w:hint="default"/>
          <w:sz w:val="24"/>
          <w:szCs w:val="24"/>
        </w:rPr>
      </w:pPr>
    </w:p>
    <w:p>
      <w:pPr>
        <w:pStyle w:val="BodyText"/>
        <w:spacing w:line="240" w:lineRule="auto"/>
        <w:ind w:left="666" w:right="2084"/>
        <w:jc w:val="left"/>
      </w:pPr>
      <w:r>
        <w:rPr/>
        <w:t>注</w:t>
      </w:r>
      <w:r>
        <w:rPr>
          <w:spacing w:val="-55"/>
        </w:rPr>
        <w:t> </w:t>
      </w:r>
      <w:r>
        <w:rPr>
          <w:rFonts w:ascii="Times New Roman" w:hAnsi="Times New Roman" w:cs="Times New Roman" w:eastAsia="Times New Roman" w:hint="default"/>
        </w:rPr>
        <w:t>8</w:t>
      </w:r>
      <w:r>
        <w:rPr/>
        <w:t>：北京东软越通软件技术有限公司为本公司之子公司辽宁东软创业投资有限公司出资设立，持股比例为</w:t>
      </w:r>
      <w:r>
        <w:rPr>
          <w:spacing w:val="-55"/>
        </w:rPr>
        <w:t> </w:t>
      </w:r>
      <w:r>
        <w:rPr>
          <w:rFonts w:ascii="Times New Roman" w:hAnsi="Times New Roman" w:cs="Times New Roman" w:eastAsia="Times New Roman" w:hint="default"/>
        </w:rPr>
        <w:t>70%</w:t>
      </w:r>
      <w:r>
        <w:rPr/>
        <w:t>；</w:t>
      </w:r>
    </w:p>
    <w:p>
      <w:pPr>
        <w:pStyle w:val="BodyText"/>
        <w:spacing w:line="328" w:lineRule="auto" w:before="110"/>
        <w:ind w:left="666" w:right="2084"/>
        <w:jc w:val="left"/>
      </w:pPr>
      <w:r>
        <w:rPr/>
        <w:t>注</w:t>
      </w:r>
      <w:r>
        <w:rPr>
          <w:spacing w:val="-54"/>
        </w:rPr>
        <w:t> </w:t>
      </w:r>
      <w:r>
        <w:rPr>
          <w:rFonts w:ascii="Times New Roman" w:hAnsi="Times New Roman" w:cs="Times New Roman" w:eastAsia="Times New Roman" w:hint="default"/>
        </w:rPr>
        <w:t>9</w:t>
      </w:r>
      <w:r>
        <w:rPr/>
        <w:t>：北京英博睿智咨询有限公司为本公司之间接控股子公司北京东软慧聚信息技术有限公司出资设立，持股比例为</w:t>
      </w:r>
      <w:r>
        <w:rPr>
          <w:spacing w:val="-54"/>
        </w:rPr>
        <w:t> </w:t>
      </w:r>
      <w:r>
        <w:rPr>
          <w:rFonts w:ascii="Times New Roman" w:hAnsi="Times New Roman" w:cs="Times New Roman" w:eastAsia="Times New Roman" w:hint="default"/>
        </w:rPr>
        <w:t>100%</w:t>
      </w:r>
      <w:r>
        <w:rPr/>
        <w:t>； 注</w:t>
      </w:r>
      <w:r>
        <w:rPr>
          <w:spacing w:val="-55"/>
        </w:rPr>
        <w:t> </w:t>
      </w:r>
      <w:r>
        <w:rPr>
          <w:rFonts w:ascii="Times New Roman" w:hAnsi="Times New Roman" w:cs="Times New Roman" w:eastAsia="Times New Roman" w:hint="default"/>
        </w:rPr>
        <w:t>10</w:t>
      </w:r>
      <w:r>
        <w:rPr/>
        <w:t>：大连东软商业流程咨询服务有限公司为本公司之子公司沈阳东软信息技术服务有限公司出资设立，持股比例为</w:t>
      </w:r>
      <w:r>
        <w:rPr>
          <w:spacing w:val="-55"/>
        </w:rPr>
        <w:t> </w:t>
      </w:r>
      <w:r>
        <w:rPr>
          <w:rFonts w:ascii="Times New Roman" w:hAnsi="Times New Roman" w:cs="Times New Roman" w:eastAsia="Times New Roman" w:hint="default"/>
        </w:rPr>
        <w:t>100%</w:t>
      </w:r>
      <w:r>
        <w:rPr/>
        <w:t>； 注</w:t>
      </w:r>
      <w:r>
        <w:rPr>
          <w:spacing w:val="-59"/>
        </w:rPr>
        <w:t> </w:t>
      </w:r>
      <w:r>
        <w:rPr>
          <w:rFonts w:ascii="Times New Roman" w:hAnsi="Times New Roman" w:cs="Times New Roman" w:eastAsia="Times New Roman" w:hint="default"/>
        </w:rPr>
        <w:t>11</w:t>
      </w:r>
      <w:r>
        <w:rPr/>
        <w:t>：合肥东软信息技术有限公司为本公司之子公司上海东软时代数码技术有限公司出资设立，持股比例为</w:t>
      </w:r>
      <w:r>
        <w:rPr>
          <w:spacing w:val="-59"/>
        </w:rPr>
        <w:t> </w:t>
      </w:r>
      <w:r>
        <w:rPr>
          <w:rFonts w:ascii="Times New Roman" w:hAnsi="Times New Roman" w:cs="Times New Roman" w:eastAsia="Times New Roman" w:hint="default"/>
        </w:rPr>
        <w:t>100%</w:t>
      </w:r>
      <w:r>
        <w:rPr/>
        <w:t>；</w:t>
      </w:r>
    </w:p>
    <w:p>
      <w:pPr>
        <w:pStyle w:val="BodyText"/>
        <w:spacing w:line="240" w:lineRule="auto" w:before="24"/>
        <w:ind w:left="666" w:right="2084"/>
        <w:jc w:val="left"/>
      </w:pPr>
      <w:r>
        <w:rPr/>
        <w:t>注</w:t>
      </w:r>
      <w:r>
        <w:rPr>
          <w:spacing w:val="-56"/>
        </w:rPr>
        <w:t> </w:t>
      </w:r>
      <w:r>
        <w:rPr>
          <w:rFonts w:ascii="Times New Roman" w:hAnsi="Times New Roman" w:cs="Times New Roman" w:eastAsia="Times New Roman" w:hint="default"/>
        </w:rPr>
        <w:t>12</w:t>
      </w:r>
      <w:r>
        <w:rPr/>
        <w:t>：北京东软慧聚信息技术有限公司为本公司之子公司辽宁东软创业投资有限公司出资设立，持股比例为</w:t>
      </w:r>
      <w:r>
        <w:rPr>
          <w:spacing w:val="-56"/>
        </w:rPr>
        <w:t> </w:t>
      </w:r>
      <w:r>
        <w:rPr>
          <w:rFonts w:ascii="Times New Roman" w:hAnsi="Times New Roman" w:cs="Times New Roman" w:eastAsia="Times New Roman" w:hint="default"/>
        </w:rPr>
        <w:t>80.28%</w:t>
      </w:r>
      <w:r>
        <w:rPr/>
        <w:t>；</w:t>
      </w:r>
    </w:p>
    <w:p>
      <w:pPr>
        <w:pStyle w:val="BodyText"/>
        <w:spacing w:line="328" w:lineRule="auto" w:before="109"/>
        <w:ind w:left="666" w:right="1244"/>
        <w:jc w:val="left"/>
      </w:pPr>
      <w:r>
        <w:rPr/>
        <w:t>注</w:t>
      </w:r>
      <w:r>
        <w:rPr>
          <w:spacing w:val="-55"/>
        </w:rPr>
        <w:t> </w:t>
      </w:r>
      <w:r>
        <w:rPr>
          <w:rFonts w:ascii="Times New Roman" w:hAnsi="Times New Roman" w:cs="Times New Roman" w:eastAsia="Times New Roman" w:hint="default"/>
        </w:rPr>
        <w:t>13</w:t>
      </w:r>
      <w:r>
        <w:rPr/>
        <w:t>：东软越通软件技术（大连）有限公司为本公司之间接控股子公司北京东软越通软件技术有限公司出资设立，投资比例为</w:t>
      </w:r>
      <w:r>
        <w:rPr>
          <w:spacing w:val="-55"/>
        </w:rPr>
        <w:t> </w:t>
      </w:r>
      <w:r>
        <w:rPr>
          <w:rFonts w:ascii="Times New Roman" w:hAnsi="Times New Roman" w:cs="Times New Roman" w:eastAsia="Times New Roman" w:hint="default"/>
        </w:rPr>
        <w:t>100%</w:t>
      </w:r>
      <w:r>
        <w:rPr/>
        <w:t>； 注</w:t>
      </w:r>
      <w:r>
        <w:rPr>
          <w:spacing w:val="-55"/>
        </w:rPr>
        <w:t> </w:t>
      </w:r>
      <w:r>
        <w:rPr>
          <w:rFonts w:ascii="Times New Roman" w:hAnsi="Times New Roman" w:cs="Times New Roman" w:eastAsia="Times New Roman" w:hint="default"/>
        </w:rPr>
        <w:t>14</w:t>
      </w:r>
      <w:r>
        <w:rPr/>
        <w:t>：东软医疗（中东）自由区有限责任公司本公司之子公司沈阳东软医疗系统有限公司出资设立，持股比例为</w:t>
      </w:r>
      <w:r>
        <w:rPr>
          <w:spacing w:val="-55"/>
        </w:rPr>
        <w:t> </w:t>
      </w:r>
      <w:r>
        <w:rPr>
          <w:rFonts w:ascii="Times New Roman" w:hAnsi="Times New Roman" w:cs="Times New Roman" w:eastAsia="Times New Roman" w:hint="default"/>
        </w:rPr>
        <w:t>100%</w:t>
      </w:r>
      <w:r>
        <w:rPr/>
        <w:t>。</w:t>
      </w:r>
    </w:p>
    <w:p>
      <w:pPr>
        <w:pStyle w:val="BodyText"/>
        <w:spacing w:line="240" w:lineRule="auto" w:before="24"/>
        <w:ind w:left="665" w:right="2084"/>
        <w:jc w:val="left"/>
      </w:pPr>
      <w:r>
        <w:rPr/>
        <w:t>注</w:t>
      </w:r>
      <w:r>
        <w:rPr>
          <w:spacing w:val="-55"/>
        </w:rPr>
        <w:t> </w:t>
      </w:r>
      <w:r>
        <w:rPr>
          <w:rFonts w:ascii="Times New Roman" w:hAnsi="Times New Roman" w:cs="Times New Roman" w:eastAsia="Times New Roman" w:hint="default"/>
        </w:rPr>
        <w:t>15</w:t>
      </w:r>
      <w:r>
        <w:rPr/>
        <w:t>：东软熙康控股有限公司为本公司之子公司东软集团（香港）有限公司出资设立，持股比例为</w:t>
      </w:r>
      <w:r>
        <w:rPr>
          <w:spacing w:val="-55"/>
        </w:rPr>
        <w:t> </w:t>
      </w:r>
      <w:r>
        <w:rPr>
          <w:rFonts w:ascii="Times New Roman" w:hAnsi="Times New Roman" w:cs="Times New Roman" w:eastAsia="Times New Roman" w:hint="default"/>
        </w:rPr>
        <w:t>70%</w:t>
      </w:r>
      <w:r>
        <w:rPr/>
        <w:t>；</w:t>
      </w:r>
    </w:p>
    <w:p>
      <w:pPr>
        <w:pStyle w:val="BodyText"/>
        <w:spacing w:line="240" w:lineRule="auto" w:before="109"/>
        <w:ind w:left="666" w:right="2084"/>
        <w:jc w:val="left"/>
      </w:pPr>
      <w:r>
        <w:rPr/>
        <w:t>注</w:t>
      </w:r>
      <w:r>
        <w:rPr>
          <w:spacing w:val="-55"/>
        </w:rPr>
        <w:t> </w:t>
      </w:r>
      <w:r>
        <w:rPr>
          <w:rFonts w:ascii="Times New Roman" w:hAnsi="Times New Roman" w:cs="Times New Roman" w:eastAsia="Times New Roman" w:hint="default"/>
        </w:rPr>
        <w:t>16</w:t>
      </w:r>
      <w:r>
        <w:rPr/>
        <w:t>：东软熙康国际有限公司为本公司之间接控股子公司东软熙康控股有限公司出资设立，持股比例为</w:t>
      </w:r>
      <w:r>
        <w:rPr>
          <w:spacing w:val="-55"/>
        </w:rPr>
        <w:t> </w:t>
      </w:r>
      <w:r>
        <w:rPr>
          <w:rFonts w:ascii="Times New Roman" w:hAnsi="Times New Roman" w:cs="Times New Roman" w:eastAsia="Times New Roman" w:hint="default"/>
        </w:rPr>
        <w:t>100%</w:t>
      </w:r>
      <w:r>
        <w:rPr/>
        <w:t>；</w:t>
      </w:r>
    </w:p>
    <w:p>
      <w:pPr>
        <w:pStyle w:val="BodyText"/>
        <w:spacing w:line="240" w:lineRule="auto" w:before="109"/>
        <w:ind w:left="666" w:right="2084"/>
        <w:jc w:val="left"/>
      </w:pPr>
      <w:r>
        <w:rPr/>
        <w:t>注</w:t>
      </w:r>
      <w:r>
        <w:rPr>
          <w:spacing w:val="-55"/>
        </w:rPr>
        <w:t> </w:t>
      </w:r>
      <w:r>
        <w:rPr>
          <w:rFonts w:ascii="Times New Roman" w:hAnsi="Times New Roman" w:cs="Times New Roman" w:eastAsia="Times New Roman" w:hint="default"/>
        </w:rPr>
        <w:t>17</w:t>
      </w:r>
      <w:r>
        <w:rPr/>
        <w:t>：东软熙康健康科技有限公司为本公司之间接控股子公司东软熙康国际有限公司出资设立，持股比例为</w:t>
      </w:r>
      <w:r>
        <w:rPr>
          <w:spacing w:val="-55"/>
        </w:rPr>
        <w:t> </w:t>
      </w:r>
      <w:r>
        <w:rPr>
          <w:rFonts w:ascii="Times New Roman" w:hAnsi="Times New Roman" w:cs="Times New Roman" w:eastAsia="Times New Roman" w:hint="default"/>
        </w:rPr>
        <w:t>100%</w:t>
      </w:r>
      <w:r>
        <w:rPr/>
        <w:t>；</w:t>
      </w:r>
    </w:p>
    <w:p>
      <w:pPr>
        <w:pStyle w:val="BodyText"/>
        <w:spacing w:line="328" w:lineRule="auto" w:before="110"/>
        <w:ind w:left="665" w:right="2095" w:firstLine="1"/>
        <w:jc w:val="both"/>
      </w:pPr>
      <w:r>
        <w:rPr/>
        <w:t>注</w:t>
      </w:r>
      <w:r>
        <w:rPr>
          <w:spacing w:val="-55"/>
        </w:rPr>
        <w:t> </w:t>
      </w:r>
      <w:r>
        <w:rPr>
          <w:rFonts w:ascii="Times New Roman" w:hAnsi="Times New Roman" w:cs="Times New Roman" w:eastAsia="Times New Roman" w:hint="default"/>
        </w:rPr>
        <w:t>18</w:t>
      </w:r>
      <w:r>
        <w:rPr/>
        <w:t>：辽宁东软熙康健康管理有限公司为本公司之间接控股子公司东软熙康健康科技有限公司出资设立，持股比例为</w:t>
      </w:r>
      <w:r>
        <w:rPr>
          <w:spacing w:val="-55"/>
        </w:rPr>
        <w:t> </w:t>
      </w:r>
      <w:r>
        <w:rPr>
          <w:rFonts w:ascii="Times New Roman" w:hAnsi="Times New Roman" w:cs="Times New Roman" w:eastAsia="Times New Roman" w:hint="default"/>
        </w:rPr>
        <w:t>100%</w:t>
      </w:r>
      <w:r>
        <w:rPr/>
        <w:t>； 注</w:t>
      </w:r>
      <w:r>
        <w:rPr>
          <w:spacing w:val="-55"/>
        </w:rPr>
        <w:t> </w:t>
      </w:r>
      <w:r>
        <w:rPr>
          <w:rFonts w:ascii="Times New Roman" w:hAnsi="Times New Roman" w:cs="Times New Roman" w:eastAsia="Times New Roman" w:hint="default"/>
        </w:rPr>
        <w:t>19</w:t>
      </w:r>
      <w:r>
        <w:rPr/>
        <w:t>：沈阳东软熙康医疗系统有限公司为本公司之间接控股子公司东软熙康健康科技有限公司出资设立，持股比例为</w:t>
      </w:r>
      <w:r>
        <w:rPr>
          <w:spacing w:val="-55"/>
        </w:rPr>
        <w:t> </w:t>
      </w:r>
      <w:r>
        <w:rPr>
          <w:rFonts w:ascii="Times New Roman" w:hAnsi="Times New Roman" w:cs="Times New Roman" w:eastAsia="Times New Roman" w:hint="default"/>
        </w:rPr>
        <w:t>100%</w:t>
      </w:r>
      <w:r>
        <w:rPr/>
        <w:t>； 注</w:t>
      </w:r>
      <w:r>
        <w:rPr>
          <w:spacing w:val="-55"/>
        </w:rPr>
        <w:t> </w:t>
      </w:r>
      <w:r>
        <w:rPr>
          <w:rFonts w:ascii="Times New Roman" w:hAnsi="Times New Roman" w:cs="Times New Roman" w:eastAsia="Times New Roman" w:hint="default"/>
        </w:rPr>
        <w:t>20</w:t>
      </w:r>
      <w:r>
        <w:rPr/>
        <w:t>：深圳市东软时尚数字技术有限公司为本公司之子公司广东东软时尚数字技术有限公司出资设立，持股比例为</w:t>
      </w:r>
      <w:r>
        <w:rPr>
          <w:spacing w:val="-55"/>
        </w:rPr>
        <w:t> </w:t>
      </w:r>
      <w:r>
        <w:rPr>
          <w:rFonts w:ascii="Times New Roman" w:hAnsi="Times New Roman" w:cs="Times New Roman" w:eastAsia="Times New Roman" w:hint="default"/>
        </w:rPr>
        <w:t>100%</w:t>
      </w:r>
      <w:r>
        <w:rPr/>
        <w:t>；</w:t>
      </w:r>
    </w:p>
    <w:p>
      <w:pPr>
        <w:pStyle w:val="BodyText"/>
        <w:spacing w:line="240" w:lineRule="auto" w:before="24"/>
        <w:ind w:left="665" w:right="2084"/>
        <w:jc w:val="left"/>
      </w:pPr>
      <w:r>
        <w:rPr/>
        <w:t>注</w:t>
      </w:r>
      <w:r>
        <w:rPr>
          <w:spacing w:val="-55"/>
        </w:rPr>
        <w:t> </w:t>
      </w:r>
      <w:r>
        <w:rPr>
          <w:rFonts w:ascii="Times New Roman" w:hAnsi="Times New Roman" w:cs="Times New Roman" w:eastAsia="Times New Roman" w:hint="default"/>
        </w:rPr>
        <w:t>21</w:t>
      </w:r>
      <w:r>
        <w:rPr/>
        <w:t>：天津熙康健康科技有限公司为本公司之间接控股子公司东软熙康健康科技有限公司出资设立，持股比例为</w:t>
      </w:r>
      <w:r>
        <w:rPr>
          <w:spacing w:val="-55"/>
        </w:rPr>
        <w:t> </w:t>
      </w:r>
      <w:r>
        <w:rPr>
          <w:rFonts w:ascii="Times New Roman" w:hAnsi="Times New Roman" w:cs="Times New Roman" w:eastAsia="Times New Roman" w:hint="default"/>
        </w:rPr>
        <w:t>75%</w:t>
      </w:r>
      <w:r>
        <w:rPr/>
        <w:t>；</w:t>
      </w:r>
    </w:p>
    <w:p>
      <w:pPr>
        <w:spacing w:after="0" w:line="240" w:lineRule="auto"/>
        <w:jc w:val="left"/>
        <w:sectPr>
          <w:pgSz w:w="16840" w:h="11910" w:orient="landscape"/>
          <w:pgMar w:header="883" w:footer="999" w:top="1600" w:bottom="1180" w:left="1300" w:right="1260"/>
        </w:sectPr>
      </w:pPr>
    </w:p>
    <w:p>
      <w:pPr>
        <w:spacing w:line="240" w:lineRule="auto" w:before="11"/>
        <w:rPr>
          <w:rFonts w:ascii="宋体" w:hAnsi="宋体" w:cs="宋体" w:eastAsia="宋体" w:hint="default"/>
          <w:sz w:val="24"/>
          <w:szCs w:val="24"/>
        </w:rPr>
      </w:pPr>
    </w:p>
    <w:p>
      <w:pPr>
        <w:pStyle w:val="Heading6"/>
        <w:spacing w:line="240" w:lineRule="auto"/>
        <w:ind w:left="666" w:right="2104"/>
        <w:jc w:val="left"/>
        <w:rPr>
          <w:b w:val="0"/>
          <w:bCs w:val="0"/>
        </w:rPr>
      </w:pPr>
      <w:r>
        <w:rPr/>
        <w:pict>
          <v:group style="position:absolute;margin-left:97.310997pt;margin-top:17.133675pt;width:677.1pt;height:326.5pt;mso-position-horizontal-relative:page;mso-position-vertical-relative:paragraph;z-index:-1130272" coordorigin="1946,343" coordsize="13542,6530">
            <v:group style="position:absolute;left:1965;top:358;width:13502;height:2" coordorigin="1965,358" coordsize="13502,2">
              <v:shape style="position:absolute;left:1965;top:358;width:13502;height:2" coordorigin="1965,358" coordsize="13502,0" path="m1965,358l15467,358e" filled="false" stroked="true" strokeweight="1.5pt" strokecolor="#000000">
                <v:path arrowok="t"/>
              </v:shape>
              <v:shape style="position:absolute;left:3817;top:344;width:10318;height:2057" type="#_x0000_t75" stroked="false">
                <v:imagedata r:id="rId88" o:title=""/>
              </v:shape>
              <v:shape style="position:absolute;left:1946;top:2353;width:13542;height:4520" type="#_x0000_t75" stroked="false">
                <v:imagedata r:id="rId89" o:title=""/>
              </v:shape>
              <v:shape style="position:absolute;left:4419;top:6032;width:49;height:840" type="#_x0000_t75" stroked="false">
                <v:imagedata r:id="rId90" o:title=""/>
              </v:shape>
              <v:shape style="position:absolute;left:4812;top:6032;width:49;height:840" type="#_x0000_t75" stroked="false">
                <v:imagedata r:id="rId91" o:title=""/>
              </v:shape>
              <v:shape style="position:absolute;left:5661;top:6032;width:49;height:840" type="#_x0000_t75" stroked="false">
                <v:imagedata r:id="rId92" o:title=""/>
              </v:shape>
              <v:shape style="position:absolute;left:6413;top:6032;width:49;height:840" type="#_x0000_t75" stroked="false">
                <v:imagedata r:id="rId92" o:title=""/>
              </v:shape>
              <v:shape style="position:absolute;left:9681;top:6032;width:49;height:840" type="#_x0000_t75" stroked="false">
                <v:imagedata r:id="rId92" o:title=""/>
              </v:shape>
              <v:shape style="position:absolute;left:10508;top:6023;width:67;height:845" type="#_x0000_t75" stroked="false">
                <v:imagedata r:id="rId93" o:title=""/>
              </v:shape>
              <v:shape style="position:absolute;left:11373;top:6032;width:49;height:840" type="#_x0000_t75" stroked="false">
                <v:imagedata r:id="rId91" o:title=""/>
              </v:shape>
              <v:shape style="position:absolute;left:11800;top:6032;width:49;height:840" type="#_x0000_t75" stroked="false">
                <v:imagedata r:id="rId92" o:title=""/>
              </v:shape>
              <v:shape style="position:absolute;left:12227;top:6032;width:49;height:840" type="#_x0000_t75" stroked="false">
                <v:imagedata r:id="rId92" o:title=""/>
              </v:shape>
              <v:shape style="position:absolute;left:12657;top:6032;width:49;height:840" type="#_x0000_t75" stroked="false">
                <v:imagedata r:id="rId92" o:title=""/>
              </v:shape>
              <v:shape style="position:absolute;left:13458;top:6032;width:49;height:840" type="#_x0000_t75" stroked="false">
                <v:imagedata r:id="rId91" o:title=""/>
              </v:shape>
              <v:shape style="position:absolute;left:14076;top:6032;width:49;height:840" type="#_x0000_t75" stroked="false">
                <v:imagedata r:id="rId92" o:title=""/>
              </v:shape>
            </v:group>
            <w10:wrap type="none"/>
          </v:group>
        </w:pict>
      </w:r>
      <w:r>
        <w:rPr>
          <w:rFonts w:ascii="Times New Roman" w:hAnsi="Times New Roman" w:cs="Times New Roman" w:eastAsia="Times New Roman" w:hint="default"/>
        </w:rPr>
        <w:t>2</w:t>
      </w:r>
      <w:r>
        <w:rPr/>
        <w:t>、通过同一控制下企业合并取得的子公司</w:t>
      </w:r>
      <w:r>
        <w:rPr>
          <w:b w:val="0"/>
          <w:bCs w:val="0"/>
        </w:rPr>
      </w:r>
    </w:p>
    <w:p>
      <w:pPr>
        <w:spacing w:line="240" w:lineRule="auto" w:before="3"/>
        <w:rPr>
          <w:rFonts w:ascii="宋体" w:hAnsi="宋体" w:cs="宋体" w:eastAsia="宋体" w:hint="default"/>
          <w:b/>
          <w:bCs/>
          <w:sz w:val="16"/>
          <w:szCs w:val="16"/>
        </w:rPr>
      </w:pPr>
    </w:p>
    <w:tbl>
      <w:tblPr>
        <w:tblW w:w="0" w:type="auto"/>
        <w:jc w:val="left"/>
        <w:tblInd w:w="651" w:type="dxa"/>
        <w:tblLayout w:type="fixed"/>
        <w:tblCellMar>
          <w:top w:w="0" w:type="dxa"/>
          <w:left w:w="0" w:type="dxa"/>
          <w:bottom w:w="0" w:type="dxa"/>
          <w:right w:w="0" w:type="dxa"/>
        </w:tblCellMar>
        <w:tblLook w:val="01E0"/>
      </w:tblPr>
      <w:tblGrid>
        <w:gridCol w:w="2465"/>
        <w:gridCol w:w="416"/>
        <w:gridCol w:w="848"/>
        <w:gridCol w:w="758"/>
        <w:gridCol w:w="3273"/>
        <w:gridCol w:w="1690"/>
        <w:gridCol w:w="424"/>
        <w:gridCol w:w="428"/>
        <w:gridCol w:w="439"/>
        <w:gridCol w:w="797"/>
        <w:gridCol w:w="607"/>
        <w:gridCol w:w="1371"/>
      </w:tblGrid>
      <w:tr>
        <w:trPr>
          <w:trHeight w:val="255" w:hRule="exact"/>
        </w:trPr>
        <w:tc>
          <w:tcPr>
            <w:tcW w:w="11538" w:type="dxa"/>
            <w:gridSpan w:val="10"/>
            <w:vMerge w:val="restart"/>
            <w:tcBorders>
              <w:top w:val="nil" w:sz="6" w:space="0" w:color="auto"/>
              <w:left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66"/>
              <w:ind w:left="5" w:right="0"/>
              <w:jc w:val="center"/>
              <w:rPr>
                <w:rFonts w:ascii="宋体" w:hAnsi="宋体" w:cs="宋体" w:eastAsia="宋体" w:hint="default"/>
                <w:sz w:val="11"/>
                <w:szCs w:val="11"/>
              </w:rPr>
            </w:pPr>
            <w:r>
              <w:rPr>
                <w:rFonts w:ascii="宋体" w:hAnsi="宋体" w:cs="宋体" w:eastAsia="宋体" w:hint="default"/>
                <w:sz w:val="11"/>
                <w:szCs w:val="11"/>
              </w:rPr>
              <w:t>从母公司所有者权益冲减子</w:t>
            </w:r>
          </w:p>
        </w:tc>
      </w:tr>
      <w:tr>
        <w:trPr>
          <w:trHeight w:val="200" w:hRule="exact"/>
        </w:trPr>
        <w:tc>
          <w:tcPr>
            <w:tcW w:w="11538" w:type="dxa"/>
            <w:gridSpan w:val="10"/>
            <w:vMerge/>
            <w:tcBorders>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center"/>
              <w:rPr>
                <w:rFonts w:ascii="宋体" w:hAnsi="宋体" w:cs="宋体" w:eastAsia="宋体" w:hint="default"/>
                <w:sz w:val="11"/>
                <w:szCs w:val="11"/>
              </w:rPr>
            </w:pPr>
            <w:r>
              <w:rPr>
                <w:rFonts w:ascii="宋体" w:hAnsi="宋体" w:cs="宋体" w:eastAsia="宋体" w:hint="default"/>
                <w:sz w:val="11"/>
                <w:szCs w:val="11"/>
              </w:rPr>
              <w:t>少数股东权</w:t>
            </w:r>
          </w:p>
        </w:tc>
        <w:tc>
          <w:tcPr>
            <w:tcW w:w="1371" w:type="dxa"/>
            <w:tcBorders>
              <w:top w:val="nil" w:sz="6" w:space="0" w:color="auto"/>
              <w:left w:val="nil" w:sz="6" w:space="0" w:color="auto"/>
              <w:bottom w:val="nil" w:sz="6" w:space="0" w:color="auto"/>
              <w:right w:val="nil" w:sz="6" w:space="0" w:color="auto"/>
            </w:tcBorders>
          </w:tcPr>
          <w:p>
            <w:pPr/>
          </w:p>
        </w:tc>
      </w:tr>
      <w:tr>
        <w:trPr>
          <w:trHeight w:val="200" w:hRule="exact"/>
        </w:trPr>
        <w:tc>
          <w:tcPr>
            <w:tcW w:w="2465"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
        </w:tc>
        <w:tc>
          <w:tcPr>
            <w:tcW w:w="848" w:type="dxa"/>
            <w:tcBorders>
              <w:top w:val="nil" w:sz="6" w:space="0" w:color="auto"/>
              <w:left w:val="nil" w:sz="6" w:space="0" w:color="auto"/>
              <w:bottom w:val="nil" w:sz="6" w:space="0" w:color="auto"/>
              <w:right w:val="nil" w:sz="6" w:space="0" w:color="auto"/>
            </w:tcBorders>
          </w:tcPr>
          <w:p>
            <w:pPr/>
          </w:p>
        </w:tc>
        <w:tc>
          <w:tcPr>
            <w:tcW w:w="758" w:type="dxa"/>
            <w:tcBorders>
              <w:top w:val="nil" w:sz="6" w:space="0" w:color="auto"/>
              <w:left w:val="nil" w:sz="6" w:space="0" w:color="auto"/>
              <w:bottom w:val="nil" w:sz="6" w:space="0" w:color="auto"/>
              <w:right w:val="nil" w:sz="6" w:space="0" w:color="auto"/>
            </w:tcBorders>
          </w:tcPr>
          <w:p>
            <w:pPr/>
          </w:p>
        </w:tc>
        <w:tc>
          <w:tcPr>
            <w:tcW w:w="3273" w:type="dxa"/>
            <w:tcBorders>
              <w:top w:val="nil" w:sz="6" w:space="0" w:color="auto"/>
              <w:left w:val="nil" w:sz="6" w:space="0" w:color="auto"/>
              <w:bottom w:val="nil" w:sz="6" w:space="0" w:color="auto"/>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3"/>
              <w:jc w:val="right"/>
              <w:rPr>
                <w:rFonts w:ascii="宋体" w:hAnsi="宋体" w:cs="宋体" w:eastAsia="宋体" w:hint="default"/>
                <w:sz w:val="11"/>
                <w:szCs w:val="11"/>
              </w:rPr>
            </w:pPr>
            <w:r>
              <w:rPr>
                <w:rFonts w:ascii="宋体" w:hAnsi="宋体" w:cs="宋体" w:eastAsia="宋体" w:hint="default"/>
                <w:spacing w:val="-1"/>
                <w:sz w:val="11"/>
                <w:szCs w:val="11"/>
              </w:rPr>
              <w:t>实质上构成对子</w:t>
            </w:r>
          </w:p>
        </w:tc>
        <w:tc>
          <w:tcPr>
            <w:tcW w:w="424" w:type="dxa"/>
            <w:tcBorders>
              <w:top w:val="nil" w:sz="6" w:space="0" w:color="auto"/>
              <w:left w:val="nil" w:sz="6" w:space="0" w:color="auto"/>
              <w:bottom w:val="nil" w:sz="6" w:space="0" w:color="auto"/>
              <w:right w:val="nil" w:sz="6" w:space="0" w:color="auto"/>
            </w:tcBorders>
          </w:tcPr>
          <w:p>
            <w:pPr/>
          </w:p>
        </w:tc>
        <w:tc>
          <w:tcPr>
            <w:tcW w:w="42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center"/>
              <w:rPr>
                <w:rFonts w:ascii="宋体" w:hAnsi="宋体" w:cs="宋体" w:eastAsia="宋体" w:hint="default"/>
                <w:sz w:val="11"/>
                <w:szCs w:val="11"/>
              </w:rPr>
            </w:pPr>
            <w:r>
              <w:rPr>
                <w:rFonts w:ascii="宋体" w:hAnsi="宋体" w:cs="宋体" w:eastAsia="宋体" w:hint="default"/>
                <w:sz w:val="11"/>
                <w:szCs w:val="11"/>
              </w:rPr>
              <w:t>表决权</w:t>
            </w:r>
          </w:p>
        </w:tc>
        <w:tc>
          <w:tcPr>
            <w:tcW w:w="439"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 w:right="0"/>
              <w:jc w:val="center"/>
              <w:rPr>
                <w:rFonts w:ascii="宋体" w:hAnsi="宋体" w:cs="宋体" w:eastAsia="宋体" w:hint="default"/>
                <w:sz w:val="11"/>
                <w:szCs w:val="11"/>
              </w:rPr>
            </w:pPr>
            <w:r>
              <w:rPr>
                <w:rFonts w:ascii="宋体" w:hAnsi="宋体" w:cs="宋体" w:eastAsia="宋体" w:hint="default"/>
                <w:sz w:val="11"/>
                <w:szCs w:val="11"/>
              </w:rPr>
              <w:t>公司少数股东分担的本期亏</w:t>
            </w:r>
          </w:p>
        </w:tc>
      </w:tr>
      <w:tr>
        <w:trPr>
          <w:trHeight w:val="200"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7"/>
              <w:jc w:val="right"/>
              <w:rPr>
                <w:rFonts w:ascii="宋体" w:hAnsi="宋体" w:cs="宋体" w:eastAsia="宋体" w:hint="default"/>
                <w:sz w:val="11"/>
                <w:szCs w:val="11"/>
              </w:rPr>
            </w:pPr>
            <w:r>
              <w:rPr>
                <w:rFonts w:ascii="宋体" w:hAnsi="宋体" w:cs="宋体" w:eastAsia="宋体" w:hint="default"/>
                <w:sz w:val="11"/>
                <w:szCs w:val="11"/>
              </w:rPr>
              <w:t>子公司类</w:t>
            </w:r>
          </w:p>
        </w:tc>
        <w:tc>
          <w:tcPr>
            <w:tcW w:w="416" w:type="dxa"/>
            <w:tcBorders>
              <w:top w:val="nil" w:sz="6" w:space="0" w:color="auto"/>
              <w:left w:val="nil" w:sz="6" w:space="0" w:color="auto"/>
              <w:bottom w:val="nil" w:sz="6" w:space="0" w:color="auto"/>
              <w:right w:val="nil" w:sz="6" w:space="0" w:color="auto"/>
            </w:tcBorders>
          </w:tcPr>
          <w:p>
            <w:pPr/>
          </w:p>
        </w:tc>
        <w:tc>
          <w:tcPr>
            <w:tcW w:w="848" w:type="dxa"/>
            <w:tcBorders>
              <w:top w:val="nil" w:sz="6" w:space="0" w:color="auto"/>
              <w:left w:val="nil" w:sz="6" w:space="0" w:color="auto"/>
              <w:bottom w:val="nil" w:sz="6" w:space="0" w:color="auto"/>
              <w:right w:val="nil" w:sz="6" w:space="0" w:color="auto"/>
            </w:tcBorders>
          </w:tcPr>
          <w:p>
            <w:pPr/>
          </w:p>
        </w:tc>
        <w:tc>
          <w:tcPr>
            <w:tcW w:w="758" w:type="dxa"/>
            <w:tcBorders>
              <w:top w:val="nil" w:sz="6" w:space="0" w:color="auto"/>
              <w:left w:val="nil" w:sz="6" w:space="0" w:color="auto"/>
              <w:bottom w:val="nil" w:sz="6" w:space="0" w:color="auto"/>
              <w:right w:val="nil" w:sz="6" w:space="0" w:color="auto"/>
            </w:tcBorders>
          </w:tcPr>
          <w:p>
            <w:pPr/>
          </w:p>
        </w:tc>
        <w:tc>
          <w:tcPr>
            <w:tcW w:w="3273" w:type="dxa"/>
            <w:tcBorders>
              <w:top w:val="nil" w:sz="6" w:space="0" w:color="auto"/>
              <w:left w:val="nil" w:sz="6" w:space="0" w:color="auto"/>
              <w:bottom w:val="nil" w:sz="6" w:space="0" w:color="auto"/>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
        </w:tc>
        <w:tc>
          <w:tcPr>
            <w:tcW w:w="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5" w:right="0"/>
              <w:jc w:val="left"/>
              <w:rPr>
                <w:rFonts w:ascii="宋体" w:hAnsi="宋体" w:cs="宋体" w:eastAsia="宋体" w:hint="default"/>
                <w:sz w:val="11"/>
                <w:szCs w:val="11"/>
              </w:rPr>
            </w:pPr>
            <w:r>
              <w:rPr>
                <w:rFonts w:ascii="宋体" w:hAnsi="宋体" w:cs="宋体" w:eastAsia="宋体" w:hint="default"/>
                <w:sz w:val="11"/>
                <w:szCs w:val="11"/>
              </w:rPr>
              <w:t>持股比</w:t>
            </w:r>
          </w:p>
        </w:tc>
        <w:tc>
          <w:tcPr>
            <w:tcW w:w="428" w:type="dxa"/>
            <w:tcBorders>
              <w:top w:val="nil" w:sz="6" w:space="0" w:color="auto"/>
              <w:left w:val="nil" w:sz="6" w:space="0" w:color="auto"/>
              <w:bottom w:val="nil" w:sz="6" w:space="0" w:color="auto"/>
              <w:right w:val="nil" w:sz="6" w:space="0" w:color="auto"/>
            </w:tcBorders>
          </w:tcPr>
          <w:p>
            <w:pPr/>
          </w:p>
        </w:tc>
        <w:tc>
          <w:tcPr>
            <w:tcW w:w="43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8"/>
              <w:jc w:val="center"/>
              <w:rPr>
                <w:rFonts w:ascii="宋体" w:hAnsi="宋体" w:cs="宋体" w:eastAsia="宋体" w:hint="default"/>
                <w:sz w:val="11"/>
                <w:szCs w:val="11"/>
              </w:rPr>
            </w:pPr>
            <w:r>
              <w:rPr>
                <w:rFonts w:ascii="宋体" w:hAnsi="宋体" w:cs="宋体" w:eastAsia="宋体" w:hint="default"/>
                <w:sz w:val="11"/>
                <w:szCs w:val="11"/>
              </w:rPr>
              <w:t>是否合</w:t>
            </w:r>
          </w:p>
        </w:tc>
        <w:tc>
          <w:tcPr>
            <w:tcW w:w="797" w:type="dxa"/>
            <w:tcBorders>
              <w:top w:val="nil" w:sz="6" w:space="0" w:color="auto"/>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center"/>
              <w:rPr>
                <w:rFonts w:ascii="宋体" w:hAnsi="宋体" w:cs="宋体" w:eastAsia="宋体" w:hint="default"/>
                <w:sz w:val="11"/>
                <w:szCs w:val="11"/>
              </w:rPr>
            </w:pPr>
            <w:r>
              <w:rPr>
                <w:rFonts w:ascii="宋体" w:hAnsi="宋体" w:cs="宋体" w:eastAsia="宋体" w:hint="default"/>
                <w:sz w:val="11"/>
                <w:szCs w:val="11"/>
              </w:rPr>
              <w:t>益中用于冲</w:t>
            </w:r>
          </w:p>
        </w:tc>
        <w:tc>
          <w:tcPr>
            <w:tcW w:w="1371" w:type="dxa"/>
            <w:tcBorders>
              <w:top w:val="nil" w:sz="6" w:space="0" w:color="auto"/>
              <w:left w:val="nil" w:sz="6" w:space="0" w:color="auto"/>
              <w:bottom w:val="nil" w:sz="6" w:space="0" w:color="auto"/>
              <w:right w:val="nil" w:sz="6" w:space="0" w:color="auto"/>
            </w:tcBorders>
          </w:tcPr>
          <w:p>
            <w:pPr/>
          </w:p>
        </w:tc>
      </w:tr>
      <w:tr>
        <w:trPr>
          <w:trHeight w:val="200"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680" w:right="0"/>
              <w:jc w:val="left"/>
              <w:rPr>
                <w:rFonts w:ascii="宋体" w:hAnsi="宋体" w:cs="宋体" w:eastAsia="宋体" w:hint="default"/>
                <w:sz w:val="11"/>
                <w:szCs w:val="11"/>
              </w:rPr>
            </w:pPr>
            <w:r>
              <w:rPr>
                <w:rFonts w:ascii="宋体" w:hAnsi="宋体" w:cs="宋体" w:eastAsia="宋体" w:hint="default"/>
                <w:sz w:val="11"/>
                <w:szCs w:val="11"/>
              </w:rPr>
              <w:t>子公司全称</w:t>
            </w: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7" w:right="0"/>
              <w:jc w:val="left"/>
              <w:rPr>
                <w:rFonts w:ascii="宋体" w:hAnsi="宋体" w:cs="宋体" w:eastAsia="宋体" w:hint="default"/>
                <w:sz w:val="11"/>
                <w:szCs w:val="11"/>
              </w:rPr>
            </w:pPr>
            <w:r>
              <w:rPr>
                <w:rFonts w:ascii="宋体" w:hAnsi="宋体" w:cs="宋体" w:eastAsia="宋体" w:hint="default"/>
                <w:sz w:val="11"/>
                <w:szCs w:val="11"/>
              </w:rPr>
              <w:t>注册地</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96"/>
              <w:jc w:val="right"/>
              <w:rPr>
                <w:rFonts w:ascii="宋体" w:hAnsi="宋体" w:cs="宋体" w:eastAsia="宋体" w:hint="default"/>
                <w:sz w:val="11"/>
                <w:szCs w:val="11"/>
              </w:rPr>
            </w:pPr>
            <w:r>
              <w:rPr>
                <w:rFonts w:ascii="宋体" w:hAnsi="宋体" w:cs="宋体" w:eastAsia="宋体" w:hint="default"/>
                <w:sz w:val="11"/>
                <w:szCs w:val="11"/>
              </w:rPr>
              <w:t>企业性质</w:t>
            </w:r>
          </w:p>
        </w:tc>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60" w:right="0"/>
              <w:jc w:val="left"/>
              <w:rPr>
                <w:rFonts w:ascii="宋体" w:hAnsi="宋体" w:cs="宋体" w:eastAsia="宋体" w:hint="default"/>
                <w:sz w:val="11"/>
                <w:szCs w:val="11"/>
              </w:rPr>
            </w:pPr>
            <w:r>
              <w:rPr>
                <w:rFonts w:ascii="宋体" w:hAnsi="宋体" w:cs="宋体" w:eastAsia="宋体" w:hint="default"/>
                <w:sz w:val="11"/>
                <w:szCs w:val="11"/>
              </w:rPr>
              <w:t>注册资本</w:t>
            </w:r>
          </w:p>
        </w:tc>
        <w:tc>
          <w:tcPr>
            <w:tcW w:w="327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
              <w:jc w:val="center"/>
              <w:rPr>
                <w:rFonts w:ascii="宋体" w:hAnsi="宋体" w:cs="宋体" w:eastAsia="宋体" w:hint="default"/>
                <w:sz w:val="11"/>
                <w:szCs w:val="11"/>
              </w:rPr>
            </w:pPr>
            <w:r>
              <w:rPr>
                <w:rFonts w:ascii="宋体" w:hAnsi="宋体" w:cs="宋体" w:eastAsia="宋体" w:hint="default"/>
                <w:sz w:val="11"/>
                <w:szCs w:val="11"/>
              </w:rPr>
              <w:t>经营范围</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43"/>
              <w:jc w:val="right"/>
              <w:rPr>
                <w:rFonts w:ascii="宋体" w:hAnsi="宋体" w:cs="宋体" w:eastAsia="宋体" w:hint="default"/>
                <w:sz w:val="11"/>
                <w:szCs w:val="11"/>
              </w:rPr>
            </w:pPr>
            <w:r>
              <w:rPr>
                <w:rFonts w:ascii="宋体" w:hAnsi="宋体" w:cs="宋体" w:eastAsia="宋体" w:hint="default"/>
                <w:sz w:val="11"/>
                <w:szCs w:val="11"/>
              </w:rPr>
              <w:t>期末实际投资额</w:t>
            </w:r>
            <w:r>
              <w:rPr>
                <w:rFonts w:ascii="宋体" w:hAnsi="宋体" w:cs="宋体" w:eastAsia="宋体" w:hint="default"/>
                <w:spacing w:val="21"/>
                <w:sz w:val="11"/>
                <w:szCs w:val="11"/>
              </w:rPr>
              <w:t> </w:t>
            </w:r>
            <w:r>
              <w:rPr>
                <w:rFonts w:ascii="宋体" w:hAnsi="宋体" w:cs="宋体" w:eastAsia="宋体" w:hint="default"/>
                <w:sz w:val="11"/>
                <w:szCs w:val="11"/>
              </w:rPr>
              <w:t>公司净投资的其</w:t>
            </w:r>
          </w:p>
        </w:tc>
        <w:tc>
          <w:tcPr>
            <w:tcW w:w="424" w:type="dxa"/>
            <w:tcBorders>
              <w:top w:val="nil" w:sz="6" w:space="0" w:color="auto"/>
              <w:left w:val="nil" w:sz="6" w:space="0" w:color="auto"/>
              <w:bottom w:val="nil" w:sz="6" w:space="0" w:color="auto"/>
              <w:right w:val="nil" w:sz="6" w:space="0" w:color="auto"/>
            </w:tcBorders>
          </w:tcPr>
          <w:p>
            <w:pPr/>
          </w:p>
        </w:tc>
        <w:tc>
          <w:tcPr>
            <w:tcW w:w="42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center"/>
              <w:rPr>
                <w:rFonts w:ascii="宋体" w:hAnsi="宋体" w:cs="宋体" w:eastAsia="宋体" w:hint="default"/>
                <w:sz w:val="11"/>
                <w:szCs w:val="11"/>
              </w:rPr>
            </w:pPr>
            <w:r>
              <w:rPr>
                <w:rFonts w:ascii="宋体" w:hAnsi="宋体" w:cs="宋体" w:eastAsia="宋体" w:hint="default"/>
                <w:sz w:val="11"/>
                <w:szCs w:val="11"/>
              </w:rPr>
              <w:t>比例</w:t>
            </w:r>
          </w:p>
        </w:tc>
        <w:tc>
          <w:tcPr>
            <w:tcW w:w="439"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74"/>
              <w:jc w:val="right"/>
              <w:rPr>
                <w:rFonts w:ascii="宋体" w:hAnsi="宋体" w:cs="宋体" w:eastAsia="宋体" w:hint="default"/>
                <w:sz w:val="11"/>
                <w:szCs w:val="11"/>
              </w:rPr>
            </w:pPr>
            <w:r>
              <w:rPr>
                <w:rFonts w:ascii="宋体" w:hAnsi="宋体" w:cs="宋体" w:eastAsia="宋体" w:hint="default"/>
                <w:spacing w:val="-1"/>
                <w:sz w:val="11"/>
                <w:szCs w:val="11"/>
              </w:rPr>
              <w:t>少数股东权益</w:t>
            </w:r>
          </w:p>
        </w:tc>
        <w:tc>
          <w:tcPr>
            <w:tcW w:w="607"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 w:right="0"/>
              <w:jc w:val="center"/>
              <w:rPr>
                <w:rFonts w:ascii="宋体" w:hAnsi="宋体" w:cs="宋体" w:eastAsia="宋体" w:hint="default"/>
                <w:sz w:val="11"/>
                <w:szCs w:val="11"/>
              </w:rPr>
            </w:pPr>
            <w:r>
              <w:rPr>
                <w:rFonts w:ascii="宋体" w:hAnsi="宋体" w:cs="宋体" w:eastAsia="宋体" w:hint="default"/>
                <w:sz w:val="11"/>
                <w:szCs w:val="11"/>
              </w:rPr>
              <w:t>损超过少数股东在该子公司</w:t>
            </w:r>
          </w:p>
        </w:tc>
      </w:tr>
      <w:tr>
        <w:trPr>
          <w:trHeight w:val="203"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12"/>
              <w:jc w:val="right"/>
              <w:rPr>
                <w:rFonts w:ascii="宋体" w:hAnsi="宋体" w:cs="宋体" w:eastAsia="宋体" w:hint="default"/>
                <w:sz w:val="11"/>
                <w:szCs w:val="11"/>
              </w:rPr>
            </w:pPr>
            <w:r>
              <w:rPr>
                <w:rFonts w:ascii="宋体" w:hAnsi="宋体" w:cs="宋体" w:eastAsia="宋体" w:hint="default"/>
                <w:w w:val="100"/>
                <w:sz w:val="11"/>
                <w:szCs w:val="11"/>
              </w:rPr>
              <w:t>型</w:t>
            </w:r>
          </w:p>
        </w:tc>
        <w:tc>
          <w:tcPr>
            <w:tcW w:w="416" w:type="dxa"/>
            <w:tcBorders>
              <w:top w:val="nil" w:sz="6" w:space="0" w:color="auto"/>
              <w:left w:val="nil" w:sz="6" w:space="0" w:color="auto"/>
              <w:bottom w:val="nil" w:sz="6" w:space="0" w:color="auto"/>
              <w:right w:val="nil" w:sz="6" w:space="0" w:color="auto"/>
            </w:tcBorders>
          </w:tcPr>
          <w:p>
            <w:pPr/>
          </w:p>
        </w:tc>
        <w:tc>
          <w:tcPr>
            <w:tcW w:w="848" w:type="dxa"/>
            <w:tcBorders>
              <w:top w:val="nil" w:sz="6" w:space="0" w:color="auto"/>
              <w:left w:val="nil" w:sz="6" w:space="0" w:color="auto"/>
              <w:bottom w:val="nil" w:sz="6" w:space="0" w:color="auto"/>
              <w:right w:val="nil" w:sz="6" w:space="0" w:color="auto"/>
            </w:tcBorders>
          </w:tcPr>
          <w:p>
            <w:pPr/>
          </w:p>
        </w:tc>
        <w:tc>
          <w:tcPr>
            <w:tcW w:w="758" w:type="dxa"/>
            <w:tcBorders>
              <w:top w:val="nil" w:sz="6" w:space="0" w:color="auto"/>
              <w:left w:val="nil" w:sz="6" w:space="0" w:color="auto"/>
              <w:bottom w:val="nil" w:sz="6" w:space="0" w:color="auto"/>
              <w:right w:val="nil" w:sz="6" w:space="0" w:color="auto"/>
            </w:tcBorders>
          </w:tcPr>
          <w:p>
            <w:pPr/>
          </w:p>
        </w:tc>
        <w:tc>
          <w:tcPr>
            <w:tcW w:w="3273" w:type="dxa"/>
            <w:tcBorders>
              <w:top w:val="nil" w:sz="6" w:space="0" w:color="auto"/>
              <w:left w:val="nil" w:sz="6" w:space="0" w:color="auto"/>
              <w:bottom w:val="nil" w:sz="6" w:space="0" w:color="auto"/>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
        </w:tc>
        <w:tc>
          <w:tcPr>
            <w:tcW w:w="42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72" w:right="0"/>
              <w:jc w:val="left"/>
              <w:rPr>
                <w:rFonts w:ascii="Times New Roman" w:hAnsi="Times New Roman" w:cs="Times New Roman" w:eastAsia="Times New Roman" w:hint="default"/>
                <w:sz w:val="11"/>
                <w:szCs w:val="11"/>
              </w:rPr>
            </w:pPr>
            <w:r>
              <w:rPr>
                <w:rFonts w:ascii="宋体" w:hAnsi="宋体" w:cs="宋体" w:eastAsia="宋体" w:hint="default"/>
                <w:sz w:val="11"/>
                <w:szCs w:val="11"/>
              </w:rPr>
              <w:t>例</w:t>
            </w:r>
            <w:r>
              <w:rPr>
                <w:rFonts w:ascii="Times New Roman" w:hAnsi="Times New Roman" w:cs="Times New Roman" w:eastAsia="Times New Roman" w:hint="default"/>
                <w:sz w:val="11"/>
                <w:szCs w:val="11"/>
              </w:rPr>
              <w:t>(%)</w:t>
            </w:r>
          </w:p>
        </w:tc>
        <w:tc>
          <w:tcPr>
            <w:tcW w:w="428" w:type="dxa"/>
            <w:tcBorders>
              <w:top w:val="nil" w:sz="6" w:space="0" w:color="auto"/>
              <w:left w:val="nil" w:sz="6" w:space="0" w:color="auto"/>
              <w:bottom w:val="nil" w:sz="6" w:space="0" w:color="auto"/>
              <w:right w:val="nil" w:sz="6" w:space="0" w:color="auto"/>
            </w:tcBorders>
          </w:tcPr>
          <w:p>
            <w:pPr/>
          </w:p>
        </w:tc>
        <w:tc>
          <w:tcPr>
            <w:tcW w:w="43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8"/>
              <w:jc w:val="center"/>
              <w:rPr>
                <w:rFonts w:ascii="宋体" w:hAnsi="宋体" w:cs="宋体" w:eastAsia="宋体" w:hint="default"/>
                <w:sz w:val="11"/>
                <w:szCs w:val="11"/>
              </w:rPr>
            </w:pPr>
            <w:r>
              <w:rPr>
                <w:rFonts w:ascii="宋体" w:hAnsi="宋体" w:cs="宋体" w:eastAsia="宋体" w:hint="default"/>
                <w:sz w:val="11"/>
                <w:szCs w:val="11"/>
              </w:rPr>
              <w:t>并报表</w:t>
            </w:r>
          </w:p>
        </w:tc>
        <w:tc>
          <w:tcPr>
            <w:tcW w:w="797" w:type="dxa"/>
            <w:tcBorders>
              <w:top w:val="nil" w:sz="6" w:space="0" w:color="auto"/>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center"/>
              <w:rPr>
                <w:rFonts w:ascii="宋体" w:hAnsi="宋体" w:cs="宋体" w:eastAsia="宋体" w:hint="default"/>
                <w:sz w:val="11"/>
                <w:szCs w:val="11"/>
              </w:rPr>
            </w:pPr>
            <w:r>
              <w:rPr>
                <w:rFonts w:ascii="宋体" w:hAnsi="宋体" w:cs="宋体" w:eastAsia="宋体" w:hint="default"/>
                <w:sz w:val="11"/>
                <w:szCs w:val="11"/>
              </w:rPr>
              <w:t>减少数股东</w:t>
            </w:r>
          </w:p>
        </w:tc>
        <w:tc>
          <w:tcPr>
            <w:tcW w:w="1371" w:type="dxa"/>
            <w:tcBorders>
              <w:top w:val="nil" w:sz="6" w:space="0" w:color="auto"/>
              <w:left w:val="nil" w:sz="6" w:space="0" w:color="auto"/>
              <w:bottom w:val="nil" w:sz="6" w:space="0" w:color="auto"/>
              <w:right w:val="nil" w:sz="6" w:space="0" w:color="auto"/>
            </w:tcBorders>
          </w:tcPr>
          <w:p>
            <w:pPr/>
          </w:p>
        </w:tc>
      </w:tr>
      <w:tr>
        <w:trPr>
          <w:trHeight w:val="397" w:hRule="exact"/>
        </w:trPr>
        <w:tc>
          <w:tcPr>
            <w:tcW w:w="2465"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
        </w:tc>
        <w:tc>
          <w:tcPr>
            <w:tcW w:w="848" w:type="dxa"/>
            <w:tcBorders>
              <w:top w:val="nil" w:sz="6" w:space="0" w:color="auto"/>
              <w:left w:val="nil" w:sz="6" w:space="0" w:color="auto"/>
              <w:bottom w:val="nil" w:sz="6" w:space="0" w:color="auto"/>
              <w:right w:val="nil" w:sz="6" w:space="0" w:color="auto"/>
            </w:tcBorders>
          </w:tcPr>
          <w:p>
            <w:pPr/>
          </w:p>
        </w:tc>
        <w:tc>
          <w:tcPr>
            <w:tcW w:w="758" w:type="dxa"/>
            <w:tcBorders>
              <w:top w:val="nil" w:sz="6" w:space="0" w:color="auto"/>
              <w:left w:val="nil" w:sz="6" w:space="0" w:color="auto"/>
              <w:bottom w:val="nil" w:sz="6" w:space="0" w:color="auto"/>
              <w:right w:val="nil" w:sz="6" w:space="0" w:color="auto"/>
            </w:tcBorders>
          </w:tcPr>
          <w:p>
            <w:pPr/>
          </w:p>
        </w:tc>
        <w:tc>
          <w:tcPr>
            <w:tcW w:w="3273" w:type="dxa"/>
            <w:tcBorders>
              <w:top w:val="nil" w:sz="6" w:space="0" w:color="auto"/>
              <w:left w:val="nil" w:sz="6" w:space="0" w:color="auto"/>
              <w:bottom w:val="nil" w:sz="6" w:space="0" w:color="auto"/>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53"/>
              <w:jc w:val="right"/>
              <w:rPr>
                <w:rFonts w:ascii="宋体" w:hAnsi="宋体" w:cs="宋体" w:eastAsia="宋体" w:hint="default"/>
                <w:sz w:val="11"/>
                <w:szCs w:val="11"/>
              </w:rPr>
            </w:pPr>
            <w:r>
              <w:rPr>
                <w:rFonts w:ascii="宋体" w:hAnsi="宋体" w:cs="宋体" w:eastAsia="宋体" w:hint="default"/>
                <w:spacing w:val="-1"/>
                <w:sz w:val="11"/>
                <w:szCs w:val="11"/>
              </w:rPr>
              <w:t>他项目余额</w:t>
            </w:r>
          </w:p>
        </w:tc>
        <w:tc>
          <w:tcPr>
            <w:tcW w:w="424" w:type="dxa"/>
            <w:tcBorders>
              <w:top w:val="nil" w:sz="6" w:space="0" w:color="auto"/>
              <w:left w:val="nil" w:sz="6" w:space="0" w:color="auto"/>
              <w:bottom w:val="nil" w:sz="6" w:space="0" w:color="auto"/>
              <w:right w:val="nil" w:sz="6" w:space="0" w:color="auto"/>
            </w:tcBorders>
          </w:tcPr>
          <w:p>
            <w:pPr/>
          </w:p>
        </w:tc>
        <w:tc>
          <w:tcPr>
            <w:tcW w:w="428"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
              <w:jc w:val="center"/>
              <w:rPr>
                <w:rFonts w:ascii="Times New Roman" w:hAnsi="Times New Roman" w:cs="Times New Roman" w:eastAsia="Times New Roman" w:hint="default"/>
                <w:sz w:val="11"/>
                <w:szCs w:val="11"/>
              </w:rPr>
            </w:pPr>
            <w:r>
              <w:rPr>
                <w:rFonts w:ascii="Times New Roman"/>
                <w:sz w:val="11"/>
              </w:rPr>
              <w:t>(%)</w:t>
            </w:r>
          </w:p>
        </w:tc>
        <w:tc>
          <w:tcPr>
            <w:tcW w:w="439"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0"/>
                <w:szCs w:val="10"/>
              </w:rPr>
            </w:pPr>
          </w:p>
          <w:p>
            <w:pPr>
              <w:pStyle w:val="TableParagraph"/>
              <w:spacing w:line="240" w:lineRule="auto" w:before="76"/>
              <w:ind w:right="0"/>
              <w:jc w:val="center"/>
              <w:rPr>
                <w:rFonts w:ascii="宋体" w:hAnsi="宋体" w:cs="宋体" w:eastAsia="宋体" w:hint="default"/>
                <w:sz w:val="11"/>
                <w:szCs w:val="11"/>
              </w:rPr>
            </w:pPr>
            <w:r>
              <w:rPr>
                <w:rFonts w:ascii="宋体" w:hAnsi="宋体" w:cs="宋体" w:eastAsia="宋体" w:hint="default"/>
                <w:sz w:val="11"/>
                <w:szCs w:val="11"/>
              </w:rPr>
              <w:t>损益的金额</w:t>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8"/>
              <w:ind w:left="5" w:right="0"/>
              <w:jc w:val="center"/>
              <w:rPr>
                <w:rFonts w:ascii="宋体" w:hAnsi="宋体" w:cs="宋体" w:eastAsia="宋体" w:hint="default"/>
                <w:sz w:val="11"/>
                <w:szCs w:val="11"/>
              </w:rPr>
            </w:pPr>
            <w:r>
              <w:rPr>
                <w:rFonts w:ascii="宋体" w:hAnsi="宋体" w:cs="宋体" w:eastAsia="宋体" w:hint="default"/>
                <w:sz w:val="11"/>
                <w:szCs w:val="11"/>
              </w:rPr>
              <w:t>期初所有者权益中所享有份</w:t>
            </w:r>
          </w:p>
        </w:tc>
      </w:tr>
      <w:tr>
        <w:trPr>
          <w:trHeight w:val="305" w:hRule="exact"/>
        </w:trPr>
        <w:tc>
          <w:tcPr>
            <w:tcW w:w="2465"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
        </w:tc>
        <w:tc>
          <w:tcPr>
            <w:tcW w:w="848" w:type="dxa"/>
            <w:tcBorders>
              <w:top w:val="nil" w:sz="6" w:space="0" w:color="auto"/>
              <w:left w:val="nil" w:sz="6" w:space="0" w:color="auto"/>
              <w:bottom w:val="nil" w:sz="6" w:space="0" w:color="auto"/>
              <w:right w:val="nil" w:sz="6" w:space="0" w:color="auto"/>
            </w:tcBorders>
          </w:tcPr>
          <w:p>
            <w:pPr/>
          </w:p>
        </w:tc>
        <w:tc>
          <w:tcPr>
            <w:tcW w:w="758" w:type="dxa"/>
            <w:tcBorders>
              <w:top w:val="nil" w:sz="6" w:space="0" w:color="auto"/>
              <w:left w:val="nil" w:sz="6" w:space="0" w:color="auto"/>
              <w:bottom w:val="nil" w:sz="6" w:space="0" w:color="auto"/>
              <w:right w:val="nil" w:sz="6" w:space="0" w:color="auto"/>
            </w:tcBorders>
          </w:tcPr>
          <w:p>
            <w:pPr/>
          </w:p>
        </w:tc>
        <w:tc>
          <w:tcPr>
            <w:tcW w:w="3273" w:type="dxa"/>
            <w:tcBorders>
              <w:top w:val="nil" w:sz="6" w:space="0" w:color="auto"/>
              <w:left w:val="nil" w:sz="6" w:space="0" w:color="auto"/>
              <w:bottom w:val="nil" w:sz="6" w:space="0" w:color="auto"/>
              <w:right w:val="nil" w:sz="6" w:space="0" w:color="auto"/>
            </w:tcBorders>
          </w:tcPr>
          <w:p>
            <w:pPr/>
          </w:p>
        </w:tc>
        <w:tc>
          <w:tcPr>
            <w:tcW w:w="1690" w:type="dxa"/>
            <w:tcBorders>
              <w:top w:val="nil" w:sz="6" w:space="0" w:color="auto"/>
              <w:left w:val="nil" w:sz="6" w:space="0" w:color="auto"/>
              <w:bottom w:val="nil" w:sz="6" w:space="0" w:color="auto"/>
              <w:right w:val="nil" w:sz="6" w:space="0" w:color="auto"/>
            </w:tcBorders>
          </w:tcPr>
          <w:p>
            <w:pPr/>
          </w:p>
        </w:tc>
        <w:tc>
          <w:tcPr>
            <w:tcW w:w="424" w:type="dxa"/>
            <w:tcBorders>
              <w:top w:val="nil" w:sz="6" w:space="0" w:color="auto"/>
              <w:left w:val="nil" w:sz="6" w:space="0" w:color="auto"/>
              <w:bottom w:val="nil" w:sz="6" w:space="0" w:color="auto"/>
              <w:right w:val="nil" w:sz="6" w:space="0" w:color="auto"/>
            </w:tcBorders>
          </w:tcPr>
          <w:p>
            <w:pPr/>
          </w:p>
        </w:tc>
        <w:tc>
          <w:tcPr>
            <w:tcW w:w="428" w:type="dxa"/>
            <w:tcBorders>
              <w:top w:val="nil" w:sz="6" w:space="0" w:color="auto"/>
              <w:left w:val="nil" w:sz="6" w:space="0" w:color="auto"/>
              <w:bottom w:val="nil" w:sz="6" w:space="0" w:color="auto"/>
              <w:right w:val="nil" w:sz="6" w:space="0" w:color="auto"/>
            </w:tcBorders>
          </w:tcPr>
          <w:p>
            <w:pPr/>
          </w:p>
        </w:tc>
        <w:tc>
          <w:tcPr>
            <w:tcW w:w="439"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 w:right="0"/>
              <w:jc w:val="center"/>
              <w:rPr>
                <w:rFonts w:ascii="宋体" w:hAnsi="宋体" w:cs="宋体" w:eastAsia="宋体" w:hint="default"/>
                <w:sz w:val="11"/>
                <w:szCs w:val="11"/>
              </w:rPr>
            </w:pPr>
            <w:r>
              <w:rPr>
                <w:rFonts w:ascii="宋体" w:hAnsi="宋体" w:cs="宋体" w:eastAsia="宋体" w:hint="default"/>
                <w:sz w:val="11"/>
                <w:szCs w:val="11"/>
              </w:rPr>
              <w:t>额后的余额</w:t>
            </w:r>
          </w:p>
        </w:tc>
      </w:tr>
      <w:tr>
        <w:trPr>
          <w:trHeight w:val="419"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8"/>
                <w:szCs w:val="8"/>
              </w:rPr>
            </w:pPr>
          </w:p>
          <w:p>
            <w:pPr>
              <w:pStyle w:val="TableParagraph"/>
              <w:tabs>
                <w:tab w:pos="1921" w:val="left" w:leader="none"/>
              </w:tabs>
              <w:spacing w:line="240" w:lineRule="auto"/>
              <w:ind w:left="34" w:right="0"/>
              <w:jc w:val="left"/>
              <w:rPr>
                <w:rFonts w:ascii="宋体" w:hAnsi="宋体" w:cs="宋体" w:eastAsia="宋体" w:hint="default"/>
                <w:sz w:val="11"/>
                <w:szCs w:val="11"/>
              </w:rPr>
            </w:pPr>
            <w:r>
              <w:rPr>
                <w:rFonts w:ascii="宋体" w:hAnsi="宋体" w:cs="宋体" w:eastAsia="宋体" w:hint="default"/>
                <w:spacing w:val="-1"/>
                <w:sz w:val="11"/>
                <w:szCs w:val="11"/>
              </w:rPr>
              <w:t>沈阳东软物业管理有限公司</w:t>
              <w:tab/>
            </w:r>
            <w:r>
              <w:rPr>
                <w:rFonts w:ascii="宋体" w:hAnsi="宋体" w:cs="宋体" w:eastAsia="宋体" w:hint="default"/>
                <w:sz w:val="11"/>
                <w:szCs w:val="11"/>
              </w:rPr>
              <w:t>全资</w:t>
            </w: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8"/>
                <w:szCs w:val="8"/>
              </w:rPr>
            </w:pPr>
          </w:p>
          <w:p>
            <w:pPr>
              <w:pStyle w:val="TableParagraph"/>
              <w:spacing w:line="240" w:lineRule="auto"/>
              <w:ind w:left="47" w:right="0"/>
              <w:jc w:val="left"/>
              <w:rPr>
                <w:rFonts w:ascii="宋体" w:hAnsi="宋体" w:cs="宋体" w:eastAsia="宋体" w:hint="default"/>
                <w:sz w:val="11"/>
                <w:szCs w:val="11"/>
              </w:rPr>
            </w:pPr>
            <w:r>
              <w:rPr>
                <w:rFonts w:ascii="宋体" w:hAnsi="宋体" w:cs="宋体" w:eastAsia="宋体" w:hint="default"/>
                <w:sz w:val="11"/>
                <w:szCs w:val="11"/>
              </w:rPr>
              <w:t>沈阳</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8"/>
                <w:szCs w:val="8"/>
              </w:rPr>
            </w:pPr>
          </w:p>
          <w:p>
            <w:pPr>
              <w:pStyle w:val="TableParagraph"/>
              <w:spacing w:line="240" w:lineRule="auto"/>
              <w:ind w:right="158"/>
              <w:jc w:val="right"/>
              <w:rPr>
                <w:rFonts w:ascii="宋体" w:hAnsi="宋体" w:cs="宋体" w:eastAsia="宋体" w:hint="default"/>
                <w:sz w:val="11"/>
                <w:szCs w:val="11"/>
              </w:rPr>
            </w:pPr>
            <w:r>
              <w:rPr>
                <w:rFonts w:ascii="宋体" w:hAnsi="宋体" w:cs="宋体" w:eastAsia="宋体" w:hint="default"/>
                <w:spacing w:val="-1"/>
                <w:sz w:val="11"/>
                <w:szCs w:val="11"/>
              </w:rPr>
              <w:t>有限责任公司</w:t>
            </w:r>
          </w:p>
        </w:tc>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1"/>
                <w:szCs w:val="11"/>
              </w:rPr>
            </w:pPr>
          </w:p>
          <w:p>
            <w:pPr>
              <w:pStyle w:val="TableParagraph"/>
              <w:spacing w:line="240" w:lineRule="auto"/>
              <w:ind w:right="19"/>
              <w:jc w:val="right"/>
              <w:rPr>
                <w:rFonts w:ascii="Times New Roman" w:hAnsi="Times New Roman" w:cs="Times New Roman" w:eastAsia="Times New Roman" w:hint="default"/>
                <w:sz w:val="11"/>
                <w:szCs w:val="11"/>
              </w:rPr>
            </w:pPr>
            <w:r>
              <w:rPr>
                <w:rFonts w:ascii="Times New Roman"/>
                <w:sz w:val="11"/>
              </w:rPr>
              <w:t>1,000,000</w:t>
            </w:r>
          </w:p>
        </w:tc>
        <w:tc>
          <w:tcPr>
            <w:tcW w:w="327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8"/>
                <w:szCs w:val="8"/>
              </w:rPr>
            </w:pPr>
          </w:p>
          <w:p>
            <w:pPr>
              <w:pStyle w:val="TableParagraph"/>
              <w:spacing w:line="240" w:lineRule="auto"/>
              <w:ind w:left="21" w:right="0"/>
              <w:jc w:val="left"/>
              <w:rPr>
                <w:rFonts w:ascii="宋体" w:hAnsi="宋体" w:cs="宋体" w:eastAsia="宋体" w:hint="default"/>
                <w:sz w:val="11"/>
                <w:szCs w:val="11"/>
              </w:rPr>
            </w:pPr>
            <w:r>
              <w:rPr>
                <w:rFonts w:ascii="宋体" w:hAnsi="宋体" w:cs="宋体" w:eastAsia="宋体" w:hint="default"/>
                <w:sz w:val="11"/>
                <w:szCs w:val="11"/>
              </w:rPr>
              <w:t>物业管理及服务</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1"/>
                <w:szCs w:val="11"/>
              </w:rPr>
            </w:pPr>
          </w:p>
          <w:p>
            <w:pPr>
              <w:pStyle w:val="TableParagraph"/>
              <w:spacing w:line="240" w:lineRule="auto"/>
              <w:ind w:left="367" w:right="0"/>
              <w:jc w:val="left"/>
              <w:rPr>
                <w:rFonts w:ascii="Times New Roman" w:hAnsi="Times New Roman" w:cs="Times New Roman" w:eastAsia="Times New Roman" w:hint="default"/>
                <w:sz w:val="11"/>
                <w:szCs w:val="11"/>
              </w:rPr>
            </w:pPr>
            <w:r>
              <w:rPr>
                <w:rFonts w:ascii="Times New Roman"/>
                <w:sz w:val="11"/>
              </w:rPr>
              <w:t>1,000,000</w:t>
            </w:r>
          </w:p>
        </w:tc>
        <w:tc>
          <w:tcPr>
            <w:tcW w:w="42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1"/>
                <w:szCs w:val="11"/>
              </w:rPr>
            </w:pPr>
          </w:p>
          <w:p>
            <w:pPr>
              <w:pStyle w:val="TableParagraph"/>
              <w:spacing w:line="240" w:lineRule="auto"/>
              <w:ind w:left="127" w:right="0"/>
              <w:jc w:val="left"/>
              <w:rPr>
                <w:rFonts w:ascii="Times New Roman" w:hAnsi="Times New Roman" w:cs="Times New Roman" w:eastAsia="Times New Roman" w:hint="default"/>
                <w:sz w:val="11"/>
                <w:szCs w:val="11"/>
              </w:rPr>
            </w:pPr>
            <w:r>
              <w:rPr>
                <w:rFonts w:ascii="Times New Roman"/>
                <w:sz w:val="11"/>
              </w:rPr>
              <w:t>100</w:t>
            </w:r>
          </w:p>
        </w:tc>
        <w:tc>
          <w:tcPr>
            <w:tcW w:w="42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1"/>
                <w:szCs w:val="11"/>
              </w:rPr>
            </w:pPr>
          </w:p>
          <w:p>
            <w:pPr>
              <w:pStyle w:val="TableParagraph"/>
              <w:spacing w:line="240" w:lineRule="auto"/>
              <w:ind w:right="0"/>
              <w:jc w:val="center"/>
              <w:rPr>
                <w:rFonts w:ascii="Times New Roman" w:hAnsi="Times New Roman" w:cs="Times New Roman" w:eastAsia="Times New Roman" w:hint="default"/>
                <w:sz w:val="11"/>
                <w:szCs w:val="11"/>
              </w:rPr>
            </w:pPr>
            <w:r>
              <w:rPr>
                <w:rFonts w:ascii="Times New Roman"/>
                <w:sz w:val="11"/>
              </w:rPr>
              <w:t>100</w:t>
            </w:r>
          </w:p>
        </w:tc>
        <w:tc>
          <w:tcPr>
            <w:tcW w:w="43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8"/>
                <w:szCs w:val="8"/>
              </w:rPr>
            </w:pPr>
          </w:p>
          <w:p>
            <w:pPr>
              <w:pStyle w:val="TableParagraph"/>
              <w:spacing w:line="240" w:lineRule="auto"/>
              <w:ind w:right="11"/>
              <w:jc w:val="center"/>
              <w:rPr>
                <w:rFonts w:ascii="宋体" w:hAnsi="宋体" w:cs="宋体" w:eastAsia="宋体" w:hint="default"/>
                <w:sz w:val="11"/>
                <w:szCs w:val="11"/>
              </w:rPr>
            </w:pPr>
            <w:r>
              <w:rPr>
                <w:rFonts w:ascii="宋体" w:hAnsi="宋体" w:cs="宋体" w:eastAsia="宋体" w:hint="default"/>
                <w:w w:val="100"/>
                <w:sz w:val="11"/>
                <w:szCs w:val="11"/>
              </w:rPr>
              <w:t>是</w:t>
            </w:r>
          </w:p>
        </w:tc>
        <w:tc>
          <w:tcPr>
            <w:tcW w:w="797" w:type="dxa"/>
            <w:tcBorders>
              <w:top w:val="nil" w:sz="6" w:space="0" w:color="auto"/>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
        </w:tc>
      </w:tr>
      <w:tr>
        <w:trPr>
          <w:trHeight w:val="410"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tabs>
                <w:tab w:pos="1921" w:val="left" w:leader="none"/>
              </w:tabs>
              <w:spacing w:line="240" w:lineRule="auto"/>
              <w:ind w:left="34" w:right="0"/>
              <w:jc w:val="left"/>
              <w:rPr>
                <w:rFonts w:ascii="宋体" w:hAnsi="宋体" w:cs="宋体" w:eastAsia="宋体" w:hint="default"/>
                <w:sz w:val="11"/>
                <w:szCs w:val="11"/>
              </w:rPr>
            </w:pPr>
            <w:r>
              <w:rPr>
                <w:rFonts w:ascii="宋体" w:hAnsi="宋体" w:cs="宋体" w:eastAsia="宋体" w:hint="default"/>
                <w:spacing w:val="-1"/>
                <w:sz w:val="11"/>
                <w:szCs w:val="11"/>
              </w:rPr>
              <w:t>东软集团（成都）有限公司</w:t>
              <w:tab/>
            </w:r>
            <w:r>
              <w:rPr>
                <w:rFonts w:ascii="宋体" w:hAnsi="宋体" w:cs="宋体" w:eastAsia="宋体" w:hint="default"/>
                <w:sz w:val="11"/>
                <w:szCs w:val="11"/>
              </w:rPr>
              <w:t>全资</w:t>
            </w: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left="47" w:right="0"/>
              <w:jc w:val="left"/>
              <w:rPr>
                <w:rFonts w:ascii="宋体" w:hAnsi="宋体" w:cs="宋体" w:eastAsia="宋体" w:hint="default"/>
                <w:sz w:val="11"/>
                <w:szCs w:val="11"/>
              </w:rPr>
            </w:pPr>
            <w:r>
              <w:rPr>
                <w:rFonts w:ascii="宋体" w:hAnsi="宋体" w:cs="宋体" w:eastAsia="宋体" w:hint="default"/>
                <w:sz w:val="11"/>
                <w:szCs w:val="11"/>
              </w:rPr>
              <w:t>成都</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right="158"/>
              <w:jc w:val="right"/>
              <w:rPr>
                <w:rFonts w:ascii="宋体" w:hAnsi="宋体" w:cs="宋体" w:eastAsia="宋体" w:hint="default"/>
                <w:sz w:val="11"/>
                <w:szCs w:val="11"/>
              </w:rPr>
            </w:pPr>
            <w:r>
              <w:rPr>
                <w:rFonts w:ascii="宋体" w:hAnsi="宋体" w:cs="宋体" w:eastAsia="宋体" w:hint="default"/>
                <w:spacing w:val="-1"/>
                <w:sz w:val="11"/>
                <w:szCs w:val="11"/>
              </w:rPr>
              <w:t>有限责任公司</w:t>
            </w:r>
          </w:p>
        </w:tc>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9"/>
              <w:jc w:val="right"/>
              <w:rPr>
                <w:rFonts w:ascii="Times New Roman" w:hAnsi="Times New Roman" w:cs="Times New Roman" w:eastAsia="Times New Roman" w:hint="default"/>
                <w:sz w:val="11"/>
                <w:szCs w:val="11"/>
              </w:rPr>
            </w:pPr>
            <w:r>
              <w:rPr>
                <w:rFonts w:ascii="Times New Roman"/>
                <w:sz w:val="11"/>
              </w:rPr>
              <w:t>1,000,000</w:t>
            </w:r>
          </w:p>
        </w:tc>
        <w:tc>
          <w:tcPr>
            <w:tcW w:w="327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left="21" w:right="0"/>
              <w:jc w:val="left"/>
              <w:rPr>
                <w:rFonts w:ascii="宋体" w:hAnsi="宋体" w:cs="宋体" w:eastAsia="宋体" w:hint="default"/>
                <w:sz w:val="11"/>
                <w:szCs w:val="11"/>
              </w:rPr>
            </w:pPr>
            <w:r>
              <w:rPr>
                <w:rFonts w:ascii="宋体" w:hAnsi="宋体" w:cs="宋体" w:eastAsia="宋体" w:hint="default"/>
                <w:sz w:val="11"/>
                <w:szCs w:val="11"/>
              </w:rPr>
              <w:t>经营计算机软硬件</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367" w:right="0"/>
              <w:jc w:val="left"/>
              <w:rPr>
                <w:rFonts w:ascii="Times New Roman" w:hAnsi="Times New Roman" w:cs="Times New Roman" w:eastAsia="Times New Roman" w:hint="default"/>
                <w:sz w:val="11"/>
                <w:szCs w:val="11"/>
              </w:rPr>
            </w:pPr>
            <w:r>
              <w:rPr>
                <w:rFonts w:ascii="Times New Roman"/>
                <w:sz w:val="11"/>
              </w:rPr>
              <w:t>1,000,000</w:t>
            </w:r>
          </w:p>
        </w:tc>
        <w:tc>
          <w:tcPr>
            <w:tcW w:w="42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127" w:right="0"/>
              <w:jc w:val="left"/>
              <w:rPr>
                <w:rFonts w:ascii="Times New Roman" w:hAnsi="Times New Roman" w:cs="Times New Roman" w:eastAsia="Times New Roman" w:hint="default"/>
                <w:sz w:val="11"/>
                <w:szCs w:val="11"/>
              </w:rPr>
            </w:pPr>
            <w:r>
              <w:rPr>
                <w:rFonts w:ascii="Times New Roman"/>
                <w:sz w:val="11"/>
              </w:rPr>
              <w:t>100</w:t>
            </w:r>
          </w:p>
        </w:tc>
        <w:tc>
          <w:tcPr>
            <w:tcW w:w="42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0"/>
              <w:jc w:val="center"/>
              <w:rPr>
                <w:rFonts w:ascii="Times New Roman" w:hAnsi="Times New Roman" w:cs="Times New Roman" w:eastAsia="Times New Roman" w:hint="default"/>
                <w:sz w:val="11"/>
                <w:szCs w:val="11"/>
              </w:rPr>
            </w:pPr>
            <w:r>
              <w:rPr>
                <w:rFonts w:ascii="Times New Roman"/>
                <w:sz w:val="11"/>
              </w:rPr>
              <w:t>100</w:t>
            </w:r>
          </w:p>
        </w:tc>
        <w:tc>
          <w:tcPr>
            <w:tcW w:w="43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right="11"/>
              <w:jc w:val="center"/>
              <w:rPr>
                <w:rFonts w:ascii="宋体" w:hAnsi="宋体" w:cs="宋体" w:eastAsia="宋体" w:hint="default"/>
                <w:sz w:val="11"/>
                <w:szCs w:val="11"/>
              </w:rPr>
            </w:pPr>
            <w:r>
              <w:rPr>
                <w:rFonts w:ascii="宋体" w:hAnsi="宋体" w:cs="宋体" w:eastAsia="宋体" w:hint="default"/>
                <w:w w:val="100"/>
                <w:sz w:val="11"/>
                <w:szCs w:val="11"/>
              </w:rPr>
              <w:t>是</w:t>
            </w:r>
          </w:p>
        </w:tc>
        <w:tc>
          <w:tcPr>
            <w:tcW w:w="797" w:type="dxa"/>
            <w:tcBorders>
              <w:top w:val="nil" w:sz="6" w:space="0" w:color="auto"/>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
        </w:tc>
      </w:tr>
      <w:tr>
        <w:trPr>
          <w:trHeight w:val="410"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tabs>
                <w:tab w:pos="1921" w:val="left" w:leader="none"/>
              </w:tabs>
              <w:spacing w:line="240" w:lineRule="auto"/>
              <w:ind w:left="34" w:right="0"/>
              <w:jc w:val="left"/>
              <w:rPr>
                <w:rFonts w:ascii="宋体" w:hAnsi="宋体" w:cs="宋体" w:eastAsia="宋体" w:hint="default"/>
                <w:sz w:val="11"/>
                <w:szCs w:val="11"/>
              </w:rPr>
            </w:pPr>
            <w:r>
              <w:rPr>
                <w:rFonts w:ascii="宋体" w:hAnsi="宋体" w:cs="宋体" w:eastAsia="宋体" w:hint="default"/>
                <w:spacing w:val="-1"/>
                <w:sz w:val="11"/>
                <w:szCs w:val="11"/>
              </w:rPr>
              <w:t>沈阳东软信息技术服务有限公司</w:t>
              <w:tab/>
            </w:r>
            <w:r>
              <w:rPr>
                <w:rFonts w:ascii="宋体" w:hAnsi="宋体" w:cs="宋体" w:eastAsia="宋体" w:hint="default"/>
                <w:sz w:val="11"/>
                <w:szCs w:val="11"/>
              </w:rPr>
              <w:t>全资</w:t>
            </w: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240" w:lineRule="auto"/>
              <w:ind w:left="48" w:right="0"/>
              <w:jc w:val="left"/>
              <w:rPr>
                <w:rFonts w:ascii="宋体" w:hAnsi="宋体" w:cs="宋体" w:eastAsia="宋体" w:hint="default"/>
                <w:sz w:val="11"/>
                <w:szCs w:val="11"/>
              </w:rPr>
            </w:pPr>
            <w:r>
              <w:rPr>
                <w:rFonts w:ascii="宋体" w:hAnsi="宋体" w:cs="宋体" w:eastAsia="宋体" w:hint="default"/>
                <w:sz w:val="11"/>
                <w:szCs w:val="11"/>
              </w:rPr>
              <w:t>沈阳</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240" w:lineRule="auto"/>
              <w:ind w:right="158"/>
              <w:jc w:val="right"/>
              <w:rPr>
                <w:rFonts w:ascii="宋体" w:hAnsi="宋体" w:cs="宋体" w:eastAsia="宋体" w:hint="default"/>
                <w:sz w:val="11"/>
                <w:szCs w:val="11"/>
              </w:rPr>
            </w:pPr>
            <w:r>
              <w:rPr>
                <w:rFonts w:ascii="宋体" w:hAnsi="宋体" w:cs="宋体" w:eastAsia="宋体" w:hint="default"/>
                <w:spacing w:val="-1"/>
                <w:sz w:val="11"/>
                <w:szCs w:val="11"/>
              </w:rPr>
              <w:t>有限责任公司</w:t>
            </w:r>
          </w:p>
        </w:tc>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right="19"/>
              <w:jc w:val="right"/>
              <w:rPr>
                <w:rFonts w:ascii="Times New Roman" w:hAnsi="Times New Roman" w:cs="Times New Roman" w:eastAsia="Times New Roman" w:hint="default"/>
                <w:sz w:val="11"/>
                <w:szCs w:val="11"/>
              </w:rPr>
            </w:pPr>
            <w:r>
              <w:rPr>
                <w:rFonts w:ascii="Times New Roman"/>
                <w:spacing w:val="-1"/>
                <w:sz w:val="11"/>
              </w:rPr>
              <w:t>310,000,000</w:t>
            </w:r>
          </w:p>
        </w:tc>
        <w:tc>
          <w:tcPr>
            <w:tcW w:w="327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240" w:lineRule="auto"/>
              <w:ind w:left="21" w:right="0"/>
              <w:jc w:val="left"/>
              <w:rPr>
                <w:rFonts w:ascii="宋体" w:hAnsi="宋体" w:cs="宋体" w:eastAsia="宋体" w:hint="default"/>
                <w:sz w:val="11"/>
                <w:szCs w:val="11"/>
              </w:rPr>
            </w:pPr>
            <w:r>
              <w:rPr>
                <w:rFonts w:ascii="宋体" w:hAnsi="宋体" w:cs="宋体" w:eastAsia="宋体" w:hint="default"/>
                <w:sz w:val="11"/>
                <w:szCs w:val="11"/>
              </w:rPr>
              <w:t>经营计算机软硬件</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258" w:right="0"/>
              <w:jc w:val="left"/>
              <w:rPr>
                <w:rFonts w:ascii="Times New Roman" w:hAnsi="Times New Roman" w:cs="Times New Roman" w:eastAsia="Times New Roman" w:hint="default"/>
                <w:sz w:val="11"/>
                <w:szCs w:val="11"/>
              </w:rPr>
            </w:pPr>
            <w:r>
              <w:rPr>
                <w:rFonts w:ascii="Times New Roman"/>
                <w:sz w:val="11"/>
              </w:rPr>
              <w:t>310,000,000</w:t>
            </w:r>
          </w:p>
        </w:tc>
        <w:tc>
          <w:tcPr>
            <w:tcW w:w="42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127" w:right="0"/>
              <w:jc w:val="left"/>
              <w:rPr>
                <w:rFonts w:ascii="Times New Roman" w:hAnsi="Times New Roman" w:cs="Times New Roman" w:eastAsia="Times New Roman" w:hint="default"/>
                <w:sz w:val="11"/>
                <w:szCs w:val="11"/>
              </w:rPr>
            </w:pPr>
            <w:r>
              <w:rPr>
                <w:rFonts w:ascii="Times New Roman"/>
                <w:sz w:val="11"/>
              </w:rPr>
              <w:t>100</w:t>
            </w:r>
          </w:p>
        </w:tc>
        <w:tc>
          <w:tcPr>
            <w:tcW w:w="42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right="0"/>
              <w:jc w:val="center"/>
              <w:rPr>
                <w:rFonts w:ascii="Times New Roman" w:hAnsi="Times New Roman" w:cs="Times New Roman" w:eastAsia="Times New Roman" w:hint="default"/>
                <w:sz w:val="11"/>
                <w:szCs w:val="11"/>
              </w:rPr>
            </w:pPr>
            <w:r>
              <w:rPr>
                <w:rFonts w:ascii="Times New Roman"/>
                <w:sz w:val="11"/>
              </w:rPr>
              <w:t>100</w:t>
            </w:r>
          </w:p>
        </w:tc>
        <w:tc>
          <w:tcPr>
            <w:tcW w:w="43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240" w:lineRule="auto"/>
              <w:ind w:right="11"/>
              <w:jc w:val="center"/>
              <w:rPr>
                <w:rFonts w:ascii="宋体" w:hAnsi="宋体" w:cs="宋体" w:eastAsia="宋体" w:hint="default"/>
                <w:sz w:val="11"/>
                <w:szCs w:val="11"/>
              </w:rPr>
            </w:pPr>
            <w:r>
              <w:rPr>
                <w:rFonts w:ascii="宋体" w:hAnsi="宋体" w:cs="宋体" w:eastAsia="宋体" w:hint="default"/>
                <w:w w:val="100"/>
                <w:sz w:val="11"/>
                <w:szCs w:val="11"/>
              </w:rPr>
              <w:t>是</w:t>
            </w:r>
          </w:p>
        </w:tc>
        <w:tc>
          <w:tcPr>
            <w:tcW w:w="797" w:type="dxa"/>
            <w:tcBorders>
              <w:top w:val="nil" w:sz="6" w:space="0" w:color="auto"/>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
        </w:tc>
      </w:tr>
      <w:tr>
        <w:trPr>
          <w:trHeight w:val="410"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tabs>
                <w:tab w:pos="1921" w:val="left" w:leader="none"/>
              </w:tabs>
              <w:spacing w:line="240" w:lineRule="auto"/>
              <w:ind w:left="34" w:right="0"/>
              <w:jc w:val="left"/>
              <w:rPr>
                <w:rFonts w:ascii="宋体" w:hAnsi="宋体" w:cs="宋体" w:eastAsia="宋体" w:hint="default"/>
                <w:sz w:val="11"/>
                <w:szCs w:val="11"/>
              </w:rPr>
            </w:pPr>
            <w:r>
              <w:rPr>
                <w:rFonts w:ascii="宋体" w:hAnsi="宋体" w:cs="宋体" w:eastAsia="宋体" w:hint="default"/>
                <w:spacing w:val="-1"/>
                <w:sz w:val="11"/>
                <w:szCs w:val="11"/>
              </w:rPr>
              <w:t>东软集团（大连）有限公司</w:t>
              <w:tab/>
            </w:r>
            <w:r>
              <w:rPr>
                <w:rFonts w:ascii="宋体" w:hAnsi="宋体" w:cs="宋体" w:eastAsia="宋体" w:hint="default"/>
                <w:sz w:val="11"/>
                <w:szCs w:val="11"/>
              </w:rPr>
              <w:t>全资</w:t>
            </w: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240" w:lineRule="auto"/>
              <w:ind w:left="47" w:right="0"/>
              <w:jc w:val="left"/>
              <w:rPr>
                <w:rFonts w:ascii="宋体" w:hAnsi="宋体" w:cs="宋体" w:eastAsia="宋体" w:hint="default"/>
                <w:sz w:val="11"/>
                <w:szCs w:val="11"/>
              </w:rPr>
            </w:pPr>
            <w:r>
              <w:rPr>
                <w:rFonts w:ascii="宋体" w:hAnsi="宋体" w:cs="宋体" w:eastAsia="宋体" w:hint="default"/>
                <w:sz w:val="11"/>
                <w:szCs w:val="11"/>
              </w:rPr>
              <w:t>大连</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240" w:lineRule="auto"/>
              <w:ind w:right="158"/>
              <w:jc w:val="right"/>
              <w:rPr>
                <w:rFonts w:ascii="宋体" w:hAnsi="宋体" w:cs="宋体" w:eastAsia="宋体" w:hint="default"/>
                <w:sz w:val="11"/>
                <w:szCs w:val="11"/>
              </w:rPr>
            </w:pPr>
            <w:r>
              <w:rPr>
                <w:rFonts w:ascii="宋体" w:hAnsi="宋体" w:cs="宋体" w:eastAsia="宋体" w:hint="default"/>
                <w:spacing w:val="-1"/>
                <w:sz w:val="11"/>
                <w:szCs w:val="11"/>
              </w:rPr>
              <w:t>有限责任公司</w:t>
            </w:r>
          </w:p>
        </w:tc>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right="19"/>
              <w:jc w:val="right"/>
              <w:rPr>
                <w:rFonts w:ascii="Times New Roman" w:hAnsi="Times New Roman" w:cs="Times New Roman" w:eastAsia="Times New Roman" w:hint="default"/>
                <w:sz w:val="11"/>
                <w:szCs w:val="11"/>
              </w:rPr>
            </w:pPr>
            <w:r>
              <w:rPr>
                <w:rFonts w:ascii="Times New Roman"/>
                <w:spacing w:val="-1"/>
                <w:sz w:val="11"/>
              </w:rPr>
              <w:t>300,000,000</w:t>
            </w:r>
          </w:p>
        </w:tc>
        <w:tc>
          <w:tcPr>
            <w:tcW w:w="327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240" w:lineRule="auto"/>
              <w:ind w:left="21" w:right="0"/>
              <w:jc w:val="left"/>
              <w:rPr>
                <w:rFonts w:ascii="宋体" w:hAnsi="宋体" w:cs="宋体" w:eastAsia="宋体" w:hint="default"/>
                <w:sz w:val="11"/>
                <w:szCs w:val="11"/>
              </w:rPr>
            </w:pPr>
            <w:r>
              <w:rPr>
                <w:rFonts w:ascii="宋体" w:hAnsi="宋体" w:cs="宋体" w:eastAsia="宋体" w:hint="default"/>
                <w:sz w:val="11"/>
                <w:szCs w:val="11"/>
              </w:rPr>
              <w:t>经营计算机软硬件</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258" w:right="0"/>
              <w:jc w:val="left"/>
              <w:rPr>
                <w:rFonts w:ascii="Times New Roman" w:hAnsi="Times New Roman" w:cs="Times New Roman" w:eastAsia="Times New Roman" w:hint="default"/>
                <w:sz w:val="11"/>
                <w:szCs w:val="11"/>
              </w:rPr>
            </w:pPr>
            <w:r>
              <w:rPr>
                <w:rFonts w:ascii="Times New Roman"/>
                <w:sz w:val="11"/>
              </w:rPr>
              <w:t>300,000,000</w:t>
            </w:r>
          </w:p>
        </w:tc>
        <w:tc>
          <w:tcPr>
            <w:tcW w:w="42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127" w:right="0"/>
              <w:jc w:val="left"/>
              <w:rPr>
                <w:rFonts w:ascii="Times New Roman" w:hAnsi="Times New Roman" w:cs="Times New Roman" w:eastAsia="Times New Roman" w:hint="default"/>
                <w:sz w:val="11"/>
                <w:szCs w:val="11"/>
              </w:rPr>
            </w:pPr>
            <w:r>
              <w:rPr>
                <w:rFonts w:ascii="Times New Roman"/>
                <w:sz w:val="11"/>
              </w:rPr>
              <w:t>100</w:t>
            </w:r>
          </w:p>
        </w:tc>
        <w:tc>
          <w:tcPr>
            <w:tcW w:w="42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right="0"/>
              <w:jc w:val="center"/>
              <w:rPr>
                <w:rFonts w:ascii="Times New Roman" w:hAnsi="Times New Roman" w:cs="Times New Roman" w:eastAsia="Times New Roman" w:hint="default"/>
                <w:sz w:val="11"/>
                <w:szCs w:val="11"/>
              </w:rPr>
            </w:pPr>
            <w:r>
              <w:rPr>
                <w:rFonts w:ascii="Times New Roman"/>
                <w:sz w:val="11"/>
              </w:rPr>
              <w:t>100</w:t>
            </w:r>
          </w:p>
        </w:tc>
        <w:tc>
          <w:tcPr>
            <w:tcW w:w="43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240" w:lineRule="auto"/>
              <w:ind w:right="11"/>
              <w:jc w:val="center"/>
              <w:rPr>
                <w:rFonts w:ascii="宋体" w:hAnsi="宋体" w:cs="宋体" w:eastAsia="宋体" w:hint="default"/>
                <w:sz w:val="11"/>
                <w:szCs w:val="11"/>
              </w:rPr>
            </w:pPr>
            <w:r>
              <w:rPr>
                <w:rFonts w:ascii="宋体" w:hAnsi="宋体" w:cs="宋体" w:eastAsia="宋体" w:hint="default"/>
                <w:w w:val="100"/>
                <w:sz w:val="11"/>
                <w:szCs w:val="11"/>
              </w:rPr>
              <w:t>是</w:t>
            </w:r>
          </w:p>
        </w:tc>
        <w:tc>
          <w:tcPr>
            <w:tcW w:w="797" w:type="dxa"/>
            <w:tcBorders>
              <w:top w:val="nil" w:sz="6" w:space="0" w:color="auto"/>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
        </w:tc>
      </w:tr>
      <w:tr>
        <w:trPr>
          <w:trHeight w:val="410"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tabs>
                <w:tab w:pos="1921" w:val="left" w:leader="none"/>
              </w:tabs>
              <w:spacing w:line="240" w:lineRule="auto"/>
              <w:ind w:left="34" w:right="0"/>
              <w:jc w:val="left"/>
              <w:rPr>
                <w:rFonts w:ascii="宋体" w:hAnsi="宋体" w:cs="宋体" w:eastAsia="宋体" w:hint="default"/>
                <w:sz w:val="11"/>
                <w:szCs w:val="11"/>
              </w:rPr>
            </w:pPr>
            <w:r>
              <w:rPr>
                <w:rFonts w:ascii="宋体" w:hAnsi="宋体" w:cs="宋体" w:eastAsia="宋体" w:hint="default"/>
                <w:spacing w:val="-1"/>
                <w:sz w:val="11"/>
                <w:szCs w:val="11"/>
              </w:rPr>
              <w:t>东软科技有限公司</w:t>
              <w:tab/>
            </w:r>
            <w:r>
              <w:rPr>
                <w:rFonts w:ascii="宋体" w:hAnsi="宋体" w:cs="宋体" w:eastAsia="宋体" w:hint="default"/>
                <w:sz w:val="11"/>
                <w:szCs w:val="11"/>
              </w:rPr>
              <w:t>全资</w:t>
            </w: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left="48" w:right="0"/>
              <w:jc w:val="left"/>
              <w:rPr>
                <w:rFonts w:ascii="宋体" w:hAnsi="宋体" w:cs="宋体" w:eastAsia="宋体" w:hint="default"/>
                <w:sz w:val="11"/>
                <w:szCs w:val="11"/>
              </w:rPr>
            </w:pPr>
            <w:r>
              <w:rPr>
                <w:rFonts w:ascii="宋体" w:hAnsi="宋体" w:cs="宋体" w:eastAsia="宋体" w:hint="default"/>
                <w:sz w:val="11"/>
                <w:szCs w:val="11"/>
              </w:rPr>
              <w:t>美国</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right="158"/>
              <w:jc w:val="right"/>
              <w:rPr>
                <w:rFonts w:ascii="宋体" w:hAnsi="宋体" w:cs="宋体" w:eastAsia="宋体" w:hint="default"/>
                <w:sz w:val="11"/>
                <w:szCs w:val="11"/>
              </w:rPr>
            </w:pPr>
            <w:r>
              <w:rPr>
                <w:rFonts w:ascii="宋体" w:hAnsi="宋体" w:cs="宋体" w:eastAsia="宋体" w:hint="default"/>
                <w:spacing w:val="-1"/>
                <w:sz w:val="11"/>
                <w:szCs w:val="11"/>
              </w:rPr>
              <w:t>有限责任公司</w:t>
            </w:r>
          </w:p>
        </w:tc>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9"/>
              <w:jc w:val="right"/>
              <w:rPr>
                <w:rFonts w:ascii="Times New Roman" w:hAnsi="Times New Roman" w:cs="Times New Roman" w:eastAsia="Times New Roman" w:hint="default"/>
                <w:sz w:val="11"/>
                <w:szCs w:val="11"/>
              </w:rPr>
            </w:pPr>
            <w:r>
              <w:rPr>
                <w:rFonts w:ascii="宋体" w:hAnsi="宋体" w:cs="宋体" w:eastAsia="宋体" w:hint="default"/>
                <w:sz w:val="11"/>
                <w:szCs w:val="11"/>
              </w:rPr>
              <w:t>美元</w:t>
            </w:r>
            <w:r>
              <w:rPr>
                <w:rFonts w:ascii="宋体" w:hAnsi="宋体" w:cs="宋体" w:eastAsia="宋体" w:hint="default"/>
                <w:spacing w:val="-29"/>
                <w:sz w:val="11"/>
                <w:szCs w:val="11"/>
              </w:rPr>
              <w:t> </w:t>
            </w:r>
            <w:r>
              <w:rPr>
                <w:rFonts w:ascii="Times New Roman" w:hAnsi="Times New Roman" w:cs="Times New Roman" w:eastAsia="Times New Roman" w:hint="default"/>
                <w:sz w:val="11"/>
                <w:szCs w:val="11"/>
              </w:rPr>
              <w:t>1,000</w:t>
            </w:r>
          </w:p>
        </w:tc>
        <w:tc>
          <w:tcPr>
            <w:tcW w:w="327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left="21" w:right="0"/>
              <w:jc w:val="left"/>
              <w:rPr>
                <w:rFonts w:ascii="宋体" w:hAnsi="宋体" w:cs="宋体" w:eastAsia="宋体" w:hint="default"/>
                <w:sz w:val="11"/>
                <w:szCs w:val="11"/>
              </w:rPr>
            </w:pPr>
            <w:r>
              <w:rPr>
                <w:rFonts w:ascii="宋体" w:hAnsi="宋体" w:cs="宋体" w:eastAsia="宋体" w:hint="default"/>
                <w:sz w:val="11"/>
                <w:szCs w:val="11"/>
              </w:rPr>
              <w:t>经营计算机软硬件，技术咨询、服务</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313" w:right="0"/>
              <w:jc w:val="left"/>
              <w:rPr>
                <w:rFonts w:ascii="Times New Roman" w:hAnsi="Times New Roman" w:cs="Times New Roman" w:eastAsia="Times New Roman" w:hint="default"/>
                <w:sz w:val="11"/>
                <w:szCs w:val="11"/>
              </w:rPr>
            </w:pPr>
            <w:r>
              <w:rPr>
                <w:rFonts w:ascii="Times New Roman"/>
                <w:sz w:val="11"/>
              </w:rPr>
              <w:t>63,329,610</w:t>
            </w:r>
          </w:p>
        </w:tc>
        <w:tc>
          <w:tcPr>
            <w:tcW w:w="42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127" w:right="0"/>
              <w:jc w:val="left"/>
              <w:rPr>
                <w:rFonts w:ascii="Times New Roman" w:hAnsi="Times New Roman" w:cs="Times New Roman" w:eastAsia="Times New Roman" w:hint="default"/>
                <w:sz w:val="11"/>
                <w:szCs w:val="11"/>
              </w:rPr>
            </w:pPr>
            <w:r>
              <w:rPr>
                <w:rFonts w:ascii="Times New Roman"/>
                <w:sz w:val="11"/>
              </w:rPr>
              <w:t>100</w:t>
            </w:r>
          </w:p>
        </w:tc>
        <w:tc>
          <w:tcPr>
            <w:tcW w:w="42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0"/>
              <w:jc w:val="center"/>
              <w:rPr>
                <w:rFonts w:ascii="Times New Roman" w:hAnsi="Times New Roman" w:cs="Times New Roman" w:eastAsia="Times New Roman" w:hint="default"/>
                <w:sz w:val="11"/>
                <w:szCs w:val="11"/>
              </w:rPr>
            </w:pPr>
            <w:r>
              <w:rPr>
                <w:rFonts w:ascii="Times New Roman"/>
                <w:sz w:val="11"/>
              </w:rPr>
              <w:t>100</w:t>
            </w:r>
          </w:p>
        </w:tc>
        <w:tc>
          <w:tcPr>
            <w:tcW w:w="43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right="11"/>
              <w:jc w:val="center"/>
              <w:rPr>
                <w:rFonts w:ascii="宋体" w:hAnsi="宋体" w:cs="宋体" w:eastAsia="宋体" w:hint="default"/>
                <w:sz w:val="11"/>
                <w:szCs w:val="11"/>
              </w:rPr>
            </w:pPr>
            <w:r>
              <w:rPr>
                <w:rFonts w:ascii="宋体" w:hAnsi="宋体" w:cs="宋体" w:eastAsia="宋体" w:hint="default"/>
                <w:w w:val="100"/>
                <w:sz w:val="11"/>
                <w:szCs w:val="11"/>
              </w:rPr>
              <w:t>是</w:t>
            </w:r>
          </w:p>
        </w:tc>
        <w:tc>
          <w:tcPr>
            <w:tcW w:w="797" w:type="dxa"/>
            <w:tcBorders>
              <w:top w:val="nil" w:sz="6" w:space="0" w:color="auto"/>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
        </w:tc>
      </w:tr>
      <w:tr>
        <w:trPr>
          <w:trHeight w:val="296"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240" w:lineRule="auto"/>
              <w:ind w:left="34" w:right="0"/>
              <w:jc w:val="left"/>
              <w:rPr>
                <w:rFonts w:ascii="宋体" w:hAnsi="宋体" w:cs="宋体" w:eastAsia="宋体" w:hint="default"/>
                <w:sz w:val="11"/>
                <w:szCs w:val="11"/>
              </w:rPr>
            </w:pPr>
            <w:r>
              <w:rPr>
                <w:rFonts w:ascii="宋体" w:hAnsi="宋体" w:cs="宋体" w:eastAsia="宋体" w:hint="default"/>
                <w:spacing w:val="10"/>
                <w:sz w:val="11"/>
                <w:szCs w:val="11"/>
              </w:rPr>
              <w:t>大连东软软件园产业</w:t>
            </w:r>
            <w:r>
              <w:rPr>
                <w:rFonts w:ascii="宋体" w:hAnsi="宋体" w:cs="宋体" w:eastAsia="宋体" w:hint="default"/>
                <w:spacing w:val="-17"/>
                <w:sz w:val="11"/>
                <w:szCs w:val="11"/>
              </w:rPr>
              <w:t> </w:t>
            </w:r>
            <w:r>
              <w:rPr>
                <w:rFonts w:ascii="宋体" w:hAnsi="宋体" w:cs="宋体" w:eastAsia="宋体" w:hint="default"/>
                <w:spacing w:val="10"/>
                <w:sz w:val="11"/>
                <w:szCs w:val="11"/>
              </w:rPr>
              <w:t>发展有限公司</w:t>
            </w:r>
            <w:r>
              <w:rPr>
                <w:rFonts w:ascii="宋体" w:hAnsi="宋体" w:cs="宋体" w:eastAsia="宋体" w:hint="default"/>
                <w:spacing w:val="-42"/>
                <w:sz w:val="11"/>
                <w:szCs w:val="11"/>
              </w:rPr>
              <w:t> </w:t>
            </w:r>
            <w:r>
              <w:rPr>
                <w:rFonts w:ascii="宋体" w:hAnsi="宋体" w:cs="宋体" w:eastAsia="宋体" w:hint="default"/>
                <w:sz w:val="11"/>
                <w:szCs w:val="11"/>
              </w:rPr>
            </w:r>
          </w:p>
        </w:tc>
        <w:tc>
          <w:tcPr>
            <w:tcW w:w="416" w:type="dxa"/>
            <w:tcBorders>
              <w:top w:val="nil" w:sz="6" w:space="0" w:color="auto"/>
              <w:left w:val="nil" w:sz="6" w:space="0" w:color="auto"/>
              <w:bottom w:val="nil" w:sz="6" w:space="0" w:color="auto"/>
              <w:right w:val="nil" w:sz="6" w:space="0" w:color="auto"/>
            </w:tcBorders>
          </w:tcPr>
          <w:p>
            <w:pPr/>
          </w:p>
        </w:tc>
        <w:tc>
          <w:tcPr>
            <w:tcW w:w="848" w:type="dxa"/>
            <w:tcBorders>
              <w:top w:val="nil" w:sz="6" w:space="0" w:color="auto"/>
              <w:left w:val="nil" w:sz="6" w:space="0" w:color="auto"/>
              <w:bottom w:val="nil" w:sz="6" w:space="0" w:color="auto"/>
              <w:right w:val="nil" w:sz="6" w:space="0" w:color="auto"/>
            </w:tcBorders>
          </w:tcPr>
          <w:p>
            <w:pPr/>
          </w:p>
        </w:tc>
        <w:tc>
          <w:tcPr>
            <w:tcW w:w="758" w:type="dxa"/>
            <w:tcBorders>
              <w:top w:val="nil" w:sz="6" w:space="0" w:color="auto"/>
              <w:left w:val="nil" w:sz="6" w:space="0" w:color="auto"/>
              <w:bottom w:val="nil" w:sz="6" w:space="0" w:color="auto"/>
              <w:right w:val="nil" w:sz="6" w:space="0" w:color="auto"/>
            </w:tcBorders>
          </w:tcPr>
          <w:p>
            <w:pPr/>
          </w:p>
        </w:tc>
        <w:tc>
          <w:tcPr>
            <w:tcW w:w="327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240" w:lineRule="auto"/>
              <w:ind w:left="21" w:right="0"/>
              <w:jc w:val="left"/>
              <w:rPr>
                <w:rFonts w:ascii="宋体" w:hAnsi="宋体" w:cs="宋体" w:eastAsia="宋体" w:hint="default"/>
                <w:sz w:val="11"/>
                <w:szCs w:val="11"/>
              </w:rPr>
            </w:pPr>
            <w:r>
              <w:rPr>
                <w:rFonts w:ascii="宋体" w:hAnsi="宋体" w:cs="宋体" w:eastAsia="宋体" w:hint="default"/>
                <w:sz w:val="11"/>
                <w:szCs w:val="11"/>
              </w:rPr>
              <w:t>计算机软件开发及技术咨询服务；房屋租赁；物业管理；国内一般</w:t>
            </w:r>
          </w:p>
        </w:tc>
        <w:tc>
          <w:tcPr>
            <w:tcW w:w="1690" w:type="dxa"/>
            <w:tcBorders>
              <w:top w:val="nil" w:sz="6" w:space="0" w:color="auto"/>
              <w:left w:val="nil" w:sz="6" w:space="0" w:color="auto"/>
              <w:bottom w:val="nil" w:sz="6" w:space="0" w:color="auto"/>
              <w:right w:val="nil" w:sz="6" w:space="0" w:color="auto"/>
            </w:tcBorders>
          </w:tcPr>
          <w:p>
            <w:pPr/>
          </w:p>
        </w:tc>
        <w:tc>
          <w:tcPr>
            <w:tcW w:w="424" w:type="dxa"/>
            <w:tcBorders>
              <w:top w:val="nil" w:sz="6" w:space="0" w:color="auto"/>
              <w:left w:val="nil" w:sz="6" w:space="0" w:color="auto"/>
              <w:bottom w:val="nil" w:sz="6" w:space="0" w:color="auto"/>
              <w:right w:val="nil" w:sz="6" w:space="0" w:color="auto"/>
            </w:tcBorders>
          </w:tcPr>
          <w:p>
            <w:pPr/>
          </w:p>
        </w:tc>
        <w:tc>
          <w:tcPr>
            <w:tcW w:w="428" w:type="dxa"/>
            <w:tcBorders>
              <w:top w:val="nil" w:sz="6" w:space="0" w:color="auto"/>
              <w:left w:val="nil" w:sz="6" w:space="0" w:color="auto"/>
              <w:bottom w:val="nil" w:sz="6" w:space="0" w:color="auto"/>
              <w:right w:val="nil" w:sz="6" w:space="0" w:color="auto"/>
            </w:tcBorders>
          </w:tcPr>
          <w:p>
            <w:pPr/>
          </w:p>
        </w:tc>
        <w:tc>
          <w:tcPr>
            <w:tcW w:w="439"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
        </w:tc>
      </w:tr>
      <w:tr>
        <w:trPr>
          <w:trHeight w:val="508"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20"/>
              <w:jc w:val="right"/>
              <w:rPr>
                <w:rFonts w:ascii="宋体" w:hAnsi="宋体" w:cs="宋体" w:eastAsia="宋体" w:hint="default"/>
                <w:sz w:val="11"/>
                <w:szCs w:val="11"/>
              </w:rPr>
            </w:pPr>
            <w:r>
              <w:rPr>
                <w:rFonts w:ascii="宋体" w:hAnsi="宋体" w:cs="宋体" w:eastAsia="宋体" w:hint="default"/>
                <w:sz w:val="11"/>
                <w:szCs w:val="11"/>
              </w:rPr>
              <w:t>控股</w:t>
            </w:r>
          </w:p>
          <w:p>
            <w:pPr>
              <w:pStyle w:val="TableParagraph"/>
              <w:spacing w:line="240" w:lineRule="auto" w:before="55"/>
              <w:ind w:left="89" w:right="0"/>
              <w:jc w:val="left"/>
              <w:rPr>
                <w:rFonts w:ascii="宋体" w:hAnsi="宋体" w:cs="宋体" w:eastAsia="宋体" w:hint="default"/>
                <w:sz w:val="11"/>
                <w:szCs w:val="11"/>
              </w:rPr>
            </w:pPr>
            <w:r>
              <w:rPr>
                <w:rFonts w:ascii="宋体" w:hAnsi="宋体" w:cs="宋体" w:eastAsia="宋体" w:hint="default"/>
                <w:sz w:val="11"/>
                <w:szCs w:val="11"/>
              </w:rPr>
              <w:t>（注</w:t>
            </w:r>
            <w:r>
              <w:rPr>
                <w:rFonts w:ascii="宋体" w:hAnsi="宋体" w:cs="宋体" w:eastAsia="宋体" w:hint="default"/>
                <w:spacing w:val="-27"/>
                <w:sz w:val="11"/>
                <w:szCs w:val="11"/>
              </w:rPr>
              <w:t> </w:t>
            </w:r>
            <w:r>
              <w:rPr>
                <w:rFonts w:ascii="Times New Roman" w:hAnsi="Times New Roman" w:cs="Times New Roman" w:eastAsia="Times New Roman" w:hint="default"/>
                <w:sz w:val="11"/>
                <w:szCs w:val="11"/>
              </w:rPr>
              <w:t>1</w:t>
            </w:r>
            <w:r>
              <w:rPr>
                <w:rFonts w:ascii="宋体" w:hAnsi="宋体" w:cs="宋体" w:eastAsia="宋体" w:hint="default"/>
                <w:sz w:val="11"/>
                <w:szCs w:val="11"/>
              </w:rPr>
              <w:t>）</w:t>
            </w: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7" w:right="0"/>
              <w:jc w:val="left"/>
              <w:rPr>
                <w:rFonts w:ascii="宋体" w:hAnsi="宋体" w:cs="宋体" w:eastAsia="宋体" w:hint="default"/>
                <w:sz w:val="11"/>
                <w:szCs w:val="11"/>
              </w:rPr>
            </w:pPr>
            <w:r>
              <w:rPr>
                <w:rFonts w:ascii="宋体" w:hAnsi="宋体" w:cs="宋体" w:eastAsia="宋体" w:hint="default"/>
                <w:sz w:val="11"/>
                <w:szCs w:val="11"/>
              </w:rPr>
              <w:t>大连</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58"/>
              <w:jc w:val="right"/>
              <w:rPr>
                <w:rFonts w:ascii="宋体" w:hAnsi="宋体" w:cs="宋体" w:eastAsia="宋体" w:hint="default"/>
                <w:sz w:val="11"/>
                <w:szCs w:val="11"/>
              </w:rPr>
            </w:pPr>
            <w:r>
              <w:rPr>
                <w:rFonts w:ascii="宋体" w:hAnsi="宋体" w:cs="宋体" w:eastAsia="宋体" w:hint="default"/>
                <w:spacing w:val="-1"/>
                <w:sz w:val="11"/>
                <w:szCs w:val="11"/>
              </w:rPr>
              <w:t>有限责任公司</w:t>
            </w:r>
          </w:p>
        </w:tc>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9"/>
              <w:jc w:val="right"/>
              <w:rPr>
                <w:rFonts w:ascii="Times New Roman" w:hAnsi="Times New Roman" w:cs="Times New Roman" w:eastAsia="Times New Roman" w:hint="default"/>
                <w:sz w:val="11"/>
                <w:szCs w:val="11"/>
              </w:rPr>
            </w:pPr>
            <w:r>
              <w:rPr>
                <w:rFonts w:ascii="Times New Roman"/>
                <w:spacing w:val="-1"/>
                <w:sz w:val="11"/>
              </w:rPr>
              <w:t>359,000,000</w:t>
            </w:r>
          </w:p>
        </w:tc>
        <w:tc>
          <w:tcPr>
            <w:tcW w:w="32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0"/>
                <w:szCs w:val="10"/>
              </w:rPr>
            </w:pPr>
          </w:p>
          <w:p>
            <w:pPr>
              <w:pStyle w:val="TableParagraph"/>
              <w:spacing w:line="240" w:lineRule="auto" w:before="79"/>
              <w:ind w:left="21" w:right="0"/>
              <w:jc w:val="left"/>
              <w:rPr>
                <w:rFonts w:ascii="宋体" w:hAnsi="宋体" w:cs="宋体" w:eastAsia="宋体" w:hint="default"/>
                <w:sz w:val="11"/>
                <w:szCs w:val="11"/>
              </w:rPr>
            </w:pPr>
            <w:r>
              <w:rPr>
                <w:rFonts w:ascii="宋体" w:hAnsi="宋体" w:cs="宋体" w:eastAsia="宋体" w:hint="default"/>
                <w:sz w:val="11"/>
                <w:szCs w:val="11"/>
              </w:rPr>
              <w:t>贸易、货物及技术进出口</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58" w:right="0"/>
              <w:jc w:val="left"/>
              <w:rPr>
                <w:rFonts w:ascii="Times New Roman" w:hAnsi="Times New Roman" w:cs="Times New Roman" w:eastAsia="Times New Roman" w:hint="default"/>
                <w:sz w:val="11"/>
                <w:szCs w:val="11"/>
              </w:rPr>
            </w:pPr>
            <w:r>
              <w:rPr>
                <w:rFonts w:ascii="Times New Roman"/>
                <w:sz w:val="11"/>
              </w:rPr>
              <w:t>299,879,128</w:t>
            </w:r>
          </w:p>
        </w:tc>
        <w:tc>
          <w:tcPr>
            <w:tcW w:w="424" w:type="dxa"/>
            <w:tcBorders>
              <w:top w:val="nil" w:sz="6" w:space="0" w:color="auto"/>
              <w:left w:val="nil" w:sz="6" w:space="0" w:color="auto"/>
              <w:bottom w:val="nil" w:sz="6" w:space="0" w:color="auto"/>
              <w:right w:val="nil" w:sz="6" w:space="0" w:color="auto"/>
            </w:tcBorders>
          </w:tcPr>
          <w:p>
            <w:pPr/>
          </w:p>
        </w:tc>
        <w:tc>
          <w:tcPr>
            <w:tcW w:w="42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1"/>
                <w:szCs w:val="11"/>
              </w:rPr>
            </w:pPr>
            <w:r>
              <w:rPr>
                <w:rFonts w:ascii="Times New Roman"/>
                <w:sz w:val="11"/>
              </w:rPr>
              <w:t>60</w:t>
            </w:r>
          </w:p>
        </w:tc>
        <w:tc>
          <w:tcPr>
            <w:tcW w:w="43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1"/>
              <w:jc w:val="center"/>
              <w:rPr>
                <w:rFonts w:ascii="宋体" w:hAnsi="宋体" w:cs="宋体" w:eastAsia="宋体" w:hint="default"/>
                <w:sz w:val="11"/>
                <w:szCs w:val="11"/>
              </w:rPr>
            </w:pPr>
            <w:r>
              <w:rPr>
                <w:rFonts w:ascii="宋体" w:hAnsi="宋体" w:cs="宋体" w:eastAsia="宋体" w:hint="default"/>
                <w:w w:val="100"/>
                <w:sz w:val="11"/>
                <w:szCs w:val="11"/>
              </w:rPr>
              <w:t>是</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5"/>
              <w:jc w:val="right"/>
              <w:rPr>
                <w:rFonts w:ascii="Times New Roman" w:hAnsi="Times New Roman" w:cs="Times New Roman" w:eastAsia="Times New Roman" w:hint="default"/>
                <w:sz w:val="11"/>
                <w:szCs w:val="11"/>
              </w:rPr>
            </w:pPr>
            <w:r>
              <w:rPr>
                <w:rFonts w:ascii="Times New Roman"/>
                <w:spacing w:val="-1"/>
                <w:sz w:val="11"/>
              </w:rPr>
              <w:t>248,450,289</w:t>
            </w:r>
          </w:p>
        </w:tc>
        <w:tc>
          <w:tcPr>
            <w:tcW w:w="607"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
        </w:tc>
      </w:tr>
      <w:tr>
        <w:trPr>
          <w:trHeight w:val="302"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left="34" w:right="0"/>
              <w:jc w:val="left"/>
              <w:rPr>
                <w:rFonts w:ascii="宋体" w:hAnsi="宋体" w:cs="宋体" w:eastAsia="宋体" w:hint="default"/>
                <w:sz w:val="11"/>
                <w:szCs w:val="11"/>
              </w:rPr>
            </w:pPr>
            <w:r>
              <w:rPr>
                <w:rFonts w:ascii="宋体" w:hAnsi="宋体" w:cs="宋体" w:eastAsia="宋体" w:hint="default"/>
                <w:spacing w:val="3"/>
                <w:sz w:val="11"/>
                <w:szCs w:val="11"/>
              </w:rPr>
              <w:t>佛山市南海东软信息技术发展有限公</w:t>
            </w:r>
          </w:p>
        </w:tc>
        <w:tc>
          <w:tcPr>
            <w:tcW w:w="416" w:type="dxa"/>
            <w:tcBorders>
              <w:top w:val="nil" w:sz="6" w:space="0" w:color="auto"/>
              <w:left w:val="nil" w:sz="6" w:space="0" w:color="auto"/>
              <w:bottom w:val="nil" w:sz="6" w:space="0" w:color="auto"/>
              <w:right w:val="nil" w:sz="6" w:space="0" w:color="auto"/>
            </w:tcBorders>
          </w:tcPr>
          <w:p>
            <w:pPr/>
          </w:p>
        </w:tc>
        <w:tc>
          <w:tcPr>
            <w:tcW w:w="848" w:type="dxa"/>
            <w:tcBorders>
              <w:top w:val="nil" w:sz="6" w:space="0" w:color="auto"/>
              <w:left w:val="nil" w:sz="6" w:space="0" w:color="auto"/>
              <w:bottom w:val="nil" w:sz="6" w:space="0" w:color="auto"/>
              <w:right w:val="nil" w:sz="6" w:space="0" w:color="auto"/>
            </w:tcBorders>
          </w:tcPr>
          <w:p>
            <w:pPr/>
          </w:p>
        </w:tc>
        <w:tc>
          <w:tcPr>
            <w:tcW w:w="758" w:type="dxa"/>
            <w:tcBorders>
              <w:top w:val="nil" w:sz="6" w:space="0" w:color="auto"/>
              <w:left w:val="nil" w:sz="6" w:space="0" w:color="auto"/>
              <w:bottom w:val="nil" w:sz="6" w:space="0" w:color="auto"/>
              <w:right w:val="nil" w:sz="6" w:space="0" w:color="auto"/>
            </w:tcBorders>
          </w:tcPr>
          <w:p>
            <w:pPr/>
          </w:p>
        </w:tc>
        <w:tc>
          <w:tcPr>
            <w:tcW w:w="327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left="21" w:right="0"/>
              <w:jc w:val="left"/>
              <w:rPr>
                <w:rFonts w:ascii="宋体" w:hAnsi="宋体" w:cs="宋体" w:eastAsia="宋体" w:hint="default"/>
                <w:sz w:val="11"/>
                <w:szCs w:val="11"/>
              </w:rPr>
            </w:pPr>
            <w:r>
              <w:rPr>
                <w:rFonts w:ascii="宋体" w:hAnsi="宋体" w:cs="宋体" w:eastAsia="宋体" w:hint="default"/>
                <w:sz w:val="11"/>
                <w:szCs w:val="11"/>
              </w:rPr>
              <w:t>对南海东软信息技术学院的投资、建设与管理，信息技术、管</w:t>
            </w:r>
          </w:p>
        </w:tc>
        <w:tc>
          <w:tcPr>
            <w:tcW w:w="1690" w:type="dxa"/>
            <w:tcBorders>
              <w:top w:val="nil" w:sz="6" w:space="0" w:color="auto"/>
              <w:left w:val="nil" w:sz="6" w:space="0" w:color="auto"/>
              <w:bottom w:val="nil" w:sz="6" w:space="0" w:color="auto"/>
              <w:right w:val="nil" w:sz="6" w:space="0" w:color="auto"/>
            </w:tcBorders>
          </w:tcPr>
          <w:p>
            <w:pPr/>
          </w:p>
        </w:tc>
        <w:tc>
          <w:tcPr>
            <w:tcW w:w="424" w:type="dxa"/>
            <w:tcBorders>
              <w:top w:val="nil" w:sz="6" w:space="0" w:color="auto"/>
              <w:left w:val="nil" w:sz="6" w:space="0" w:color="auto"/>
              <w:bottom w:val="nil" w:sz="6" w:space="0" w:color="auto"/>
              <w:right w:val="nil" w:sz="6" w:space="0" w:color="auto"/>
            </w:tcBorders>
          </w:tcPr>
          <w:p>
            <w:pPr/>
          </w:p>
        </w:tc>
        <w:tc>
          <w:tcPr>
            <w:tcW w:w="428" w:type="dxa"/>
            <w:tcBorders>
              <w:top w:val="nil" w:sz="6" w:space="0" w:color="auto"/>
              <w:left w:val="nil" w:sz="6" w:space="0" w:color="auto"/>
              <w:bottom w:val="nil" w:sz="6" w:space="0" w:color="auto"/>
              <w:right w:val="nil" w:sz="6" w:space="0" w:color="auto"/>
            </w:tcBorders>
          </w:tcPr>
          <w:p>
            <w:pPr/>
          </w:p>
        </w:tc>
        <w:tc>
          <w:tcPr>
            <w:tcW w:w="439"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
        </w:tc>
      </w:tr>
      <w:tr>
        <w:trPr>
          <w:trHeight w:val="508" w:hRule="exact"/>
        </w:trPr>
        <w:tc>
          <w:tcPr>
            <w:tcW w:w="246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20"/>
              <w:jc w:val="right"/>
              <w:rPr>
                <w:rFonts w:ascii="宋体" w:hAnsi="宋体" w:cs="宋体" w:eastAsia="宋体" w:hint="default"/>
                <w:sz w:val="11"/>
                <w:szCs w:val="11"/>
              </w:rPr>
            </w:pPr>
            <w:r>
              <w:rPr>
                <w:rFonts w:ascii="宋体" w:hAnsi="宋体" w:cs="宋体" w:eastAsia="宋体" w:hint="default"/>
                <w:sz w:val="11"/>
                <w:szCs w:val="11"/>
              </w:rPr>
              <w:t>控股</w:t>
            </w:r>
          </w:p>
          <w:p>
            <w:pPr>
              <w:pStyle w:val="TableParagraph"/>
              <w:spacing w:line="240" w:lineRule="auto" w:before="55"/>
              <w:ind w:left="34" w:right="0"/>
              <w:jc w:val="left"/>
              <w:rPr>
                <w:rFonts w:ascii="宋体" w:hAnsi="宋体" w:cs="宋体" w:eastAsia="宋体" w:hint="default"/>
                <w:sz w:val="11"/>
                <w:szCs w:val="11"/>
              </w:rPr>
            </w:pPr>
            <w:r>
              <w:rPr>
                <w:rFonts w:ascii="宋体" w:hAnsi="宋体" w:cs="宋体" w:eastAsia="宋体" w:hint="default"/>
                <w:sz w:val="11"/>
                <w:szCs w:val="11"/>
              </w:rPr>
              <w:t>司（注</w:t>
            </w:r>
            <w:r>
              <w:rPr>
                <w:rFonts w:ascii="宋体" w:hAnsi="宋体" w:cs="宋体" w:eastAsia="宋体" w:hint="default"/>
                <w:spacing w:val="-29"/>
                <w:sz w:val="11"/>
                <w:szCs w:val="11"/>
              </w:rPr>
              <w:t> </w:t>
            </w:r>
            <w:r>
              <w:rPr>
                <w:rFonts w:ascii="Times New Roman" w:hAnsi="Times New Roman" w:cs="Times New Roman" w:eastAsia="Times New Roman" w:hint="default"/>
                <w:sz w:val="11"/>
                <w:szCs w:val="11"/>
              </w:rPr>
              <w:t>2</w:t>
            </w:r>
            <w:r>
              <w:rPr>
                <w:rFonts w:ascii="宋体" w:hAnsi="宋体" w:cs="宋体" w:eastAsia="宋体" w:hint="default"/>
                <w:sz w:val="11"/>
                <w:szCs w:val="11"/>
              </w:rPr>
              <w:t>）</w:t>
            </w:r>
          </w:p>
        </w:tc>
        <w:tc>
          <w:tcPr>
            <w:tcW w:w="41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47" w:right="0"/>
              <w:jc w:val="left"/>
              <w:rPr>
                <w:rFonts w:ascii="宋体" w:hAnsi="宋体" w:cs="宋体" w:eastAsia="宋体" w:hint="default"/>
                <w:sz w:val="11"/>
                <w:szCs w:val="11"/>
              </w:rPr>
            </w:pPr>
            <w:r>
              <w:rPr>
                <w:rFonts w:ascii="宋体" w:hAnsi="宋体" w:cs="宋体" w:eastAsia="宋体" w:hint="default"/>
                <w:sz w:val="11"/>
                <w:szCs w:val="11"/>
              </w:rPr>
              <w:t>佛山</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58"/>
              <w:jc w:val="right"/>
              <w:rPr>
                <w:rFonts w:ascii="宋体" w:hAnsi="宋体" w:cs="宋体" w:eastAsia="宋体" w:hint="default"/>
                <w:sz w:val="11"/>
                <w:szCs w:val="11"/>
              </w:rPr>
            </w:pPr>
            <w:r>
              <w:rPr>
                <w:rFonts w:ascii="宋体" w:hAnsi="宋体" w:cs="宋体" w:eastAsia="宋体" w:hint="default"/>
                <w:spacing w:val="-1"/>
                <w:sz w:val="11"/>
                <w:szCs w:val="11"/>
              </w:rPr>
              <w:t>有限责任公司</w:t>
            </w:r>
          </w:p>
        </w:tc>
        <w:tc>
          <w:tcPr>
            <w:tcW w:w="75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9"/>
              <w:jc w:val="right"/>
              <w:rPr>
                <w:rFonts w:ascii="Times New Roman" w:hAnsi="Times New Roman" w:cs="Times New Roman" w:eastAsia="Times New Roman" w:hint="default"/>
                <w:sz w:val="11"/>
                <w:szCs w:val="11"/>
              </w:rPr>
            </w:pPr>
            <w:r>
              <w:rPr>
                <w:rFonts w:ascii="Times New Roman"/>
                <w:spacing w:val="-1"/>
                <w:sz w:val="11"/>
              </w:rPr>
              <w:t>60,000,000</w:t>
            </w:r>
          </w:p>
        </w:tc>
        <w:tc>
          <w:tcPr>
            <w:tcW w:w="32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0"/>
                <w:szCs w:val="10"/>
              </w:rPr>
            </w:pPr>
          </w:p>
          <w:p>
            <w:pPr>
              <w:pStyle w:val="TableParagraph"/>
              <w:spacing w:line="240" w:lineRule="auto" w:before="79"/>
              <w:ind w:left="21" w:right="0"/>
              <w:jc w:val="left"/>
              <w:rPr>
                <w:rFonts w:ascii="宋体" w:hAnsi="宋体" w:cs="宋体" w:eastAsia="宋体" w:hint="default"/>
                <w:sz w:val="11"/>
                <w:szCs w:val="11"/>
              </w:rPr>
            </w:pPr>
            <w:r>
              <w:rPr>
                <w:rFonts w:ascii="宋体" w:hAnsi="宋体" w:cs="宋体" w:eastAsia="宋体" w:hint="default"/>
                <w:sz w:val="11"/>
                <w:szCs w:val="11"/>
              </w:rPr>
              <w:t>理人才教育培训及咨询服务</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13" w:right="0"/>
              <w:jc w:val="left"/>
              <w:rPr>
                <w:rFonts w:ascii="Times New Roman" w:hAnsi="Times New Roman" w:cs="Times New Roman" w:eastAsia="Times New Roman" w:hint="default"/>
                <w:sz w:val="11"/>
                <w:szCs w:val="11"/>
              </w:rPr>
            </w:pPr>
            <w:r>
              <w:rPr>
                <w:rFonts w:ascii="Times New Roman"/>
                <w:sz w:val="11"/>
              </w:rPr>
              <w:t>59,400,000</w:t>
            </w:r>
          </w:p>
        </w:tc>
        <w:tc>
          <w:tcPr>
            <w:tcW w:w="424" w:type="dxa"/>
            <w:tcBorders>
              <w:top w:val="nil" w:sz="6" w:space="0" w:color="auto"/>
              <w:left w:val="nil" w:sz="6" w:space="0" w:color="auto"/>
              <w:bottom w:val="nil" w:sz="6" w:space="0" w:color="auto"/>
              <w:right w:val="nil" w:sz="6" w:space="0" w:color="auto"/>
            </w:tcBorders>
          </w:tcPr>
          <w:p>
            <w:pPr/>
          </w:p>
        </w:tc>
        <w:tc>
          <w:tcPr>
            <w:tcW w:w="42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1"/>
                <w:szCs w:val="11"/>
              </w:rPr>
            </w:pPr>
            <w:r>
              <w:rPr>
                <w:rFonts w:ascii="Times New Roman"/>
                <w:sz w:val="11"/>
              </w:rPr>
              <w:t>99</w:t>
            </w:r>
          </w:p>
        </w:tc>
        <w:tc>
          <w:tcPr>
            <w:tcW w:w="43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1"/>
              <w:jc w:val="center"/>
              <w:rPr>
                <w:rFonts w:ascii="宋体" w:hAnsi="宋体" w:cs="宋体" w:eastAsia="宋体" w:hint="default"/>
                <w:sz w:val="11"/>
                <w:szCs w:val="11"/>
              </w:rPr>
            </w:pPr>
            <w:r>
              <w:rPr>
                <w:rFonts w:ascii="宋体" w:hAnsi="宋体" w:cs="宋体" w:eastAsia="宋体" w:hint="default"/>
                <w:w w:val="100"/>
                <w:sz w:val="11"/>
                <w:szCs w:val="11"/>
              </w:rPr>
              <w:t>是</w:t>
            </w:r>
          </w:p>
        </w:tc>
        <w:tc>
          <w:tcPr>
            <w:tcW w:w="7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5"/>
              <w:jc w:val="right"/>
              <w:rPr>
                <w:rFonts w:ascii="Times New Roman" w:hAnsi="Times New Roman" w:cs="Times New Roman" w:eastAsia="Times New Roman" w:hint="default"/>
                <w:sz w:val="11"/>
                <w:szCs w:val="11"/>
              </w:rPr>
            </w:pPr>
            <w:r>
              <w:rPr>
                <w:rFonts w:ascii="Times New Roman"/>
                <w:sz w:val="11"/>
              </w:rPr>
              <w:t>657,401</w:t>
            </w:r>
          </w:p>
        </w:tc>
        <w:tc>
          <w:tcPr>
            <w:tcW w:w="607"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
        </w:tc>
      </w:tr>
      <w:tr>
        <w:trPr>
          <w:trHeight w:val="302" w:hRule="exact"/>
        </w:trPr>
        <w:tc>
          <w:tcPr>
            <w:tcW w:w="2465"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nil" w:sz="6" w:space="0" w:color="auto"/>
            </w:tcBorders>
          </w:tcPr>
          <w:p>
            <w:pPr/>
          </w:p>
        </w:tc>
        <w:tc>
          <w:tcPr>
            <w:tcW w:w="848" w:type="dxa"/>
            <w:tcBorders>
              <w:top w:val="nil" w:sz="6" w:space="0" w:color="auto"/>
              <w:left w:val="nil" w:sz="6" w:space="0" w:color="auto"/>
              <w:bottom w:val="nil" w:sz="6" w:space="0" w:color="auto"/>
              <w:right w:val="nil" w:sz="6" w:space="0" w:color="auto"/>
            </w:tcBorders>
          </w:tcPr>
          <w:p>
            <w:pPr/>
          </w:p>
        </w:tc>
        <w:tc>
          <w:tcPr>
            <w:tcW w:w="758" w:type="dxa"/>
            <w:tcBorders>
              <w:top w:val="nil" w:sz="6" w:space="0" w:color="auto"/>
              <w:left w:val="nil" w:sz="6" w:space="0" w:color="auto"/>
              <w:bottom w:val="nil" w:sz="6" w:space="0" w:color="auto"/>
              <w:right w:val="nil" w:sz="6" w:space="0" w:color="auto"/>
            </w:tcBorders>
          </w:tcPr>
          <w:p>
            <w:pPr/>
          </w:p>
        </w:tc>
        <w:tc>
          <w:tcPr>
            <w:tcW w:w="327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left="21" w:right="0"/>
              <w:jc w:val="left"/>
              <w:rPr>
                <w:rFonts w:ascii="宋体" w:hAnsi="宋体" w:cs="宋体" w:eastAsia="宋体" w:hint="default"/>
                <w:sz w:val="11"/>
                <w:szCs w:val="11"/>
              </w:rPr>
            </w:pPr>
            <w:r>
              <w:rPr>
                <w:rFonts w:ascii="宋体" w:hAnsi="宋体" w:cs="宋体" w:eastAsia="宋体" w:hint="default"/>
                <w:sz w:val="11"/>
                <w:szCs w:val="11"/>
              </w:rPr>
              <w:t>计算机软硬件、教育课件开发、租赁、销售；房地产开发、销售；</w:t>
            </w:r>
          </w:p>
        </w:tc>
        <w:tc>
          <w:tcPr>
            <w:tcW w:w="1690" w:type="dxa"/>
            <w:tcBorders>
              <w:top w:val="nil" w:sz="6" w:space="0" w:color="auto"/>
              <w:left w:val="nil" w:sz="6" w:space="0" w:color="auto"/>
              <w:bottom w:val="nil" w:sz="6" w:space="0" w:color="auto"/>
              <w:right w:val="nil" w:sz="6" w:space="0" w:color="auto"/>
            </w:tcBorders>
          </w:tcPr>
          <w:p>
            <w:pPr/>
          </w:p>
        </w:tc>
        <w:tc>
          <w:tcPr>
            <w:tcW w:w="424" w:type="dxa"/>
            <w:tcBorders>
              <w:top w:val="nil" w:sz="6" w:space="0" w:color="auto"/>
              <w:left w:val="nil" w:sz="6" w:space="0" w:color="auto"/>
              <w:bottom w:val="nil" w:sz="6" w:space="0" w:color="auto"/>
              <w:right w:val="nil" w:sz="6" w:space="0" w:color="auto"/>
            </w:tcBorders>
          </w:tcPr>
          <w:p>
            <w:pPr/>
          </w:p>
        </w:tc>
        <w:tc>
          <w:tcPr>
            <w:tcW w:w="428" w:type="dxa"/>
            <w:tcBorders>
              <w:top w:val="nil" w:sz="6" w:space="0" w:color="auto"/>
              <w:left w:val="nil" w:sz="6" w:space="0" w:color="auto"/>
              <w:bottom w:val="nil" w:sz="6" w:space="0" w:color="auto"/>
              <w:right w:val="nil" w:sz="6" w:space="0" w:color="auto"/>
            </w:tcBorders>
          </w:tcPr>
          <w:p>
            <w:pPr/>
          </w:p>
        </w:tc>
        <w:tc>
          <w:tcPr>
            <w:tcW w:w="439" w:type="dxa"/>
            <w:tcBorders>
              <w:top w:val="nil" w:sz="6" w:space="0" w:color="auto"/>
              <w:left w:val="nil" w:sz="6" w:space="0" w:color="auto"/>
              <w:bottom w:val="nil" w:sz="6" w:space="0" w:color="auto"/>
              <w:right w:val="nil" w:sz="6" w:space="0" w:color="auto"/>
            </w:tcBorders>
          </w:tcPr>
          <w:p>
            <w:pPr/>
          </w:p>
        </w:tc>
        <w:tc>
          <w:tcPr>
            <w:tcW w:w="797" w:type="dxa"/>
            <w:tcBorders>
              <w:top w:val="nil" w:sz="6" w:space="0" w:color="auto"/>
              <w:left w:val="nil" w:sz="6" w:space="0" w:color="auto"/>
              <w:bottom w:val="nil" w:sz="6" w:space="0" w:color="auto"/>
              <w:right w:val="nil" w:sz="6" w:space="0" w:color="auto"/>
            </w:tcBorders>
          </w:tcPr>
          <w:p>
            <w:pPr/>
          </w:p>
        </w:tc>
        <w:tc>
          <w:tcPr>
            <w:tcW w:w="607"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
        </w:tc>
      </w:tr>
      <w:tr>
        <w:trPr>
          <w:trHeight w:val="395" w:hRule="exact"/>
        </w:trPr>
        <w:tc>
          <w:tcPr>
            <w:tcW w:w="2465"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34" w:right="0"/>
              <w:jc w:val="left"/>
              <w:rPr>
                <w:rFonts w:ascii="宋体" w:hAnsi="宋体" w:cs="宋体" w:eastAsia="宋体" w:hint="default"/>
                <w:sz w:val="11"/>
                <w:szCs w:val="11"/>
              </w:rPr>
            </w:pPr>
            <w:r>
              <w:rPr>
                <w:rFonts w:ascii="宋体" w:hAnsi="宋体" w:cs="宋体" w:eastAsia="宋体" w:hint="default"/>
                <w:w w:val="100"/>
                <w:sz w:val="11"/>
                <w:szCs w:val="11"/>
              </w:rPr>
              <w:t>成都东</w:t>
            </w:r>
            <w:r>
              <w:rPr>
                <w:rFonts w:ascii="宋体" w:hAnsi="宋体" w:cs="宋体" w:eastAsia="宋体" w:hint="default"/>
                <w:spacing w:val="-2"/>
                <w:w w:val="100"/>
                <w:sz w:val="11"/>
                <w:szCs w:val="11"/>
              </w:rPr>
              <w:t>软</w:t>
            </w:r>
            <w:r>
              <w:rPr>
                <w:rFonts w:ascii="宋体" w:hAnsi="宋体" w:cs="宋体" w:eastAsia="宋体" w:hint="default"/>
                <w:w w:val="100"/>
                <w:sz w:val="11"/>
                <w:szCs w:val="11"/>
              </w:rPr>
              <w:t>信息</w:t>
            </w:r>
            <w:r>
              <w:rPr>
                <w:rFonts w:ascii="宋体" w:hAnsi="宋体" w:cs="宋体" w:eastAsia="宋体" w:hint="default"/>
                <w:spacing w:val="-2"/>
                <w:w w:val="100"/>
                <w:sz w:val="11"/>
                <w:szCs w:val="11"/>
              </w:rPr>
              <w:t>技</w:t>
            </w:r>
            <w:r>
              <w:rPr>
                <w:rFonts w:ascii="宋体" w:hAnsi="宋体" w:cs="宋体" w:eastAsia="宋体" w:hint="default"/>
                <w:w w:val="100"/>
                <w:sz w:val="11"/>
                <w:szCs w:val="11"/>
              </w:rPr>
              <w:t>术发</w:t>
            </w:r>
            <w:r>
              <w:rPr>
                <w:rFonts w:ascii="宋体" w:hAnsi="宋体" w:cs="宋体" w:eastAsia="宋体" w:hint="default"/>
                <w:spacing w:val="-2"/>
                <w:w w:val="100"/>
                <w:sz w:val="11"/>
                <w:szCs w:val="11"/>
              </w:rPr>
              <w:t>展有</w:t>
            </w:r>
            <w:r>
              <w:rPr>
                <w:rFonts w:ascii="宋体" w:hAnsi="宋体" w:cs="宋体" w:eastAsia="宋体" w:hint="default"/>
                <w:w w:val="100"/>
                <w:sz w:val="11"/>
                <w:szCs w:val="11"/>
              </w:rPr>
              <w:t>限公</w:t>
            </w:r>
            <w:r>
              <w:rPr>
                <w:rFonts w:ascii="宋体" w:hAnsi="宋体" w:cs="宋体" w:eastAsia="宋体" w:hint="default"/>
                <w:spacing w:val="-56"/>
                <w:w w:val="100"/>
                <w:sz w:val="11"/>
                <w:szCs w:val="11"/>
              </w:rPr>
              <w:t>司</w:t>
            </w:r>
            <w:r>
              <w:rPr>
                <w:rFonts w:ascii="宋体" w:hAnsi="宋体" w:cs="宋体" w:eastAsia="宋体" w:hint="default"/>
                <w:spacing w:val="-2"/>
                <w:w w:val="100"/>
                <w:sz w:val="11"/>
                <w:szCs w:val="11"/>
              </w:rPr>
              <w:t>（</w:t>
            </w:r>
            <w:r>
              <w:rPr>
                <w:rFonts w:ascii="宋体" w:hAnsi="宋体" w:cs="宋体" w:eastAsia="宋体" w:hint="default"/>
                <w:w w:val="100"/>
                <w:sz w:val="11"/>
                <w:szCs w:val="11"/>
              </w:rPr>
              <w:t>注</w:t>
            </w:r>
            <w:r>
              <w:rPr>
                <w:rFonts w:ascii="宋体" w:hAnsi="宋体" w:cs="宋体" w:eastAsia="宋体" w:hint="default"/>
                <w:spacing w:val="-28"/>
                <w:sz w:val="11"/>
                <w:szCs w:val="11"/>
              </w:rPr>
              <w:t> </w:t>
            </w:r>
            <w:r>
              <w:rPr>
                <w:rFonts w:ascii="Times New Roman" w:hAnsi="Times New Roman" w:cs="Times New Roman" w:eastAsia="Times New Roman" w:hint="default"/>
                <w:w w:val="100"/>
                <w:sz w:val="11"/>
                <w:szCs w:val="11"/>
              </w:rPr>
              <w:t>3</w:t>
            </w:r>
            <w:r>
              <w:rPr>
                <w:rFonts w:ascii="宋体" w:hAnsi="宋体" w:cs="宋体" w:eastAsia="宋体" w:hint="default"/>
                <w:spacing w:val="-12"/>
                <w:w w:val="100"/>
                <w:sz w:val="11"/>
                <w:szCs w:val="11"/>
              </w:rPr>
              <w:t>）</w:t>
            </w:r>
            <w:r>
              <w:rPr>
                <w:rFonts w:ascii="宋体" w:hAnsi="宋体" w:cs="宋体" w:eastAsia="宋体" w:hint="default"/>
                <w:w w:val="100"/>
                <w:sz w:val="11"/>
                <w:szCs w:val="11"/>
              </w:rPr>
              <w:t>控股</w:t>
            </w:r>
          </w:p>
        </w:tc>
        <w:tc>
          <w:tcPr>
            <w:tcW w:w="416"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left="47" w:right="0"/>
              <w:jc w:val="left"/>
              <w:rPr>
                <w:rFonts w:ascii="宋体" w:hAnsi="宋体" w:cs="宋体" w:eastAsia="宋体" w:hint="default"/>
                <w:sz w:val="11"/>
                <w:szCs w:val="11"/>
              </w:rPr>
            </w:pPr>
            <w:r>
              <w:rPr>
                <w:rFonts w:ascii="宋体" w:hAnsi="宋体" w:cs="宋体" w:eastAsia="宋体" w:hint="default"/>
                <w:sz w:val="11"/>
                <w:szCs w:val="11"/>
              </w:rPr>
              <w:t>成都</w:t>
            </w:r>
          </w:p>
        </w:tc>
        <w:tc>
          <w:tcPr>
            <w:tcW w:w="848"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158"/>
              <w:jc w:val="right"/>
              <w:rPr>
                <w:rFonts w:ascii="宋体" w:hAnsi="宋体" w:cs="宋体" w:eastAsia="宋体" w:hint="default"/>
                <w:sz w:val="11"/>
                <w:szCs w:val="11"/>
              </w:rPr>
            </w:pPr>
            <w:r>
              <w:rPr>
                <w:rFonts w:ascii="宋体" w:hAnsi="宋体" w:cs="宋体" w:eastAsia="宋体" w:hint="default"/>
                <w:spacing w:val="-1"/>
                <w:sz w:val="11"/>
                <w:szCs w:val="11"/>
              </w:rPr>
              <w:t>有限责任公司</w:t>
            </w:r>
          </w:p>
        </w:tc>
        <w:tc>
          <w:tcPr>
            <w:tcW w:w="758"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9"/>
              <w:jc w:val="right"/>
              <w:rPr>
                <w:rFonts w:ascii="Times New Roman" w:hAnsi="Times New Roman" w:cs="Times New Roman" w:eastAsia="Times New Roman" w:hint="default"/>
                <w:sz w:val="11"/>
                <w:szCs w:val="11"/>
              </w:rPr>
            </w:pPr>
            <w:r>
              <w:rPr>
                <w:rFonts w:ascii="Times New Roman"/>
                <w:spacing w:val="-1"/>
                <w:sz w:val="11"/>
              </w:rPr>
              <w:t>60,000,000</w:t>
            </w:r>
          </w:p>
        </w:tc>
        <w:tc>
          <w:tcPr>
            <w:tcW w:w="3273"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0"/>
                <w:szCs w:val="10"/>
              </w:rPr>
            </w:pPr>
          </w:p>
          <w:p>
            <w:pPr>
              <w:pStyle w:val="TableParagraph"/>
              <w:spacing w:line="240" w:lineRule="auto" w:before="79"/>
              <w:ind w:left="21" w:right="0"/>
              <w:jc w:val="left"/>
              <w:rPr>
                <w:rFonts w:ascii="宋体" w:hAnsi="宋体" w:cs="宋体" w:eastAsia="宋体" w:hint="default"/>
                <w:sz w:val="11"/>
                <w:szCs w:val="11"/>
              </w:rPr>
            </w:pPr>
            <w:r>
              <w:rPr>
                <w:rFonts w:ascii="宋体" w:hAnsi="宋体" w:cs="宋体" w:eastAsia="宋体" w:hint="default"/>
                <w:sz w:val="11"/>
                <w:szCs w:val="11"/>
              </w:rPr>
              <w:t>物业管理、场地租赁；信息技术、管理人才培训及顾问、咨询服务</w:t>
            </w:r>
          </w:p>
        </w:tc>
        <w:tc>
          <w:tcPr>
            <w:tcW w:w="1690"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313" w:right="0"/>
              <w:jc w:val="left"/>
              <w:rPr>
                <w:rFonts w:ascii="Times New Roman" w:hAnsi="Times New Roman" w:cs="Times New Roman" w:eastAsia="Times New Roman" w:hint="default"/>
                <w:sz w:val="11"/>
                <w:szCs w:val="11"/>
              </w:rPr>
            </w:pPr>
            <w:r>
              <w:rPr>
                <w:rFonts w:ascii="Times New Roman"/>
                <w:sz w:val="11"/>
              </w:rPr>
              <w:t>59,400,000</w:t>
            </w:r>
          </w:p>
        </w:tc>
        <w:tc>
          <w:tcPr>
            <w:tcW w:w="424" w:type="dxa"/>
            <w:tcBorders>
              <w:top w:val="nil" w:sz="6" w:space="0" w:color="auto"/>
              <w:left w:val="nil" w:sz="6" w:space="0" w:color="auto"/>
              <w:bottom w:val="single" w:sz="12" w:space="0" w:color="000000"/>
              <w:right w:val="nil" w:sz="6" w:space="0" w:color="auto"/>
            </w:tcBorders>
          </w:tcPr>
          <w:p>
            <w:pPr/>
          </w:p>
        </w:tc>
        <w:tc>
          <w:tcPr>
            <w:tcW w:w="428"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0"/>
              <w:jc w:val="center"/>
              <w:rPr>
                <w:rFonts w:ascii="Times New Roman" w:hAnsi="Times New Roman" w:cs="Times New Roman" w:eastAsia="Times New Roman" w:hint="default"/>
                <w:sz w:val="11"/>
                <w:szCs w:val="11"/>
              </w:rPr>
            </w:pPr>
            <w:r>
              <w:rPr>
                <w:rFonts w:ascii="Times New Roman"/>
                <w:sz w:val="11"/>
              </w:rPr>
              <w:t>99</w:t>
            </w:r>
          </w:p>
        </w:tc>
        <w:tc>
          <w:tcPr>
            <w:tcW w:w="439"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11"/>
              <w:jc w:val="center"/>
              <w:rPr>
                <w:rFonts w:ascii="宋体" w:hAnsi="宋体" w:cs="宋体" w:eastAsia="宋体" w:hint="default"/>
                <w:sz w:val="11"/>
                <w:szCs w:val="11"/>
              </w:rPr>
            </w:pPr>
            <w:r>
              <w:rPr>
                <w:rFonts w:ascii="宋体" w:hAnsi="宋体" w:cs="宋体" w:eastAsia="宋体" w:hint="default"/>
                <w:w w:val="100"/>
                <w:sz w:val="11"/>
                <w:szCs w:val="11"/>
              </w:rPr>
              <w:t>是</w:t>
            </w:r>
          </w:p>
        </w:tc>
        <w:tc>
          <w:tcPr>
            <w:tcW w:w="797"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25"/>
              <w:jc w:val="right"/>
              <w:rPr>
                <w:rFonts w:ascii="Times New Roman" w:hAnsi="Times New Roman" w:cs="Times New Roman" w:eastAsia="Times New Roman" w:hint="default"/>
                <w:sz w:val="11"/>
                <w:szCs w:val="11"/>
              </w:rPr>
            </w:pPr>
            <w:r>
              <w:rPr>
                <w:rFonts w:ascii="Times New Roman"/>
                <w:sz w:val="11"/>
              </w:rPr>
              <w:t>1,590,049</w:t>
            </w:r>
          </w:p>
        </w:tc>
        <w:tc>
          <w:tcPr>
            <w:tcW w:w="607" w:type="dxa"/>
            <w:tcBorders>
              <w:top w:val="nil" w:sz="6" w:space="0" w:color="auto"/>
              <w:left w:val="nil" w:sz="6" w:space="0" w:color="auto"/>
              <w:bottom w:val="single" w:sz="12" w:space="0" w:color="000000"/>
              <w:right w:val="nil" w:sz="6" w:space="0" w:color="auto"/>
            </w:tcBorders>
          </w:tcPr>
          <w:p>
            <w:pPr/>
          </w:p>
        </w:tc>
        <w:tc>
          <w:tcPr>
            <w:tcW w:w="1371" w:type="dxa"/>
            <w:tcBorders>
              <w:top w:val="nil" w:sz="6" w:space="0" w:color="auto"/>
              <w:left w:val="nil" w:sz="6" w:space="0" w:color="auto"/>
              <w:bottom w:val="single" w:sz="12" w:space="0" w:color="000000"/>
              <w:right w:val="nil" w:sz="6" w:space="0" w:color="auto"/>
            </w:tcBorders>
          </w:tcPr>
          <w:p>
            <w:pPr/>
          </w:p>
        </w:tc>
      </w:tr>
    </w:tbl>
    <w:p>
      <w:pPr>
        <w:pStyle w:val="BodyText"/>
        <w:spacing w:line="240" w:lineRule="auto" w:before="78"/>
        <w:ind w:left="666" w:right="2104"/>
        <w:jc w:val="left"/>
      </w:pPr>
      <w:r>
        <w:rPr/>
        <w:t>注</w:t>
      </w:r>
      <w:r>
        <w:rPr>
          <w:spacing w:val="-55"/>
        </w:rPr>
        <w:t> </w:t>
      </w:r>
      <w:r>
        <w:rPr>
          <w:rFonts w:ascii="Times New Roman" w:hAnsi="Times New Roman" w:cs="Times New Roman" w:eastAsia="Times New Roman" w:hint="default"/>
        </w:rPr>
        <w:t>1</w:t>
      </w:r>
      <w:r>
        <w:rPr/>
        <w:t>：大连东软软件园产业发展有限公司为本公司之子公司沈阳东软信息技术服务有限公司出资设立，持股比例为</w:t>
      </w:r>
      <w:r>
        <w:rPr>
          <w:spacing w:val="-55"/>
        </w:rPr>
        <w:t> </w:t>
      </w:r>
      <w:r>
        <w:rPr>
          <w:rFonts w:ascii="Times New Roman" w:hAnsi="Times New Roman" w:cs="Times New Roman" w:eastAsia="Times New Roman" w:hint="default"/>
        </w:rPr>
        <w:t>60%</w:t>
      </w:r>
      <w:r>
        <w:rPr/>
        <w:t>；</w:t>
      </w:r>
    </w:p>
    <w:p>
      <w:pPr>
        <w:pStyle w:val="BodyText"/>
        <w:spacing w:line="328" w:lineRule="auto" w:before="109"/>
        <w:ind w:left="666" w:right="2104"/>
        <w:jc w:val="left"/>
      </w:pPr>
      <w:r>
        <w:rPr/>
        <w:t>注</w:t>
      </w:r>
      <w:r>
        <w:rPr>
          <w:spacing w:val="-55"/>
        </w:rPr>
        <w:t> </w:t>
      </w:r>
      <w:r>
        <w:rPr>
          <w:rFonts w:ascii="Times New Roman" w:hAnsi="Times New Roman" w:cs="Times New Roman" w:eastAsia="Times New Roman" w:hint="default"/>
        </w:rPr>
        <w:t>2</w:t>
      </w:r>
      <w:r>
        <w:rPr/>
        <w:t>：佛山市南海东软信息技术发展有限公司为本集团之子公司大连东软软件园产业发展有限公司出资设立，持股比例</w:t>
      </w:r>
      <w:r>
        <w:rPr>
          <w:spacing w:val="-55"/>
        </w:rPr>
        <w:t> </w:t>
      </w:r>
      <w:r>
        <w:rPr>
          <w:rFonts w:ascii="Times New Roman" w:hAnsi="Times New Roman" w:cs="Times New Roman" w:eastAsia="Times New Roman" w:hint="default"/>
        </w:rPr>
        <w:t>99%</w:t>
      </w:r>
      <w:r>
        <w:rPr/>
        <w:t>； 注</w:t>
      </w:r>
      <w:r>
        <w:rPr>
          <w:spacing w:val="-55"/>
        </w:rPr>
        <w:t> </w:t>
      </w:r>
      <w:r>
        <w:rPr>
          <w:rFonts w:ascii="Times New Roman" w:hAnsi="Times New Roman" w:cs="Times New Roman" w:eastAsia="Times New Roman" w:hint="default"/>
        </w:rPr>
        <w:t>3</w:t>
      </w:r>
      <w:r>
        <w:rPr/>
        <w:t>：成都东软信息技术发展有限公司为本集团之子公司大连东软软件园产业发展有限公司出资设立，持股比例</w:t>
      </w:r>
      <w:r>
        <w:rPr>
          <w:spacing w:val="-55"/>
        </w:rPr>
        <w:t> </w:t>
      </w:r>
      <w:r>
        <w:rPr>
          <w:rFonts w:ascii="Times New Roman" w:hAnsi="Times New Roman" w:cs="Times New Roman" w:eastAsia="Times New Roman" w:hint="default"/>
        </w:rPr>
        <w:t>99%</w:t>
      </w:r>
      <w:r>
        <w:rPr/>
        <w:t>。</w:t>
      </w:r>
    </w:p>
    <w:p>
      <w:pPr>
        <w:spacing w:after="0" w:line="328" w:lineRule="auto"/>
        <w:jc w:val="left"/>
        <w:sectPr>
          <w:pgSz w:w="16840" w:h="11910" w:orient="landscape"/>
          <w:pgMar w:header="883" w:footer="999" w:top="1600" w:bottom="1180" w:left="1300" w:right="1240"/>
        </w:sectPr>
      </w:pPr>
    </w:p>
    <w:p>
      <w:pPr>
        <w:spacing w:line="240" w:lineRule="auto" w:before="11"/>
        <w:rPr>
          <w:rFonts w:ascii="宋体" w:hAnsi="宋体" w:cs="宋体" w:eastAsia="宋体" w:hint="default"/>
          <w:sz w:val="24"/>
          <w:szCs w:val="24"/>
        </w:rPr>
      </w:pPr>
    </w:p>
    <w:p>
      <w:pPr>
        <w:pStyle w:val="Heading6"/>
        <w:spacing w:line="240" w:lineRule="auto"/>
        <w:ind w:left="665" w:right="2084"/>
        <w:jc w:val="left"/>
        <w:rPr>
          <w:b w:val="0"/>
          <w:bCs w:val="0"/>
        </w:rPr>
      </w:pPr>
      <w:r>
        <w:rPr/>
        <w:pict>
          <v:group style="position:absolute;margin-left:96.801003pt;margin-top:17.133675pt;width:676.75pt;height:367.5pt;mso-position-horizontal-relative:page;mso-position-vertical-relative:paragraph;z-index:-1129504" coordorigin="1936,343" coordsize="13535,7350">
            <v:group style="position:absolute;left:1965;top:358;width:13474;height:2" coordorigin="1965,358" coordsize="13474,2">
              <v:shape style="position:absolute;left:1965;top:358;width:13474;height:2" coordorigin="1965,358" coordsize="13474,0" path="m1965,358l15439,358e" filled="false" stroked="true" strokeweight="1.5pt" strokecolor="#000000">
                <v:path arrowok="t"/>
              </v:shape>
              <v:shape style="position:absolute;left:4128;top:344;width:9359;height:1657" type="#_x0000_t75" stroked="false">
                <v:imagedata r:id="rId94" o:title=""/>
              </v:shape>
            </v:group>
            <v:group style="position:absolute;left:1951;top:7678;width:2206;height:2" coordorigin="1951,7678" coordsize="2206,2">
              <v:shape style="position:absolute;left:1951;top:7678;width:2206;height:2" coordorigin="1951,7678" coordsize="2206,0" path="m1951,7678l4157,7678e" filled="false" stroked="true" strokeweight="1.5pt" strokecolor="#000000">
                <v:path arrowok="t"/>
              </v:shape>
              <v:shape style="position:absolute;left:1937;top:1947;width:13534;height:5735" type="#_x0000_t75" stroked="false">
                <v:imagedata r:id="rId95" o:title=""/>
              </v:shape>
            </v:group>
            <v:group style="position:absolute;left:4157;top:7678;width:461;height:2" coordorigin="4157,7678" coordsize="461,2">
              <v:shape style="position:absolute;left:4157;top:7678;width:461;height:2" coordorigin="4157,7678" coordsize="461,0" path="m4157,7678l4617,7678e" filled="false" stroked="true" strokeweight="1.5pt" strokecolor="#000000">
                <v:path arrowok="t"/>
              </v:shape>
              <v:shape style="position:absolute;left:4598;top:6842;width:49;height:840" type="#_x0000_t75" stroked="false">
                <v:imagedata r:id="rId65" o:title=""/>
              </v:shape>
            </v:group>
            <v:group style="position:absolute;left:4617;top:7678;width:447;height:2" coordorigin="4617,7678" coordsize="447,2">
              <v:shape style="position:absolute;left:4617;top:7678;width:447;height:2" coordorigin="4617,7678" coordsize="447,0" path="m4617,7678l5064,7678e" filled="false" stroked="true" strokeweight="1.5pt" strokecolor="#000000">
                <v:path arrowok="t"/>
              </v:shape>
              <v:shape style="position:absolute;left:5044;top:6842;width:49;height:840" type="#_x0000_t75" stroked="false">
                <v:imagedata r:id="rId63" o:title=""/>
              </v:shape>
            </v:group>
            <v:group style="position:absolute;left:5064;top:7678;width:920;height:2" coordorigin="5064,7678" coordsize="920,2">
              <v:shape style="position:absolute;left:5064;top:7678;width:920;height:2" coordorigin="5064,7678" coordsize="920,0" path="m5064,7678l5983,7678e" filled="false" stroked="true" strokeweight="1.5pt" strokecolor="#000000">
                <v:path arrowok="t"/>
              </v:shape>
              <v:shape style="position:absolute;left:5963;top:6842;width:49;height:840" type="#_x0000_t75" stroked="false">
                <v:imagedata r:id="rId64" o:title=""/>
              </v:shape>
            </v:group>
            <v:group style="position:absolute;left:5983;top:7678;width:1164;height:2" coordorigin="5983,7678" coordsize="1164,2">
              <v:shape style="position:absolute;left:5983;top:7678;width:1164;height:2" coordorigin="5983,7678" coordsize="1164,0" path="m5983,7678l7147,7678e" filled="false" stroked="true" strokeweight="1.5pt" strokecolor="#000000">
                <v:path arrowok="t"/>
              </v:shape>
              <v:shape style="position:absolute;left:7127;top:6842;width:49;height:840" type="#_x0000_t75" stroked="false">
                <v:imagedata r:id="rId65" o:title=""/>
              </v:shape>
            </v:group>
            <v:group style="position:absolute;left:7147;top:7678;width:1811;height:2" coordorigin="7147,7678" coordsize="1811,2">
              <v:shape style="position:absolute;left:7147;top:7678;width:1811;height:2" coordorigin="7147,7678" coordsize="1811,0" path="m7147,7678l8958,7678e" filled="false" stroked="true" strokeweight="1.5pt" strokecolor="#000000">
                <v:path arrowok="t"/>
              </v:shape>
              <v:shape style="position:absolute;left:8938;top:6842;width:49;height:840" type="#_x0000_t75" stroked="false">
                <v:imagedata r:id="rId63" o:title=""/>
              </v:shape>
            </v:group>
            <v:group style="position:absolute;left:8958;top:7678;width:917;height:2" coordorigin="8958,7678" coordsize="917,2">
              <v:shape style="position:absolute;left:8958;top:7678;width:917;height:2" coordorigin="8958,7678" coordsize="917,0" path="m8958,7678l9875,7678e" filled="false" stroked="true" strokeweight="1.5pt" strokecolor="#000000">
                <v:path arrowok="t"/>
              </v:shape>
              <v:shape style="position:absolute;left:9846;top:6833;width:67;height:845" type="#_x0000_t75" stroked="false">
                <v:imagedata r:id="rId66" o:title=""/>
              </v:shape>
            </v:group>
            <v:group style="position:absolute;left:9875;top:7678;width:746;height:2" coordorigin="9875,7678" coordsize="746,2">
              <v:shape style="position:absolute;left:9875;top:7678;width:746;height:2" coordorigin="9875,7678" coordsize="746,0" path="m9875,7678l10620,7678e" filled="false" stroked="true" strokeweight="1.5pt" strokecolor="#000000">
                <v:path arrowok="t"/>
              </v:shape>
              <v:shape style="position:absolute;left:10600;top:6842;width:49;height:840" type="#_x0000_t75" stroked="false">
                <v:imagedata r:id="rId63" o:title=""/>
              </v:shape>
            </v:group>
            <v:group style="position:absolute;left:10620;top:7678;width:437;height:2" coordorigin="10620,7678" coordsize="437,2">
              <v:shape style="position:absolute;left:10620;top:7678;width:437;height:2" coordorigin="10620,7678" coordsize="437,0" path="m10620,7678l11057,7678e" filled="false" stroked="true" strokeweight="1.5pt" strokecolor="#000000">
                <v:path arrowok="t"/>
              </v:shape>
              <v:shape style="position:absolute;left:11037;top:6842;width:49;height:840" type="#_x0000_t75" stroked="false">
                <v:imagedata r:id="rId63" o:title=""/>
              </v:shape>
            </v:group>
            <v:group style="position:absolute;left:11057;top:7678;width:438;height:2" coordorigin="11057,7678" coordsize="438,2">
              <v:shape style="position:absolute;left:11057;top:7678;width:438;height:2" coordorigin="11057,7678" coordsize="438,0" path="m11057,7678l11495,7678e" filled="false" stroked="true" strokeweight="1.5pt" strokecolor="#000000">
                <v:path arrowok="t"/>
              </v:shape>
              <v:shape style="position:absolute;left:11475;top:6842;width:49;height:840" type="#_x0000_t75" stroked="false">
                <v:imagedata r:id="rId65" o:title=""/>
              </v:shape>
            </v:group>
            <v:group style="position:absolute;left:11495;top:7678;width:369;height:2" coordorigin="11495,7678" coordsize="369,2">
              <v:shape style="position:absolute;left:11495;top:7678;width:369;height:2" coordorigin="11495,7678" coordsize="369,0" path="m11495,7678l11863,7678e" filled="false" stroked="true" strokeweight="1.5pt" strokecolor="#000000">
                <v:path arrowok="t"/>
              </v:shape>
              <v:shape style="position:absolute;left:11843;top:6842;width:49;height:840" type="#_x0000_t75" stroked="false">
                <v:imagedata r:id="rId63" o:title=""/>
              </v:shape>
            </v:group>
            <v:group style="position:absolute;left:11863;top:7678;width:892;height:2" coordorigin="11863,7678" coordsize="892,2">
              <v:shape style="position:absolute;left:11863;top:7678;width:892;height:2" coordorigin="11863,7678" coordsize="892,0" path="m11863,7678l12755,7678e" filled="false" stroked="true" strokeweight="1.5pt" strokecolor="#000000">
                <v:path arrowok="t"/>
              </v:shape>
              <v:shape style="position:absolute;left:12735;top:6842;width:49;height:840" type="#_x0000_t75" stroked="false">
                <v:imagedata r:id="rId63" o:title=""/>
              </v:shape>
            </v:group>
            <v:group style="position:absolute;left:12755;top:7678;width:694;height:2" coordorigin="12755,7678" coordsize="694,2">
              <v:shape style="position:absolute;left:12755;top:7678;width:694;height:2" coordorigin="12755,7678" coordsize="694,0" path="m12755,7678l13448,7678e" filled="false" stroked="true" strokeweight="1.5pt" strokecolor="#000000">
                <v:path arrowok="t"/>
              </v:shape>
              <v:shape style="position:absolute;left:13428;top:6842;width:49;height:840" type="#_x0000_t75" stroked="false">
                <v:imagedata r:id="rId65" o:title=""/>
              </v:shape>
            </v:group>
            <v:group style="position:absolute;left:13448;top:7678;width:1991;height:2" coordorigin="13448,7678" coordsize="1991,2">
              <v:shape style="position:absolute;left:13448;top:7678;width:1991;height:2" coordorigin="13448,7678" coordsize="1991,0" path="m13448,7678l15439,7678e" filled="false" stroked="true" strokeweight="1.5pt" strokecolor="#000000">
                <v:path arrowok="t"/>
              </v:shape>
              <v:shape style="position:absolute;left:9911;top:638;width:662;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pacing w:val="-1"/>
                          <w:sz w:val="11"/>
                          <w:szCs w:val="11"/>
                        </w:rPr>
                        <w:t>实质上构成对</w:t>
                      </w:r>
                    </w:p>
                  </w:txbxContent>
                </v:textbox>
                <w10:wrap type="none"/>
              </v:shape>
              <v:shape style="position:absolute;left:12822;top:638;width:2552;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少数股东权 </w:t>
                      </w:r>
                      <w:r>
                        <w:rPr>
                          <w:rFonts w:ascii="宋体" w:hAnsi="宋体" w:cs="宋体" w:eastAsia="宋体" w:hint="default"/>
                          <w:spacing w:val="15"/>
                          <w:sz w:val="11"/>
                          <w:szCs w:val="11"/>
                        </w:rPr>
                        <w:t> </w:t>
                      </w:r>
                      <w:r>
                        <w:rPr>
                          <w:rFonts w:ascii="宋体" w:hAnsi="宋体" w:cs="宋体" w:eastAsia="宋体" w:hint="default"/>
                          <w:sz w:val="11"/>
                          <w:szCs w:val="11"/>
                        </w:rPr>
                        <w:t>从母公司所有者权益冲减子公司少数股</w:t>
                      </w:r>
                    </w:p>
                  </w:txbxContent>
                </v:textbox>
                <w10:wrap type="none"/>
              </v:shape>
              <v:shape style="position:absolute;left:11564;top:837;width:221;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是否</w:t>
                      </w:r>
                    </w:p>
                  </w:txbxContent>
                </v:textbox>
                <w10:wrap type="none"/>
              </v:shape>
              <v:shape style="position:absolute;left:4217;top:1037;width:332;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子公司</w:t>
                      </w:r>
                    </w:p>
                  </w:txbxContent>
                </v:textbox>
                <w10:wrap type="none"/>
              </v:shape>
              <v:shape style="position:absolute;left:9911;top:1037;width:1554;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子公司净投资  持股比 </w:t>
                      </w:r>
                      <w:r>
                        <w:rPr>
                          <w:rFonts w:ascii="宋体" w:hAnsi="宋体" w:cs="宋体" w:eastAsia="宋体" w:hint="default"/>
                          <w:spacing w:val="12"/>
                          <w:sz w:val="11"/>
                          <w:szCs w:val="11"/>
                        </w:rPr>
                        <w:t> </w:t>
                      </w:r>
                      <w:r>
                        <w:rPr>
                          <w:rFonts w:ascii="宋体" w:hAnsi="宋体" w:cs="宋体" w:eastAsia="宋体" w:hint="default"/>
                          <w:sz w:val="11"/>
                          <w:szCs w:val="11"/>
                        </w:rPr>
                        <w:t>表决权</w:t>
                      </w:r>
                    </w:p>
                  </w:txbxContent>
                </v:textbox>
                <w10:wrap type="none"/>
              </v:shape>
              <v:shape style="position:absolute;left:12822;top:1037;width:2552;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益中用于冲 </w:t>
                      </w:r>
                      <w:r>
                        <w:rPr>
                          <w:rFonts w:ascii="宋体" w:hAnsi="宋体" w:cs="宋体" w:eastAsia="宋体" w:hint="default"/>
                          <w:spacing w:val="15"/>
                          <w:sz w:val="11"/>
                          <w:szCs w:val="11"/>
                        </w:rPr>
                        <w:t> </w:t>
                      </w:r>
                      <w:r>
                        <w:rPr>
                          <w:rFonts w:ascii="宋体" w:hAnsi="宋体" w:cs="宋体" w:eastAsia="宋体" w:hint="default"/>
                          <w:sz w:val="11"/>
                          <w:szCs w:val="11"/>
                        </w:rPr>
                        <w:t>东分担的本期亏损超过少数股东在该子</w:t>
                      </w:r>
                    </w:p>
                  </w:txbxContent>
                </v:textbox>
                <w10:wrap type="none"/>
              </v:shape>
              <v:shape style="position:absolute;left:2778;top:1238;width:551;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pacing w:val="-1"/>
                          <w:sz w:val="11"/>
                          <w:szCs w:val="11"/>
                        </w:rPr>
                        <w:t>子公司全称</w:t>
                      </w:r>
                    </w:p>
                  </w:txbxContent>
                </v:textbox>
                <w10:wrap type="none"/>
              </v:shape>
              <v:shape style="position:absolute;left:4671;top:1238;width:332;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注册地</w:t>
                      </w:r>
                    </w:p>
                  </w:txbxContent>
                </v:textbox>
                <w10:wrap type="none"/>
              </v:shape>
              <v:shape style="position:absolute;left:5299;top:1238;width:442;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企业性质</w:t>
                      </w:r>
                    </w:p>
                  </w:txbxContent>
                </v:textbox>
                <w10:wrap type="none"/>
              </v:shape>
              <v:shape style="position:absolute;left:6341;top:1238;width:442;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注册资本</w:t>
                      </w:r>
                    </w:p>
                  </w:txbxContent>
                </v:textbox>
                <w10:wrap type="none"/>
              </v:shape>
              <v:shape style="position:absolute;left:7829;top:1238;width:442;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经营范围</w:t>
                      </w:r>
                    </w:p>
                  </w:txbxContent>
                </v:textbox>
                <w10:wrap type="none"/>
              </v:shape>
              <v:shape style="position:absolute;left:9026;top:1238;width:772;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pacing w:val="-1"/>
                          <w:sz w:val="11"/>
                          <w:szCs w:val="11"/>
                        </w:rPr>
                        <w:t>期末实际投资额</w:t>
                      </w:r>
                    </w:p>
                  </w:txbxContent>
                </v:textbox>
                <w10:wrap type="none"/>
              </v:shape>
              <v:shape style="position:absolute;left:11564;top:1238;width:1072;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合并  </w:t>
                      </w:r>
                      <w:r>
                        <w:rPr>
                          <w:rFonts w:ascii="宋体" w:hAnsi="宋体" w:cs="宋体" w:eastAsia="宋体" w:hint="default"/>
                          <w:spacing w:val="25"/>
                          <w:sz w:val="11"/>
                          <w:szCs w:val="11"/>
                        </w:rPr>
                        <w:t> </w:t>
                      </w:r>
                      <w:r>
                        <w:rPr>
                          <w:rFonts w:ascii="宋体" w:hAnsi="宋体" w:cs="宋体" w:eastAsia="宋体" w:hint="default"/>
                          <w:sz w:val="11"/>
                          <w:szCs w:val="11"/>
                        </w:rPr>
                        <w:t>少数股东权益</w:t>
                      </w:r>
                    </w:p>
                  </w:txbxContent>
                </v:textbox>
                <w10:wrap type="none"/>
              </v:shape>
              <v:shape style="position:absolute;left:4272;top:1437;width:11102;height:512" type="#_x0000_t202" filled="false" stroked="false">
                <v:textbox inset="0,0,0,0">
                  <w:txbxContent>
                    <w:p>
                      <w:pPr>
                        <w:tabs>
                          <w:tab w:pos="5638" w:val="left" w:leader="none"/>
                          <w:tab w:pos="8549" w:val="left" w:leader="none"/>
                        </w:tabs>
                        <w:spacing w:line="119"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类型</w:t>
                        <w:tab/>
                        <w:t>的其他项目余   例</w:t>
                      </w:r>
                      <w:r>
                        <w:rPr>
                          <w:rFonts w:ascii="Times New Roman" w:hAnsi="Times New Roman" w:cs="Times New Roman" w:eastAsia="Times New Roman" w:hint="default"/>
                          <w:sz w:val="11"/>
                          <w:szCs w:val="11"/>
                        </w:rPr>
                        <w:t>(%)  </w:t>
                      </w:r>
                      <w:r>
                        <w:rPr>
                          <w:rFonts w:ascii="Times New Roman" w:hAnsi="Times New Roman" w:cs="Times New Roman" w:eastAsia="Times New Roman" w:hint="default"/>
                          <w:spacing w:val="11"/>
                          <w:sz w:val="11"/>
                          <w:szCs w:val="11"/>
                        </w:rPr>
                        <w:t> </w:t>
                      </w:r>
                      <w:r>
                        <w:rPr>
                          <w:rFonts w:ascii="宋体" w:hAnsi="宋体" w:cs="宋体" w:eastAsia="宋体" w:hint="default"/>
                          <w:sz w:val="11"/>
                          <w:szCs w:val="11"/>
                        </w:rPr>
                        <w:t>比例</w:t>
                      </w:r>
                      <w:r>
                        <w:rPr>
                          <w:rFonts w:ascii="Times New Roman" w:hAnsi="Times New Roman" w:cs="Times New Roman" w:eastAsia="Times New Roman" w:hint="default"/>
                          <w:sz w:val="11"/>
                          <w:szCs w:val="11"/>
                        </w:rPr>
                        <w:t>(%)</w:t>
                        <w:tab/>
                      </w:r>
                      <w:r>
                        <w:rPr>
                          <w:rFonts w:ascii="宋体" w:hAnsi="宋体" w:cs="宋体" w:eastAsia="宋体" w:hint="default"/>
                          <w:sz w:val="11"/>
                          <w:szCs w:val="11"/>
                        </w:rPr>
                        <w:t>减少数股东 </w:t>
                      </w:r>
                      <w:r>
                        <w:rPr>
                          <w:rFonts w:ascii="宋体" w:hAnsi="宋体" w:cs="宋体" w:eastAsia="宋体" w:hint="default"/>
                          <w:spacing w:val="15"/>
                          <w:sz w:val="11"/>
                          <w:szCs w:val="11"/>
                        </w:rPr>
                        <w:t> </w:t>
                      </w:r>
                      <w:r>
                        <w:rPr>
                          <w:rFonts w:ascii="宋体" w:hAnsi="宋体" w:cs="宋体" w:eastAsia="宋体" w:hint="default"/>
                          <w:sz w:val="11"/>
                          <w:szCs w:val="11"/>
                        </w:rPr>
                        <w:t>公司期初所有者权益中所享有份额后的</w:t>
                      </w:r>
                    </w:p>
                    <w:p>
                      <w:pPr>
                        <w:spacing w:before="48"/>
                        <w:ind w:left="7292" w:right="0" w:firstLine="0"/>
                        <w:jc w:val="left"/>
                        <w:rPr>
                          <w:rFonts w:ascii="宋体" w:hAnsi="宋体" w:cs="宋体" w:eastAsia="宋体" w:hint="default"/>
                          <w:sz w:val="11"/>
                          <w:szCs w:val="11"/>
                        </w:rPr>
                      </w:pPr>
                      <w:r>
                        <w:rPr>
                          <w:rFonts w:ascii="宋体" w:hAnsi="宋体" w:cs="宋体" w:eastAsia="宋体" w:hint="default"/>
                          <w:sz w:val="11"/>
                          <w:szCs w:val="11"/>
                        </w:rPr>
                        <w:t>报表</w:t>
                      </w:r>
                    </w:p>
                    <w:p>
                      <w:pPr>
                        <w:tabs>
                          <w:tab w:pos="8549" w:val="left" w:leader="none"/>
                          <w:tab w:pos="10054" w:val="left" w:leader="none"/>
                        </w:tabs>
                        <w:spacing w:before="56"/>
                        <w:ind w:left="5913" w:right="0" w:firstLine="0"/>
                        <w:jc w:val="left"/>
                        <w:rPr>
                          <w:rFonts w:ascii="宋体" w:hAnsi="宋体" w:cs="宋体" w:eastAsia="宋体" w:hint="default"/>
                          <w:sz w:val="11"/>
                          <w:szCs w:val="11"/>
                        </w:rPr>
                      </w:pPr>
                      <w:r>
                        <w:rPr>
                          <w:rFonts w:ascii="宋体" w:hAnsi="宋体" w:cs="宋体" w:eastAsia="宋体" w:hint="default"/>
                          <w:sz w:val="11"/>
                          <w:szCs w:val="11"/>
                        </w:rPr>
                        <w:t>额</w:t>
                        <w:tab/>
                      </w:r>
                      <w:r>
                        <w:rPr>
                          <w:rFonts w:ascii="宋体" w:hAnsi="宋体" w:cs="宋体" w:eastAsia="宋体" w:hint="default"/>
                          <w:spacing w:val="-1"/>
                          <w:sz w:val="11"/>
                          <w:szCs w:val="11"/>
                        </w:rPr>
                        <w:t>损益的金额</w:t>
                        <w:tab/>
                      </w:r>
                      <w:r>
                        <w:rPr>
                          <w:rFonts w:ascii="宋体" w:hAnsi="宋体" w:cs="宋体" w:eastAsia="宋体" w:hint="default"/>
                          <w:sz w:val="11"/>
                          <w:szCs w:val="11"/>
                        </w:rPr>
                        <w:t>余额</w:t>
                      </w:r>
                    </w:p>
                  </w:txbxContent>
                </v:textbox>
                <w10:wrap type="none"/>
              </v:shape>
              <v:shape style="position:absolute;left:1986;top:2247;width:1102;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pacing w:val="-1"/>
                          <w:sz w:val="11"/>
                          <w:szCs w:val="11"/>
                        </w:rPr>
                        <w:t>东软（日本）有限公司</w:t>
                      </w:r>
                    </w:p>
                  </w:txbxContent>
                </v:textbox>
                <w10:wrap type="none"/>
              </v:shape>
              <v:shape style="position:absolute;left:4182;top:2247;width:221;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全资</w:t>
                      </w:r>
                    </w:p>
                  </w:txbxContent>
                </v:textbox>
                <w10:wrap type="none"/>
              </v:shape>
              <v:shape style="position:absolute;left:4644;top:2247;width:1108;height:111" type="#_x0000_t202" filled="false" stroked="false">
                <v:textbox inset="0,0,0,0">
                  <w:txbxContent>
                    <w:p>
                      <w:pPr>
                        <w:tabs>
                          <w:tab w:pos="446" w:val="left" w:leader="none"/>
                        </w:tabs>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日本</w:t>
                        <w:tab/>
                      </w:r>
                      <w:r>
                        <w:rPr>
                          <w:rFonts w:ascii="宋体" w:hAnsi="宋体" w:cs="宋体" w:eastAsia="宋体" w:hint="default"/>
                          <w:spacing w:val="-1"/>
                          <w:sz w:val="11"/>
                          <w:szCs w:val="11"/>
                        </w:rPr>
                        <w:t>有限责任公司</w:t>
                      </w:r>
                    </w:p>
                  </w:txbxContent>
                </v:textbox>
                <w10:wrap type="none"/>
              </v:shape>
              <v:shape style="position:absolute;left:6314;top:2247;width:1740;height:117" type="#_x0000_t202" filled="false" stroked="false">
                <v:textbox inset="0,0,0,0">
                  <w:txbxContent>
                    <w:p>
                      <w:pPr>
                        <w:spacing w:line="116"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日元 </w:t>
                      </w:r>
                      <w:r>
                        <w:rPr>
                          <w:rFonts w:ascii="Times New Roman" w:hAnsi="Times New Roman" w:cs="Times New Roman" w:eastAsia="Times New Roman" w:hint="default"/>
                          <w:sz w:val="11"/>
                          <w:szCs w:val="11"/>
                        </w:rPr>
                        <w:t>187,750,000</w:t>
                      </w:r>
                      <w:r>
                        <w:rPr>
                          <w:rFonts w:ascii="Times New Roman" w:hAnsi="Times New Roman" w:cs="Times New Roman" w:eastAsia="Times New Roman" w:hint="default"/>
                          <w:spacing w:val="4"/>
                          <w:sz w:val="11"/>
                          <w:szCs w:val="11"/>
                        </w:rPr>
                        <w:t> </w:t>
                      </w:r>
                      <w:r>
                        <w:rPr>
                          <w:rFonts w:ascii="宋体" w:hAnsi="宋体" w:cs="宋体" w:eastAsia="宋体" w:hint="default"/>
                          <w:sz w:val="11"/>
                          <w:szCs w:val="11"/>
                        </w:rPr>
                        <w:t>经营计算机软硬件</w:t>
                      </w:r>
                    </w:p>
                  </w:txbxContent>
                </v:textbox>
                <w10:wrap type="none"/>
              </v:shape>
              <v:shape style="position:absolute;left:9349;top:2266;width:492;height:111" type="#_x0000_t202" filled="false" stroked="false">
                <v:textbox inset="0,0,0,0">
                  <w:txbxContent>
                    <w:p>
                      <w:pPr>
                        <w:spacing w:line="110" w:lineRule="exact" w:before="0"/>
                        <w:ind w:left="0" w:right="0" w:firstLine="0"/>
                        <w:jc w:val="left"/>
                        <w:rPr>
                          <w:rFonts w:ascii="Times New Roman" w:hAnsi="Times New Roman" w:cs="Times New Roman" w:eastAsia="Times New Roman" w:hint="default"/>
                          <w:sz w:val="11"/>
                          <w:szCs w:val="11"/>
                        </w:rPr>
                      </w:pPr>
                      <w:r>
                        <w:rPr>
                          <w:rFonts w:ascii="Times New Roman"/>
                          <w:spacing w:val="-1"/>
                          <w:sz w:val="11"/>
                        </w:rPr>
                        <w:t>11,826,901</w:t>
                      </w:r>
                    </w:p>
                  </w:txbxContent>
                </v:textbox>
                <w10:wrap type="none"/>
              </v:shape>
              <v:shape style="position:absolute;left:10760;top:2266;width:166;height:111" type="#_x0000_t202" filled="false" stroked="false">
                <v:textbox inset="0,0,0,0">
                  <w:txbxContent>
                    <w:p>
                      <w:pPr>
                        <w:spacing w:line="110" w:lineRule="exact" w:before="0"/>
                        <w:ind w:left="0" w:right="0" w:firstLine="0"/>
                        <w:jc w:val="left"/>
                        <w:rPr>
                          <w:rFonts w:ascii="Times New Roman" w:hAnsi="Times New Roman" w:cs="Times New Roman" w:eastAsia="Times New Roman" w:hint="default"/>
                          <w:sz w:val="11"/>
                          <w:szCs w:val="11"/>
                        </w:rPr>
                      </w:pPr>
                      <w:r>
                        <w:rPr>
                          <w:rFonts w:ascii="Times New Roman"/>
                          <w:sz w:val="11"/>
                        </w:rPr>
                        <w:t>100</w:t>
                      </w:r>
                    </w:p>
                  </w:txbxContent>
                </v:textbox>
                <w10:wrap type="none"/>
              </v:shape>
              <v:shape style="position:absolute;left:11197;top:2266;width:166;height:111" type="#_x0000_t202" filled="false" stroked="false">
                <v:textbox inset="0,0,0,0">
                  <w:txbxContent>
                    <w:p>
                      <w:pPr>
                        <w:spacing w:line="110" w:lineRule="exact" w:before="0"/>
                        <w:ind w:left="0" w:right="0" w:firstLine="0"/>
                        <w:jc w:val="left"/>
                        <w:rPr>
                          <w:rFonts w:ascii="Times New Roman" w:hAnsi="Times New Roman" w:cs="Times New Roman" w:eastAsia="Times New Roman" w:hint="default"/>
                          <w:sz w:val="11"/>
                          <w:szCs w:val="11"/>
                        </w:rPr>
                      </w:pPr>
                      <w:r>
                        <w:rPr>
                          <w:rFonts w:ascii="Times New Roman"/>
                          <w:sz w:val="11"/>
                        </w:rPr>
                        <w:t>100</w:t>
                      </w:r>
                    </w:p>
                  </w:txbxContent>
                </v:textbox>
                <w10:wrap type="none"/>
              </v:shape>
              <v:shape style="position:absolute;left:11618;top:2247;width:111;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w w:val="100"/>
                          <w:sz w:val="11"/>
                          <w:szCs w:val="11"/>
                        </w:rPr>
                        <w:t>是</w:t>
                      </w:r>
                    </w:p>
                  </w:txbxContent>
                </v:textbox>
                <w10:wrap type="none"/>
              </v:shape>
              <v:shape style="position:absolute;left:7173;top:7127;width:1751;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pacing w:val="-2"/>
                          <w:sz w:val="11"/>
                          <w:szCs w:val="11"/>
                        </w:rPr>
                        <w:t>开发、生产计算机软件；销售自产产</w:t>
                      </w:r>
                    </w:p>
                  </w:txbxContent>
                </v:textbox>
                <w10:wrap type="none"/>
              </v:shape>
              <v:shape style="position:absolute;left:1986;top:7328;width:1733;height:117" type="#_x0000_t202" filled="false" stroked="false">
                <v:textbox inset="0,0,0,0">
                  <w:txbxContent>
                    <w:p>
                      <w:pPr>
                        <w:spacing w:line="116"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北京东软望海科技有限公司（注</w:t>
                      </w:r>
                      <w:r>
                        <w:rPr>
                          <w:rFonts w:ascii="宋体" w:hAnsi="宋体" w:cs="宋体" w:eastAsia="宋体" w:hint="default"/>
                          <w:spacing w:val="-32"/>
                          <w:sz w:val="11"/>
                          <w:szCs w:val="11"/>
                        </w:rPr>
                        <w:t> </w:t>
                      </w:r>
                      <w:r>
                        <w:rPr>
                          <w:rFonts w:ascii="Times New Roman" w:hAnsi="Times New Roman" w:cs="Times New Roman" w:eastAsia="Times New Roman" w:hint="default"/>
                          <w:sz w:val="11"/>
                          <w:szCs w:val="11"/>
                        </w:rPr>
                        <w:t>6</w:t>
                      </w:r>
                      <w:r>
                        <w:rPr>
                          <w:rFonts w:ascii="宋体" w:hAnsi="宋体" w:cs="宋体" w:eastAsia="宋体" w:hint="default"/>
                          <w:sz w:val="11"/>
                          <w:szCs w:val="11"/>
                        </w:rPr>
                        <w:t>）</w:t>
                      </w:r>
                    </w:p>
                  </w:txbxContent>
                </v:textbox>
                <w10:wrap type="none"/>
              </v:shape>
              <v:shape style="position:absolute;left:4182;top:7328;width:221;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控股</w:t>
                      </w:r>
                    </w:p>
                  </w:txbxContent>
                </v:textbox>
                <w10:wrap type="none"/>
              </v:shape>
              <v:shape style="position:absolute;left:4644;top:7328;width:1108;height:111" type="#_x0000_t202" filled="false" stroked="false">
                <v:textbox inset="0,0,0,0">
                  <w:txbxContent>
                    <w:p>
                      <w:pPr>
                        <w:tabs>
                          <w:tab w:pos="446" w:val="left" w:leader="none"/>
                        </w:tabs>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z w:val="11"/>
                          <w:szCs w:val="11"/>
                        </w:rPr>
                        <w:t>北京</w:t>
                        <w:tab/>
                      </w:r>
                      <w:r>
                        <w:rPr>
                          <w:rFonts w:ascii="宋体" w:hAnsi="宋体" w:cs="宋体" w:eastAsia="宋体" w:hint="default"/>
                          <w:spacing w:val="-1"/>
                          <w:sz w:val="11"/>
                          <w:szCs w:val="11"/>
                        </w:rPr>
                        <w:t>有限责任公司</w:t>
                      </w:r>
                    </w:p>
                  </w:txbxContent>
                </v:textbox>
                <w10:wrap type="none"/>
              </v:shape>
              <v:shape style="position:absolute;left:6618;top:7347;width:496;height:111" type="#_x0000_t202" filled="false" stroked="false">
                <v:textbox inset="0,0,0,0">
                  <w:txbxContent>
                    <w:p>
                      <w:pPr>
                        <w:spacing w:line="110" w:lineRule="exact" w:before="0"/>
                        <w:ind w:left="0" w:right="0" w:firstLine="0"/>
                        <w:jc w:val="left"/>
                        <w:rPr>
                          <w:rFonts w:ascii="Times New Roman" w:hAnsi="Times New Roman" w:cs="Times New Roman" w:eastAsia="Times New Roman" w:hint="default"/>
                          <w:sz w:val="11"/>
                          <w:szCs w:val="11"/>
                        </w:rPr>
                      </w:pPr>
                      <w:r>
                        <w:rPr>
                          <w:rFonts w:ascii="Times New Roman"/>
                          <w:spacing w:val="-1"/>
                          <w:sz w:val="11"/>
                        </w:rPr>
                        <w:t>27,790,000</w:t>
                      </w:r>
                    </w:p>
                  </w:txbxContent>
                </v:textbox>
                <w10:wrap type="none"/>
              </v:shape>
              <v:shape style="position:absolute;left:9294;top:7347;width:548;height:111" type="#_x0000_t202" filled="false" stroked="false">
                <v:textbox inset="0,0,0,0">
                  <w:txbxContent>
                    <w:p>
                      <w:pPr>
                        <w:spacing w:line="110" w:lineRule="exact" w:before="0"/>
                        <w:ind w:left="0" w:right="0" w:firstLine="0"/>
                        <w:jc w:val="left"/>
                        <w:rPr>
                          <w:rFonts w:ascii="Times New Roman" w:hAnsi="Times New Roman" w:cs="Times New Roman" w:eastAsia="Times New Roman" w:hint="default"/>
                          <w:sz w:val="11"/>
                          <w:szCs w:val="11"/>
                        </w:rPr>
                      </w:pPr>
                      <w:r>
                        <w:rPr>
                          <w:rFonts w:ascii="Times New Roman"/>
                          <w:spacing w:val="-1"/>
                          <w:sz w:val="11"/>
                        </w:rPr>
                        <w:t>114,101,440</w:t>
                      </w:r>
                    </w:p>
                  </w:txbxContent>
                </v:textbox>
                <w10:wrap type="none"/>
              </v:shape>
              <v:shape style="position:absolute;left:11148;top:7328;width:581;height:130" type="#_x0000_t202" filled="false" stroked="false">
                <v:textbox inset="0,0,0,0">
                  <w:txbxContent>
                    <w:p>
                      <w:pPr>
                        <w:tabs>
                          <w:tab w:pos="470" w:val="left" w:leader="none"/>
                        </w:tabs>
                        <w:spacing w:line="130" w:lineRule="exact" w:before="0"/>
                        <w:ind w:left="0" w:right="0" w:firstLine="0"/>
                        <w:jc w:val="left"/>
                        <w:rPr>
                          <w:rFonts w:ascii="宋体" w:hAnsi="宋体" w:cs="宋体" w:eastAsia="宋体" w:hint="default"/>
                          <w:sz w:val="11"/>
                          <w:szCs w:val="11"/>
                        </w:rPr>
                      </w:pPr>
                      <w:r>
                        <w:rPr>
                          <w:rFonts w:ascii="Times New Roman" w:hAnsi="Times New Roman" w:cs="Times New Roman" w:eastAsia="Times New Roman" w:hint="default"/>
                          <w:sz w:val="11"/>
                          <w:szCs w:val="11"/>
                        </w:rPr>
                        <w:t>73.14</w:t>
                        <w:tab/>
                      </w:r>
                      <w:r>
                        <w:rPr>
                          <w:rFonts w:ascii="宋体" w:hAnsi="宋体" w:cs="宋体" w:eastAsia="宋体" w:hint="default"/>
                          <w:position w:val="1"/>
                          <w:sz w:val="11"/>
                          <w:szCs w:val="11"/>
                        </w:rPr>
                        <w:t>是</w:t>
                      </w:r>
                      <w:r>
                        <w:rPr>
                          <w:rFonts w:ascii="宋体" w:hAnsi="宋体" w:cs="宋体" w:eastAsia="宋体" w:hint="default"/>
                          <w:sz w:val="11"/>
                          <w:szCs w:val="11"/>
                        </w:rPr>
                      </w:r>
                    </w:p>
                  </w:txbxContent>
                </v:textbox>
                <w10:wrap type="none"/>
              </v:shape>
              <v:shape style="position:absolute;left:12281;top:7347;width:442;height:111" type="#_x0000_t202" filled="false" stroked="false">
                <v:textbox inset="0,0,0,0">
                  <w:txbxContent>
                    <w:p>
                      <w:pPr>
                        <w:spacing w:line="110" w:lineRule="exact" w:before="0"/>
                        <w:ind w:left="0" w:right="0" w:firstLine="0"/>
                        <w:jc w:val="left"/>
                        <w:rPr>
                          <w:rFonts w:ascii="Times New Roman" w:hAnsi="Times New Roman" w:cs="Times New Roman" w:eastAsia="Times New Roman" w:hint="default"/>
                          <w:sz w:val="11"/>
                          <w:szCs w:val="11"/>
                        </w:rPr>
                      </w:pPr>
                      <w:r>
                        <w:rPr>
                          <w:rFonts w:ascii="Times New Roman"/>
                          <w:sz w:val="11"/>
                        </w:rPr>
                        <w:t>5,644,163</w:t>
                      </w:r>
                    </w:p>
                  </w:txbxContent>
                </v:textbox>
                <w10:wrap type="none"/>
              </v:shape>
              <v:shape style="position:absolute;left:7173;top:7527;width:992;height:111" type="#_x0000_t202" filled="false" stroked="false">
                <v:textbox inset="0,0,0,0">
                  <w:txbxContent>
                    <w:p>
                      <w:pPr>
                        <w:spacing w:line="110" w:lineRule="exact" w:before="0"/>
                        <w:ind w:left="0" w:right="0" w:firstLine="0"/>
                        <w:jc w:val="left"/>
                        <w:rPr>
                          <w:rFonts w:ascii="宋体" w:hAnsi="宋体" w:cs="宋体" w:eastAsia="宋体" w:hint="default"/>
                          <w:sz w:val="11"/>
                          <w:szCs w:val="11"/>
                        </w:rPr>
                      </w:pPr>
                      <w:r>
                        <w:rPr>
                          <w:rFonts w:ascii="宋体" w:hAnsi="宋体" w:cs="宋体" w:eastAsia="宋体" w:hint="default"/>
                          <w:spacing w:val="-1"/>
                          <w:sz w:val="11"/>
                          <w:szCs w:val="11"/>
                        </w:rPr>
                        <w:t>品；技术支持服务等</w:t>
                      </w:r>
                    </w:p>
                  </w:txbxContent>
                </v:textbox>
                <w10:wrap type="none"/>
              </v:shape>
            </v:group>
            <w10:wrap type="none"/>
          </v:group>
        </w:pict>
      </w:r>
      <w:r>
        <w:rPr>
          <w:rFonts w:ascii="Times New Roman" w:hAnsi="Times New Roman" w:cs="Times New Roman" w:eastAsia="Times New Roman" w:hint="default"/>
        </w:rPr>
        <w:t>3</w:t>
      </w:r>
      <w:r>
        <w:rPr/>
        <w:t>、通过非同一控制下企业合并取得的子公司</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0"/>
          <w:szCs w:val="10"/>
        </w:rPr>
      </w:pPr>
    </w:p>
    <w:tbl>
      <w:tblPr>
        <w:tblW w:w="0" w:type="auto"/>
        <w:jc w:val="left"/>
        <w:tblInd w:w="650" w:type="dxa"/>
        <w:tblLayout w:type="fixed"/>
        <w:tblCellMar>
          <w:top w:w="0" w:type="dxa"/>
          <w:left w:w="0" w:type="dxa"/>
          <w:bottom w:w="0" w:type="dxa"/>
          <w:right w:w="0" w:type="dxa"/>
        </w:tblCellMar>
        <w:tblLook w:val="01E0"/>
      </w:tblPr>
      <w:tblGrid>
        <w:gridCol w:w="2170"/>
        <w:gridCol w:w="402"/>
        <w:gridCol w:w="509"/>
        <w:gridCol w:w="863"/>
        <w:gridCol w:w="3239"/>
        <w:gridCol w:w="1141"/>
        <w:gridCol w:w="778"/>
        <w:gridCol w:w="454"/>
        <w:gridCol w:w="470"/>
        <w:gridCol w:w="780"/>
      </w:tblGrid>
      <w:tr>
        <w:trPr>
          <w:trHeight w:val="370"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5" w:right="0"/>
              <w:jc w:val="left"/>
              <w:rPr>
                <w:rFonts w:ascii="宋体" w:hAnsi="宋体" w:cs="宋体" w:eastAsia="宋体" w:hint="default"/>
                <w:sz w:val="11"/>
                <w:szCs w:val="11"/>
              </w:rPr>
            </w:pPr>
            <w:r>
              <w:rPr>
                <w:rFonts w:ascii="宋体" w:hAnsi="宋体" w:cs="宋体" w:eastAsia="宋体" w:hint="default"/>
                <w:sz w:val="11"/>
                <w:szCs w:val="11"/>
              </w:rPr>
              <w:t>北京兰瑞科创信息技术有限公司</w:t>
            </w:r>
          </w:p>
        </w:tc>
        <w:tc>
          <w:tcPr>
            <w:tcW w:w="402" w:type="dxa"/>
            <w:tcBorders>
              <w:top w:val="nil" w:sz="6" w:space="0" w:color="auto"/>
              <w:left w:val="nil" w:sz="6" w:space="0" w:color="auto"/>
              <w:bottom w:val="nil" w:sz="6" w:space="0" w:color="auto"/>
              <w:right w:val="nil" w:sz="6" w:space="0" w:color="auto"/>
            </w:tcBorders>
          </w:tcPr>
          <w:p>
            <w:pPr>
              <w:pStyle w:val="TableParagraph"/>
              <w:spacing w:line="240" w:lineRule="auto" w:before="66"/>
              <w:ind w:left="60" w:right="0"/>
              <w:jc w:val="left"/>
              <w:rPr>
                <w:rFonts w:ascii="宋体" w:hAnsi="宋体" w:cs="宋体" w:eastAsia="宋体" w:hint="default"/>
                <w:sz w:val="11"/>
                <w:szCs w:val="11"/>
              </w:rPr>
            </w:pPr>
            <w:r>
              <w:rPr>
                <w:rFonts w:ascii="宋体" w:hAnsi="宋体" w:cs="宋体" w:eastAsia="宋体" w:hint="default"/>
                <w:sz w:val="11"/>
                <w:szCs w:val="11"/>
              </w:rPr>
              <w:t>全资</w:t>
            </w:r>
          </w:p>
        </w:tc>
        <w:tc>
          <w:tcPr>
            <w:tcW w:w="509"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20" w:right="0"/>
              <w:jc w:val="left"/>
              <w:rPr>
                <w:rFonts w:ascii="宋体" w:hAnsi="宋体" w:cs="宋体" w:eastAsia="宋体" w:hint="default"/>
                <w:sz w:val="11"/>
                <w:szCs w:val="11"/>
              </w:rPr>
            </w:pPr>
            <w:r>
              <w:rPr>
                <w:rFonts w:ascii="宋体" w:hAnsi="宋体" w:cs="宋体" w:eastAsia="宋体" w:hint="default"/>
                <w:sz w:val="11"/>
                <w:szCs w:val="11"/>
              </w:rPr>
              <w:t>北京</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6"/>
              <w:ind w:left="57" w:right="0"/>
              <w:jc w:val="left"/>
              <w:rPr>
                <w:rFonts w:ascii="宋体" w:hAnsi="宋体" w:cs="宋体" w:eastAsia="宋体" w:hint="default"/>
                <w:sz w:val="11"/>
                <w:szCs w:val="11"/>
              </w:rPr>
            </w:pPr>
            <w:r>
              <w:rPr>
                <w:rFonts w:ascii="宋体" w:hAnsi="宋体" w:cs="宋体" w:eastAsia="宋体" w:hint="default"/>
                <w:sz w:val="11"/>
                <w:szCs w:val="11"/>
              </w:rPr>
              <w:t>有限责任公司</w:t>
            </w:r>
          </w:p>
        </w:tc>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08"/>
              <w:jc w:val="right"/>
              <w:rPr>
                <w:rFonts w:ascii="宋体" w:hAnsi="宋体" w:cs="宋体" w:eastAsia="宋体" w:hint="default"/>
                <w:sz w:val="11"/>
                <w:szCs w:val="11"/>
              </w:rPr>
            </w:pPr>
            <w:r>
              <w:rPr>
                <w:rFonts w:ascii="Times New Roman" w:hAnsi="Times New Roman" w:cs="Times New Roman" w:eastAsia="Times New Roman" w:hint="default"/>
                <w:sz w:val="11"/>
                <w:szCs w:val="11"/>
              </w:rPr>
              <w:t>10,000,000</w:t>
            </w:r>
            <w:r>
              <w:rPr>
                <w:rFonts w:ascii="Times New Roman" w:hAnsi="Times New Roman" w:cs="Times New Roman" w:eastAsia="Times New Roman" w:hint="default"/>
                <w:spacing w:val="19"/>
                <w:sz w:val="11"/>
                <w:szCs w:val="11"/>
              </w:rPr>
              <w:t> </w:t>
            </w:r>
            <w:r>
              <w:rPr>
                <w:rFonts w:ascii="宋体" w:hAnsi="宋体" w:cs="宋体" w:eastAsia="宋体" w:hint="default"/>
                <w:position w:val="1"/>
                <w:sz w:val="11"/>
                <w:szCs w:val="11"/>
              </w:rPr>
              <w:t>计算机软件开发、设计、制作与销售</w:t>
            </w:r>
            <w:r>
              <w:rPr>
                <w:rFonts w:ascii="宋体" w:hAnsi="宋体" w:cs="宋体" w:eastAsia="宋体" w:hint="default"/>
                <w:sz w:val="11"/>
                <w:szCs w:val="11"/>
              </w:rPr>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right="434"/>
              <w:jc w:val="right"/>
              <w:rPr>
                <w:rFonts w:ascii="Times New Roman" w:hAnsi="Times New Roman" w:cs="Times New Roman" w:eastAsia="Times New Roman" w:hint="default"/>
                <w:sz w:val="11"/>
                <w:szCs w:val="11"/>
              </w:rPr>
            </w:pPr>
            <w:r>
              <w:rPr>
                <w:rFonts w:ascii="Times New Roman"/>
                <w:sz w:val="11"/>
              </w:rPr>
              <w:t>9,454,820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right="125"/>
              <w:jc w:val="right"/>
              <w:rPr>
                <w:rFonts w:ascii="Times New Roman" w:hAnsi="Times New Roman" w:cs="Times New Roman" w:eastAsia="Times New Roman" w:hint="default"/>
                <w:sz w:val="11"/>
                <w:szCs w:val="11"/>
              </w:rPr>
            </w:pPr>
            <w:r>
              <w:rPr>
                <w:rFonts w:ascii="Times New Roman"/>
                <w:sz w:val="11"/>
              </w:rPr>
              <w:t>100</w:t>
            </w:r>
          </w:p>
        </w:tc>
        <w:tc>
          <w:tcPr>
            <w:tcW w:w="45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right="142"/>
              <w:jc w:val="right"/>
              <w:rPr>
                <w:rFonts w:ascii="Times New Roman" w:hAnsi="Times New Roman" w:cs="Times New Roman" w:eastAsia="Times New Roman" w:hint="default"/>
                <w:sz w:val="11"/>
                <w:szCs w:val="11"/>
              </w:rPr>
            </w:pPr>
            <w:r>
              <w:rPr>
                <w:rFonts w:ascii="Times New Roman"/>
                <w:sz w:val="11"/>
              </w:rPr>
              <w:t>100</w:t>
            </w:r>
          </w:p>
        </w:tc>
        <w:tc>
          <w:tcPr>
            <w:tcW w:w="470"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11" w:right="0"/>
              <w:jc w:val="left"/>
              <w:rPr>
                <w:rFonts w:ascii="宋体" w:hAnsi="宋体" w:cs="宋体" w:eastAsia="宋体" w:hint="default"/>
                <w:sz w:val="11"/>
                <w:szCs w:val="11"/>
              </w:rPr>
            </w:pPr>
            <w:r>
              <w:rPr>
                <w:rFonts w:ascii="宋体" w:hAnsi="宋体" w:cs="宋体" w:eastAsia="宋体" w:hint="default"/>
                <w:w w:val="100"/>
                <w:sz w:val="11"/>
                <w:szCs w:val="11"/>
              </w:rPr>
              <w:t>是</w:t>
            </w:r>
          </w:p>
        </w:tc>
        <w:tc>
          <w:tcPr>
            <w:tcW w:w="780" w:type="dxa"/>
            <w:tcBorders>
              <w:top w:val="nil" w:sz="6" w:space="0" w:color="auto"/>
              <w:left w:val="nil" w:sz="6" w:space="0" w:color="auto"/>
              <w:bottom w:val="nil" w:sz="6" w:space="0" w:color="auto"/>
              <w:right w:val="nil" w:sz="6" w:space="0" w:color="auto"/>
            </w:tcBorders>
          </w:tcPr>
          <w:p>
            <w:pPr/>
          </w:p>
        </w:tc>
      </w:tr>
      <w:tr>
        <w:trPr>
          <w:trHeight w:val="270"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240" w:lineRule="auto"/>
              <w:ind w:left="35" w:right="0"/>
              <w:jc w:val="left"/>
              <w:rPr>
                <w:rFonts w:ascii="宋体" w:hAnsi="宋体" w:cs="宋体" w:eastAsia="宋体" w:hint="default"/>
                <w:sz w:val="11"/>
                <w:szCs w:val="11"/>
              </w:rPr>
            </w:pPr>
            <w:r>
              <w:rPr>
                <w:rFonts w:ascii="宋体" w:hAnsi="宋体" w:cs="宋体" w:eastAsia="宋体" w:hint="default"/>
                <w:sz w:val="11"/>
                <w:szCs w:val="11"/>
              </w:rPr>
              <w:t>辽宁东软创业投资有限公司</w:t>
            </w:r>
          </w:p>
        </w:tc>
        <w:tc>
          <w:tcPr>
            <w:tcW w:w="40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240" w:lineRule="auto"/>
              <w:ind w:left="60" w:right="0"/>
              <w:jc w:val="left"/>
              <w:rPr>
                <w:rFonts w:ascii="宋体" w:hAnsi="宋体" w:cs="宋体" w:eastAsia="宋体" w:hint="default"/>
                <w:sz w:val="11"/>
                <w:szCs w:val="11"/>
              </w:rPr>
            </w:pPr>
            <w:r>
              <w:rPr>
                <w:rFonts w:ascii="宋体" w:hAnsi="宋体" w:cs="宋体" w:eastAsia="宋体" w:hint="default"/>
                <w:sz w:val="11"/>
                <w:szCs w:val="11"/>
              </w:rPr>
              <w:t>控股</w:t>
            </w:r>
          </w:p>
        </w:tc>
        <w:tc>
          <w:tcPr>
            <w:tcW w:w="5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240" w:lineRule="auto"/>
              <w:ind w:left="120" w:right="0"/>
              <w:jc w:val="left"/>
              <w:rPr>
                <w:rFonts w:ascii="宋体" w:hAnsi="宋体" w:cs="宋体" w:eastAsia="宋体" w:hint="default"/>
                <w:sz w:val="11"/>
                <w:szCs w:val="11"/>
              </w:rPr>
            </w:pPr>
            <w:r>
              <w:rPr>
                <w:rFonts w:ascii="宋体" w:hAnsi="宋体" w:cs="宋体" w:eastAsia="宋体" w:hint="default"/>
                <w:sz w:val="11"/>
                <w:szCs w:val="11"/>
              </w:rPr>
              <w:t>大连</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240" w:lineRule="auto"/>
              <w:ind w:left="57" w:right="0"/>
              <w:jc w:val="left"/>
              <w:rPr>
                <w:rFonts w:ascii="宋体" w:hAnsi="宋体" w:cs="宋体" w:eastAsia="宋体" w:hint="default"/>
                <w:sz w:val="11"/>
                <w:szCs w:val="11"/>
              </w:rPr>
            </w:pPr>
            <w:r>
              <w:rPr>
                <w:rFonts w:ascii="宋体" w:hAnsi="宋体" w:cs="宋体" w:eastAsia="宋体" w:hint="default"/>
                <w:sz w:val="11"/>
                <w:szCs w:val="11"/>
              </w:rPr>
              <w:t>有限责任公司</w:t>
            </w:r>
          </w:p>
        </w:tc>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left="667" w:right="0"/>
              <w:jc w:val="left"/>
              <w:rPr>
                <w:rFonts w:ascii="宋体" w:hAnsi="宋体" w:cs="宋体" w:eastAsia="宋体" w:hint="default"/>
                <w:sz w:val="11"/>
                <w:szCs w:val="11"/>
              </w:rPr>
            </w:pPr>
            <w:r>
              <w:rPr>
                <w:rFonts w:ascii="Times New Roman" w:hAnsi="Times New Roman" w:cs="Times New Roman" w:eastAsia="Times New Roman" w:hint="default"/>
                <w:sz w:val="11"/>
                <w:szCs w:val="11"/>
              </w:rPr>
              <w:t>105,000,000 </w:t>
            </w:r>
            <w:r>
              <w:rPr>
                <w:rFonts w:ascii="Times New Roman" w:hAnsi="Times New Roman" w:cs="Times New Roman" w:eastAsia="Times New Roman" w:hint="default"/>
                <w:spacing w:val="5"/>
                <w:sz w:val="11"/>
                <w:szCs w:val="11"/>
              </w:rPr>
              <w:t> </w:t>
            </w:r>
            <w:r>
              <w:rPr>
                <w:rFonts w:ascii="宋体" w:hAnsi="宋体" w:cs="宋体" w:eastAsia="宋体" w:hint="default"/>
                <w:position w:val="1"/>
                <w:sz w:val="11"/>
                <w:szCs w:val="11"/>
              </w:rPr>
              <w:t>对中小企业投资及管理</w:t>
            </w:r>
            <w:r>
              <w:rPr>
                <w:rFonts w:ascii="宋体" w:hAnsi="宋体" w:cs="宋体" w:eastAsia="宋体" w:hint="default"/>
                <w:sz w:val="11"/>
                <w:szCs w:val="11"/>
              </w:rPr>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right="434"/>
              <w:jc w:val="right"/>
              <w:rPr>
                <w:rFonts w:ascii="Times New Roman" w:hAnsi="Times New Roman" w:cs="Times New Roman" w:eastAsia="Times New Roman" w:hint="default"/>
                <w:sz w:val="11"/>
                <w:szCs w:val="11"/>
              </w:rPr>
            </w:pPr>
            <w:r>
              <w:rPr>
                <w:rFonts w:ascii="Times New Roman"/>
                <w:spacing w:val="-1"/>
                <w:sz w:val="11"/>
              </w:rPr>
              <w:t>80,552,833</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right="92"/>
              <w:jc w:val="right"/>
              <w:rPr>
                <w:rFonts w:ascii="Times New Roman" w:hAnsi="Times New Roman" w:cs="Times New Roman" w:eastAsia="Times New Roman" w:hint="default"/>
                <w:sz w:val="11"/>
                <w:szCs w:val="11"/>
              </w:rPr>
            </w:pPr>
            <w:r>
              <w:rPr>
                <w:rFonts w:ascii="Times New Roman"/>
                <w:sz w:val="11"/>
              </w:rPr>
              <w:t>71.43</w:t>
            </w:r>
          </w:p>
        </w:tc>
        <w:tc>
          <w:tcPr>
            <w:tcW w:w="45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right="110"/>
              <w:jc w:val="right"/>
              <w:rPr>
                <w:rFonts w:ascii="Times New Roman" w:hAnsi="Times New Roman" w:cs="Times New Roman" w:eastAsia="Times New Roman" w:hint="default"/>
                <w:sz w:val="11"/>
                <w:szCs w:val="11"/>
              </w:rPr>
            </w:pPr>
            <w:r>
              <w:rPr>
                <w:rFonts w:ascii="Times New Roman"/>
                <w:sz w:val="11"/>
              </w:rPr>
              <w:t>71.43</w:t>
            </w:r>
          </w:p>
        </w:tc>
        <w:tc>
          <w:tcPr>
            <w:tcW w:w="47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8"/>
                <w:szCs w:val="8"/>
              </w:rPr>
            </w:pPr>
          </w:p>
          <w:p>
            <w:pPr>
              <w:pStyle w:val="TableParagraph"/>
              <w:spacing w:line="240" w:lineRule="auto"/>
              <w:ind w:left="111" w:right="0"/>
              <w:jc w:val="left"/>
              <w:rPr>
                <w:rFonts w:ascii="宋体" w:hAnsi="宋体" w:cs="宋体" w:eastAsia="宋体" w:hint="default"/>
                <w:sz w:val="11"/>
                <w:szCs w:val="11"/>
              </w:rPr>
            </w:pPr>
            <w:r>
              <w:rPr>
                <w:rFonts w:ascii="宋体" w:hAnsi="宋体" w:cs="宋体" w:eastAsia="宋体" w:hint="default"/>
                <w:w w:val="100"/>
                <w:sz w:val="11"/>
                <w:szCs w:val="11"/>
              </w:rPr>
              <w:t>是</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right="33"/>
              <w:jc w:val="right"/>
              <w:rPr>
                <w:rFonts w:ascii="Times New Roman" w:hAnsi="Times New Roman" w:cs="Times New Roman" w:eastAsia="Times New Roman" w:hint="default"/>
                <w:sz w:val="11"/>
                <w:szCs w:val="11"/>
              </w:rPr>
            </w:pPr>
            <w:r>
              <w:rPr>
                <w:rFonts w:ascii="Times New Roman"/>
                <w:spacing w:val="-1"/>
                <w:sz w:val="11"/>
              </w:rPr>
              <w:t>32,570,571</w:t>
            </w:r>
          </w:p>
        </w:tc>
      </w:tr>
      <w:tr>
        <w:trPr>
          <w:trHeight w:val="435" w:hRule="exact"/>
        </w:trPr>
        <w:tc>
          <w:tcPr>
            <w:tcW w:w="2170" w:type="dxa"/>
            <w:tcBorders>
              <w:top w:val="nil" w:sz="6" w:space="0" w:color="auto"/>
              <w:left w:val="nil" w:sz="6" w:space="0" w:color="auto"/>
              <w:bottom w:val="nil" w:sz="6" w:space="0" w:color="auto"/>
              <w:right w:val="nil" w:sz="6" w:space="0" w:color="auto"/>
            </w:tcBorders>
          </w:tcPr>
          <w:p>
            <w:pPr/>
          </w:p>
        </w:tc>
        <w:tc>
          <w:tcPr>
            <w:tcW w:w="402" w:type="dxa"/>
            <w:tcBorders>
              <w:top w:val="nil" w:sz="6" w:space="0" w:color="auto"/>
              <w:left w:val="nil" w:sz="6" w:space="0" w:color="auto"/>
              <w:bottom w:val="nil" w:sz="6" w:space="0" w:color="auto"/>
              <w:right w:val="nil" w:sz="6" w:space="0" w:color="auto"/>
            </w:tcBorders>
          </w:tcPr>
          <w:p>
            <w:pPr/>
          </w:p>
        </w:tc>
        <w:tc>
          <w:tcPr>
            <w:tcW w:w="509" w:type="dxa"/>
            <w:tcBorders>
              <w:top w:val="nil" w:sz="6" w:space="0" w:color="auto"/>
              <w:left w:val="nil" w:sz="6" w:space="0" w:color="auto"/>
              <w:bottom w:val="nil" w:sz="6" w:space="0" w:color="auto"/>
              <w:right w:val="nil" w:sz="6" w:space="0" w:color="auto"/>
            </w:tcBorders>
          </w:tcPr>
          <w:p>
            <w:pPr/>
          </w:p>
        </w:tc>
        <w:tc>
          <w:tcPr>
            <w:tcW w:w="863" w:type="dxa"/>
            <w:tcBorders>
              <w:top w:val="nil" w:sz="6" w:space="0" w:color="auto"/>
              <w:left w:val="nil" w:sz="6" w:space="0" w:color="auto"/>
              <w:bottom w:val="nil" w:sz="6" w:space="0" w:color="auto"/>
              <w:right w:val="nil" w:sz="6" w:space="0" w:color="auto"/>
            </w:tcBorders>
          </w:tcPr>
          <w:p>
            <w:pPr/>
          </w:p>
        </w:tc>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0"/>
                <w:szCs w:val="10"/>
              </w:rPr>
            </w:pPr>
          </w:p>
          <w:p>
            <w:pPr>
              <w:pStyle w:val="TableParagraph"/>
              <w:spacing w:line="240" w:lineRule="auto" w:before="10"/>
              <w:ind w:right="0"/>
              <w:jc w:val="left"/>
              <w:rPr>
                <w:rFonts w:ascii="宋体" w:hAnsi="宋体" w:cs="宋体" w:eastAsia="宋体" w:hint="default"/>
                <w:b/>
                <w:bCs/>
                <w:sz w:val="8"/>
                <w:szCs w:val="8"/>
              </w:rPr>
            </w:pPr>
          </w:p>
          <w:p>
            <w:pPr>
              <w:pStyle w:val="TableParagraph"/>
              <w:spacing w:line="240" w:lineRule="auto"/>
              <w:ind w:right="201"/>
              <w:jc w:val="right"/>
              <w:rPr>
                <w:rFonts w:ascii="宋体" w:hAnsi="宋体" w:cs="宋体" w:eastAsia="宋体" w:hint="default"/>
                <w:sz w:val="11"/>
                <w:szCs w:val="11"/>
              </w:rPr>
            </w:pPr>
            <w:r>
              <w:rPr>
                <w:rFonts w:ascii="宋体" w:hAnsi="宋体" w:cs="宋体" w:eastAsia="宋体" w:hint="default"/>
                <w:spacing w:val="5"/>
                <w:sz w:val="11"/>
                <w:szCs w:val="11"/>
              </w:rPr>
              <w:t>计算机设备及软件产品的设计、开</w:t>
            </w:r>
            <w:r>
              <w:rPr>
                <w:rFonts w:ascii="宋体" w:hAnsi="宋体" w:cs="宋体" w:eastAsia="宋体" w:hint="default"/>
                <w:sz w:val="11"/>
                <w:szCs w:val="11"/>
              </w:rPr>
            </w:r>
          </w:p>
        </w:tc>
        <w:tc>
          <w:tcPr>
            <w:tcW w:w="1141"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454" w:type="dxa"/>
            <w:tcBorders>
              <w:top w:val="nil" w:sz="6" w:space="0" w:color="auto"/>
              <w:left w:val="nil" w:sz="6" w:space="0" w:color="auto"/>
              <w:bottom w:val="nil" w:sz="6" w:space="0" w:color="auto"/>
              <w:right w:val="nil" w:sz="6" w:space="0" w:color="auto"/>
            </w:tcBorders>
          </w:tcPr>
          <w:p>
            <w:pPr/>
          </w:p>
        </w:tc>
        <w:tc>
          <w:tcPr>
            <w:tcW w:w="470"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r>
      <w:tr>
        <w:trPr>
          <w:trHeight w:val="505"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1"/>
                <w:szCs w:val="11"/>
              </w:rPr>
            </w:pPr>
            <w:r>
              <w:rPr>
                <w:rFonts w:ascii="宋体" w:hAnsi="宋体" w:cs="宋体" w:eastAsia="宋体" w:hint="default"/>
                <w:sz w:val="11"/>
                <w:szCs w:val="11"/>
              </w:rPr>
              <w:t>昆明东软金沙信息技术有限公司（注</w:t>
            </w:r>
            <w:r>
              <w:rPr>
                <w:rFonts w:ascii="宋体" w:hAnsi="宋体" w:cs="宋体" w:eastAsia="宋体" w:hint="default"/>
                <w:spacing w:val="-31"/>
                <w:sz w:val="11"/>
                <w:szCs w:val="11"/>
              </w:rPr>
              <w:t> </w:t>
            </w:r>
            <w:r>
              <w:rPr>
                <w:rFonts w:ascii="Times New Roman" w:hAnsi="Times New Roman" w:cs="Times New Roman" w:eastAsia="Times New Roman" w:hint="default"/>
                <w:sz w:val="11"/>
                <w:szCs w:val="11"/>
              </w:rPr>
              <w:t>1</w:t>
            </w:r>
            <w:r>
              <w:rPr>
                <w:rFonts w:ascii="宋体" w:hAnsi="宋体" w:cs="宋体" w:eastAsia="宋体" w:hint="default"/>
                <w:sz w:val="11"/>
                <w:szCs w:val="11"/>
              </w:rPr>
              <w:t>）</w:t>
            </w:r>
          </w:p>
        </w:tc>
        <w:tc>
          <w:tcPr>
            <w:tcW w:w="40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0" w:right="0"/>
              <w:jc w:val="left"/>
              <w:rPr>
                <w:rFonts w:ascii="宋体" w:hAnsi="宋体" w:cs="宋体" w:eastAsia="宋体" w:hint="default"/>
                <w:sz w:val="11"/>
                <w:szCs w:val="11"/>
              </w:rPr>
            </w:pPr>
            <w:r>
              <w:rPr>
                <w:rFonts w:ascii="宋体" w:hAnsi="宋体" w:cs="宋体" w:eastAsia="宋体" w:hint="default"/>
                <w:sz w:val="11"/>
                <w:szCs w:val="11"/>
              </w:rPr>
              <w:t>控股</w:t>
            </w:r>
          </w:p>
        </w:tc>
        <w:tc>
          <w:tcPr>
            <w:tcW w:w="50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0" w:right="0"/>
              <w:jc w:val="left"/>
              <w:rPr>
                <w:rFonts w:ascii="宋体" w:hAnsi="宋体" w:cs="宋体" w:eastAsia="宋体" w:hint="default"/>
                <w:sz w:val="11"/>
                <w:szCs w:val="11"/>
              </w:rPr>
            </w:pPr>
            <w:r>
              <w:rPr>
                <w:rFonts w:ascii="宋体" w:hAnsi="宋体" w:cs="宋体" w:eastAsia="宋体" w:hint="default"/>
                <w:sz w:val="11"/>
                <w:szCs w:val="11"/>
              </w:rPr>
              <w:t>昆明</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7" w:right="0"/>
              <w:jc w:val="left"/>
              <w:rPr>
                <w:rFonts w:ascii="宋体" w:hAnsi="宋体" w:cs="宋体" w:eastAsia="宋体" w:hint="default"/>
                <w:sz w:val="11"/>
                <w:szCs w:val="11"/>
              </w:rPr>
            </w:pPr>
            <w:r>
              <w:rPr>
                <w:rFonts w:ascii="宋体" w:hAnsi="宋体" w:cs="宋体" w:eastAsia="宋体" w:hint="default"/>
                <w:sz w:val="11"/>
                <w:szCs w:val="11"/>
              </w:rPr>
              <w:t>有限责任公司</w:t>
            </w:r>
          </w:p>
        </w:tc>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22" w:right="0"/>
              <w:jc w:val="left"/>
              <w:rPr>
                <w:rFonts w:ascii="Times New Roman" w:hAnsi="Times New Roman" w:cs="Times New Roman" w:eastAsia="Times New Roman" w:hint="default"/>
                <w:sz w:val="11"/>
                <w:szCs w:val="11"/>
              </w:rPr>
            </w:pPr>
            <w:r>
              <w:rPr>
                <w:rFonts w:ascii="Times New Roman"/>
                <w:sz w:val="11"/>
              </w:rPr>
              <w:t>29,646,100</w:t>
            </w:r>
          </w:p>
          <w:p>
            <w:pPr>
              <w:pStyle w:val="TableParagraph"/>
              <w:spacing w:line="240" w:lineRule="auto" w:before="35"/>
              <w:ind w:left="1277" w:right="0"/>
              <w:jc w:val="left"/>
              <w:rPr>
                <w:rFonts w:ascii="宋体" w:hAnsi="宋体" w:cs="宋体" w:eastAsia="宋体" w:hint="default"/>
                <w:sz w:val="11"/>
                <w:szCs w:val="11"/>
              </w:rPr>
            </w:pPr>
            <w:r>
              <w:rPr>
                <w:rFonts w:ascii="宋体" w:hAnsi="宋体" w:cs="宋体" w:eastAsia="宋体" w:hint="default"/>
                <w:sz w:val="11"/>
                <w:szCs w:val="11"/>
              </w:rPr>
              <w:t>发、生产、服务、销售</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33"/>
              <w:jc w:val="right"/>
              <w:rPr>
                <w:rFonts w:ascii="Times New Roman" w:hAnsi="Times New Roman" w:cs="Times New Roman" w:eastAsia="Times New Roman" w:hint="default"/>
                <w:sz w:val="11"/>
                <w:szCs w:val="11"/>
              </w:rPr>
            </w:pPr>
            <w:r>
              <w:rPr>
                <w:rFonts w:ascii="Times New Roman"/>
                <w:spacing w:val="-1"/>
                <w:sz w:val="11"/>
              </w:rPr>
              <w:t>15,119,513</w:t>
            </w:r>
          </w:p>
        </w:tc>
        <w:tc>
          <w:tcPr>
            <w:tcW w:w="778" w:type="dxa"/>
            <w:tcBorders>
              <w:top w:val="nil" w:sz="6" w:space="0" w:color="auto"/>
              <w:left w:val="nil" w:sz="6" w:space="0" w:color="auto"/>
              <w:bottom w:val="nil" w:sz="6" w:space="0" w:color="auto"/>
              <w:right w:val="nil" w:sz="6" w:space="0" w:color="auto"/>
            </w:tcBorders>
          </w:tcPr>
          <w:p>
            <w:pPr/>
          </w:p>
        </w:tc>
        <w:tc>
          <w:tcPr>
            <w:tcW w:w="45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8"/>
              <w:jc w:val="right"/>
              <w:rPr>
                <w:rFonts w:ascii="Times New Roman" w:hAnsi="Times New Roman" w:cs="Times New Roman" w:eastAsia="Times New Roman" w:hint="default"/>
                <w:sz w:val="11"/>
                <w:szCs w:val="11"/>
              </w:rPr>
            </w:pPr>
            <w:r>
              <w:rPr>
                <w:rFonts w:ascii="Times New Roman"/>
                <w:sz w:val="11"/>
              </w:rPr>
              <w:t>51</w:t>
            </w:r>
          </w:p>
        </w:tc>
        <w:tc>
          <w:tcPr>
            <w:tcW w:w="47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10" w:right="0"/>
              <w:jc w:val="left"/>
              <w:rPr>
                <w:rFonts w:ascii="宋体" w:hAnsi="宋体" w:cs="宋体" w:eastAsia="宋体" w:hint="default"/>
                <w:sz w:val="11"/>
                <w:szCs w:val="11"/>
              </w:rPr>
            </w:pPr>
            <w:r>
              <w:rPr>
                <w:rFonts w:ascii="宋体" w:hAnsi="宋体" w:cs="宋体" w:eastAsia="宋体" w:hint="default"/>
                <w:w w:val="100"/>
                <w:sz w:val="11"/>
                <w:szCs w:val="11"/>
              </w:rPr>
              <w:t>是</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4"/>
              <w:jc w:val="right"/>
              <w:rPr>
                <w:rFonts w:ascii="Times New Roman" w:hAnsi="Times New Roman" w:cs="Times New Roman" w:eastAsia="Times New Roman" w:hint="default"/>
                <w:sz w:val="11"/>
                <w:szCs w:val="11"/>
              </w:rPr>
            </w:pPr>
            <w:r>
              <w:rPr>
                <w:rFonts w:ascii="Times New Roman"/>
                <w:spacing w:val="-1"/>
                <w:sz w:val="11"/>
              </w:rPr>
              <w:t>15,788,736</w:t>
            </w:r>
          </w:p>
        </w:tc>
      </w:tr>
      <w:tr>
        <w:trPr>
          <w:trHeight w:val="305" w:hRule="exact"/>
        </w:trPr>
        <w:tc>
          <w:tcPr>
            <w:tcW w:w="2170" w:type="dxa"/>
            <w:tcBorders>
              <w:top w:val="nil" w:sz="6" w:space="0" w:color="auto"/>
              <w:left w:val="nil" w:sz="6" w:space="0" w:color="auto"/>
              <w:bottom w:val="nil" w:sz="6" w:space="0" w:color="auto"/>
              <w:right w:val="nil" w:sz="6" w:space="0" w:color="auto"/>
            </w:tcBorders>
          </w:tcPr>
          <w:p>
            <w:pPr/>
          </w:p>
        </w:tc>
        <w:tc>
          <w:tcPr>
            <w:tcW w:w="402" w:type="dxa"/>
            <w:tcBorders>
              <w:top w:val="nil" w:sz="6" w:space="0" w:color="auto"/>
              <w:left w:val="nil" w:sz="6" w:space="0" w:color="auto"/>
              <w:bottom w:val="nil" w:sz="6" w:space="0" w:color="auto"/>
              <w:right w:val="nil" w:sz="6" w:space="0" w:color="auto"/>
            </w:tcBorders>
          </w:tcPr>
          <w:p>
            <w:pPr/>
          </w:p>
        </w:tc>
        <w:tc>
          <w:tcPr>
            <w:tcW w:w="509" w:type="dxa"/>
            <w:tcBorders>
              <w:top w:val="nil" w:sz="6" w:space="0" w:color="auto"/>
              <w:left w:val="nil" w:sz="6" w:space="0" w:color="auto"/>
              <w:bottom w:val="nil" w:sz="6" w:space="0" w:color="auto"/>
              <w:right w:val="nil" w:sz="6" w:space="0" w:color="auto"/>
            </w:tcBorders>
          </w:tcPr>
          <w:p>
            <w:pPr/>
          </w:p>
        </w:tc>
        <w:tc>
          <w:tcPr>
            <w:tcW w:w="863" w:type="dxa"/>
            <w:tcBorders>
              <w:top w:val="nil" w:sz="6" w:space="0" w:color="auto"/>
              <w:left w:val="nil" w:sz="6" w:space="0" w:color="auto"/>
              <w:bottom w:val="nil" w:sz="6" w:space="0" w:color="auto"/>
              <w:right w:val="nil" w:sz="6" w:space="0" w:color="auto"/>
            </w:tcBorders>
          </w:tcPr>
          <w:p>
            <w:pPr/>
          </w:p>
        </w:tc>
        <w:tc>
          <w:tcPr>
            <w:tcW w:w="3239" w:type="dxa"/>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8"/>
                <w:szCs w:val="8"/>
              </w:rPr>
            </w:pPr>
          </w:p>
          <w:p>
            <w:pPr>
              <w:pStyle w:val="TableParagraph"/>
              <w:spacing w:line="240" w:lineRule="auto"/>
              <w:ind w:right="434"/>
              <w:jc w:val="right"/>
              <w:rPr>
                <w:rFonts w:ascii="宋体" w:hAnsi="宋体" w:cs="宋体" w:eastAsia="宋体" w:hint="default"/>
                <w:sz w:val="11"/>
                <w:szCs w:val="11"/>
              </w:rPr>
            </w:pPr>
            <w:r>
              <w:rPr>
                <w:rFonts w:ascii="宋体" w:hAnsi="宋体" w:cs="宋体" w:eastAsia="宋体" w:hint="default"/>
                <w:sz w:val="11"/>
                <w:szCs w:val="11"/>
              </w:rPr>
              <w:t>欧元</w:t>
            </w:r>
          </w:p>
        </w:tc>
        <w:tc>
          <w:tcPr>
            <w:tcW w:w="778" w:type="dxa"/>
            <w:tcBorders>
              <w:top w:val="nil" w:sz="6" w:space="0" w:color="auto"/>
              <w:left w:val="nil" w:sz="6" w:space="0" w:color="auto"/>
              <w:bottom w:val="nil" w:sz="6" w:space="0" w:color="auto"/>
              <w:right w:val="nil" w:sz="6" w:space="0" w:color="auto"/>
            </w:tcBorders>
          </w:tcPr>
          <w:p>
            <w:pPr/>
          </w:p>
        </w:tc>
        <w:tc>
          <w:tcPr>
            <w:tcW w:w="454" w:type="dxa"/>
            <w:tcBorders>
              <w:top w:val="nil" w:sz="6" w:space="0" w:color="auto"/>
              <w:left w:val="nil" w:sz="6" w:space="0" w:color="auto"/>
              <w:bottom w:val="nil" w:sz="6" w:space="0" w:color="auto"/>
              <w:right w:val="nil" w:sz="6" w:space="0" w:color="auto"/>
            </w:tcBorders>
          </w:tcPr>
          <w:p>
            <w:pPr/>
          </w:p>
        </w:tc>
        <w:tc>
          <w:tcPr>
            <w:tcW w:w="470"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r>
      <w:tr>
        <w:trPr>
          <w:trHeight w:val="220"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1"/>
                <w:szCs w:val="11"/>
              </w:rPr>
            </w:pPr>
            <w:r>
              <w:rPr>
                <w:rFonts w:ascii="Times New Roman" w:hAnsi="Times New Roman" w:cs="Times New Roman" w:eastAsia="Times New Roman" w:hint="default"/>
                <w:sz w:val="11"/>
                <w:szCs w:val="11"/>
              </w:rPr>
              <w:t>Neusoft Technology Solutions GmbH</w:t>
            </w:r>
            <w:r>
              <w:rPr>
                <w:rFonts w:ascii="宋体" w:hAnsi="宋体" w:cs="宋体" w:eastAsia="宋体" w:hint="default"/>
                <w:sz w:val="11"/>
                <w:szCs w:val="11"/>
              </w:rPr>
              <w:t>（注</w:t>
            </w:r>
            <w:r>
              <w:rPr>
                <w:rFonts w:ascii="宋体" w:hAnsi="宋体" w:cs="宋体" w:eastAsia="宋体" w:hint="default"/>
                <w:spacing w:val="-44"/>
                <w:sz w:val="11"/>
                <w:szCs w:val="11"/>
              </w:rPr>
              <w:t> </w:t>
            </w:r>
            <w:r>
              <w:rPr>
                <w:rFonts w:ascii="Times New Roman" w:hAnsi="Times New Roman" w:cs="Times New Roman" w:eastAsia="Times New Roman" w:hint="default"/>
                <w:sz w:val="11"/>
                <w:szCs w:val="11"/>
              </w:rPr>
              <w:t>2</w:t>
            </w:r>
            <w:r>
              <w:rPr>
                <w:rFonts w:ascii="宋体" w:hAnsi="宋体" w:cs="宋体" w:eastAsia="宋体" w:hint="default"/>
                <w:sz w:val="11"/>
                <w:szCs w:val="11"/>
              </w:rPr>
              <w:t>）</w:t>
            </w:r>
          </w:p>
        </w:tc>
        <w:tc>
          <w:tcPr>
            <w:tcW w:w="40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0" w:right="0"/>
              <w:jc w:val="left"/>
              <w:rPr>
                <w:rFonts w:ascii="宋体" w:hAnsi="宋体" w:cs="宋体" w:eastAsia="宋体" w:hint="default"/>
                <w:sz w:val="11"/>
                <w:szCs w:val="11"/>
              </w:rPr>
            </w:pPr>
            <w:r>
              <w:rPr>
                <w:rFonts w:ascii="宋体" w:hAnsi="宋体" w:cs="宋体" w:eastAsia="宋体" w:hint="default"/>
                <w:sz w:val="11"/>
                <w:szCs w:val="11"/>
              </w:rPr>
              <w:t>全资</w:t>
            </w:r>
          </w:p>
        </w:tc>
        <w:tc>
          <w:tcPr>
            <w:tcW w:w="50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0" w:right="0"/>
              <w:jc w:val="left"/>
              <w:rPr>
                <w:rFonts w:ascii="宋体" w:hAnsi="宋体" w:cs="宋体" w:eastAsia="宋体" w:hint="default"/>
                <w:sz w:val="11"/>
                <w:szCs w:val="11"/>
              </w:rPr>
            </w:pPr>
            <w:r>
              <w:rPr>
                <w:rFonts w:ascii="宋体" w:hAnsi="宋体" w:cs="宋体" w:eastAsia="宋体" w:hint="default"/>
                <w:sz w:val="11"/>
                <w:szCs w:val="11"/>
              </w:rPr>
              <w:t>德国</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7" w:right="0"/>
              <w:jc w:val="left"/>
              <w:rPr>
                <w:rFonts w:ascii="宋体" w:hAnsi="宋体" w:cs="宋体" w:eastAsia="宋体" w:hint="default"/>
                <w:sz w:val="11"/>
                <w:szCs w:val="11"/>
              </w:rPr>
            </w:pPr>
            <w:r>
              <w:rPr>
                <w:rFonts w:ascii="宋体" w:hAnsi="宋体" w:cs="宋体" w:eastAsia="宋体" w:hint="default"/>
                <w:sz w:val="11"/>
                <w:szCs w:val="11"/>
              </w:rPr>
              <w:t>有限责任公司</w:t>
            </w:r>
          </w:p>
        </w:tc>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29" w:right="0"/>
              <w:jc w:val="left"/>
              <w:rPr>
                <w:rFonts w:ascii="宋体" w:hAnsi="宋体" w:cs="宋体" w:eastAsia="宋体" w:hint="default"/>
                <w:sz w:val="11"/>
                <w:szCs w:val="11"/>
              </w:rPr>
            </w:pPr>
            <w:r>
              <w:rPr>
                <w:rFonts w:ascii="宋体" w:hAnsi="宋体" w:cs="宋体" w:eastAsia="宋体" w:hint="default"/>
                <w:sz w:val="11"/>
                <w:szCs w:val="11"/>
              </w:rPr>
              <w:t>欧元 </w:t>
            </w:r>
            <w:r>
              <w:rPr>
                <w:rFonts w:ascii="Times New Roman" w:hAnsi="Times New Roman" w:cs="Times New Roman" w:eastAsia="Times New Roman" w:hint="default"/>
                <w:sz w:val="11"/>
                <w:szCs w:val="11"/>
              </w:rPr>
              <w:t>1,025,000</w:t>
            </w:r>
            <w:r>
              <w:rPr>
                <w:rFonts w:ascii="Times New Roman" w:hAnsi="Times New Roman" w:cs="Times New Roman" w:eastAsia="Times New Roman" w:hint="default"/>
                <w:spacing w:val="2"/>
                <w:sz w:val="11"/>
                <w:szCs w:val="11"/>
              </w:rPr>
              <w:t> </w:t>
            </w:r>
            <w:r>
              <w:rPr>
                <w:rFonts w:ascii="宋体" w:hAnsi="宋体" w:cs="宋体" w:eastAsia="宋体" w:hint="default"/>
                <w:sz w:val="11"/>
                <w:szCs w:val="11"/>
              </w:rPr>
              <w:t>计算机软硬件，技术咨询、服务等</w:t>
            </w:r>
          </w:p>
        </w:tc>
        <w:tc>
          <w:tcPr>
            <w:tcW w:w="1141"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45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52"/>
              <w:jc w:val="right"/>
              <w:rPr>
                <w:rFonts w:ascii="Times New Roman" w:hAnsi="Times New Roman" w:cs="Times New Roman" w:eastAsia="Times New Roman" w:hint="default"/>
                <w:sz w:val="11"/>
                <w:szCs w:val="11"/>
              </w:rPr>
            </w:pPr>
            <w:r>
              <w:rPr>
                <w:rFonts w:ascii="Times New Roman"/>
                <w:sz w:val="11"/>
              </w:rPr>
              <w:t>100</w:t>
            </w:r>
          </w:p>
        </w:tc>
        <w:tc>
          <w:tcPr>
            <w:tcW w:w="47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11" w:right="0"/>
              <w:jc w:val="left"/>
              <w:rPr>
                <w:rFonts w:ascii="宋体" w:hAnsi="宋体" w:cs="宋体" w:eastAsia="宋体" w:hint="default"/>
                <w:sz w:val="11"/>
                <w:szCs w:val="11"/>
              </w:rPr>
            </w:pPr>
            <w:r>
              <w:rPr>
                <w:rFonts w:ascii="宋体" w:hAnsi="宋体" w:cs="宋体" w:eastAsia="宋体" w:hint="default"/>
                <w:w w:val="100"/>
                <w:sz w:val="11"/>
                <w:szCs w:val="11"/>
              </w:rPr>
              <w:t>是</w:t>
            </w:r>
          </w:p>
        </w:tc>
        <w:tc>
          <w:tcPr>
            <w:tcW w:w="780" w:type="dxa"/>
            <w:tcBorders>
              <w:top w:val="nil" w:sz="6" w:space="0" w:color="auto"/>
              <w:left w:val="nil" w:sz="6" w:space="0" w:color="auto"/>
              <w:bottom w:val="nil" w:sz="6" w:space="0" w:color="auto"/>
              <w:right w:val="nil" w:sz="6" w:space="0" w:color="auto"/>
            </w:tcBorders>
          </w:tcPr>
          <w:p>
            <w:pPr/>
          </w:p>
        </w:tc>
      </w:tr>
      <w:tr>
        <w:trPr>
          <w:trHeight w:val="295" w:hRule="exact"/>
        </w:trPr>
        <w:tc>
          <w:tcPr>
            <w:tcW w:w="2170" w:type="dxa"/>
            <w:tcBorders>
              <w:top w:val="nil" w:sz="6" w:space="0" w:color="auto"/>
              <w:left w:val="nil" w:sz="6" w:space="0" w:color="auto"/>
              <w:bottom w:val="nil" w:sz="6" w:space="0" w:color="auto"/>
              <w:right w:val="nil" w:sz="6" w:space="0" w:color="auto"/>
            </w:tcBorders>
          </w:tcPr>
          <w:p>
            <w:pPr/>
          </w:p>
        </w:tc>
        <w:tc>
          <w:tcPr>
            <w:tcW w:w="402" w:type="dxa"/>
            <w:tcBorders>
              <w:top w:val="nil" w:sz="6" w:space="0" w:color="auto"/>
              <w:left w:val="nil" w:sz="6" w:space="0" w:color="auto"/>
              <w:bottom w:val="nil" w:sz="6" w:space="0" w:color="auto"/>
              <w:right w:val="nil" w:sz="6" w:space="0" w:color="auto"/>
            </w:tcBorders>
          </w:tcPr>
          <w:p>
            <w:pPr/>
          </w:p>
        </w:tc>
        <w:tc>
          <w:tcPr>
            <w:tcW w:w="509" w:type="dxa"/>
            <w:tcBorders>
              <w:top w:val="nil" w:sz="6" w:space="0" w:color="auto"/>
              <w:left w:val="nil" w:sz="6" w:space="0" w:color="auto"/>
              <w:bottom w:val="nil" w:sz="6" w:space="0" w:color="auto"/>
              <w:right w:val="nil" w:sz="6" w:space="0" w:color="auto"/>
            </w:tcBorders>
          </w:tcPr>
          <w:p>
            <w:pPr/>
          </w:p>
        </w:tc>
        <w:tc>
          <w:tcPr>
            <w:tcW w:w="863" w:type="dxa"/>
            <w:tcBorders>
              <w:top w:val="nil" w:sz="6" w:space="0" w:color="auto"/>
              <w:left w:val="nil" w:sz="6" w:space="0" w:color="auto"/>
              <w:bottom w:val="nil" w:sz="6" w:space="0" w:color="auto"/>
              <w:right w:val="nil" w:sz="6" w:space="0" w:color="auto"/>
            </w:tcBorders>
          </w:tcPr>
          <w:p>
            <w:pPr/>
          </w:p>
        </w:tc>
        <w:tc>
          <w:tcPr>
            <w:tcW w:w="3239" w:type="dxa"/>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434"/>
              <w:jc w:val="right"/>
              <w:rPr>
                <w:rFonts w:ascii="Times New Roman" w:hAnsi="Times New Roman" w:cs="Times New Roman" w:eastAsia="Times New Roman" w:hint="default"/>
                <w:sz w:val="11"/>
                <w:szCs w:val="11"/>
              </w:rPr>
            </w:pPr>
            <w:r>
              <w:rPr>
                <w:rFonts w:ascii="Times New Roman"/>
                <w:sz w:val="11"/>
              </w:rPr>
              <w:t>6,029,000</w:t>
            </w:r>
          </w:p>
        </w:tc>
        <w:tc>
          <w:tcPr>
            <w:tcW w:w="778" w:type="dxa"/>
            <w:tcBorders>
              <w:top w:val="nil" w:sz="6" w:space="0" w:color="auto"/>
              <w:left w:val="nil" w:sz="6" w:space="0" w:color="auto"/>
              <w:bottom w:val="nil" w:sz="6" w:space="0" w:color="auto"/>
              <w:right w:val="nil" w:sz="6" w:space="0" w:color="auto"/>
            </w:tcBorders>
          </w:tcPr>
          <w:p>
            <w:pPr/>
          </w:p>
        </w:tc>
        <w:tc>
          <w:tcPr>
            <w:tcW w:w="454" w:type="dxa"/>
            <w:tcBorders>
              <w:top w:val="nil" w:sz="6" w:space="0" w:color="auto"/>
              <w:left w:val="nil" w:sz="6" w:space="0" w:color="auto"/>
              <w:bottom w:val="nil" w:sz="6" w:space="0" w:color="auto"/>
              <w:right w:val="nil" w:sz="6" w:space="0" w:color="auto"/>
            </w:tcBorders>
          </w:tcPr>
          <w:p>
            <w:pPr/>
          </w:p>
        </w:tc>
        <w:tc>
          <w:tcPr>
            <w:tcW w:w="470"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r>
      <w:tr>
        <w:trPr>
          <w:trHeight w:val="295" w:hRule="exact"/>
        </w:trPr>
        <w:tc>
          <w:tcPr>
            <w:tcW w:w="2170" w:type="dxa"/>
            <w:tcBorders>
              <w:top w:val="nil" w:sz="6" w:space="0" w:color="auto"/>
              <w:left w:val="nil" w:sz="6" w:space="0" w:color="auto"/>
              <w:bottom w:val="nil" w:sz="6" w:space="0" w:color="auto"/>
              <w:right w:val="nil" w:sz="6" w:space="0" w:color="auto"/>
            </w:tcBorders>
          </w:tcPr>
          <w:p>
            <w:pPr/>
          </w:p>
        </w:tc>
        <w:tc>
          <w:tcPr>
            <w:tcW w:w="402" w:type="dxa"/>
            <w:tcBorders>
              <w:top w:val="nil" w:sz="6" w:space="0" w:color="auto"/>
              <w:left w:val="nil" w:sz="6" w:space="0" w:color="auto"/>
              <w:bottom w:val="nil" w:sz="6" w:space="0" w:color="auto"/>
              <w:right w:val="nil" w:sz="6" w:space="0" w:color="auto"/>
            </w:tcBorders>
          </w:tcPr>
          <w:p>
            <w:pPr/>
          </w:p>
        </w:tc>
        <w:tc>
          <w:tcPr>
            <w:tcW w:w="509" w:type="dxa"/>
            <w:tcBorders>
              <w:top w:val="nil" w:sz="6" w:space="0" w:color="auto"/>
              <w:left w:val="nil" w:sz="6" w:space="0" w:color="auto"/>
              <w:bottom w:val="nil" w:sz="6" w:space="0" w:color="auto"/>
              <w:right w:val="nil" w:sz="6" w:space="0" w:color="auto"/>
            </w:tcBorders>
          </w:tcPr>
          <w:p>
            <w:pPr/>
          </w:p>
        </w:tc>
        <w:tc>
          <w:tcPr>
            <w:tcW w:w="863" w:type="dxa"/>
            <w:tcBorders>
              <w:top w:val="nil" w:sz="6" w:space="0" w:color="auto"/>
              <w:left w:val="nil" w:sz="6" w:space="0" w:color="auto"/>
              <w:bottom w:val="nil" w:sz="6" w:space="0" w:color="auto"/>
              <w:right w:val="nil" w:sz="6" w:space="0" w:color="auto"/>
            </w:tcBorders>
          </w:tcPr>
          <w:p>
            <w:pPr/>
          </w:p>
        </w:tc>
        <w:tc>
          <w:tcPr>
            <w:tcW w:w="3239" w:type="dxa"/>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right="434"/>
              <w:jc w:val="right"/>
              <w:rPr>
                <w:rFonts w:ascii="宋体" w:hAnsi="宋体" w:cs="宋体" w:eastAsia="宋体" w:hint="default"/>
                <w:sz w:val="11"/>
                <w:szCs w:val="11"/>
              </w:rPr>
            </w:pPr>
            <w:r>
              <w:rPr>
                <w:rFonts w:ascii="宋体" w:hAnsi="宋体" w:cs="宋体" w:eastAsia="宋体" w:hint="default"/>
                <w:sz w:val="11"/>
                <w:szCs w:val="11"/>
              </w:rPr>
              <w:t>欧元</w:t>
            </w:r>
          </w:p>
        </w:tc>
        <w:tc>
          <w:tcPr>
            <w:tcW w:w="778" w:type="dxa"/>
            <w:tcBorders>
              <w:top w:val="nil" w:sz="6" w:space="0" w:color="auto"/>
              <w:left w:val="nil" w:sz="6" w:space="0" w:color="auto"/>
              <w:bottom w:val="nil" w:sz="6" w:space="0" w:color="auto"/>
              <w:right w:val="nil" w:sz="6" w:space="0" w:color="auto"/>
            </w:tcBorders>
          </w:tcPr>
          <w:p>
            <w:pPr/>
          </w:p>
        </w:tc>
        <w:tc>
          <w:tcPr>
            <w:tcW w:w="454" w:type="dxa"/>
            <w:tcBorders>
              <w:top w:val="nil" w:sz="6" w:space="0" w:color="auto"/>
              <w:left w:val="nil" w:sz="6" w:space="0" w:color="auto"/>
              <w:bottom w:val="nil" w:sz="6" w:space="0" w:color="auto"/>
              <w:right w:val="nil" w:sz="6" w:space="0" w:color="auto"/>
            </w:tcBorders>
          </w:tcPr>
          <w:p>
            <w:pPr/>
          </w:p>
        </w:tc>
        <w:tc>
          <w:tcPr>
            <w:tcW w:w="470"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r>
      <w:tr>
        <w:trPr>
          <w:trHeight w:val="220"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1"/>
                <w:szCs w:val="11"/>
              </w:rPr>
            </w:pPr>
            <w:r>
              <w:rPr>
                <w:rFonts w:ascii="Times New Roman" w:hAnsi="Times New Roman" w:cs="Times New Roman" w:eastAsia="Times New Roman" w:hint="default"/>
                <w:sz w:val="11"/>
                <w:szCs w:val="11"/>
              </w:rPr>
              <w:t>Neusoft    Mobile    Solutions Oy</w:t>
            </w:r>
            <w:r>
              <w:rPr>
                <w:rFonts w:ascii="宋体" w:hAnsi="宋体" w:cs="宋体" w:eastAsia="宋体" w:hint="default"/>
                <w:sz w:val="11"/>
                <w:szCs w:val="11"/>
              </w:rPr>
              <w:t>（注</w:t>
            </w:r>
            <w:r>
              <w:rPr>
                <w:rFonts w:ascii="宋体" w:hAnsi="宋体" w:cs="宋体" w:eastAsia="宋体" w:hint="default"/>
                <w:spacing w:val="-33"/>
                <w:sz w:val="11"/>
                <w:szCs w:val="11"/>
              </w:rPr>
              <w:t> </w:t>
            </w:r>
            <w:r>
              <w:rPr>
                <w:rFonts w:ascii="Times New Roman" w:hAnsi="Times New Roman" w:cs="Times New Roman" w:eastAsia="Times New Roman" w:hint="default"/>
                <w:sz w:val="11"/>
                <w:szCs w:val="11"/>
              </w:rPr>
              <w:t>3</w:t>
            </w:r>
            <w:r>
              <w:rPr>
                <w:rFonts w:ascii="宋体" w:hAnsi="宋体" w:cs="宋体" w:eastAsia="宋体" w:hint="default"/>
                <w:sz w:val="11"/>
                <w:szCs w:val="11"/>
              </w:rPr>
              <w:t>）</w:t>
            </w:r>
          </w:p>
        </w:tc>
        <w:tc>
          <w:tcPr>
            <w:tcW w:w="40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0" w:right="0"/>
              <w:jc w:val="left"/>
              <w:rPr>
                <w:rFonts w:ascii="宋体" w:hAnsi="宋体" w:cs="宋体" w:eastAsia="宋体" w:hint="default"/>
                <w:sz w:val="11"/>
                <w:szCs w:val="11"/>
              </w:rPr>
            </w:pPr>
            <w:r>
              <w:rPr>
                <w:rFonts w:ascii="宋体" w:hAnsi="宋体" w:cs="宋体" w:eastAsia="宋体" w:hint="default"/>
                <w:sz w:val="11"/>
                <w:szCs w:val="11"/>
              </w:rPr>
              <w:t>全资</w:t>
            </w:r>
          </w:p>
        </w:tc>
        <w:tc>
          <w:tcPr>
            <w:tcW w:w="50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0" w:right="0"/>
              <w:jc w:val="left"/>
              <w:rPr>
                <w:rFonts w:ascii="宋体" w:hAnsi="宋体" w:cs="宋体" w:eastAsia="宋体" w:hint="default"/>
                <w:sz w:val="11"/>
                <w:szCs w:val="11"/>
              </w:rPr>
            </w:pPr>
            <w:r>
              <w:rPr>
                <w:rFonts w:ascii="宋体" w:hAnsi="宋体" w:cs="宋体" w:eastAsia="宋体" w:hint="default"/>
                <w:sz w:val="11"/>
                <w:szCs w:val="11"/>
              </w:rPr>
              <w:t>芬兰</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7" w:right="0"/>
              <w:jc w:val="left"/>
              <w:rPr>
                <w:rFonts w:ascii="宋体" w:hAnsi="宋体" w:cs="宋体" w:eastAsia="宋体" w:hint="default"/>
                <w:sz w:val="11"/>
                <w:szCs w:val="11"/>
              </w:rPr>
            </w:pPr>
            <w:r>
              <w:rPr>
                <w:rFonts w:ascii="宋体" w:hAnsi="宋体" w:cs="宋体" w:eastAsia="宋体" w:hint="default"/>
                <w:sz w:val="11"/>
                <w:szCs w:val="11"/>
              </w:rPr>
              <w:t>有限责任公司</w:t>
            </w:r>
          </w:p>
        </w:tc>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722" w:right="0"/>
              <w:jc w:val="left"/>
              <w:rPr>
                <w:rFonts w:ascii="宋体" w:hAnsi="宋体" w:cs="宋体" w:eastAsia="宋体" w:hint="default"/>
                <w:sz w:val="11"/>
                <w:szCs w:val="11"/>
              </w:rPr>
            </w:pPr>
            <w:r>
              <w:rPr>
                <w:rFonts w:ascii="宋体" w:hAnsi="宋体" w:cs="宋体" w:eastAsia="宋体" w:hint="default"/>
                <w:sz w:val="11"/>
                <w:szCs w:val="11"/>
              </w:rPr>
              <w:t>欧元 </w:t>
            </w:r>
            <w:r>
              <w:rPr>
                <w:rFonts w:ascii="Times New Roman" w:hAnsi="Times New Roman" w:cs="Times New Roman" w:eastAsia="Times New Roman" w:hint="default"/>
                <w:sz w:val="11"/>
                <w:szCs w:val="11"/>
              </w:rPr>
              <w:t>8,578</w:t>
            </w:r>
            <w:r>
              <w:rPr>
                <w:rFonts w:ascii="Times New Roman" w:hAnsi="Times New Roman" w:cs="Times New Roman" w:eastAsia="Times New Roman" w:hint="default"/>
                <w:spacing w:val="2"/>
                <w:sz w:val="11"/>
                <w:szCs w:val="11"/>
              </w:rPr>
              <w:t> </w:t>
            </w:r>
            <w:r>
              <w:rPr>
                <w:rFonts w:ascii="宋体" w:hAnsi="宋体" w:cs="宋体" w:eastAsia="宋体" w:hint="default"/>
                <w:sz w:val="11"/>
                <w:szCs w:val="11"/>
              </w:rPr>
              <w:t>计算机软硬件，技术咨询、服务等</w:t>
            </w:r>
          </w:p>
        </w:tc>
        <w:tc>
          <w:tcPr>
            <w:tcW w:w="1141"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45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52"/>
              <w:jc w:val="right"/>
              <w:rPr>
                <w:rFonts w:ascii="Times New Roman" w:hAnsi="Times New Roman" w:cs="Times New Roman" w:eastAsia="Times New Roman" w:hint="default"/>
                <w:sz w:val="11"/>
                <w:szCs w:val="11"/>
              </w:rPr>
            </w:pPr>
            <w:r>
              <w:rPr>
                <w:rFonts w:ascii="Times New Roman"/>
                <w:sz w:val="11"/>
              </w:rPr>
              <w:t>100</w:t>
            </w:r>
          </w:p>
        </w:tc>
        <w:tc>
          <w:tcPr>
            <w:tcW w:w="47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11" w:right="0"/>
              <w:jc w:val="left"/>
              <w:rPr>
                <w:rFonts w:ascii="宋体" w:hAnsi="宋体" w:cs="宋体" w:eastAsia="宋体" w:hint="default"/>
                <w:sz w:val="11"/>
                <w:szCs w:val="11"/>
              </w:rPr>
            </w:pPr>
            <w:r>
              <w:rPr>
                <w:rFonts w:ascii="宋体" w:hAnsi="宋体" w:cs="宋体" w:eastAsia="宋体" w:hint="default"/>
                <w:w w:val="100"/>
                <w:sz w:val="11"/>
                <w:szCs w:val="11"/>
              </w:rPr>
              <w:t>是</w:t>
            </w:r>
          </w:p>
        </w:tc>
        <w:tc>
          <w:tcPr>
            <w:tcW w:w="780" w:type="dxa"/>
            <w:tcBorders>
              <w:top w:val="nil" w:sz="6" w:space="0" w:color="auto"/>
              <w:left w:val="nil" w:sz="6" w:space="0" w:color="auto"/>
              <w:bottom w:val="nil" w:sz="6" w:space="0" w:color="auto"/>
              <w:right w:val="nil" w:sz="6" w:space="0" w:color="auto"/>
            </w:tcBorders>
          </w:tcPr>
          <w:p>
            <w:pPr/>
          </w:p>
        </w:tc>
      </w:tr>
      <w:tr>
        <w:trPr>
          <w:trHeight w:val="295" w:hRule="exact"/>
        </w:trPr>
        <w:tc>
          <w:tcPr>
            <w:tcW w:w="2170" w:type="dxa"/>
            <w:tcBorders>
              <w:top w:val="nil" w:sz="6" w:space="0" w:color="auto"/>
              <w:left w:val="nil" w:sz="6" w:space="0" w:color="auto"/>
              <w:bottom w:val="nil" w:sz="6" w:space="0" w:color="auto"/>
              <w:right w:val="nil" w:sz="6" w:space="0" w:color="auto"/>
            </w:tcBorders>
          </w:tcPr>
          <w:p>
            <w:pPr/>
          </w:p>
        </w:tc>
        <w:tc>
          <w:tcPr>
            <w:tcW w:w="402" w:type="dxa"/>
            <w:tcBorders>
              <w:top w:val="nil" w:sz="6" w:space="0" w:color="auto"/>
              <w:left w:val="nil" w:sz="6" w:space="0" w:color="auto"/>
              <w:bottom w:val="nil" w:sz="6" w:space="0" w:color="auto"/>
              <w:right w:val="nil" w:sz="6" w:space="0" w:color="auto"/>
            </w:tcBorders>
          </w:tcPr>
          <w:p>
            <w:pPr/>
          </w:p>
        </w:tc>
        <w:tc>
          <w:tcPr>
            <w:tcW w:w="509" w:type="dxa"/>
            <w:tcBorders>
              <w:top w:val="nil" w:sz="6" w:space="0" w:color="auto"/>
              <w:left w:val="nil" w:sz="6" w:space="0" w:color="auto"/>
              <w:bottom w:val="nil" w:sz="6" w:space="0" w:color="auto"/>
              <w:right w:val="nil" w:sz="6" w:space="0" w:color="auto"/>
            </w:tcBorders>
          </w:tcPr>
          <w:p>
            <w:pPr/>
          </w:p>
        </w:tc>
        <w:tc>
          <w:tcPr>
            <w:tcW w:w="863" w:type="dxa"/>
            <w:tcBorders>
              <w:top w:val="nil" w:sz="6" w:space="0" w:color="auto"/>
              <w:left w:val="nil" w:sz="6" w:space="0" w:color="auto"/>
              <w:bottom w:val="nil" w:sz="6" w:space="0" w:color="auto"/>
              <w:right w:val="nil" w:sz="6" w:space="0" w:color="auto"/>
            </w:tcBorders>
          </w:tcPr>
          <w:p>
            <w:pPr/>
          </w:p>
        </w:tc>
        <w:tc>
          <w:tcPr>
            <w:tcW w:w="3239" w:type="dxa"/>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434"/>
              <w:jc w:val="right"/>
              <w:rPr>
                <w:rFonts w:ascii="Times New Roman" w:hAnsi="Times New Roman" w:cs="Times New Roman" w:eastAsia="Times New Roman" w:hint="default"/>
                <w:sz w:val="11"/>
                <w:szCs w:val="11"/>
              </w:rPr>
            </w:pPr>
            <w:r>
              <w:rPr>
                <w:rFonts w:ascii="Times New Roman"/>
                <w:sz w:val="11"/>
              </w:rPr>
              <w:t>2,857,600</w:t>
            </w:r>
          </w:p>
        </w:tc>
        <w:tc>
          <w:tcPr>
            <w:tcW w:w="778" w:type="dxa"/>
            <w:tcBorders>
              <w:top w:val="nil" w:sz="6" w:space="0" w:color="auto"/>
              <w:left w:val="nil" w:sz="6" w:space="0" w:color="auto"/>
              <w:bottom w:val="nil" w:sz="6" w:space="0" w:color="auto"/>
              <w:right w:val="nil" w:sz="6" w:space="0" w:color="auto"/>
            </w:tcBorders>
          </w:tcPr>
          <w:p>
            <w:pPr/>
          </w:p>
        </w:tc>
        <w:tc>
          <w:tcPr>
            <w:tcW w:w="454" w:type="dxa"/>
            <w:tcBorders>
              <w:top w:val="nil" w:sz="6" w:space="0" w:color="auto"/>
              <w:left w:val="nil" w:sz="6" w:space="0" w:color="auto"/>
              <w:bottom w:val="nil" w:sz="6" w:space="0" w:color="auto"/>
              <w:right w:val="nil" w:sz="6" w:space="0" w:color="auto"/>
            </w:tcBorders>
          </w:tcPr>
          <w:p>
            <w:pPr/>
          </w:p>
        </w:tc>
        <w:tc>
          <w:tcPr>
            <w:tcW w:w="470"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r>
      <w:tr>
        <w:trPr>
          <w:trHeight w:val="295" w:hRule="exact"/>
        </w:trPr>
        <w:tc>
          <w:tcPr>
            <w:tcW w:w="2170" w:type="dxa"/>
            <w:tcBorders>
              <w:top w:val="nil" w:sz="6" w:space="0" w:color="auto"/>
              <w:left w:val="nil" w:sz="6" w:space="0" w:color="auto"/>
              <w:bottom w:val="nil" w:sz="6" w:space="0" w:color="auto"/>
              <w:right w:val="nil" w:sz="6" w:space="0" w:color="auto"/>
            </w:tcBorders>
          </w:tcPr>
          <w:p>
            <w:pPr/>
          </w:p>
        </w:tc>
        <w:tc>
          <w:tcPr>
            <w:tcW w:w="402" w:type="dxa"/>
            <w:tcBorders>
              <w:top w:val="nil" w:sz="6" w:space="0" w:color="auto"/>
              <w:left w:val="nil" w:sz="6" w:space="0" w:color="auto"/>
              <w:bottom w:val="nil" w:sz="6" w:space="0" w:color="auto"/>
              <w:right w:val="nil" w:sz="6" w:space="0" w:color="auto"/>
            </w:tcBorders>
          </w:tcPr>
          <w:p>
            <w:pPr/>
          </w:p>
        </w:tc>
        <w:tc>
          <w:tcPr>
            <w:tcW w:w="50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left="120" w:right="0"/>
              <w:jc w:val="left"/>
              <w:rPr>
                <w:rFonts w:ascii="宋体" w:hAnsi="宋体" w:cs="宋体" w:eastAsia="宋体" w:hint="default"/>
                <w:sz w:val="11"/>
                <w:szCs w:val="11"/>
              </w:rPr>
            </w:pPr>
            <w:r>
              <w:rPr>
                <w:rFonts w:ascii="宋体" w:hAnsi="宋体" w:cs="宋体" w:eastAsia="宋体" w:hint="default"/>
                <w:sz w:val="11"/>
                <w:szCs w:val="11"/>
              </w:rPr>
              <w:t>罗马尼</w:t>
            </w:r>
          </w:p>
        </w:tc>
        <w:tc>
          <w:tcPr>
            <w:tcW w:w="863" w:type="dxa"/>
            <w:tcBorders>
              <w:top w:val="nil" w:sz="6" w:space="0" w:color="auto"/>
              <w:left w:val="nil" w:sz="6" w:space="0" w:color="auto"/>
              <w:bottom w:val="nil" w:sz="6" w:space="0" w:color="auto"/>
              <w:right w:val="nil" w:sz="6" w:space="0" w:color="auto"/>
            </w:tcBorders>
          </w:tcPr>
          <w:p>
            <w:pPr/>
          </w:p>
        </w:tc>
        <w:tc>
          <w:tcPr>
            <w:tcW w:w="3239" w:type="dxa"/>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right="434"/>
              <w:jc w:val="right"/>
              <w:rPr>
                <w:rFonts w:ascii="宋体" w:hAnsi="宋体" w:cs="宋体" w:eastAsia="宋体" w:hint="default"/>
                <w:sz w:val="11"/>
                <w:szCs w:val="11"/>
              </w:rPr>
            </w:pPr>
            <w:r>
              <w:rPr>
                <w:rFonts w:ascii="宋体" w:hAnsi="宋体" w:cs="宋体" w:eastAsia="宋体" w:hint="default"/>
                <w:sz w:val="11"/>
                <w:szCs w:val="11"/>
              </w:rPr>
              <w:t>欧元</w:t>
            </w:r>
          </w:p>
        </w:tc>
        <w:tc>
          <w:tcPr>
            <w:tcW w:w="778" w:type="dxa"/>
            <w:tcBorders>
              <w:top w:val="nil" w:sz="6" w:space="0" w:color="auto"/>
              <w:left w:val="nil" w:sz="6" w:space="0" w:color="auto"/>
              <w:bottom w:val="nil" w:sz="6" w:space="0" w:color="auto"/>
              <w:right w:val="nil" w:sz="6" w:space="0" w:color="auto"/>
            </w:tcBorders>
          </w:tcPr>
          <w:p>
            <w:pPr/>
          </w:p>
        </w:tc>
        <w:tc>
          <w:tcPr>
            <w:tcW w:w="454" w:type="dxa"/>
            <w:tcBorders>
              <w:top w:val="nil" w:sz="6" w:space="0" w:color="auto"/>
              <w:left w:val="nil" w:sz="6" w:space="0" w:color="auto"/>
              <w:bottom w:val="nil" w:sz="6" w:space="0" w:color="auto"/>
              <w:right w:val="nil" w:sz="6" w:space="0" w:color="auto"/>
            </w:tcBorders>
          </w:tcPr>
          <w:p>
            <w:pPr/>
          </w:p>
        </w:tc>
        <w:tc>
          <w:tcPr>
            <w:tcW w:w="470"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r>
      <w:tr>
        <w:trPr>
          <w:trHeight w:val="515"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1"/>
                <w:szCs w:val="11"/>
              </w:rPr>
            </w:pPr>
            <w:r>
              <w:rPr>
                <w:rFonts w:ascii="Times New Roman" w:hAnsi="Times New Roman" w:cs="Times New Roman" w:eastAsia="Times New Roman" w:hint="default"/>
                <w:sz w:val="11"/>
                <w:szCs w:val="11"/>
              </w:rPr>
              <w:t>Neusoft Mobile Solutions SRL</w:t>
            </w:r>
            <w:r>
              <w:rPr>
                <w:rFonts w:ascii="宋体" w:hAnsi="宋体" w:cs="宋体" w:eastAsia="宋体" w:hint="default"/>
                <w:sz w:val="11"/>
                <w:szCs w:val="11"/>
              </w:rPr>
              <w:t>（注</w:t>
            </w:r>
            <w:r>
              <w:rPr>
                <w:rFonts w:ascii="宋体" w:hAnsi="宋体" w:cs="宋体" w:eastAsia="宋体" w:hint="default"/>
                <w:spacing w:val="-35"/>
                <w:sz w:val="11"/>
                <w:szCs w:val="11"/>
              </w:rPr>
              <w:t> </w:t>
            </w:r>
            <w:r>
              <w:rPr>
                <w:rFonts w:ascii="Times New Roman" w:hAnsi="Times New Roman" w:cs="Times New Roman" w:eastAsia="Times New Roman" w:hint="default"/>
                <w:sz w:val="11"/>
                <w:szCs w:val="11"/>
              </w:rPr>
              <w:t>4</w:t>
            </w:r>
            <w:r>
              <w:rPr>
                <w:rFonts w:ascii="宋体" w:hAnsi="宋体" w:cs="宋体" w:eastAsia="宋体" w:hint="default"/>
                <w:sz w:val="11"/>
                <w:szCs w:val="11"/>
              </w:rPr>
              <w:t>）</w:t>
            </w:r>
          </w:p>
        </w:tc>
        <w:tc>
          <w:tcPr>
            <w:tcW w:w="40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60" w:right="0"/>
              <w:jc w:val="left"/>
              <w:rPr>
                <w:rFonts w:ascii="宋体" w:hAnsi="宋体" w:cs="宋体" w:eastAsia="宋体" w:hint="default"/>
                <w:sz w:val="11"/>
                <w:szCs w:val="11"/>
              </w:rPr>
            </w:pPr>
            <w:r>
              <w:rPr>
                <w:rFonts w:ascii="宋体" w:hAnsi="宋体" w:cs="宋体" w:eastAsia="宋体" w:hint="default"/>
                <w:sz w:val="11"/>
                <w:szCs w:val="11"/>
              </w:rPr>
              <w:t>全资</w:t>
            </w:r>
          </w:p>
        </w:tc>
        <w:tc>
          <w:tcPr>
            <w:tcW w:w="5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0"/>
                <w:szCs w:val="10"/>
              </w:rPr>
            </w:pPr>
          </w:p>
          <w:p>
            <w:pPr>
              <w:pStyle w:val="TableParagraph"/>
              <w:spacing w:line="240" w:lineRule="auto" w:before="81"/>
              <w:ind w:left="120" w:right="0"/>
              <w:jc w:val="left"/>
              <w:rPr>
                <w:rFonts w:ascii="宋体" w:hAnsi="宋体" w:cs="宋体" w:eastAsia="宋体" w:hint="default"/>
                <w:sz w:val="11"/>
                <w:szCs w:val="11"/>
              </w:rPr>
            </w:pPr>
            <w:r>
              <w:rPr>
                <w:rFonts w:ascii="宋体" w:hAnsi="宋体" w:cs="宋体" w:eastAsia="宋体" w:hint="default"/>
                <w:w w:val="100"/>
                <w:sz w:val="11"/>
                <w:szCs w:val="11"/>
              </w:rPr>
              <w:t>亚</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7" w:right="0"/>
              <w:jc w:val="left"/>
              <w:rPr>
                <w:rFonts w:ascii="宋体" w:hAnsi="宋体" w:cs="宋体" w:eastAsia="宋体" w:hint="default"/>
                <w:sz w:val="11"/>
                <w:szCs w:val="11"/>
              </w:rPr>
            </w:pPr>
            <w:r>
              <w:rPr>
                <w:rFonts w:ascii="宋体" w:hAnsi="宋体" w:cs="宋体" w:eastAsia="宋体" w:hint="default"/>
                <w:sz w:val="11"/>
                <w:szCs w:val="11"/>
              </w:rPr>
              <w:t>有限责任公司</w:t>
            </w:r>
          </w:p>
        </w:tc>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44" w:right="0"/>
              <w:jc w:val="left"/>
              <w:rPr>
                <w:rFonts w:ascii="宋体" w:hAnsi="宋体" w:cs="宋体" w:eastAsia="宋体" w:hint="default"/>
                <w:sz w:val="11"/>
                <w:szCs w:val="11"/>
              </w:rPr>
            </w:pPr>
            <w:r>
              <w:rPr>
                <w:rFonts w:ascii="宋体" w:hAnsi="宋体" w:cs="宋体" w:eastAsia="宋体" w:hint="default"/>
                <w:sz w:val="11"/>
                <w:szCs w:val="11"/>
              </w:rPr>
              <w:t>罗马尼亚列伊  </w:t>
            </w:r>
            <w:r>
              <w:rPr>
                <w:rFonts w:ascii="Times New Roman" w:hAnsi="Times New Roman" w:cs="Times New Roman" w:eastAsia="Times New Roman" w:hint="default"/>
                <w:sz w:val="11"/>
                <w:szCs w:val="11"/>
              </w:rPr>
              <w:t>94,000 </w:t>
            </w:r>
            <w:r>
              <w:rPr>
                <w:rFonts w:ascii="Times New Roman" w:hAnsi="Times New Roman" w:cs="Times New Roman" w:eastAsia="Times New Roman" w:hint="default"/>
                <w:spacing w:val="3"/>
                <w:sz w:val="11"/>
                <w:szCs w:val="11"/>
              </w:rPr>
              <w:t> </w:t>
            </w:r>
            <w:r>
              <w:rPr>
                <w:rFonts w:ascii="宋体" w:hAnsi="宋体" w:cs="宋体" w:eastAsia="宋体" w:hint="default"/>
                <w:sz w:val="11"/>
                <w:szCs w:val="11"/>
              </w:rPr>
              <w:t>计算机软硬件，技术咨询、服务等</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0"/>
                <w:szCs w:val="10"/>
              </w:rPr>
            </w:pPr>
          </w:p>
          <w:p>
            <w:pPr>
              <w:pStyle w:val="TableParagraph"/>
              <w:spacing w:line="240" w:lineRule="auto" w:before="2"/>
              <w:ind w:right="0"/>
              <w:jc w:val="left"/>
              <w:rPr>
                <w:rFonts w:ascii="宋体" w:hAnsi="宋体" w:cs="宋体" w:eastAsia="宋体" w:hint="default"/>
                <w:b/>
                <w:bCs/>
                <w:sz w:val="9"/>
                <w:szCs w:val="9"/>
              </w:rPr>
            </w:pPr>
          </w:p>
          <w:p>
            <w:pPr>
              <w:pStyle w:val="TableParagraph"/>
              <w:spacing w:line="240" w:lineRule="auto"/>
              <w:ind w:right="434"/>
              <w:jc w:val="right"/>
              <w:rPr>
                <w:rFonts w:ascii="Times New Roman" w:hAnsi="Times New Roman" w:cs="Times New Roman" w:eastAsia="Times New Roman" w:hint="default"/>
                <w:sz w:val="11"/>
                <w:szCs w:val="11"/>
              </w:rPr>
            </w:pPr>
            <w:r>
              <w:rPr>
                <w:rFonts w:ascii="Times New Roman"/>
                <w:sz w:val="11"/>
              </w:rPr>
              <w:t>1,017,600</w:t>
            </w:r>
          </w:p>
        </w:tc>
        <w:tc>
          <w:tcPr>
            <w:tcW w:w="778" w:type="dxa"/>
            <w:tcBorders>
              <w:top w:val="nil" w:sz="6" w:space="0" w:color="auto"/>
              <w:left w:val="nil" w:sz="6" w:space="0" w:color="auto"/>
              <w:bottom w:val="nil" w:sz="6" w:space="0" w:color="auto"/>
              <w:right w:val="nil" w:sz="6" w:space="0" w:color="auto"/>
            </w:tcBorders>
          </w:tcPr>
          <w:p>
            <w:pPr/>
          </w:p>
        </w:tc>
        <w:tc>
          <w:tcPr>
            <w:tcW w:w="45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52"/>
              <w:jc w:val="right"/>
              <w:rPr>
                <w:rFonts w:ascii="Times New Roman" w:hAnsi="Times New Roman" w:cs="Times New Roman" w:eastAsia="Times New Roman" w:hint="default"/>
                <w:sz w:val="11"/>
                <w:szCs w:val="11"/>
              </w:rPr>
            </w:pPr>
            <w:r>
              <w:rPr>
                <w:rFonts w:ascii="Times New Roman"/>
                <w:sz w:val="11"/>
              </w:rPr>
              <w:t>100</w:t>
            </w:r>
          </w:p>
        </w:tc>
        <w:tc>
          <w:tcPr>
            <w:tcW w:w="47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11" w:right="0"/>
              <w:jc w:val="left"/>
              <w:rPr>
                <w:rFonts w:ascii="宋体" w:hAnsi="宋体" w:cs="宋体" w:eastAsia="宋体" w:hint="default"/>
                <w:sz w:val="11"/>
                <w:szCs w:val="11"/>
              </w:rPr>
            </w:pPr>
            <w:r>
              <w:rPr>
                <w:rFonts w:ascii="宋体" w:hAnsi="宋体" w:cs="宋体" w:eastAsia="宋体" w:hint="default"/>
                <w:w w:val="100"/>
                <w:sz w:val="11"/>
                <w:szCs w:val="11"/>
              </w:rPr>
              <w:t>是</w:t>
            </w:r>
          </w:p>
        </w:tc>
        <w:tc>
          <w:tcPr>
            <w:tcW w:w="780" w:type="dxa"/>
            <w:tcBorders>
              <w:top w:val="nil" w:sz="6" w:space="0" w:color="auto"/>
              <w:left w:val="nil" w:sz="6" w:space="0" w:color="auto"/>
              <w:bottom w:val="nil" w:sz="6" w:space="0" w:color="auto"/>
              <w:right w:val="nil" w:sz="6" w:space="0" w:color="auto"/>
            </w:tcBorders>
          </w:tcPr>
          <w:p>
            <w:pPr/>
          </w:p>
        </w:tc>
      </w:tr>
      <w:tr>
        <w:trPr>
          <w:trHeight w:val="369"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35" w:right="0"/>
              <w:jc w:val="left"/>
              <w:rPr>
                <w:rFonts w:ascii="宋体" w:hAnsi="宋体" w:cs="宋体" w:eastAsia="宋体" w:hint="default"/>
                <w:sz w:val="11"/>
                <w:szCs w:val="11"/>
              </w:rPr>
            </w:pPr>
            <w:r>
              <w:rPr>
                <w:rFonts w:ascii="宋体" w:hAnsi="宋体" w:cs="宋体" w:eastAsia="宋体" w:hint="default"/>
                <w:sz w:val="11"/>
                <w:szCs w:val="11"/>
              </w:rPr>
              <w:t>北京利博赛社保信息技术有限公司（注</w:t>
            </w:r>
            <w:r>
              <w:rPr>
                <w:rFonts w:ascii="宋体" w:hAnsi="宋体" w:cs="宋体" w:eastAsia="宋体" w:hint="default"/>
                <w:spacing w:val="-33"/>
                <w:sz w:val="11"/>
                <w:szCs w:val="11"/>
              </w:rPr>
              <w:t> </w:t>
            </w:r>
            <w:r>
              <w:rPr>
                <w:rFonts w:ascii="Times New Roman" w:hAnsi="Times New Roman" w:cs="Times New Roman" w:eastAsia="Times New Roman" w:hint="default"/>
                <w:sz w:val="11"/>
                <w:szCs w:val="11"/>
              </w:rPr>
              <w:t>5</w:t>
            </w:r>
            <w:r>
              <w:rPr>
                <w:rFonts w:ascii="宋体" w:hAnsi="宋体" w:cs="宋体" w:eastAsia="宋体" w:hint="default"/>
                <w:sz w:val="11"/>
                <w:szCs w:val="11"/>
              </w:rPr>
              <w:t>）</w:t>
            </w:r>
          </w:p>
        </w:tc>
        <w:tc>
          <w:tcPr>
            <w:tcW w:w="40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left="60" w:right="0"/>
              <w:jc w:val="left"/>
              <w:rPr>
                <w:rFonts w:ascii="宋体" w:hAnsi="宋体" w:cs="宋体" w:eastAsia="宋体" w:hint="default"/>
                <w:sz w:val="11"/>
                <w:szCs w:val="11"/>
              </w:rPr>
            </w:pPr>
            <w:r>
              <w:rPr>
                <w:rFonts w:ascii="宋体" w:hAnsi="宋体" w:cs="宋体" w:eastAsia="宋体" w:hint="default"/>
                <w:sz w:val="11"/>
                <w:szCs w:val="11"/>
              </w:rPr>
              <w:t>控股</w:t>
            </w:r>
          </w:p>
        </w:tc>
        <w:tc>
          <w:tcPr>
            <w:tcW w:w="50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left="120" w:right="0"/>
              <w:jc w:val="left"/>
              <w:rPr>
                <w:rFonts w:ascii="宋体" w:hAnsi="宋体" w:cs="宋体" w:eastAsia="宋体" w:hint="default"/>
                <w:sz w:val="11"/>
                <w:szCs w:val="11"/>
              </w:rPr>
            </w:pPr>
            <w:r>
              <w:rPr>
                <w:rFonts w:ascii="宋体" w:hAnsi="宋体" w:cs="宋体" w:eastAsia="宋体" w:hint="default"/>
                <w:sz w:val="11"/>
                <w:szCs w:val="11"/>
              </w:rPr>
              <w:t>北京</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left="57" w:right="0"/>
              <w:jc w:val="left"/>
              <w:rPr>
                <w:rFonts w:ascii="宋体" w:hAnsi="宋体" w:cs="宋体" w:eastAsia="宋体" w:hint="default"/>
                <w:sz w:val="11"/>
                <w:szCs w:val="11"/>
              </w:rPr>
            </w:pPr>
            <w:r>
              <w:rPr>
                <w:rFonts w:ascii="宋体" w:hAnsi="宋体" w:cs="宋体" w:eastAsia="宋体" w:hint="default"/>
                <w:sz w:val="11"/>
                <w:szCs w:val="11"/>
              </w:rPr>
              <w:t>有限责任公司</w:t>
            </w:r>
          </w:p>
        </w:tc>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8"/>
                <w:szCs w:val="8"/>
              </w:rPr>
            </w:pPr>
          </w:p>
          <w:p>
            <w:pPr>
              <w:pStyle w:val="TableParagraph"/>
              <w:spacing w:line="240" w:lineRule="auto"/>
              <w:ind w:left="722" w:right="0"/>
              <w:jc w:val="left"/>
              <w:rPr>
                <w:rFonts w:ascii="宋体" w:hAnsi="宋体" w:cs="宋体" w:eastAsia="宋体" w:hint="default"/>
                <w:sz w:val="11"/>
                <w:szCs w:val="11"/>
              </w:rPr>
            </w:pPr>
            <w:r>
              <w:rPr>
                <w:rFonts w:ascii="Times New Roman" w:hAnsi="Times New Roman" w:cs="Times New Roman" w:eastAsia="Times New Roman" w:hint="default"/>
                <w:sz w:val="11"/>
                <w:szCs w:val="11"/>
              </w:rPr>
              <w:t>15,000,000 </w:t>
            </w:r>
            <w:r>
              <w:rPr>
                <w:rFonts w:ascii="Times New Roman" w:hAnsi="Times New Roman" w:cs="Times New Roman" w:eastAsia="Times New Roman" w:hint="default"/>
                <w:spacing w:val="2"/>
                <w:sz w:val="11"/>
                <w:szCs w:val="11"/>
              </w:rPr>
              <w:t> </w:t>
            </w:r>
            <w:r>
              <w:rPr>
                <w:rFonts w:ascii="宋体" w:hAnsi="宋体" w:cs="宋体" w:eastAsia="宋体" w:hint="default"/>
                <w:position w:val="1"/>
                <w:sz w:val="11"/>
                <w:szCs w:val="11"/>
              </w:rPr>
              <w:t>技术开发咨询服务及产品销售</w:t>
            </w:r>
            <w:r>
              <w:rPr>
                <w:rFonts w:ascii="宋体" w:hAnsi="宋体" w:cs="宋体" w:eastAsia="宋体" w:hint="default"/>
                <w:sz w:val="11"/>
                <w:szCs w:val="11"/>
              </w:rPr>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433"/>
              <w:jc w:val="right"/>
              <w:rPr>
                <w:rFonts w:ascii="Times New Roman" w:hAnsi="Times New Roman" w:cs="Times New Roman" w:eastAsia="Times New Roman" w:hint="default"/>
                <w:sz w:val="11"/>
                <w:szCs w:val="11"/>
              </w:rPr>
            </w:pPr>
            <w:r>
              <w:rPr>
                <w:rFonts w:ascii="Times New Roman"/>
                <w:spacing w:val="-1"/>
                <w:sz w:val="11"/>
              </w:rPr>
              <w:t>10,390,275</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92"/>
              <w:jc w:val="right"/>
              <w:rPr>
                <w:rFonts w:ascii="Times New Roman" w:hAnsi="Times New Roman" w:cs="Times New Roman" w:eastAsia="Times New Roman" w:hint="default"/>
                <w:sz w:val="11"/>
                <w:szCs w:val="11"/>
              </w:rPr>
            </w:pPr>
            <w:r>
              <w:rPr>
                <w:rFonts w:ascii="Times New Roman"/>
                <w:sz w:val="11"/>
              </w:rPr>
              <w:t>61.67</w:t>
            </w:r>
          </w:p>
        </w:tc>
        <w:tc>
          <w:tcPr>
            <w:tcW w:w="45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9"/>
              <w:jc w:val="right"/>
              <w:rPr>
                <w:rFonts w:ascii="Times New Roman" w:hAnsi="Times New Roman" w:cs="Times New Roman" w:eastAsia="Times New Roman" w:hint="default"/>
                <w:sz w:val="11"/>
                <w:szCs w:val="11"/>
              </w:rPr>
            </w:pPr>
            <w:r>
              <w:rPr>
                <w:rFonts w:ascii="Times New Roman"/>
                <w:sz w:val="11"/>
              </w:rPr>
              <w:t>61.67</w:t>
            </w:r>
          </w:p>
        </w:tc>
        <w:tc>
          <w:tcPr>
            <w:tcW w:w="4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8"/>
                <w:szCs w:val="8"/>
              </w:rPr>
            </w:pPr>
          </w:p>
          <w:p>
            <w:pPr>
              <w:pStyle w:val="TableParagraph"/>
              <w:spacing w:line="240" w:lineRule="auto"/>
              <w:ind w:left="111" w:right="0"/>
              <w:jc w:val="left"/>
              <w:rPr>
                <w:rFonts w:ascii="宋体" w:hAnsi="宋体" w:cs="宋体" w:eastAsia="宋体" w:hint="default"/>
                <w:sz w:val="11"/>
                <w:szCs w:val="11"/>
              </w:rPr>
            </w:pPr>
            <w:r>
              <w:rPr>
                <w:rFonts w:ascii="宋体" w:hAnsi="宋体" w:cs="宋体" w:eastAsia="宋体" w:hint="default"/>
                <w:w w:val="100"/>
                <w:sz w:val="11"/>
                <w:szCs w:val="11"/>
              </w:rPr>
              <w:t>是</w:t>
            </w:r>
          </w:p>
        </w:tc>
        <w:tc>
          <w:tcPr>
            <w:tcW w:w="78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33"/>
              <w:jc w:val="right"/>
              <w:rPr>
                <w:rFonts w:ascii="Times New Roman" w:hAnsi="Times New Roman" w:cs="Times New Roman" w:eastAsia="Times New Roman" w:hint="default"/>
                <w:sz w:val="11"/>
                <w:szCs w:val="11"/>
              </w:rPr>
            </w:pPr>
            <w:r>
              <w:rPr>
                <w:rFonts w:ascii="Times New Roman"/>
                <w:sz w:val="11"/>
              </w:rPr>
              <w:t>5,769,562</w:t>
            </w:r>
          </w:p>
        </w:tc>
      </w:tr>
    </w:tbl>
    <w:p>
      <w:pPr>
        <w:spacing w:after="0" w:line="240" w:lineRule="auto"/>
        <w:jc w:val="right"/>
        <w:rPr>
          <w:rFonts w:ascii="Times New Roman" w:hAnsi="Times New Roman" w:cs="Times New Roman" w:eastAsia="Times New Roman" w:hint="default"/>
          <w:sz w:val="11"/>
          <w:szCs w:val="11"/>
        </w:rPr>
        <w:sectPr>
          <w:pgSz w:w="16840" w:h="11910" w:orient="landscape"/>
          <w:pgMar w:header="883" w:footer="999" w:top="1600" w:bottom="1180" w:left="1300" w:right="1260"/>
        </w:sectPr>
      </w:pPr>
    </w:p>
    <w:p>
      <w:pPr>
        <w:spacing w:line="240" w:lineRule="auto" w:before="11"/>
        <w:rPr>
          <w:rFonts w:ascii="宋体" w:hAnsi="宋体" w:cs="宋体" w:eastAsia="宋体" w:hint="default"/>
          <w:b/>
          <w:bCs/>
          <w:sz w:val="24"/>
          <w:szCs w:val="24"/>
        </w:rPr>
      </w:pPr>
    </w:p>
    <w:p>
      <w:pPr>
        <w:pStyle w:val="BodyText"/>
        <w:spacing w:line="331" w:lineRule="auto"/>
        <w:ind w:left="666" w:right="3146"/>
        <w:jc w:val="both"/>
      </w:pPr>
      <w:r>
        <w:rPr/>
        <w:t>注</w:t>
      </w:r>
      <w:r>
        <w:rPr>
          <w:spacing w:val="-55"/>
        </w:rPr>
        <w:t> </w:t>
      </w:r>
      <w:r>
        <w:rPr>
          <w:rFonts w:ascii="Times New Roman" w:hAnsi="Times New Roman" w:cs="Times New Roman" w:eastAsia="Times New Roman" w:hint="default"/>
        </w:rPr>
        <w:t>1</w:t>
      </w:r>
      <w:r>
        <w:rPr/>
        <w:t>：昆明东软金沙信息技术有限公司为本公司之子公司辽宁东软创业投资有限公司出资收购，持股比例为</w:t>
      </w:r>
      <w:r>
        <w:rPr>
          <w:spacing w:val="-55"/>
        </w:rPr>
        <w:t> </w:t>
      </w:r>
      <w:r>
        <w:rPr>
          <w:rFonts w:ascii="Times New Roman" w:hAnsi="Times New Roman" w:cs="Times New Roman" w:eastAsia="Times New Roman" w:hint="default"/>
        </w:rPr>
        <w:t>51%</w:t>
      </w:r>
      <w:r>
        <w:rPr/>
        <w:t>； 注</w:t>
      </w:r>
      <w:r>
        <w:rPr>
          <w:spacing w:val="-58"/>
        </w:rPr>
        <w:t> </w:t>
      </w:r>
      <w:r>
        <w:rPr>
          <w:rFonts w:ascii="Times New Roman" w:hAnsi="Times New Roman" w:cs="Times New Roman" w:eastAsia="Times New Roman" w:hint="default"/>
        </w:rPr>
        <w:t>2</w:t>
      </w:r>
      <w:r>
        <w:rPr/>
        <w:t>：</w:t>
      </w:r>
      <w:r>
        <w:rPr>
          <w:rFonts w:ascii="Times New Roman" w:hAnsi="Times New Roman" w:cs="Times New Roman" w:eastAsia="Times New Roman" w:hint="default"/>
        </w:rPr>
        <w:t>Neusoft</w:t>
      </w:r>
      <w:r>
        <w:rPr>
          <w:rFonts w:ascii="Times New Roman" w:hAnsi="Times New Roman" w:cs="Times New Roman" w:eastAsia="Times New Roman" w:hint="default"/>
          <w:spacing w:val="-7"/>
        </w:rPr>
        <w:t> </w:t>
      </w:r>
      <w:r>
        <w:rPr>
          <w:rFonts w:ascii="Times New Roman" w:hAnsi="Times New Roman" w:cs="Times New Roman" w:eastAsia="Times New Roman" w:hint="default"/>
        </w:rPr>
        <w:t>Technology</w:t>
      </w:r>
      <w:r>
        <w:rPr>
          <w:rFonts w:ascii="Times New Roman" w:hAnsi="Times New Roman" w:cs="Times New Roman" w:eastAsia="Times New Roman" w:hint="default"/>
          <w:spacing w:val="-6"/>
        </w:rPr>
        <w:t> </w:t>
      </w:r>
      <w:r>
        <w:rPr>
          <w:rFonts w:ascii="Times New Roman" w:hAnsi="Times New Roman" w:cs="Times New Roman" w:eastAsia="Times New Roman" w:hint="default"/>
        </w:rPr>
        <w:t>Solutions</w:t>
      </w:r>
      <w:r>
        <w:rPr>
          <w:rFonts w:ascii="Times New Roman" w:hAnsi="Times New Roman" w:cs="Times New Roman" w:eastAsia="Times New Roman" w:hint="default"/>
          <w:spacing w:val="-5"/>
        </w:rPr>
        <w:t> </w:t>
      </w:r>
      <w:r>
        <w:rPr>
          <w:rFonts w:ascii="Times New Roman" w:hAnsi="Times New Roman" w:cs="Times New Roman" w:eastAsia="Times New Roman" w:hint="default"/>
        </w:rPr>
        <w:t>GmbH</w:t>
      </w:r>
      <w:r>
        <w:rPr>
          <w:rFonts w:ascii="Times New Roman" w:hAnsi="Times New Roman" w:cs="Times New Roman" w:eastAsia="Times New Roman" w:hint="default"/>
          <w:spacing w:val="-6"/>
        </w:rPr>
        <w:t> </w:t>
      </w:r>
      <w:r>
        <w:rPr/>
        <w:t>为本公司之子公司东软（欧洲）有限公司出资收购，持股比例为</w:t>
      </w:r>
      <w:r>
        <w:rPr>
          <w:spacing w:val="-58"/>
        </w:rPr>
        <w:t> </w:t>
      </w:r>
      <w:r>
        <w:rPr>
          <w:rFonts w:ascii="Times New Roman" w:hAnsi="Times New Roman" w:cs="Times New Roman" w:eastAsia="Times New Roman" w:hint="default"/>
        </w:rPr>
        <w:t>100%</w:t>
      </w:r>
      <w:r>
        <w:rPr/>
        <w:t>； 注</w:t>
      </w:r>
      <w:r>
        <w:rPr>
          <w:spacing w:val="-55"/>
        </w:rPr>
        <w:t> </w:t>
      </w:r>
      <w:r>
        <w:rPr>
          <w:rFonts w:ascii="Times New Roman" w:hAnsi="Times New Roman" w:cs="Times New Roman" w:eastAsia="Times New Roman" w:hint="default"/>
        </w:rPr>
        <w:t>3</w:t>
      </w:r>
      <w:r>
        <w:rPr/>
        <w:t>：</w:t>
      </w:r>
      <w:r>
        <w:rPr>
          <w:rFonts w:ascii="Times New Roman" w:hAnsi="Times New Roman" w:cs="Times New Roman" w:eastAsia="Times New Roman" w:hint="default"/>
        </w:rPr>
        <w:t>Neusoft</w:t>
      </w:r>
      <w:r>
        <w:rPr>
          <w:rFonts w:ascii="Times New Roman" w:hAnsi="Times New Roman" w:cs="Times New Roman" w:eastAsia="Times New Roman" w:hint="default"/>
          <w:spacing w:val="-2"/>
        </w:rPr>
        <w:t> </w:t>
      </w:r>
      <w:r>
        <w:rPr>
          <w:rFonts w:ascii="Times New Roman" w:hAnsi="Times New Roman" w:cs="Times New Roman" w:eastAsia="Times New Roman" w:hint="default"/>
        </w:rPr>
        <w:t>Mobile</w:t>
      </w:r>
      <w:r>
        <w:rPr>
          <w:rFonts w:ascii="Times New Roman" w:hAnsi="Times New Roman" w:cs="Times New Roman" w:eastAsia="Times New Roman" w:hint="default"/>
          <w:spacing w:val="-2"/>
        </w:rPr>
        <w:t> </w:t>
      </w:r>
      <w:r>
        <w:rPr>
          <w:rFonts w:ascii="Times New Roman" w:hAnsi="Times New Roman" w:cs="Times New Roman" w:eastAsia="Times New Roman" w:hint="default"/>
        </w:rPr>
        <w:t>Solutions</w:t>
      </w:r>
      <w:r>
        <w:rPr>
          <w:rFonts w:ascii="Times New Roman" w:hAnsi="Times New Roman" w:cs="Times New Roman" w:eastAsia="Times New Roman" w:hint="default"/>
          <w:spacing w:val="-4"/>
        </w:rPr>
        <w:t> </w:t>
      </w:r>
      <w:r>
        <w:rPr>
          <w:rFonts w:ascii="Times New Roman" w:hAnsi="Times New Roman" w:cs="Times New Roman" w:eastAsia="Times New Roman" w:hint="default"/>
        </w:rPr>
        <w:t>Oy</w:t>
      </w:r>
      <w:r>
        <w:rPr>
          <w:rFonts w:ascii="Times New Roman" w:hAnsi="Times New Roman" w:cs="Times New Roman" w:eastAsia="Times New Roman" w:hint="default"/>
          <w:spacing w:val="-3"/>
        </w:rPr>
        <w:t> </w:t>
      </w:r>
      <w:r>
        <w:rPr/>
        <w:t>为本公司之子公司东软（欧洲）有限公司出资收购，持股比例为</w:t>
      </w:r>
      <w:r>
        <w:rPr>
          <w:spacing w:val="-55"/>
        </w:rPr>
        <w:t> </w:t>
      </w:r>
      <w:r>
        <w:rPr>
          <w:rFonts w:ascii="Times New Roman" w:hAnsi="Times New Roman" w:cs="Times New Roman" w:eastAsia="Times New Roman" w:hint="default"/>
        </w:rPr>
        <w:t>100%</w:t>
      </w:r>
      <w:r>
        <w:rPr/>
        <w:t>；</w:t>
      </w:r>
    </w:p>
    <w:p>
      <w:pPr>
        <w:pStyle w:val="BodyText"/>
        <w:spacing w:line="331" w:lineRule="auto" w:before="20"/>
        <w:ind w:left="666" w:right="3739"/>
        <w:jc w:val="left"/>
      </w:pPr>
      <w:r>
        <w:rPr/>
        <w:t>注</w:t>
      </w:r>
      <w:r>
        <w:rPr>
          <w:spacing w:val="-55"/>
        </w:rPr>
        <w:t> </w:t>
      </w:r>
      <w:r>
        <w:rPr>
          <w:rFonts w:ascii="Times New Roman" w:hAnsi="Times New Roman" w:cs="Times New Roman" w:eastAsia="Times New Roman" w:hint="default"/>
        </w:rPr>
        <w:t>4</w:t>
      </w:r>
      <w:r>
        <w:rPr/>
        <w:t>：</w:t>
      </w:r>
      <w:r>
        <w:rPr>
          <w:rFonts w:ascii="Times New Roman" w:hAnsi="Times New Roman" w:cs="Times New Roman" w:eastAsia="Times New Roman" w:hint="default"/>
        </w:rPr>
        <w:t>Neusoft</w:t>
      </w:r>
      <w:r>
        <w:rPr>
          <w:rFonts w:ascii="Times New Roman" w:hAnsi="Times New Roman" w:cs="Times New Roman" w:eastAsia="Times New Roman" w:hint="default"/>
          <w:spacing w:val="-2"/>
        </w:rPr>
        <w:t> </w:t>
      </w:r>
      <w:r>
        <w:rPr>
          <w:rFonts w:ascii="Times New Roman" w:hAnsi="Times New Roman" w:cs="Times New Roman" w:eastAsia="Times New Roman" w:hint="default"/>
        </w:rPr>
        <w:t>Mobile</w:t>
      </w:r>
      <w:r>
        <w:rPr>
          <w:rFonts w:ascii="Times New Roman" w:hAnsi="Times New Roman" w:cs="Times New Roman" w:eastAsia="Times New Roman" w:hint="default"/>
          <w:spacing w:val="-2"/>
        </w:rPr>
        <w:t> </w:t>
      </w:r>
      <w:r>
        <w:rPr>
          <w:rFonts w:ascii="Times New Roman" w:hAnsi="Times New Roman" w:cs="Times New Roman" w:eastAsia="Times New Roman" w:hint="default"/>
        </w:rPr>
        <w:t>Solutions</w:t>
      </w:r>
      <w:r>
        <w:rPr>
          <w:rFonts w:ascii="Times New Roman" w:hAnsi="Times New Roman" w:cs="Times New Roman" w:eastAsia="Times New Roman" w:hint="default"/>
          <w:spacing w:val="-4"/>
        </w:rPr>
        <w:t> </w:t>
      </w:r>
      <w:r>
        <w:rPr>
          <w:rFonts w:ascii="Times New Roman" w:hAnsi="Times New Roman" w:cs="Times New Roman" w:eastAsia="Times New Roman" w:hint="default"/>
        </w:rPr>
        <w:t>SRL</w:t>
      </w:r>
      <w:r>
        <w:rPr>
          <w:rFonts w:ascii="Times New Roman" w:hAnsi="Times New Roman" w:cs="Times New Roman" w:eastAsia="Times New Roman" w:hint="default"/>
          <w:spacing w:val="-3"/>
        </w:rPr>
        <w:t> </w:t>
      </w:r>
      <w:r>
        <w:rPr/>
        <w:t>为本公司之子公司东软（欧洲）有限公司出资收购，持股比例为</w:t>
      </w:r>
      <w:r>
        <w:rPr>
          <w:spacing w:val="-55"/>
        </w:rPr>
        <w:t> </w:t>
      </w:r>
      <w:r>
        <w:rPr>
          <w:rFonts w:ascii="Times New Roman" w:hAnsi="Times New Roman" w:cs="Times New Roman" w:eastAsia="Times New Roman" w:hint="default"/>
        </w:rPr>
        <w:t>100%</w:t>
      </w:r>
      <w:r>
        <w:rPr/>
        <w:t>。 注</w:t>
      </w:r>
      <w:r>
        <w:rPr>
          <w:spacing w:val="-55"/>
        </w:rPr>
        <w:t> </w:t>
      </w:r>
      <w:r>
        <w:rPr>
          <w:rFonts w:ascii="Times New Roman" w:hAnsi="Times New Roman" w:cs="Times New Roman" w:eastAsia="Times New Roman" w:hint="default"/>
        </w:rPr>
        <w:t>5</w:t>
      </w:r>
      <w:r>
        <w:rPr/>
        <w:t>：北京利博赛社保信息技术有限公司为本公司出资收购，持股比例为</w:t>
      </w:r>
      <w:r>
        <w:rPr>
          <w:spacing w:val="-55"/>
        </w:rPr>
        <w:t> </w:t>
      </w:r>
      <w:r>
        <w:rPr>
          <w:rFonts w:ascii="Times New Roman" w:hAnsi="Times New Roman" w:cs="Times New Roman" w:eastAsia="Times New Roman" w:hint="default"/>
        </w:rPr>
        <w:t>61.67%</w:t>
      </w:r>
      <w:r>
        <w:rPr/>
        <w:t>；</w:t>
      </w:r>
    </w:p>
    <w:p>
      <w:pPr>
        <w:pStyle w:val="BodyText"/>
        <w:spacing w:line="328" w:lineRule="auto" w:before="20"/>
        <w:ind w:left="857" w:right="131" w:hanging="191"/>
        <w:jc w:val="left"/>
      </w:pPr>
      <w:r>
        <w:rPr/>
        <w:t>注</w:t>
      </w:r>
      <w:r>
        <w:rPr>
          <w:spacing w:val="5"/>
        </w:rPr>
        <w:t> </w:t>
      </w:r>
      <w:r>
        <w:rPr>
          <w:rFonts w:ascii="Times New Roman" w:hAnsi="Times New Roman" w:cs="Times New Roman" w:eastAsia="Times New Roman" w:hint="default"/>
          <w:spacing w:val="-3"/>
        </w:rPr>
        <w:t>6</w:t>
      </w:r>
      <w:r>
        <w:rPr>
          <w:spacing w:val="-3"/>
        </w:rPr>
        <w:t>：北京东软望海科技有限公司（原名为“北京望海康信科技有限公司”，收购后更名为“北京东软望海科技有限公司”）为本公司之子公司东软</w:t>
      </w:r>
      <w:r>
        <w:rPr/>
        <w:t> 集团（北京）有限公司出资收购，持股比例为</w:t>
      </w:r>
      <w:r>
        <w:rPr>
          <w:spacing w:val="-56"/>
        </w:rPr>
        <w:t> </w:t>
      </w:r>
      <w:r>
        <w:rPr>
          <w:rFonts w:ascii="Times New Roman" w:hAnsi="Times New Roman" w:cs="Times New Roman" w:eastAsia="Times New Roman" w:hint="default"/>
        </w:rPr>
        <w:t>73.14%</w:t>
      </w:r>
      <w:r>
        <w:rPr/>
        <w:t>。</w:t>
      </w:r>
    </w:p>
    <w:p>
      <w:pPr>
        <w:spacing w:after="0" w:line="328" w:lineRule="auto"/>
        <w:jc w:val="left"/>
        <w:sectPr>
          <w:pgSz w:w="16840" w:h="11910" w:orient="landscape"/>
          <w:pgMar w:header="883" w:footer="999" w:top="1600" w:bottom="1180" w:left="1300" w:right="1260"/>
        </w:sectPr>
      </w:pPr>
    </w:p>
    <w:p>
      <w:pPr>
        <w:spacing w:line="240" w:lineRule="auto" w:before="10"/>
        <w:rPr>
          <w:rFonts w:ascii="宋体" w:hAnsi="宋体" w:cs="宋体" w:eastAsia="宋体" w:hint="default"/>
          <w:sz w:val="8"/>
          <w:szCs w:val="8"/>
        </w:rPr>
      </w:pPr>
    </w:p>
    <w:p>
      <w:pPr>
        <w:pStyle w:val="Heading6"/>
        <w:tabs>
          <w:tab w:pos="873" w:val="left" w:leader="none"/>
        </w:tabs>
        <w:spacing w:line="240" w:lineRule="auto"/>
        <w:ind w:left="145" w:right="102"/>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合并范围发生变更的说明</w:t>
      </w:r>
      <w:r>
        <w:rPr>
          <w:b w:val="0"/>
          <w:bCs w:val="0"/>
        </w:rPr>
      </w:r>
    </w:p>
    <w:p>
      <w:pPr>
        <w:pStyle w:val="BodyText"/>
        <w:spacing w:line="345" w:lineRule="auto" w:before="110"/>
        <w:ind w:left="1412" w:right="212" w:hanging="536"/>
        <w:jc w:val="both"/>
      </w:pPr>
      <w:r>
        <w:rPr>
          <w:rFonts w:ascii="Times New Roman" w:hAnsi="Times New Roman" w:cs="Times New Roman" w:eastAsia="Times New Roman" w:hint="default"/>
        </w:rPr>
        <w:t>1</w:t>
      </w:r>
      <w:r>
        <w:rPr/>
        <w:t>、</w:t>
      </w:r>
      <w:r>
        <w:rPr>
          <w:spacing w:val="9"/>
        </w:rPr>
        <w:t> </w:t>
      </w:r>
      <w:r>
        <w:rPr/>
        <w:t>与上年相比本年新增合并单位</w:t>
      </w:r>
      <w:r>
        <w:rPr>
          <w:spacing w:val="-53"/>
        </w:rPr>
        <w:t> </w:t>
      </w:r>
      <w:r>
        <w:rPr>
          <w:rFonts w:ascii="Times New Roman" w:hAnsi="Times New Roman" w:cs="Times New Roman" w:eastAsia="Times New Roman" w:hint="default"/>
        </w:rPr>
        <w:t>15 </w:t>
      </w:r>
      <w:r>
        <w:rPr>
          <w:spacing w:val="-3"/>
        </w:rPr>
        <w:t>家：东软集团（芜湖）有限公司、广东东软时尚数字技</w:t>
      </w:r>
      <w:r>
        <w:rPr/>
        <w:t> 术有限公司、东软集团（南昌）有限公司、东软集团（郑州）有限公司、沈阳东软交通</w:t>
      </w:r>
      <w:r>
        <w:rPr>
          <w:spacing w:val="1"/>
        </w:rPr>
        <w:t> </w:t>
      </w:r>
      <w:r>
        <w:rPr/>
        <w:t>信息技术有限公司、东软集团南京有限公司、北京利博赛社保信息技术有限公司、北京</w:t>
      </w:r>
      <w:r>
        <w:rPr>
          <w:spacing w:val="1"/>
        </w:rPr>
        <w:t> </w:t>
      </w:r>
      <w:r>
        <w:rPr/>
        <w:t>东软望海科技有限公司、东软熙康控股有限公司、东软熙康国际有限公司、东软熙康健</w:t>
      </w:r>
      <w:r>
        <w:rPr>
          <w:spacing w:val="1"/>
        </w:rPr>
        <w:t> </w:t>
      </w:r>
      <w:r>
        <w:rPr/>
        <w:t>康科技有限公司、辽宁东软熙康健康管理有限公司、沈阳东软熙康医疗系统有限公司、</w:t>
      </w:r>
      <w:r>
        <w:rPr>
          <w:spacing w:val="1"/>
        </w:rPr>
        <w:t> </w:t>
      </w:r>
      <w:r>
        <w:rPr/>
        <w:t>深圳市东软时尚数字技术有限公司、天津熙康健康科技有限公司。</w:t>
      </w:r>
    </w:p>
    <w:p>
      <w:pPr>
        <w:spacing w:line="240" w:lineRule="auto" w:before="0"/>
        <w:rPr>
          <w:rFonts w:ascii="宋体" w:hAnsi="宋体" w:cs="宋体" w:eastAsia="宋体" w:hint="default"/>
          <w:sz w:val="20"/>
          <w:szCs w:val="20"/>
        </w:rPr>
      </w:pPr>
    </w:p>
    <w:p>
      <w:pPr>
        <w:pStyle w:val="BodyText"/>
        <w:spacing w:line="328" w:lineRule="auto" w:before="171"/>
        <w:ind w:left="1412" w:right="212" w:hanging="536"/>
        <w:jc w:val="both"/>
      </w:pPr>
      <w:r>
        <w:rPr>
          <w:rFonts w:ascii="Times New Roman" w:hAnsi="Times New Roman" w:cs="Times New Roman" w:eastAsia="Times New Roman" w:hint="default"/>
        </w:rPr>
        <w:t>2</w:t>
      </w:r>
      <w:r>
        <w:rPr/>
        <w:t>、 与上年相比本年减少合并单位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t>家：本集团之子公司北京源越通软件技术有限公司进行 清算，本期不纳入合并范围。</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1"/>
          <w:szCs w:val="11"/>
        </w:rPr>
      </w:pPr>
    </w:p>
    <w:tbl>
      <w:tblPr>
        <w:tblW w:w="0" w:type="auto"/>
        <w:jc w:val="left"/>
        <w:tblInd w:w="110" w:type="dxa"/>
        <w:tblLayout w:type="fixed"/>
        <w:tblCellMar>
          <w:top w:w="0" w:type="dxa"/>
          <w:left w:w="0" w:type="dxa"/>
          <w:bottom w:w="0" w:type="dxa"/>
          <w:right w:w="0" w:type="dxa"/>
        </w:tblCellMar>
        <w:tblLook w:val="01E0"/>
      </w:tblPr>
      <w:tblGrid>
        <w:gridCol w:w="659"/>
        <w:gridCol w:w="4413"/>
        <w:gridCol w:w="2617"/>
        <w:gridCol w:w="1648"/>
      </w:tblGrid>
      <w:tr>
        <w:trPr>
          <w:trHeight w:val="357"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4413"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4" w:right="0"/>
              <w:jc w:val="left"/>
              <w:rPr>
                <w:rFonts w:ascii="宋体" w:hAnsi="宋体" w:cs="宋体" w:eastAsia="宋体" w:hint="default"/>
                <w:sz w:val="21"/>
                <w:szCs w:val="21"/>
              </w:rPr>
            </w:pPr>
            <w:r>
              <w:rPr>
                <w:rFonts w:ascii="宋体" w:hAnsi="宋体" w:cs="宋体" w:eastAsia="宋体" w:hint="default"/>
                <w:b/>
                <w:bCs/>
                <w:sz w:val="21"/>
                <w:szCs w:val="21"/>
              </w:rPr>
              <w:t>本期新纳入合并范围的主体</w:t>
            </w:r>
            <w:r>
              <w:rPr>
                <w:rFonts w:ascii="宋体" w:hAnsi="宋体" w:cs="宋体" w:eastAsia="宋体" w:hint="default"/>
                <w:sz w:val="21"/>
                <w:szCs w:val="21"/>
              </w:rPr>
            </w:r>
          </w:p>
        </w:tc>
        <w:tc>
          <w:tcPr>
            <w:tcW w:w="4265" w:type="dxa"/>
            <w:gridSpan w:val="2"/>
            <w:tcBorders>
              <w:top w:val="nil" w:sz="6" w:space="0" w:color="auto"/>
              <w:left w:val="nil" w:sz="6" w:space="0" w:color="auto"/>
              <w:bottom w:val="single" w:sz="12" w:space="0" w:color="000000"/>
              <w:right w:val="nil" w:sz="6" w:space="0" w:color="auto"/>
            </w:tcBorders>
          </w:tcPr>
          <w:p>
            <w:pPr/>
          </w:p>
        </w:tc>
      </w:tr>
      <w:tr>
        <w:trPr>
          <w:trHeight w:val="500" w:hRule="exact"/>
        </w:trPr>
        <w:tc>
          <w:tcPr>
            <w:tcW w:w="659" w:type="dxa"/>
            <w:tcBorders>
              <w:top w:val="nil" w:sz="6" w:space="0" w:color="auto"/>
              <w:left w:val="nil" w:sz="6" w:space="0" w:color="auto"/>
              <w:bottom w:val="nil" w:sz="6" w:space="0" w:color="auto"/>
              <w:right w:val="nil" w:sz="6" w:space="0" w:color="auto"/>
            </w:tcBorders>
          </w:tcPr>
          <w:p>
            <w:pPr/>
          </w:p>
        </w:tc>
        <w:tc>
          <w:tcPr>
            <w:tcW w:w="4413" w:type="dxa"/>
            <w:tcBorders>
              <w:top w:val="single" w:sz="12" w:space="0" w:color="000000"/>
              <w:left w:val="nil" w:sz="6" w:space="0" w:color="auto"/>
              <w:bottom w:val="nil" w:sz="6" w:space="0" w:color="auto"/>
              <w:right w:val="nil" w:sz="6" w:space="0" w:color="auto"/>
            </w:tcBorders>
          </w:tcPr>
          <w:p>
            <w:pPr>
              <w:pStyle w:val="TableParagraph"/>
              <w:tabs>
                <w:tab w:pos="870" w:val="left" w:leader="none"/>
              </w:tabs>
              <w:spacing w:line="240" w:lineRule="auto" w:before="93"/>
              <w:ind w:left="240" w:right="0"/>
              <w:jc w:val="center"/>
              <w:rPr>
                <w:rFonts w:ascii="宋体" w:hAnsi="宋体" w:cs="宋体" w:eastAsia="宋体" w:hint="default"/>
                <w:sz w:val="21"/>
                <w:szCs w:val="21"/>
              </w:rPr>
            </w:pPr>
            <w:r>
              <w:rPr>
                <w:rFonts w:ascii="宋体" w:hAnsi="宋体" w:cs="宋体" w:eastAsia="宋体" w:hint="default"/>
                <w:sz w:val="21"/>
                <w:szCs w:val="21"/>
              </w:rPr>
              <w:t>名</w:t>
              <w:tab/>
              <w:t>称</w:t>
            </w:r>
          </w:p>
        </w:tc>
        <w:tc>
          <w:tcPr>
            <w:tcW w:w="2617" w:type="dxa"/>
            <w:tcBorders>
              <w:top w:val="single" w:sz="12" w:space="0" w:color="000000"/>
              <w:left w:val="nil" w:sz="6" w:space="0" w:color="auto"/>
              <w:bottom w:val="nil" w:sz="6" w:space="0" w:color="auto"/>
              <w:right w:val="nil" w:sz="6" w:space="0" w:color="auto"/>
            </w:tcBorders>
          </w:tcPr>
          <w:p>
            <w:pPr>
              <w:pStyle w:val="TableParagraph"/>
              <w:spacing w:line="240" w:lineRule="auto" w:before="93"/>
              <w:ind w:left="840" w:right="0"/>
              <w:jc w:val="left"/>
              <w:rPr>
                <w:rFonts w:ascii="宋体" w:hAnsi="宋体" w:cs="宋体" w:eastAsia="宋体" w:hint="default"/>
                <w:sz w:val="21"/>
                <w:szCs w:val="21"/>
              </w:rPr>
            </w:pPr>
            <w:r>
              <w:rPr>
                <w:rFonts w:ascii="宋体" w:hAnsi="宋体" w:cs="宋体" w:eastAsia="宋体" w:hint="default"/>
                <w:sz w:val="21"/>
                <w:szCs w:val="21"/>
              </w:rPr>
              <w:t>期末净资产</w:t>
            </w:r>
          </w:p>
        </w:tc>
        <w:tc>
          <w:tcPr>
            <w:tcW w:w="1648" w:type="dxa"/>
            <w:tcBorders>
              <w:top w:val="single" w:sz="12" w:space="0" w:color="000000"/>
              <w:left w:val="nil" w:sz="6" w:space="0" w:color="auto"/>
              <w:bottom w:val="nil" w:sz="6" w:space="0" w:color="auto"/>
              <w:right w:val="nil" w:sz="6" w:space="0" w:color="auto"/>
            </w:tcBorders>
          </w:tcPr>
          <w:p>
            <w:pPr>
              <w:pStyle w:val="TableParagraph"/>
              <w:spacing w:line="240" w:lineRule="auto" w:before="93"/>
              <w:ind w:left="234" w:right="0"/>
              <w:jc w:val="left"/>
              <w:rPr>
                <w:rFonts w:ascii="宋体" w:hAnsi="宋体" w:cs="宋体" w:eastAsia="宋体" w:hint="default"/>
                <w:sz w:val="21"/>
                <w:szCs w:val="21"/>
              </w:rPr>
            </w:pPr>
            <w:r>
              <w:rPr>
                <w:rFonts w:ascii="宋体" w:hAnsi="宋体" w:cs="宋体" w:eastAsia="宋体" w:hint="default"/>
                <w:sz w:val="21"/>
                <w:szCs w:val="21"/>
              </w:rPr>
              <w:t>本期净利润</w:t>
            </w:r>
          </w:p>
        </w:tc>
      </w:tr>
      <w:tr>
        <w:trPr>
          <w:trHeight w:val="422" w:hRule="exact"/>
        </w:trPr>
        <w:tc>
          <w:tcPr>
            <w:tcW w:w="659"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07" w:right="0"/>
              <w:jc w:val="left"/>
              <w:rPr>
                <w:rFonts w:ascii="宋体" w:hAnsi="宋体" w:cs="宋体" w:eastAsia="宋体" w:hint="default"/>
                <w:sz w:val="18"/>
                <w:szCs w:val="18"/>
              </w:rPr>
            </w:pPr>
            <w:r>
              <w:rPr>
                <w:rFonts w:ascii="宋体" w:hAnsi="宋体" w:cs="宋体" w:eastAsia="宋体" w:hint="default"/>
                <w:sz w:val="18"/>
                <w:szCs w:val="18"/>
              </w:rPr>
              <w:t>东软集团（芜湖）有限公司（注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232"/>
              <w:jc w:val="right"/>
              <w:rPr>
                <w:rFonts w:ascii="Times New Roman" w:hAnsi="Times New Roman" w:cs="Times New Roman" w:eastAsia="Times New Roman" w:hint="default"/>
                <w:sz w:val="18"/>
                <w:szCs w:val="18"/>
              </w:rPr>
            </w:pPr>
            <w:r>
              <w:rPr>
                <w:rFonts w:ascii="Times New Roman"/>
                <w:sz w:val="18"/>
              </w:rPr>
              <w:t>10,005,974</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4"/>
              <w:jc w:val="right"/>
              <w:rPr>
                <w:rFonts w:ascii="Times New Roman" w:hAnsi="Times New Roman" w:cs="Times New Roman" w:eastAsia="Times New Roman" w:hint="default"/>
                <w:sz w:val="18"/>
                <w:szCs w:val="18"/>
              </w:rPr>
            </w:pPr>
            <w:r>
              <w:rPr>
                <w:rFonts w:ascii="Times New Roman"/>
                <w:sz w:val="18"/>
              </w:rPr>
              <w:t>5,974</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广东东软时尚数字技术有限公司（注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2"/>
              <w:jc w:val="right"/>
              <w:rPr>
                <w:rFonts w:ascii="Times New Roman" w:hAnsi="Times New Roman" w:cs="Times New Roman" w:eastAsia="Times New Roman" w:hint="default"/>
                <w:sz w:val="18"/>
                <w:szCs w:val="18"/>
              </w:rPr>
            </w:pPr>
            <w:r>
              <w:rPr>
                <w:rFonts w:ascii="Times New Roman"/>
                <w:sz w:val="18"/>
              </w:rPr>
              <w:t>34,668,829</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w w:val="95"/>
                <w:sz w:val="18"/>
              </w:rPr>
              <w:t>-2,831,171</w:t>
            </w:r>
            <w:r>
              <w:rPr>
                <w:rFonts w:ascii="Times New Roman"/>
                <w:sz w:val="18"/>
              </w:rPr>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沈阳东软交通信息技术有限公司（注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2"/>
              <w:jc w:val="right"/>
              <w:rPr>
                <w:rFonts w:ascii="Times New Roman" w:hAnsi="Times New Roman" w:cs="Times New Roman" w:eastAsia="Times New Roman" w:hint="default"/>
                <w:sz w:val="18"/>
                <w:szCs w:val="18"/>
              </w:rPr>
            </w:pPr>
            <w:r>
              <w:rPr>
                <w:rFonts w:ascii="Times New Roman"/>
                <w:sz w:val="18"/>
              </w:rPr>
              <w:t>6,287,199</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w w:val="95"/>
                <w:sz w:val="18"/>
              </w:rPr>
              <w:t>-713,442</w:t>
            </w:r>
            <w:r>
              <w:rPr>
                <w:rFonts w:ascii="Times New Roman"/>
                <w:sz w:val="18"/>
              </w:rPr>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东软集团南京有限公司（注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2"/>
              <w:jc w:val="right"/>
              <w:rPr>
                <w:rFonts w:ascii="Times New Roman" w:hAnsi="Times New Roman" w:cs="Times New Roman" w:eastAsia="Times New Roman" w:hint="default"/>
                <w:sz w:val="18"/>
                <w:szCs w:val="18"/>
              </w:rPr>
            </w:pPr>
            <w:r>
              <w:rPr>
                <w:rFonts w:ascii="Times New Roman"/>
                <w:sz w:val="18"/>
              </w:rPr>
              <w:t>9,613,032</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w w:val="95"/>
                <w:sz w:val="18"/>
              </w:rPr>
              <w:t>-2,386,968</w:t>
            </w:r>
            <w:r>
              <w:rPr>
                <w:rFonts w:ascii="Times New Roman"/>
                <w:sz w:val="18"/>
              </w:rPr>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东软熙康控股有限公司（注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2"/>
              <w:jc w:val="right"/>
              <w:rPr>
                <w:rFonts w:ascii="Times New Roman" w:hAnsi="Times New Roman" w:cs="Times New Roman" w:eastAsia="Times New Roman" w:hint="default"/>
                <w:sz w:val="18"/>
                <w:szCs w:val="18"/>
              </w:rPr>
            </w:pPr>
            <w:r>
              <w:rPr>
                <w:rFonts w:ascii="Times New Roman"/>
                <w:w w:val="95"/>
                <w:sz w:val="18"/>
              </w:rPr>
              <w:t>-32,236</w:t>
            </w:r>
            <w:r>
              <w:rPr>
                <w:rFonts w:ascii="Times New Roman"/>
                <w:sz w:val="18"/>
              </w:rPr>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w w:val="95"/>
                <w:sz w:val="18"/>
              </w:rPr>
              <w:t>-357,490</w:t>
            </w:r>
            <w:r>
              <w:rPr>
                <w:rFonts w:ascii="Times New Roman"/>
                <w:sz w:val="18"/>
              </w:rPr>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东软熙康国际有限公司（注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宋体" w:hAnsi="宋体" w:cs="宋体" w:eastAsia="宋体" w:hint="default"/>
                <w:sz w:val="18"/>
                <w:szCs w:val="18"/>
              </w:rPr>
              <w:t>）</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2"/>
              <w:jc w:val="right"/>
              <w:rPr>
                <w:rFonts w:ascii="Times New Roman" w:hAnsi="Times New Roman" w:cs="Times New Roman" w:eastAsia="Times New Roman" w:hint="default"/>
                <w:sz w:val="18"/>
                <w:szCs w:val="18"/>
              </w:rPr>
            </w:pPr>
            <w:r>
              <w:rPr>
                <w:rFonts w:ascii="Times New Roman"/>
                <w:sz w:val="18"/>
              </w:rPr>
              <w:t>103,222</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w w:val="95"/>
                <w:sz w:val="18"/>
              </w:rPr>
              <w:t>-1,325,944</w:t>
            </w:r>
            <w:r>
              <w:rPr>
                <w:rFonts w:ascii="Times New Roman"/>
                <w:sz w:val="18"/>
              </w:rPr>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东软熙康健康科技有限公司（注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宋体" w:hAnsi="宋体" w:cs="宋体" w:eastAsia="宋体" w:hint="default"/>
                <w:sz w:val="18"/>
                <w:szCs w:val="18"/>
              </w:rPr>
              <w:t>）</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2"/>
              <w:jc w:val="right"/>
              <w:rPr>
                <w:rFonts w:ascii="Times New Roman" w:hAnsi="Times New Roman" w:cs="Times New Roman" w:eastAsia="Times New Roman" w:hint="default"/>
                <w:sz w:val="18"/>
                <w:szCs w:val="18"/>
              </w:rPr>
            </w:pPr>
            <w:r>
              <w:rPr>
                <w:rFonts w:ascii="Times New Roman"/>
                <w:sz w:val="18"/>
              </w:rPr>
              <w:t>36,005,044</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w w:val="95"/>
                <w:sz w:val="18"/>
              </w:rPr>
              <w:t>-15,074,156</w:t>
            </w:r>
            <w:r>
              <w:rPr>
                <w:rFonts w:ascii="Times New Roman"/>
                <w:sz w:val="18"/>
              </w:rPr>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北京利博赛社保信息技术有限公司（注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2"/>
              <w:jc w:val="right"/>
              <w:rPr>
                <w:rFonts w:ascii="Times New Roman" w:hAnsi="Times New Roman" w:cs="Times New Roman" w:eastAsia="Times New Roman" w:hint="default"/>
                <w:sz w:val="18"/>
                <w:szCs w:val="18"/>
              </w:rPr>
            </w:pPr>
            <w:r>
              <w:rPr>
                <w:rFonts w:ascii="Times New Roman"/>
                <w:sz w:val="18"/>
              </w:rPr>
              <w:t>15,051,031</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w w:val="95"/>
                <w:sz w:val="18"/>
              </w:rPr>
              <w:t>-1,039,841</w:t>
            </w:r>
            <w:r>
              <w:rPr>
                <w:rFonts w:ascii="Times New Roman"/>
                <w:sz w:val="18"/>
              </w:rPr>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北京东软望海科技有限公司（注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2"/>
              <w:jc w:val="right"/>
              <w:rPr>
                <w:rFonts w:ascii="Times New Roman" w:hAnsi="Times New Roman" w:cs="Times New Roman" w:eastAsia="Times New Roman" w:hint="default"/>
                <w:sz w:val="18"/>
                <w:szCs w:val="18"/>
              </w:rPr>
            </w:pPr>
            <w:r>
              <w:rPr>
                <w:rFonts w:ascii="Times New Roman"/>
                <w:sz w:val="18"/>
              </w:rPr>
              <w:t>21,013,264</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1,669,753</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辽宁东软熙康健康管理有限公司（注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4"/>
              <w:jc w:val="right"/>
              <w:rPr>
                <w:rFonts w:ascii="Times New Roman" w:hAnsi="Times New Roman" w:cs="Times New Roman" w:eastAsia="Times New Roman" w:hint="default"/>
                <w:sz w:val="18"/>
                <w:szCs w:val="18"/>
              </w:rPr>
            </w:pPr>
            <w:r>
              <w:rPr>
                <w:rFonts w:ascii="Times New Roman"/>
                <w:spacing w:val="-2"/>
                <w:sz w:val="18"/>
              </w:rPr>
              <w:t>29,995,111</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w w:val="95"/>
                <w:sz w:val="18"/>
              </w:rPr>
              <w:t>-4,889</w:t>
            </w:r>
            <w:r>
              <w:rPr>
                <w:rFonts w:ascii="Times New Roman"/>
                <w:sz w:val="18"/>
              </w:rPr>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东软集团（郑州）有限公司（注</w:t>
            </w:r>
            <w:r>
              <w:rPr>
                <w:rFonts w:ascii="宋体" w:hAnsi="宋体" w:cs="宋体" w:eastAsia="宋体" w:hint="default"/>
                <w:spacing w:val="-45"/>
                <w:sz w:val="18"/>
                <w:szCs w:val="18"/>
              </w:rPr>
              <w:t> </w:t>
            </w:r>
            <w:r>
              <w:rPr>
                <w:rFonts w:ascii="Times New Roman" w:hAnsi="Times New Roman" w:cs="Times New Roman" w:eastAsia="Times New Roman" w:hint="default"/>
                <w:spacing w:val="-3"/>
                <w:sz w:val="18"/>
                <w:szCs w:val="18"/>
              </w:rPr>
              <w:t>11</w:t>
            </w:r>
            <w:r>
              <w:rPr>
                <w:rFonts w:ascii="宋体" w:hAnsi="宋体" w:cs="宋体" w:eastAsia="宋体" w:hint="default"/>
                <w:spacing w:val="-3"/>
                <w:sz w:val="18"/>
                <w:szCs w:val="18"/>
              </w:rPr>
              <w:t>）</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2"/>
              <w:jc w:val="right"/>
              <w:rPr>
                <w:rFonts w:ascii="Times New Roman" w:hAnsi="Times New Roman" w:cs="Times New Roman" w:eastAsia="Times New Roman" w:hint="default"/>
                <w:sz w:val="18"/>
                <w:szCs w:val="18"/>
              </w:rPr>
            </w:pPr>
            <w:r>
              <w:rPr>
                <w:rFonts w:ascii="Times New Roman"/>
                <w:sz w:val="18"/>
              </w:rPr>
              <w:t>9,998,082</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w w:val="95"/>
                <w:sz w:val="18"/>
              </w:rPr>
              <w:t>-1,918</w:t>
            </w:r>
            <w:r>
              <w:rPr>
                <w:rFonts w:ascii="Times New Roman"/>
                <w:sz w:val="18"/>
              </w:rPr>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沈阳东软熙康医疗系统有限公司（注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4"/>
              <w:jc w:val="right"/>
              <w:rPr>
                <w:rFonts w:ascii="Times New Roman" w:hAnsi="Times New Roman" w:cs="Times New Roman" w:eastAsia="Times New Roman" w:hint="default"/>
                <w:sz w:val="18"/>
                <w:szCs w:val="18"/>
              </w:rPr>
            </w:pPr>
            <w:r>
              <w:rPr>
                <w:rFonts w:ascii="Times New Roman"/>
                <w:spacing w:val="-1"/>
                <w:sz w:val="18"/>
              </w:rPr>
              <w:t>9,993,811</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w w:val="95"/>
                <w:sz w:val="18"/>
              </w:rPr>
              <w:t>-6,189</w:t>
            </w:r>
            <w:r>
              <w:rPr>
                <w:rFonts w:ascii="Times New Roman"/>
                <w:sz w:val="18"/>
              </w:rPr>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东软集团（南昌）有限公司（注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宋体" w:hAnsi="宋体" w:cs="宋体" w:eastAsia="宋体" w:hint="default"/>
                <w:sz w:val="18"/>
                <w:szCs w:val="18"/>
              </w:rPr>
              <w:t>）</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2"/>
              <w:jc w:val="right"/>
              <w:rPr>
                <w:rFonts w:ascii="Times New Roman" w:hAnsi="Times New Roman" w:cs="Times New Roman" w:eastAsia="Times New Roman" w:hint="default"/>
                <w:sz w:val="18"/>
                <w:szCs w:val="18"/>
              </w:rPr>
            </w:pPr>
            <w:r>
              <w:rPr>
                <w:rFonts w:ascii="Times New Roman"/>
                <w:sz w:val="18"/>
              </w:rPr>
              <w:t>20,000,000</w:t>
            </w:r>
          </w:p>
        </w:tc>
        <w:tc>
          <w:tcPr>
            <w:tcW w:w="1648" w:type="dxa"/>
            <w:tcBorders>
              <w:top w:val="nil" w:sz="6" w:space="0" w:color="auto"/>
              <w:left w:val="nil" w:sz="6" w:space="0" w:color="auto"/>
              <w:bottom w:val="nil" w:sz="6" w:space="0" w:color="auto"/>
              <w:right w:val="nil" w:sz="6" w:space="0" w:color="auto"/>
            </w:tcBorders>
          </w:tcPr>
          <w:p>
            <w:pP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深圳市东软时尚数字技术有限公司（注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宋体" w:hAnsi="宋体" w:cs="宋体" w:eastAsia="宋体" w:hint="default"/>
                <w:sz w:val="18"/>
                <w:szCs w:val="18"/>
              </w:rPr>
              <w:t>）</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2"/>
              <w:jc w:val="right"/>
              <w:rPr>
                <w:rFonts w:ascii="Times New Roman" w:hAnsi="Times New Roman" w:cs="Times New Roman" w:eastAsia="Times New Roman" w:hint="default"/>
                <w:sz w:val="18"/>
                <w:szCs w:val="18"/>
              </w:rPr>
            </w:pPr>
            <w:r>
              <w:rPr>
                <w:rFonts w:ascii="Times New Roman"/>
                <w:sz w:val="18"/>
              </w:rPr>
              <w:t>1,000,000</w:t>
            </w:r>
          </w:p>
        </w:tc>
        <w:tc>
          <w:tcPr>
            <w:tcW w:w="1648" w:type="dxa"/>
            <w:tcBorders>
              <w:top w:val="nil" w:sz="6" w:space="0" w:color="auto"/>
              <w:left w:val="nil" w:sz="6" w:space="0" w:color="auto"/>
              <w:bottom w:val="nil" w:sz="6" w:space="0" w:color="auto"/>
              <w:right w:val="nil" w:sz="6" w:space="0" w:color="auto"/>
            </w:tcBorders>
          </w:tcPr>
          <w:p>
            <w:pPr/>
          </w:p>
        </w:tc>
      </w:tr>
      <w:tr>
        <w:trPr>
          <w:trHeight w:val="329" w:hRule="exact"/>
        </w:trPr>
        <w:tc>
          <w:tcPr>
            <w:tcW w:w="659" w:type="dxa"/>
            <w:tcBorders>
              <w:top w:val="nil" w:sz="6" w:space="0" w:color="auto"/>
              <w:left w:val="nil" w:sz="6" w:space="0" w:color="auto"/>
              <w:bottom w:val="nil" w:sz="6" w:space="0" w:color="auto"/>
              <w:right w:val="nil" w:sz="6" w:space="0" w:color="auto"/>
            </w:tcBorders>
          </w:tcPr>
          <w:p>
            <w:pPr/>
          </w:p>
        </w:tc>
        <w:tc>
          <w:tcPr>
            <w:tcW w:w="4413"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天津熙康健康科技有限公司（注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w:t>
            </w:r>
          </w:p>
        </w:tc>
        <w:tc>
          <w:tcPr>
            <w:tcW w:w="2617"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32"/>
              <w:jc w:val="right"/>
              <w:rPr>
                <w:rFonts w:ascii="Times New Roman" w:hAnsi="Times New Roman" w:cs="Times New Roman" w:eastAsia="Times New Roman" w:hint="default"/>
                <w:sz w:val="18"/>
                <w:szCs w:val="18"/>
              </w:rPr>
            </w:pPr>
            <w:r>
              <w:rPr>
                <w:rFonts w:ascii="Times New Roman"/>
                <w:sz w:val="18"/>
              </w:rPr>
              <w:t>6,000,000</w:t>
            </w:r>
          </w:p>
        </w:tc>
        <w:tc>
          <w:tcPr>
            <w:tcW w:w="1648" w:type="dxa"/>
            <w:tcBorders>
              <w:top w:val="nil" w:sz="6" w:space="0" w:color="auto"/>
              <w:left w:val="nil" w:sz="6" w:space="0" w:color="auto"/>
              <w:bottom w:val="single" w:sz="12" w:space="0" w:color="000000"/>
              <w:right w:val="nil" w:sz="6" w:space="0" w:color="auto"/>
            </w:tcBorders>
          </w:tcPr>
          <w:p>
            <w:pPr/>
          </w:p>
        </w:tc>
      </w:tr>
    </w:tbl>
    <w:p>
      <w:pPr>
        <w:pStyle w:val="BodyText"/>
        <w:spacing w:line="328" w:lineRule="auto" w:before="78"/>
        <w:ind w:left="877" w:right="102" w:hanging="1"/>
        <w:jc w:val="left"/>
      </w:pPr>
      <w:r>
        <w:rPr/>
        <w:pict>
          <v:group style="position:absolute;margin-left:101.040001pt;margin-top:-331.056030pt;width:436.9pt;height:328.8pt;mso-position-horizontal-relative:page;mso-position-vertical-relative:paragraph;z-index:-1129480" coordorigin="2021,-6621" coordsize="8738,6576">
            <v:shape style="position:absolute;left:6674;top:-6621;width:2308;height:451" type="#_x0000_t75" stroked="false">
              <v:imagedata r:id="rId98" o:title=""/>
            </v:shape>
            <v:shape style="position:absolute;left:2021;top:-6219;width:8737;height:6173" type="#_x0000_t75" stroked="false">
              <v:imagedata r:id="rId99" o:title=""/>
            </v:shape>
            <w10:wrap type="none"/>
          </v:group>
        </w:pict>
      </w:r>
      <w:r>
        <w:rPr/>
        <w:t>注</w:t>
      </w:r>
      <w:r>
        <w:rPr>
          <w:spacing w:val="-59"/>
        </w:rPr>
        <w:t> </w:t>
      </w:r>
      <w:r>
        <w:rPr>
          <w:rFonts w:ascii="Times New Roman" w:hAnsi="Times New Roman" w:cs="Times New Roman" w:eastAsia="Times New Roman" w:hint="default"/>
          <w:spacing w:val="-4"/>
        </w:rPr>
        <w:t>1</w:t>
      </w:r>
      <w:r>
        <w:rPr>
          <w:spacing w:val="-4"/>
        </w:rPr>
        <w:t>：</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7"/>
        </w:rPr>
        <w:t> </w:t>
      </w:r>
      <w:r>
        <w:rPr/>
        <w:t>年</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6"/>
        </w:rPr>
        <w:t> </w:t>
      </w:r>
      <w:r>
        <w:rPr/>
        <w:t>月，本公司出资</w:t>
      </w:r>
      <w:r>
        <w:rPr>
          <w:spacing w:val="-59"/>
        </w:rPr>
        <w:t> </w:t>
      </w:r>
      <w:r>
        <w:rPr>
          <w:rFonts w:ascii="Times New Roman" w:hAnsi="Times New Roman" w:cs="Times New Roman" w:eastAsia="Times New Roman" w:hint="default"/>
        </w:rPr>
        <w:t>1,000</w:t>
      </w:r>
      <w:r>
        <w:rPr>
          <w:rFonts w:ascii="Times New Roman" w:hAnsi="Times New Roman" w:cs="Times New Roman" w:eastAsia="Times New Roman" w:hint="default"/>
          <w:spacing w:val="-6"/>
        </w:rPr>
        <w:t> </w:t>
      </w:r>
      <w:r>
        <w:rPr/>
        <w:t>万元设立东软集团（芜湖）有限公司，持股比例</w:t>
      </w:r>
      <w:r>
        <w:rPr>
          <w:spacing w:val="-59"/>
        </w:rPr>
        <w:t> </w:t>
      </w:r>
      <w:r>
        <w:rPr>
          <w:rFonts w:ascii="Times New Roman" w:hAnsi="Times New Roman" w:cs="Times New Roman" w:eastAsia="Times New Roman" w:hint="default"/>
        </w:rPr>
        <w:t>100</w:t>
      </w:r>
      <w:r>
        <w:rPr/>
        <w:t>％， 自</w:t>
      </w:r>
      <w:r>
        <w:rPr>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月起将其纳入合并财务报表范围。</w:t>
      </w:r>
    </w:p>
    <w:p>
      <w:pPr>
        <w:pStyle w:val="BodyText"/>
        <w:spacing w:line="331" w:lineRule="auto" w:before="23"/>
        <w:ind w:left="877" w:right="102"/>
        <w:jc w:val="left"/>
      </w:pPr>
      <w:r>
        <w:rPr/>
        <w:t>注</w:t>
      </w:r>
      <w:r>
        <w:rPr>
          <w:spacing w:val="-58"/>
        </w:rPr>
        <w:t> </w:t>
      </w:r>
      <w:r>
        <w:rPr>
          <w:rFonts w:ascii="Times New Roman" w:hAnsi="Times New Roman" w:cs="Times New Roman" w:eastAsia="Times New Roman" w:hint="default"/>
          <w:spacing w:val="-20"/>
        </w:rPr>
        <w:t>2</w:t>
      </w:r>
      <w:r>
        <w:rPr>
          <w:spacing w:val="-20"/>
        </w:rPr>
        <w:t>：</w:t>
      </w:r>
      <w:r>
        <w:rPr>
          <w:rFonts w:ascii="Times New Roman" w:hAnsi="Times New Roman" w:cs="Times New Roman" w:eastAsia="Times New Roman" w:hint="default"/>
          <w:spacing w:val="-20"/>
        </w:rPr>
        <w:t>2011</w:t>
      </w:r>
      <w:r>
        <w:rPr>
          <w:rFonts w:ascii="Times New Roman" w:hAnsi="Times New Roman" w:cs="Times New Roman" w:eastAsia="Times New Roman" w:hint="default"/>
          <w:spacing w:val="-5"/>
        </w:rPr>
        <w:t> </w:t>
      </w:r>
      <w:r>
        <w:rPr/>
        <w:t>年</w:t>
      </w:r>
      <w:r>
        <w:rPr>
          <w:spacing w:val="-59"/>
        </w:rPr>
        <w:t> </w:t>
      </w:r>
      <w:r>
        <w:rPr>
          <w:rFonts w:ascii="Times New Roman" w:hAnsi="Times New Roman" w:cs="Times New Roman" w:eastAsia="Times New Roman" w:hint="default"/>
        </w:rPr>
        <w:t>5</w:t>
      </w:r>
      <w:r>
        <w:rPr>
          <w:rFonts w:ascii="Times New Roman" w:hAnsi="Times New Roman" w:cs="Times New Roman" w:eastAsia="Times New Roman" w:hint="default"/>
          <w:spacing w:val="-5"/>
        </w:rPr>
        <w:t> </w:t>
      </w:r>
      <w:r>
        <w:rPr>
          <w:spacing w:val="-16"/>
        </w:rPr>
        <w:t>月，本公司出资</w:t>
      </w:r>
      <w:r>
        <w:rPr>
          <w:spacing w:val="-58"/>
        </w:rPr>
        <w:t> </w:t>
      </w:r>
      <w:r>
        <w:rPr>
          <w:rFonts w:ascii="Times New Roman" w:hAnsi="Times New Roman" w:cs="Times New Roman" w:eastAsia="Times New Roman" w:hint="default"/>
          <w:spacing w:val="-1"/>
        </w:rPr>
        <w:t>2,250</w:t>
      </w:r>
      <w:r>
        <w:rPr>
          <w:rFonts w:ascii="Times New Roman" w:hAnsi="Times New Roman" w:cs="Times New Roman" w:eastAsia="Times New Roman" w:hint="default"/>
          <w:spacing w:val="-5"/>
        </w:rPr>
        <w:t> </w:t>
      </w:r>
      <w:r>
        <w:rPr>
          <w:spacing w:val="-5"/>
        </w:rPr>
        <w:t>万元设立广东东软时尚数字技术有限公司，持股比例</w:t>
      </w:r>
      <w:r>
        <w:rPr>
          <w:spacing w:val="-58"/>
        </w:rPr>
        <w:t> </w:t>
      </w:r>
      <w:r>
        <w:rPr>
          <w:rFonts w:ascii="Times New Roman" w:hAnsi="Times New Roman" w:cs="Times New Roman" w:eastAsia="Times New Roman" w:hint="default"/>
          <w:spacing w:val="-1"/>
        </w:rPr>
        <w:t>60</w:t>
      </w:r>
      <w:r>
        <w:rPr>
          <w:spacing w:val="-1"/>
        </w:rPr>
        <w:t>％，</w:t>
      </w:r>
      <w:r>
        <w:rPr>
          <w:spacing w:val="-2"/>
        </w:rPr>
        <w:t> </w:t>
      </w:r>
      <w:r>
        <w:rPr/>
        <w:t>自</w:t>
      </w:r>
      <w:r>
        <w:rPr>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月起将其纳入合并财务报表范围。</w:t>
      </w:r>
    </w:p>
    <w:p>
      <w:pPr>
        <w:spacing w:after="0" w:line="331" w:lineRule="auto"/>
        <w:jc w:val="left"/>
        <w:sectPr>
          <w:headerReference w:type="default" r:id="rId96"/>
          <w:footerReference w:type="default" r:id="rId97"/>
          <w:pgSz w:w="11910" w:h="16840"/>
          <w:pgMar w:header="883" w:footer="1003" w:top="1540" w:bottom="1200" w:left="1280" w:right="980"/>
          <w:pgNumType w:start="37"/>
        </w:sectPr>
      </w:pPr>
    </w:p>
    <w:p>
      <w:pPr>
        <w:pStyle w:val="BodyText"/>
        <w:spacing w:line="240" w:lineRule="auto" w:before="93"/>
        <w:ind w:left="857" w:right="0"/>
        <w:jc w:val="both"/>
      </w:pPr>
      <w:r>
        <w:rPr/>
        <w:t>注 </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2011 </w:t>
      </w:r>
      <w:r>
        <w:rPr/>
        <w:t>年 </w:t>
      </w:r>
      <w:r>
        <w:rPr>
          <w:rFonts w:ascii="Times New Roman" w:hAnsi="Times New Roman" w:cs="Times New Roman" w:eastAsia="Times New Roman" w:hint="default"/>
        </w:rPr>
        <w:t>7 </w:t>
      </w:r>
      <w:r>
        <w:rPr/>
        <w:t>月，本公司出资 </w:t>
      </w:r>
      <w:r>
        <w:rPr>
          <w:rFonts w:ascii="Times New Roman" w:hAnsi="Times New Roman" w:cs="Times New Roman" w:eastAsia="Times New Roman" w:hint="default"/>
        </w:rPr>
        <w:t>353.5</w:t>
      </w:r>
      <w:r>
        <w:rPr>
          <w:rFonts w:ascii="Times New Roman" w:hAnsi="Times New Roman" w:cs="Times New Roman" w:eastAsia="Times New Roman" w:hint="default"/>
          <w:spacing w:val="39"/>
        </w:rPr>
        <w:t> </w:t>
      </w:r>
      <w:r>
        <w:rPr/>
        <w:t>万元设立沈阳东软交通信息技术有限公司，持股比例</w:t>
      </w:r>
    </w:p>
    <w:p>
      <w:pPr>
        <w:pStyle w:val="BodyText"/>
        <w:spacing w:line="240" w:lineRule="auto" w:before="110"/>
        <w:ind w:left="857" w:right="0"/>
        <w:jc w:val="both"/>
      </w:pPr>
      <w:r>
        <w:rPr>
          <w:rFonts w:ascii="Times New Roman" w:hAnsi="Times New Roman" w:cs="Times New Roman" w:eastAsia="Times New Roman" w:hint="default"/>
        </w:rPr>
        <w:t>50.5</w:t>
      </w:r>
      <w:r>
        <w:rPr/>
        <w:t>％，自</w:t>
      </w:r>
      <w:r>
        <w:rPr>
          <w:spacing w:val="-54"/>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7 </w:t>
      </w:r>
      <w:r>
        <w:rPr/>
        <w:t>月起将其纳入合并财务报表范围。</w:t>
      </w:r>
    </w:p>
    <w:p>
      <w:pPr>
        <w:pStyle w:val="BodyText"/>
        <w:spacing w:line="328" w:lineRule="auto" w:before="109"/>
        <w:ind w:left="857" w:right="211" w:hanging="1"/>
        <w:jc w:val="both"/>
      </w:pPr>
      <w:r>
        <w:rPr/>
        <w:t>注</w:t>
      </w:r>
      <w:r>
        <w:rPr>
          <w:spacing w:val="-47"/>
        </w:rPr>
        <w:t> </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4"/>
        </w:rPr>
        <w:t> </w:t>
      </w:r>
      <w:r>
        <w:rPr/>
        <w:t>年</w:t>
      </w:r>
      <w:r>
        <w:rPr>
          <w:spacing w:val="-47"/>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月，本公司出资</w:t>
      </w:r>
      <w:r>
        <w:rPr>
          <w:spacing w:val="-47"/>
        </w:rPr>
        <w:t> </w:t>
      </w:r>
      <w:r>
        <w:rPr>
          <w:rFonts w:ascii="Times New Roman" w:hAnsi="Times New Roman" w:cs="Times New Roman" w:eastAsia="Times New Roman" w:hint="default"/>
        </w:rPr>
        <w:t>1,200</w:t>
      </w:r>
      <w:r>
        <w:rPr>
          <w:rFonts w:ascii="Times New Roman" w:hAnsi="Times New Roman" w:cs="Times New Roman" w:eastAsia="Times New Roman" w:hint="default"/>
          <w:spacing w:val="6"/>
        </w:rPr>
        <w:t> </w:t>
      </w:r>
      <w:r>
        <w:rPr/>
        <w:t>万元设立东软集团南京有限公司，持股比例</w:t>
      </w:r>
      <w:r>
        <w:rPr>
          <w:spacing w:val="-47"/>
        </w:rPr>
        <w:t> </w:t>
      </w:r>
      <w:r>
        <w:rPr>
          <w:rFonts w:ascii="Times New Roman" w:hAnsi="Times New Roman" w:cs="Times New Roman" w:eastAsia="Times New Roman" w:hint="default"/>
        </w:rPr>
        <w:t>100</w:t>
      </w:r>
      <w:r>
        <w:rPr/>
        <w:t>％，自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7 </w:t>
      </w:r>
      <w:r>
        <w:rPr/>
        <w:t>月起将其纳入合并财务报表范围。</w:t>
      </w:r>
    </w:p>
    <w:p>
      <w:pPr>
        <w:pStyle w:val="BodyText"/>
        <w:spacing w:line="328" w:lineRule="auto" w:before="24"/>
        <w:ind w:left="857" w:right="212"/>
        <w:jc w:val="both"/>
      </w:pPr>
      <w:r>
        <w:rPr/>
        <w:t>注</w:t>
      </w:r>
      <w:r>
        <w:rPr>
          <w:spacing w:val="-55"/>
        </w:rPr>
        <w:t> </w:t>
      </w:r>
      <w:r>
        <w:rPr>
          <w:rFonts w:ascii="Times New Roman" w:hAnsi="Times New Roman" w:cs="Times New Roman" w:eastAsia="Times New Roman" w:hint="default"/>
        </w:rPr>
        <w:t>5</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月，本公司之子公司东软集团（香港）有限公司出资</w:t>
      </w:r>
      <w:r>
        <w:rPr>
          <w:spacing w:val="-55"/>
        </w:rPr>
        <w:t> </w:t>
      </w:r>
      <w:r>
        <w:rPr>
          <w:rFonts w:ascii="Times New Roman" w:hAnsi="Times New Roman" w:cs="Times New Roman" w:eastAsia="Times New Roman" w:hint="default"/>
        </w:rPr>
        <w:t>3.5</w:t>
      </w:r>
      <w:r>
        <w:rPr>
          <w:rFonts w:ascii="Times New Roman" w:hAnsi="Times New Roman" w:cs="Times New Roman" w:eastAsia="Times New Roman" w:hint="default"/>
          <w:spacing w:val="-2"/>
        </w:rPr>
        <w:t> </w:t>
      </w:r>
      <w:r>
        <w:rPr/>
        <w:t>万美元设立东软熙康 控股有限公司，持股比例</w:t>
      </w:r>
      <w:r>
        <w:rPr>
          <w:spacing w:val="-54"/>
        </w:rPr>
        <w:t> </w:t>
      </w:r>
      <w:r>
        <w:rPr>
          <w:rFonts w:ascii="Times New Roman" w:hAnsi="Times New Roman" w:cs="Times New Roman" w:eastAsia="Times New Roman" w:hint="default"/>
        </w:rPr>
        <w:t>70</w:t>
      </w:r>
      <w:r>
        <w:rPr/>
        <w:t>％，自</w:t>
      </w:r>
      <w:r>
        <w:rPr>
          <w:spacing w:val="-55"/>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月起将其纳入合并财务报表范围。</w:t>
      </w:r>
    </w:p>
    <w:p>
      <w:pPr>
        <w:pStyle w:val="BodyText"/>
        <w:spacing w:line="331" w:lineRule="auto" w:before="23"/>
        <w:ind w:left="857" w:right="211"/>
        <w:jc w:val="both"/>
      </w:pPr>
      <w:r>
        <w:rPr/>
        <w:t>注</w:t>
      </w:r>
      <w:r>
        <w:rPr>
          <w:spacing w:val="-60"/>
        </w:rPr>
        <w:t> </w:t>
      </w:r>
      <w:r>
        <w:rPr>
          <w:rFonts w:ascii="Times New Roman" w:hAnsi="Times New Roman" w:cs="Times New Roman" w:eastAsia="Times New Roman" w:hint="default"/>
          <w:spacing w:val="-6"/>
        </w:rPr>
        <w:t>6</w:t>
      </w:r>
      <w:r>
        <w:rPr>
          <w:spacing w:val="-6"/>
        </w:rPr>
        <w:t>：</w:t>
      </w:r>
      <w:r>
        <w:rPr>
          <w:rFonts w:ascii="Times New Roman" w:hAnsi="Times New Roman" w:cs="Times New Roman" w:eastAsia="Times New Roman" w:hint="default"/>
          <w:spacing w:val="-6"/>
        </w:rPr>
        <w:t>2011</w:t>
      </w:r>
      <w:r>
        <w:rPr>
          <w:rFonts w:ascii="Times New Roman" w:hAnsi="Times New Roman" w:cs="Times New Roman" w:eastAsia="Times New Roman" w:hint="default"/>
          <w:spacing w:val="-8"/>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7"/>
        </w:rPr>
        <w:t> </w:t>
      </w:r>
      <w:r>
        <w:rPr/>
        <w:t>月，本公司之间接控股子公司东软熙康控股有限公司在香港收购东软熙康国际 </w:t>
      </w:r>
      <w:r>
        <w:rPr>
          <w:spacing w:val="-3"/>
        </w:rPr>
        <w:t>有限公司，持股比例</w:t>
      </w:r>
      <w:r>
        <w:rPr>
          <w:spacing w:val="-52"/>
        </w:rPr>
        <w:t> </w:t>
      </w:r>
      <w:r>
        <w:rPr>
          <w:rFonts w:ascii="Times New Roman" w:hAnsi="Times New Roman" w:cs="Times New Roman" w:eastAsia="Times New Roman" w:hint="default"/>
          <w:spacing w:val="-3"/>
        </w:rPr>
        <w:t>100</w:t>
      </w:r>
      <w:r>
        <w:rPr>
          <w:spacing w:val="-3"/>
        </w:rPr>
        <w:t>％，同时对其增资，增资后发行股本为</w:t>
      </w:r>
      <w:r>
        <w:rPr>
          <w:spacing w:val="-52"/>
        </w:rPr>
        <w:t> </w:t>
      </w:r>
      <w:r>
        <w:rPr>
          <w:rFonts w:ascii="Times New Roman" w:hAnsi="Times New Roman" w:cs="Times New Roman" w:eastAsia="Times New Roman" w:hint="default"/>
        </w:rPr>
        <w:t>100</w:t>
      </w:r>
      <w:r>
        <w:rPr>
          <w:rFonts w:ascii="Times New Roman" w:hAnsi="Times New Roman" w:cs="Times New Roman" w:eastAsia="Times New Roman" w:hint="default"/>
          <w:spacing w:val="1"/>
        </w:rPr>
        <w:t> </w:t>
      </w:r>
      <w:r>
        <w:rPr>
          <w:spacing w:val="-6"/>
        </w:rPr>
        <w:t>万港元，自</w:t>
      </w:r>
      <w:r>
        <w:rPr>
          <w:spacing w:val="-52"/>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月起 将其纳入合并财务报表范围。</w:t>
      </w:r>
    </w:p>
    <w:p>
      <w:pPr>
        <w:pStyle w:val="BodyText"/>
        <w:spacing w:line="331" w:lineRule="auto" w:before="45"/>
        <w:ind w:left="857" w:right="212"/>
        <w:jc w:val="both"/>
      </w:pPr>
      <w:r>
        <w:rPr/>
        <w:t>注</w:t>
      </w:r>
      <w:r>
        <w:rPr>
          <w:spacing w:val="-58"/>
        </w:rPr>
        <w:t> </w:t>
      </w:r>
      <w:r>
        <w:rPr>
          <w:rFonts w:ascii="Times New Roman" w:hAnsi="Times New Roman" w:cs="Times New Roman" w:eastAsia="Times New Roman" w:hint="default"/>
          <w:spacing w:val="-6"/>
        </w:rPr>
        <w:t>7</w:t>
      </w:r>
      <w:r>
        <w:rPr>
          <w:spacing w:val="-6"/>
        </w:rPr>
        <w:t>：</w:t>
      </w:r>
      <w:r>
        <w:rPr>
          <w:rFonts w:ascii="Times New Roman" w:hAnsi="Times New Roman" w:cs="Times New Roman" w:eastAsia="Times New Roman" w:hint="default"/>
          <w:spacing w:val="-6"/>
        </w:rPr>
        <w:t>2011 </w:t>
      </w:r>
      <w:r>
        <w:rPr/>
        <w:t>年</w:t>
      </w:r>
      <w:r>
        <w:rPr>
          <w:spacing w:val="-58"/>
        </w:rPr>
        <w:t> </w:t>
      </w:r>
      <w:r>
        <w:rPr>
          <w:rFonts w:ascii="Times New Roman" w:hAnsi="Times New Roman" w:cs="Times New Roman" w:eastAsia="Times New Roman" w:hint="default"/>
        </w:rPr>
        <w:t>7</w:t>
      </w:r>
      <w:r>
        <w:rPr>
          <w:rFonts w:ascii="Times New Roman" w:hAnsi="Times New Roman" w:cs="Times New Roman" w:eastAsia="Times New Roman" w:hint="default"/>
          <w:spacing w:val="-5"/>
        </w:rPr>
        <w:t> </w:t>
      </w:r>
      <w:r>
        <w:rPr/>
        <w:t>月，本公司之间接控股子公司东软熙康国际有限公司出资</w:t>
      </w:r>
      <w:r>
        <w:rPr>
          <w:spacing w:val="-58"/>
        </w:rPr>
        <w:t> </w:t>
      </w:r>
      <w:r>
        <w:rPr>
          <w:rFonts w:ascii="Times New Roman" w:hAnsi="Times New Roman" w:cs="Times New Roman" w:eastAsia="Times New Roman" w:hint="default"/>
        </w:rPr>
        <w:t>800</w:t>
      </w:r>
      <w:r>
        <w:rPr>
          <w:rFonts w:ascii="Times New Roman" w:hAnsi="Times New Roman" w:cs="Times New Roman" w:eastAsia="Times New Roman" w:hint="default"/>
          <w:spacing w:val="-5"/>
        </w:rPr>
        <w:t> </w:t>
      </w:r>
      <w:r>
        <w:rPr/>
        <w:t>万美元设立东软 熙康健康科技有限公司，持股比例</w:t>
      </w:r>
      <w:r>
        <w:rPr>
          <w:spacing w:val="-54"/>
        </w:rPr>
        <w:t> </w:t>
      </w:r>
      <w:r>
        <w:rPr>
          <w:rFonts w:ascii="Times New Roman" w:hAnsi="Times New Roman" w:cs="Times New Roman" w:eastAsia="Times New Roman" w:hint="default"/>
        </w:rPr>
        <w:t>100%</w:t>
      </w:r>
      <w:r>
        <w:rPr/>
        <w:t>，自</w:t>
      </w:r>
      <w:r>
        <w:rPr>
          <w:spacing w:val="-54"/>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月起将其纳入合并财务报表范围。</w:t>
      </w:r>
    </w:p>
    <w:p>
      <w:pPr>
        <w:pStyle w:val="BodyText"/>
        <w:spacing w:line="331" w:lineRule="auto" w:before="20"/>
        <w:ind w:left="857" w:right="104" w:hanging="1"/>
        <w:jc w:val="left"/>
        <w:rPr>
          <w:rFonts w:ascii="Times New Roman" w:hAnsi="Times New Roman" w:cs="Times New Roman" w:eastAsia="Times New Roman" w:hint="default"/>
        </w:rPr>
      </w:pPr>
      <w:r>
        <w:rPr/>
        <w:t>注</w:t>
      </w:r>
      <w:r>
        <w:rPr>
          <w:spacing w:val="-50"/>
        </w:rPr>
        <w:t> </w:t>
      </w:r>
      <w:r>
        <w:rPr>
          <w:rFonts w:ascii="Times New Roman" w:hAnsi="Times New Roman" w:cs="Times New Roman" w:eastAsia="Times New Roman" w:hint="default"/>
        </w:rPr>
        <w:t>8</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w:t>
      </w:r>
      <w:r>
        <w:rPr>
          <w:spacing w:val="-50"/>
        </w:rPr>
        <w:t> </w:t>
      </w:r>
      <w:r>
        <w:rPr>
          <w:rFonts w:ascii="Times New Roman" w:hAnsi="Times New Roman" w:cs="Times New Roman" w:eastAsia="Times New Roman" w:hint="default"/>
        </w:rPr>
        <w:t>8</w:t>
      </w:r>
      <w:r>
        <w:rPr>
          <w:rFonts w:ascii="Times New Roman" w:hAnsi="Times New Roman" w:cs="Times New Roman" w:eastAsia="Times New Roman" w:hint="default"/>
          <w:spacing w:val="3"/>
        </w:rPr>
        <w:t> </w:t>
      </w:r>
      <w:r>
        <w:rPr/>
        <w:t>月，本公司以</w:t>
      </w:r>
      <w:r>
        <w:rPr>
          <w:spacing w:val="-50"/>
        </w:rPr>
        <w:t> </w:t>
      </w:r>
      <w:r>
        <w:rPr>
          <w:rFonts w:ascii="Times New Roman" w:hAnsi="Times New Roman" w:cs="Times New Roman" w:eastAsia="Times New Roman" w:hint="default"/>
        </w:rPr>
        <w:t>539.03</w:t>
      </w:r>
      <w:r>
        <w:rPr>
          <w:rFonts w:ascii="Times New Roman" w:hAnsi="Times New Roman" w:cs="Times New Roman" w:eastAsia="Times New Roman" w:hint="default"/>
          <w:spacing w:val="3"/>
        </w:rPr>
        <w:t> </w:t>
      </w:r>
      <w:r>
        <w:rPr/>
        <w:t>万元购买北京利博赛社保信息技术有限公司</w:t>
      </w:r>
      <w:r>
        <w:rPr>
          <w:spacing w:val="-50"/>
        </w:rPr>
        <w:t> </w:t>
      </w:r>
      <w:r>
        <w:rPr>
          <w:rFonts w:ascii="Times New Roman" w:hAnsi="Times New Roman" w:cs="Times New Roman" w:eastAsia="Times New Roman" w:hint="default"/>
        </w:rPr>
        <w:t>28.33%</w:t>
      </w:r>
      <w:r>
        <w:rPr/>
        <w:t>的股 </w:t>
      </w:r>
      <w:r>
        <w:rPr>
          <w:spacing w:val="-12"/>
        </w:rPr>
        <w:t>权，加上之前持股</w:t>
      </w:r>
      <w:r>
        <w:rPr>
          <w:spacing w:val="-50"/>
        </w:rPr>
        <w:t> </w:t>
      </w:r>
      <w:r>
        <w:rPr>
          <w:rFonts w:ascii="Times New Roman" w:hAnsi="Times New Roman" w:cs="Times New Roman" w:eastAsia="Times New Roman" w:hint="default"/>
          <w:spacing w:val="-1"/>
        </w:rPr>
        <w:t>33.33%</w:t>
      </w:r>
      <w:r>
        <w:rPr>
          <w:spacing w:val="-1"/>
        </w:rPr>
        <w:t>合计持股比例</w:t>
      </w:r>
      <w:r>
        <w:rPr>
          <w:spacing w:val="-50"/>
        </w:rPr>
        <w:t> </w:t>
      </w:r>
      <w:r>
        <w:rPr>
          <w:rFonts w:ascii="Times New Roman" w:hAnsi="Times New Roman" w:cs="Times New Roman" w:eastAsia="Times New Roman" w:hint="default"/>
          <w:spacing w:val="-13"/>
        </w:rPr>
        <w:t>61.67%</w:t>
      </w:r>
      <w:r>
        <w:rPr>
          <w:spacing w:val="-13"/>
        </w:rPr>
        <w:t>，自</w:t>
      </w:r>
      <w:r>
        <w:rPr>
          <w:spacing w:val="-5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
        </w:rPr>
        <w:t> </w:t>
      </w:r>
      <w:r>
        <w:rPr/>
        <w:t>年</w:t>
      </w:r>
      <w:r>
        <w:rPr>
          <w:spacing w:val="-52"/>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月起将其纳入合并财务报表范围。 注</w:t>
      </w:r>
      <w:r>
        <w:rPr>
          <w:spacing w:val="-52"/>
        </w:rPr>
        <w:t> </w:t>
      </w:r>
      <w:r>
        <w:rPr>
          <w:rFonts w:ascii="Times New Roman" w:hAnsi="Times New Roman" w:cs="Times New Roman" w:eastAsia="Times New Roman" w:hint="default"/>
          <w:spacing w:val="-6"/>
        </w:rPr>
        <w:t>9</w:t>
      </w:r>
      <w:r>
        <w:rPr>
          <w:spacing w:val="-6"/>
        </w:rPr>
        <w:t>：</w:t>
      </w:r>
      <w:r>
        <w:rPr>
          <w:rFonts w:ascii="Times New Roman" w:hAnsi="Times New Roman" w:cs="Times New Roman" w:eastAsia="Times New Roman" w:hint="default"/>
          <w:spacing w:val="-6"/>
        </w:rPr>
        <w:t>2011</w:t>
      </w:r>
      <w:r>
        <w:rPr>
          <w:rFonts w:ascii="Times New Roman" w:hAnsi="Times New Roman" w:cs="Times New Roman" w:eastAsia="Times New Roman" w:hint="default"/>
        </w:rPr>
        <w:t> </w:t>
      </w:r>
      <w:r>
        <w:rPr/>
        <w:t>年</w:t>
      </w:r>
      <w:r>
        <w:rPr>
          <w:spacing w:val="-52"/>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spacing w:val="-4"/>
        </w:rPr>
        <w:t>月，本公司之子公司东软集团（北京）有限公司出资</w:t>
      </w:r>
      <w:r>
        <w:rPr>
          <w:spacing w:val="-52"/>
        </w:rPr>
        <w:t> </w:t>
      </w:r>
      <w:r>
        <w:rPr>
          <w:rFonts w:ascii="Times New Roman" w:hAnsi="Times New Roman" w:cs="Times New Roman" w:eastAsia="Times New Roman" w:hint="default"/>
        </w:rPr>
        <w:t>11,410</w:t>
      </w:r>
      <w:r>
        <w:rPr>
          <w:rFonts w:ascii="Times New Roman" w:hAnsi="Times New Roman" w:cs="Times New Roman" w:eastAsia="Times New Roman" w:hint="default"/>
          <w:spacing w:val="1"/>
        </w:rPr>
        <w:t> </w:t>
      </w:r>
      <w:r>
        <w:rPr/>
        <w:t>万元收购北京望海 </w:t>
      </w:r>
      <w:r>
        <w:rPr>
          <w:spacing w:val="-1"/>
        </w:rPr>
        <w:t>康信科技有限公司（收购后更名为“北京东软望海科技有限公司”）</w:t>
      </w:r>
      <w:r>
        <w:rPr>
          <w:rFonts w:ascii="Times New Roman" w:hAnsi="Times New Roman" w:cs="Times New Roman" w:eastAsia="Times New Roman" w:hint="default"/>
          <w:spacing w:val="-1"/>
        </w:rPr>
        <w:t>73.14</w:t>
      </w:r>
      <w:r>
        <w:rPr>
          <w:spacing w:val="-1"/>
        </w:rPr>
        <w:t>％的股权，自</w:t>
      </w:r>
      <w:r>
        <w:rPr>
          <w:spacing w:val="23"/>
        </w:rPr>
        <w:t> </w:t>
      </w:r>
      <w:r>
        <w:rPr>
          <w:rFonts w:ascii="Times New Roman" w:hAnsi="Times New Roman" w:cs="Times New Roman" w:eastAsia="Times New Roman" w:hint="default"/>
          <w:spacing w:val="-2"/>
        </w:rPr>
        <w:t>2011</w:t>
      </w:r>
    </w:p>
    <w:p>
      <w:pPr>
        <w:pStyle w:val="BodyText"/>
        <w:spacing w:line="240" w:lineRule="auto" w:before="20"/>
        <w:ind w:left="857" w:right="0"/>
        <w:jc w:val="both"/>
      </w:pPr>
      <w:r>
        <w:rPr/>
        <w:t>年</w:t>
      </w:r>
      <w:r>
        <w:rPr>
          <w:spacing w:val="-54"/>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月起将其纳入合并财务报表范围。</w:t>
      </w:r>
    </w:p>
    <w:p>
      <w:pPr>
        <w:pStyle w:val="BodyText"/>
        <w:spacing w:line="328" w:lineRule="auto" w:before="110"/>
        <w:ind w:left="857" w:right="211"/>
        <w:jc w:val="both"/>
      </w:pPr>
      <w:r>
        <w:rPr/>
        <w:t>注</w:t>
      </w:r>
      <w:r>
        <w:rPr>
          <w:spacing w:val="-55"/>
        </w:rPr>
        <w:t> </w:t>
      </w:r>
      <w:r>
        <w:rPr>
          <w:rFonts w:ascii="Times New Roman" w:hAnsi="Times New Roman" w:cs="Times New Roman" w:eastAsia="Times New Roman" w:hint="default"/>
        </w:rPr>
        <w:t>10</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月，本公司之间接控股子公司东软熙康健康科技有限公司出资</w:t>
      </w:r>
      <w:r>
        <w:rPr>
          <w:spacing w:val="-55"/>
        </w:rPr>
        <w:t> </w:t>
      </w:r>
      <w:r>
        <w:rPr>
          <w:rFonts w:ascii="Times New Roman" w:hAnsi="Times New Roman" w:cs="Times New Roman" w:eastAsia="Times New Roman" w:hint="default"/>
        </w:rPr>
        <w:t>3,000</w:t>
      </w:r>
      <w:r>
        <w:rPr>
          <w:rFonts w:ascii="Times New Roman" w:hAnsi="Times New Roman" w:cs="Times New Roman" w:eastAsia="Times New Roman" w:hint="default"/>
          <w:spacing w:val="-2"/>
        </w:rPr>
        <w:t> </w:t>
      </w:r>
      <w:r>
        <w:rPr/>
        <w:t>万元设 立辽宁东软熙康健康管理有限公司，持股比例</w:t>
      </w:r>
      <w:r>
        <w:rPr>
          <w:spacing w:val="-53"/>
        </w:rPr>
        <w:t> </w:t>
      </w:r>
      <w:r>
        <w:rPr>
          <w:rFonts w:ascii="Times New Roman" w:hAnsi="Times New Roman" w:cs="Times New Roman" w:eastAsia="Times New Roman" w:hint="default"/>
        </w:rPr>
        <w:t>100</w:t>
      </w:r>
      <w:r>
        <w:rPr/>
        <w:t>％，自</w:t>
      </w:r>
      <w:r>
        <w:rPr>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53"/>
        </w:rPr>
        <w:t> </w:t>
      </w:r>
      <w:r>
        <w:rPr>
          <w:rFonts w:ascii="Times New Roman" w:hAnsi="Times New Roman" w:cs="Times New Roman" w:eastAsia="Times New Roman" w:hint="default"/>
        </w:rPr>
        <w:t>10 </w:t>
      </w:r>
      <w:r>
        <w:rPr/>
        <w:t>月起将其纳入合并财务报 表范围。</w:t>
      </w:r>
    </w:p>
    <w:p>
      <w:pPr>
        <w:pStyle w:val="BodyText"/>
        <w:spacing w:line="328" w:lineRule="auto" w:before="48"/>
        <w:ind w:left="857" w:right="104"/>
        <w:jc w:val="left"/>
      </w:pPr>
      <w:r>
        <w:rPr/>
        <w:t>注</w:t>
      </w:r>
      <w:r>
        <w:rPr>
          <w:spacing w:val="-52"/>
        </w:rPr>
        <w:t> </w:t>
      </w:r>
      <w:r>
        <w:rPr>
          <w:rFonts w:ascii="Times New Roman" w:hAnsi="Times New Roman" w:cs="Times New Roman" w:eastAsia="Times New Roman" w:hint="default"/>
          <w:spacing w:val="-10"/>
        </w:rPr>
        <w:t>11</w:t>
      </w:r>
      <w:r>
        <w:rPr>
          <w:spacing w:val="-10"/>
        </w:rPr>
        <w:t>：</w:t>
      </w:r>
      <w:r>
        <w:rPr>
          <w:rFonts w:ascii="Times New Roman" w:hAnsi="Times New Roman" w:cs="Times New Roman" w:eastAsia="Times New Roman" w:hint="default"/>
          <w:spacing w:val="-10"/>
        </w:rPr>
        <w:t>2011</w:t>
      </w:r>
      <w:r>
        <w:rPr>
          <w:rFonts w:ascii="Times New Roman" w:hAnsi="Times New Roman" w:cs="Times New Roman" w:eastAsia="Times New Roman" w:hint="default"/>
        </w:rPr>
        <w:t> </w:t>
      </w:r>
      <w:r>
        <w:rPr/>
        <w:t>年</w:t>
      </w:r>
      <w:r>
        <w:rPr>
          <w:spacing w:val="-52"/>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spacing w:val="-8"/>
        </w:rPr>
        <w:t>月，本公司出资</w:t>
      </w:r>
      <w:r>
        <w:rPr>
          <w:spacing w:val="-52"/>
        </w:rPr>
        <w:t> </w:t>
      </w:r>
      <w:r>
        <w:rPr>
          <w:rFonts w:ascii="Times New Roman" w:hAnsi="Times New Roman" w:cs="Times New Roman" w:eastAsia="Times New Roman" w:hint="default"/>
        </w:rPr>
        <w:t>1,000</w:t>
      </w:r>
      <w:r>
        <w:rPr>
          <w:rFonts w:ascii="Times New Roman" w:hAnsi="Times New Roman" w:cs="Times New Roman" w:eastAsia="Times New Roman" w:hint="default"/>
          <w:spacing w:val="1"/>
        </w:rPr>
        <w:t> </w:t>
      </w:r>
      <w:r>
        <w:rPr>
          <w:spacing w:val="-8"/>
        </w:rPr>
        <w:t>万元设立东软集团（郑州）有限公司，持股比例</w:t>
      </w:r>
      <w:r>
        <w:rPr>
          <w:spacing w:val="-52"/>
        </w:rPr>
        <w:t> </w:t>
      </w:r>
      <w:r>
        <w:rPr>
          <w:rFonts w:ascii="Times New Roman" w:hAnsi="Times New Roman" w:cs="Times New Roman" w:eastAsia="Times New Roman" w:hint="default"/>
        </w:rPr>
        <w:t>100</w:t>
      </w:r>
      <w:r>
        <w:rPr/>
        <w:t>％， 自</w:t>
      </w:r>
      <w:r>
        <w:rPr>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10 </w:t>
      </w:r>
      <w:r>
        <w:rPr/>
        <w:t>月起将其纳入合并财务报表范围。</w:t>
      </w:r>
    </w:p>
    <w:p>
      <w:pPr>
        <w:pStyle w:val="BodyText"/>
        <w:spacing w:line="331" w:lineRule="auto" w:before="23"/>
        <w:ind w:left="857" w:right="211"/>
        <w:jc w:val="both"/>
      </w:pPr>
      <w:r>
        <w:rPr/>
        <w:t>注</w:t>
      </w:r>
      <w:r>
        <w:rPr>
          <w:spacing w:val="-53"/>
        </w:rPr>
        <w:t> </w:t>
      </w:r>
      <w:r>
        <w:rPr>
          <w:rFonts w:ascii="Times New Roman" w:hAnsi="Times New Roman" w:cs="Times New Roman" w:eastAsia="Times New Roman" w:hint="default"/>
        </w:rPr>
        <w:t>12</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w:t>
      </w:r>
      <w:r>
        <w:rPr>
          <w:spacing w:val="-53"/>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rPr>
        <w:t> </w:t>
      </w:r>
      <w:r>
        <w:rPr/>
        <w:t>月，本公司之间接控股子公司东软熙康健康科技有限公司出资</w:t>
      </w:r>
      <w:r>
        <w:rPr>
          <w:spacing w:val="-53"/>
        </w:rPr>
        <w:t> </w:t>
      </w:r>
      <w:r>
        <w:rPr>
          <w:rFonts w:ascii="Times New Roman" w:hAnsi="Times New Roman" w:cs="Times New Roman" w:eastAsia="Times New Roman" w:hint="default"/>
        </w:rPr>
        <w:t>1,000 </w:t>
      </w:r>
      <w:r>
        <w:rPr/>
        <w:t>万元设 立沈阳东软熙康医疗系统有限公司，持股比例</w:t>
      </w:r>
      <w:r>
        <w:rPr>
          <w:spacing w:val="-51"/>
        </w:rPr>
        <w:t> </w:t>
      </w:r>
      <w:r>
        <w:rPr>
          <w:rFonts w:ascii="Times New Roman" w:hAnsi="Times New Roman" w:cs="Times New Roman" w:eastAsia="Times New Roman" w:hint="default"/>
        </w:rPr>
        <w:t>100</w:t>
      </w:r>
      <w:r>
        <w:rPr/>
        <w:t>％，自</w:t>
      </w:r>
      <w:r>
        <w:rPr>
          <w:spacing w:val="-5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51"/>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2"/>
        </w:rPr>
        <w:t> </w:t>
      </w:r>
      <w:r>
        <w:rPr/>
        <w:t>月起将其纳入合并财务报 表范围。</w:t>
      </w:r>
    </w:p>
    <w:p>
      <w:pPr>
        <w:pStyle w:val="BodyText"/>
        <w:spacing w:line="331" w:lineRule="auto" w:before="45"/>
        <w:ind w:left="857" w:right="104"/>
        <w:jc w:val="left"/>
      </w:pPr>
      <w:r>
        <w:rPr/>
        <w:t>注</w:t>
      </w:r>
      <w:r>
        <w:rPr>
          <w:spacing w:val="-52"/>
        </w:rPr>
        <w:t> </w:t>
      </w:r>
      <w:r>
        <w:rPr>
          <w:rFonts w:ascii="Times New Roman" w:hAnsi="Times New Roman" w:cs="Times New Roman" w:eastAsia="Times New Roman" w:hint="default"/>
          <w:spacing w:val="-9"/>
        </w:rPr>
        <w:t>13</w:t>
      </w:r>
      <w:r>
        <w:rPr>
          <w:spacing w:val="-9"/>
        </w:rPr>
        <w:t>：</w:t>
      </w:r>
      <w:r>
        <w:rPr>
          <w:rFonts w:ascii="Times New Roman" w:hAnsi="Times New Roman" w:cs="Times New Roman" w:eastAsia="Times New Roman" w:hint="default"/>
          <w:spacing w:val="-9"/>
        </w:rPr>
        <w:t>2011</w:t>
      </w:r>
      <w:r>
        <w:rPr>
          <w:rFonts w:ascii="Times New Roman" w:hAnsi="Times New Roman" w:cs="Times New Roman" w:eastAsia="Times New Roman" w:hint="default"/>
        </w:rPr>
        <w:t> </w:t>
      </w:r>
      <w:r>
        <w:rPr/>
        <w:t>年</w:t>
      </w:r>
      <w:r>
        <w:rPr>
          <w:spacing w:val="-52"/>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spacing w:val="-8"/>
        </w:rPr>
        <w:t>月，本公司出资</w:t>
      </w:r>
      <w:r>
        <w:rPr>
          <w:spacing w:val="-52"/>
        </w:rPr>
        <w:t> </w:t>
      </w:r>
      <w:r>
        <w:rPr>
          <w:rFonts w:ascii="Times New Roman" w:hAnsi="Times New Roman" w:cs="Times New Roman" w:eastAsia="Times New Roman" w:hint="default"/>
        </w:rPr>
        <w:t>2,000</w:t>
      </w:r>
      <w:r>
        <w:rPr>
          <w:rFonts w:ascii="Times New Roman" w:hAnsi="Times New Roman" w:cs="Times New Roman" w:eastAsia="Times New Roman" w:hint="default"/>
          <w:spacing w:val="1"/>
        </w:rPr>
        <w:t> </w:t>
      </w:r>
      <w:r>
        <w:rPr>
          <w:spacing w:val="-8"/>
        </w:rPr>
        <w:t>万元设立东软集团（南昌）有限公司，持股比例</w:t>
      </w:r>
      <w:r>
        <w:rPr>
          <w:spacing w:val="-52"/>
        </w:rPr>
        <w:t> </w:t>
      </w:r>
      <w:r>
        <w:rPr>
          <w:rFonts w:ascii="Times New Roman" w:hAnsi="Times New Roman" w:cs="Times New Roman" w:eastAsia="Times New Roman" w:hint="default"/>
        </w:rPr>
        <w:t>100</w:t>
      </w:r>
      <w:r>
        <w:rPr/>
        <w:t>％，</w:t>
      </w:r>
      <w:r>
        <w:rPr>
          <w:spacing w:val="-2"/>
        </w:rPr>
        <w:t> </w:t>
      </w:r>
      <w:r>
        <w:rPr/>
        <w:t>自</w:t>
      </w:r>
      <w:r>
        <w:rPr>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rPr>
        <w:t> </w:t>
      </w:r>
      <w:r>
        <w:rPr/>
        <w:t>月起将其纳入合并财务报表范围。</w:t>
      </w:r>
    </w:p>
    <w:p>
      <w:pPr>
        <w:pStyle w:val="BodyText"/>
        <w:spacing w:line="331" w:lineRule="auto" w:before="20"/>
        <w:ind w:left="857" w:right="212" w:hanging="1"/>
        <w:jc w:val="both"/>
      </w:pPr>
      <w:r>
        <w:rPr/>
        <w:t>注</w:t>
      </w:r>
      <w:r>
        <w:rPr>
          <w:spacing w:val="-57"/>
        </w:rPr>
        <w:t> </w:t>
      </w:r>
      <w:r>
        <w:rPr>
          <w:rFonts w:ascii="Times New Roman" w:hAnsi="Times New Roman" w:cs="Times New Roman" w:eastAsia="Times New Roman" w:hint="default"/>
          <w:spacing w:val="-6"/>
        </w:rPr>
        <w:t>14</w:t>
      </w:r>
      <w:r>
        <w:rPr>
          <w:spacing w:val="-6"/>
        </w:rPr>
        <w:t>：</w:t>
      </w:r>
      <w:r>
        <w:rPr>
          <w:rFonts w:ascii="Times New Roman" w:hAnsi="Times New Roman" w:cs="Times New Roman" w:eastAsia="Times New Roman" w:hint="default"/>
          <w:spacing w:val="-6"/>
        </w:rPr>
        <w:t>2011</w:t>
      </w:r>
      <w:r>
        <w:rPr>
          <w:rFonts w:ascii="Times New Roman" w:hAnsi="Times New Roman" w:cs="Times New Roman" w:eastAsia="Times New Roman" w:hint="default"/>
          <w:spacing w:val="-5"/>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月，本公司之子公司广东东软时尚数字技术有限公司出资</w:t>
      </w:r>
      <w:r>
        <w:rPr>
          <w:spacing w:val="-56"/>
        </w:rPr>
        <w:t> </w:t>
      </w:r>
      <w:r>
        <w:rPr>
          <w:rFonts w:ascii="Times New Roman" w:hAnsi="Times New Roman" w:cs="Times New Roman" w:eastAsia="Times New Roman" w:hint="default"/>
        </w:rPr>
        <w:t>100</w:t>
      </w:r>
      <w:r>
        <w:rPr>
          <w:rFonts w:ascii="Times New Roman" w:hAnsi="Times New Roman" w:cs="Times New Roman" w:eastAsia="Times New Roman" w:hint="default"/>
          <w:spacing w:val="-4"/>
        </w:rPr>
        <w:t> </w:t>
      </w:r>
      <w:r>
        <w:rPr/>
        <w:t>万元设立深圳 市东软时尚数字技术有限公司，持股比例</w:t>
      </w:r>
      <w:r>
        <w:rPr>
          <w:spacing w:val="-56"/>
        </w:rPr>
        <w:t> </w:t>
      </w:r>
      <w:r>
        <w:rPr>
          <w:rFonts w:ascii="Times New Roman" w:hAnsi="Times New Roman" w:cs="Times New Roman" w:eastAsia="Times New Roman" w:hint="default"/>
        </w:rPr>
        <w:t>100</w:t>
      </w:r>
      <w:r>
        <w:rPr/>
        <w:t>％，自</w:t>
      </w:r>
      <w:r>
        <w:rPr>
          <w:spacing w:val="-56"/>
        </w:rPr>
        <w:t> </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月起将其纳入合并财务报表范 围。</w:t>
      </w:r>
    </w:p>
    <w:p>
      <w:pPr>
        <w:pStyle w:val="BodyText"/>
        <w:spacing w:line="328" w:lineRule="auto" w:before="45"/>
        <w:ind w:left="857" w:right="212"/>
        <w:jc w:val="both"/>
      </w:pPr>
      <w:r>
        <w:rPr/>
        <w:t>注</w:t>
      </w:r>
      <w:r>
        <w:rPr>
          <w:spacing w:val="-58"/>
        </w:rPr>
        <w:t> </w:t>
      </w:r>
      <w:r>
        <w:rPr>
          <w:rFonts w:ascii="Times New Roman" w:hAnsi="Times New Roman" w:cs="Times New Roman" w:eastAsia="Times New Roman" w:hint="default"/>
          <w:spacing w:val="-6"/>
        </w:rPr>
        <w:t>15</w:t>
      </w:r>
      <w:r>
        <w:rPr>
          <w:spacing w:val="-6"/>
        </w:rPr>
        <w:t>：</w:t>
      </w:r>
      <w:r>
        <w:rPr>
          <w:rFonts w:ascii="Times New Roman" w:hAnsi="Times New Roman" w:cs="Times New Roman" w:eastAsia="Times New Roman" w:hint="default"/>
          <w:spacing w:val="-6"/>
        </w:rPr>
        <w:t>2011 </w:t>
      </w:r>
      <w:r>
        <w:rPr/>
        <w:t>年</w:t>
      </w:r>
      <w:r>
        <w:rPr>
          <w:spacing w:val="-58"/>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月，本公司之间接控股子公司东软熙康健康科技有限公司投资设立天津熙康 健康科技有限公司，注册资本</w:t>
      </w:r>
      <w:r>
        <w:rPr>
          <w:spacing w:val="-56"/>
        </w:rPr>
        <w:t> </w:t>
      </w:r>
      <w:r>
        <w:rPr>
          <w:rFonts w:ascii="Times New Roman" w:hAnsi="Times New Roman" w:cs="Times New Roman" w:eastAsia="Times New Roman" w:hint="default"/>
        </w:rPr>
        <w:t>3,000</w:t>
      </w:r>
      <w:r>
        <w:rPr>
          <w:rFonts w:ascii="Times New Roman" w:hAnsi="Times New Roman" w:cs="Times New Roman" w:eastAsia="Times New Roman" w:hint="default"/>
          <w:spacing w:val="-4"/>
        </w:rPr>
        <w:t> </w:t>
      </w:r>
      <w:r>
        <w:rPr/>
        <w:t>万元，东软熙康健康科技有限公司已投资</w:t>
      </w:r>
      <w:r>
        <w:rPr>
          <w:spacing w:val="-56"/>
        </w:rPr>
        <w:t> </w:t>
      </w:r>
      <w:r>
        <w:rPr>
          <w:rFonts w:ascii="Times New Roman" w:hAnsi="Times New Roman" w:cs="Times New Roman" w:eastAsia="Times New Roman" w:hint="default"/>
        </w:rPr>
        <w:t>450</w:t>
      </w:r>
      <w:r>
        <w:rPr>
          <w:rFonts w:ascii="Times New Roman" w:hAnsi="Times New Roman" w:cs="Times New Roman" w:eastAsia="Times New Roman" w:hint="default"/>
          <w:spacing w:val="-4"/>
        </w:rPr>
        <w:t> </w:t>
      </w:r>
      <w:r>
        <w:rPr/>
        <w:t>万元，持股</w:t>
      </w:r>
    </w:p>
    <w:p>
      <w:pPr>
        <w:tabs>
          <w:tab w:pos="853" w:val="left" w:leader="none"/>
        </w:tabs>
        <w:spacing w:line="660" w:lineRule="auto" w:before="24"/>
        <w:ind w:left="125" w:right="3296" w:firstLine="732"/>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75%</w:t>
      </w:r>
      <w:r>
        <w:rPr>
          <w:rFonts w:ascii="宋体" w:hAnsi="宋体" w:cs="宋体" w:eastAsia="宋体" w:hint="default"/>
          <w:sz w:val="21"/>
          <w:szCs w:val="21"/>
        </w:rPr>
        <w:t>，自</w:t>
      </w:r>
      <w:r>
        <w:rPr>
          <w:rFonts w:ascii="宋体" w:hAnsi="宋体" w:cs="宋体" w:eastAsia="宋体" w:hint="default"/>
          <w:spacing w:val="-5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月起将其纳入合并财务报表范围。 </w:t>
      </w:r>
      <w:r>
        <w:rPr>
          <w:rFonts w:ascii="宋体" w:hAnsi="宋体" w:cs="宋体" w:eastAsia="宋体" w:hint="default"/>
          <w:b/>
          <w:bCs/>
          <w:w w:val="95"/>
          <w:sz w:val="21"/>
          <w:szCs w:val="21"/>
        </w:rPr>
        <w:t>(四)</w:t>
        <w:tab/>
      </w:r>
      <w:r>
        <w:rPr>
          <w:rFonts w:ascii="宋体" w:hAnsi="宋体" w:cs="宋体" w:eastAsia="宋体" w:hint="default"/>
          <w:b/>
          <w:bCs/>
          <w:sz w:val="21"/>
          <w:szCs w:val="21"/>
        </w:rPr>
        <w:t>本期无同一控制下的企业合并</w:t>
      </w:r>
      <w:r>
        <w:rPr>
          <w:rFonts w:ascii="宋体" w:hAnsi="宋体" w:cs="宋体" w:eastAsia="宋体" w:hint="default"/>
          <w:sz w:val="21"/>
          <w:szCs w:val="21"/>
        </w:rPr>
      </w:r>
    </w:p>
    <w:p>
      <w:pPr>
        <w:spacing w:after="0" w:line="660" w:lineRule="auto"/>
        <w:jc w:val="left"/>
        <w:rPr>
          <w:rFonts w:ascii="宋体" w:hAnsi="宋体" w:cs="宋体" w:eastAsia="宋体" w:hint="default"/>
          <w:sz w:val="21"/>
          <w:szCs w:val="21"/>
        </w:rPr>
        <w:sectPr>
          <w:pgSz w:w="11910" w:h="16840"/>
          <w:pgMar w:header="883" w:footer="1003" w:top="1600" w:bottom="1200" w:left="1300" w:right="980"/>
        </w:sectPr>
      </w:pPr>
    </w:p>
    <w:p>
      <w:pPr>
        <w:pStyle w:val="Heading6"/>
        <w:tabs>
          <w:tab w:pos="853" w:val="left" w:leader="none"/>
        </w:tabs>
        <w:spacing w:line="240" w:lineRule="auto" w:before="72"/>
        <w:ind w:left="125" w:right="91"/>
        <w:jc w:val="left"/>
        <w:rPr>
          <w:b w:val="0"/>
          <w:bCs w:val="0"/>
        </w:rPr>
      </w:pPr>
      <w:r>
        <w:rPr>
          <w:rFonts w:ascii="Times New Roman" w:hAnsi="Times New Roman" w:cs="Times New Roman" w:eastAsia="Times New Roman" w:hint="default"/>
          <w:w w:val="95"/>
        </w:rPr>
        <w:t>(</w:t>
      </w:r>
      <w:r>
        <w:rPr>
          <w:w w:val="95"/>
        </w:rPr>
        <w:t>五</w:t>
      </w:r>
      <w:r>
        <w:rPr>
          <w:rFonts w:ascii="Times New Roman" w:hAnsi="Times New Roman" w:cs="Times New Roman" w:eastAsia="Times New Roman" w:hint="default"/>
          <w:w w:val="95"/>
        </w:rPr>
        <w:t>)</w:t>
        <w:tab/>
      </w:r>
      <w:r>
        <w:rPr/>
        <w:t>本期发生的非同一控制下企业合并</w:t>
      </w:r>
      <w:r>
        <w:rPr>
          <w:b w:val="0"/>
          <w:bCs w:val="0"/>
        </w:rPr>
      </w:r>
    </w:p>
    <w:p>
      <w:pPr>
        <w:spacing w:before="89"/>
        <w:ind w:left="857"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、本期发生的非同一控制下企业合并的情况</w:t>
      </w:r>
      <w:r>
        <w:rPr>
          <w:rFonts w:ascii="宋体" w:hAnsi="宋体" w:cs="宋体" w:eastAsia="宋体" w:hint="default"/>
          <w:sz w:val="21"/>
          <w:szCs w:val="21"/>
        </w:rPr>
      </w:r>
    </w:p>
    <w:p>
      <w:pPr>
        <w:pStyle w:val="BodyText"/>
        <w:spacing w:line="319" w:lineRule="auto" w:before="89"/>
        <w:ind w:left="857" w:right="172"/>
        <w:jc w:val="both"/>
      </w:pPr>
      <w:r>
        <w:rPr>
          <w:spacing w:val="-4"/>
        </w:rPr>
        <w:t>（</w:t>
      </w:r>
      <w:r>
        <w:rPr>
          <w:rFonts w:ascii="Times New Roman" w:hAnsi="Times New Roman" w:cs="Times New Roman" w:eastAsia="Times New Roman" w:hint="default"/>
          <w:spacing w:val="-4"/>
        </w:rPr>
        <w:t>1</w:t>
      </w:r>
      <w:r>
        <w:rPr>
          <w:spacing w:val="-4"/>
        </w:rPr>
        <w:t>）本公司以</w:t>
      </w:r>
      <w:r>
        <w:rPr>
          <w:spacing w:val="-52"/>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8 </w:t>
      </w:r>
      <w:r>
        <w:rPr/>
        <w:t>月</w:t>
      </w:r>
      <w:r>
        <w:rPr>
          <w:spacing w:val="-52"/>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spacing w:val="-3"/>
        </w:rPr>
        <w:t>日为购买日，支付现金人民币</w:t>
      </w:r>
      <w:r>
        <w:rPr>
          <w:spacing w:val="-52"/>
        </w:rPr>
        <w:t> </w:t>
      </w:r>
      <w:r>
        <w:rPr>
          <w:rFonts w:ascii="Times New Roman" w:hAnsi="Times New Roman" w:cs="Times New Roman" w:eastAsia="Times New Roman" w:hint="default"/>
        </w:rPr>
        <w:t>5,390,275</w:t>
      </w:r>
      <w:r>
        <w:rPr>
          <w:rFonts w:ascii="Times New Roman" w:hAnsi="Times New Roman" w:cs="Times New Roman" w:eastAsia="Times New Roman" w:hint="default"/>
          <w:spacing w:val="1"/>
        </w:rPr>
        <w:t> </w:t>
      </w:r>
      <w:r>
        <w:rPr/>
        <w:t>元购买了北京利博赛社 </w:t>
      </w:r>
      <w:r>
        <w:rPr>
          <w:spacing w:val="-2"/>
        </w:rPr>
        <w:t>保信息技术有限公司（以下简称</w:t>
      </w:r>
      <w:r>
        <w:rPr>
          <w:rFonts w:ascii="Times New Roman" w:hAnsi="Times New Roman" w:cs="Times New Roman" w:eastAsia="Times New Roman" w:hint="default"/>
          <w:spacing w:val="-2"/>
        </w:rPr>
        <w:t>”</w:t>
      </w:r>
      <w:r>
        <w:rPr>
          <w:spacing w:val="-2"/>
        </w:rPr>
        <w:t>北京利博赛</w:t>
      </w:r>
      <w:r>
        <w:rPr>
          <w:rFonts w:ascii="Times New Roman" w:hAnsi="Times New Roman" w:cs="Times New Roman" w:eastAsia="Times New Roman" w:hint="default"/>
          <w:spacing w:val="-2"/>
        </w:rPr>
        <w:t>”</w:t>
      </w:r>
      <w:r>
        <w:rPr>
          <w:spacing w:val="-2"/>
        </w:rPr>
        <w:t>）</w:t>
      </w:r>
      <w:r>
        <w:rPr>
          <w:rFonts w:ascii="Times New Roman" w:hAnsi="Times New Roman" w:cs="Times New Roman" w:eastAsia="Times New Roman" w:hint="default"/>
          <w:spacing w:val="-2"/>
        </w:rPr>
        <w:t>28.33%</w:t>
      </w:r>
      <w:r>
        <w:rPr>
          <w:spacing w:val="-2"/>
        </w:rPr>
        <w:t>的权益。合并对价公允价值的确认依据</w:t>
      </w:r>
      <w:r>
        <w:rPr>
          <w:spacing w:val="-71"/>
        </w:rPr>
        <w:t> </w:t>
      </w:r>
      <w:r>
        <w:rPr>
          <w:spacing w:val="-71"/>
        </w:rPr>
      </w:r>
      <w:r>
        <w:rPr>
          <w:spacing w:val="3"/>
        </w:rPr>
        <w:t>为双方协商一致且参照北京中润京实资产评估有限公司出具的资产评估报告中经评估的净资</w:t>
      </w:r>
      <w:r>
        <w:rPr>
          <w:spacing w:val="-101"/>
        </w:rPr>
        <w:t> </w:t>
      </w:r>
      <w:r>
        <w:rPr>
          <w:spacing w:val="-101"/>
        </w:rPr>
      </w:r>
      <w:r>
        <w:rPr>
          <w:spacing w:val="-2"/>
        </w:rPr>
        <w:t>产的公允价值（中润京实评报字</w:t>
      </w:r>
      <w:r>
        <w:rPr>
          <w:spacing w:val="-46"/>
        </w:rPr>
        <w:t> </w:t>
      </w:r>
      <w:r>
        <w:rPr>
          <w:rFonts w:ascii="Times New Roman" w:hAnsi="Times New Roman" w:cs="Times New Roman" w:eastAsia="Times New Roman" w:hint="default"/>
          <w:spacing w:val="-1"/>
        </w:rPr>
        <w:t>2010-1-032</w:t>
      </w:r>
      <w:r>
        <w:rPr>
          <w:rFonts w:ascii="Times New Roman" w:hAnsi="Times New Roman" w:cs="Times New Roman" w:eastAsia="Times New Roman" w:hint="default"/>
          <w:spacing w:val="7"/>
        </w:rPr>
        <w:t> </w:t>
      </w:r>
      <w:r>
        <w:rPr>
          <w:spacing w:val="-9"/>
        </w:rPr>
        <w:t>号）。购买前，本公司持有北京利博赛</w:t>
      </w:r>
      <w:r>
        <w:rPr>
          <w:spacing w:val="-46"/>
        </w:rPr>
        <w:t> </w:t>
      </w:r>
      <w:r>
        <w:rPr>
          <w:rFonts w:ascii="Times New Roman" w:hAnsi="Times New Roman" w:cs="Times New Roman" w:eastAsia="Times New Roman" w:hint="default"/>
          <w:spacing w:val="-1"/>
        </w:rPr>
        <w:t>33.33%</w:t>
      </w:r>
      <w:r>
        <w:rPr>
          <w:spacing w:val="-1"/>
        </w:rPr>
        <w:t>的权</w:t>
      </w:r>
      <w:r>
        <w:rPr>
          <w:spacing w:val="-103"/>
        </w:rPr>
        <w:t> </w:t>
      </w:r>
      <w:r>
        <w:rPr>
          <w:spacing w:val="9"/>
        </w:rPr>
        <w:t>益，按照权益法核算，投资账面价值为 </w:t>
      </w:r>
      <w:r>
        <w:rPr>
          <w:rFonts w:ascii="Times New Roman" w:hAnsi="Times New Roman" w:cs="Times New Roman" w:eastAsia="Times New Roman" w:hint="default"/>
        </w:rPr>
        <w:t>5,875,503 </w:t>
      </w:r>
      <w:r>
        <w:rPr>
          <w:rFonts w:ascii="Times New Roman" w:hAnsi="Times New Roman" w:cs="Times New Roman" w:eastAsia="Times New Roman" w:hint="default"/>
          <w:spacing w:val="17"/>
        </w:rPr>
        <w:t> </w:t>
      </w:r>
      <w:r>
        <w:rPr>
          <w:spacing w:val="9"/>
        </w:rPr>
        <w:t>元，在购买日该部分股权的公允价值为</w:t>
      </w:r>
    </w:p>
    <w:p>
      <w:pPr>
        <w:pStyle w:val="BodyText"/>
        <w:spacing w:line="240" w:lineRule="auto" w:before="13"/>
        <w:ind w:left="857" w:right="0"/>
        <w:jc w:val="both"/>
      </w:pPr>
      <w:r>
        <w:rPr>
          <w:rFonts w:ascii="Times New Roman" w:hAnsi="Times New Roman" w:cs="Times New Roman" w:eastAsia="Times New Roman" w:hint="default"/>
        </w:rPr>
        <w:t>6,341,500</w:t>
      </w:r>
      <w:r>
        <w:rPr>
          <w:rFonts w:ascii="Times New Roman" w:hAnsi="Times New Roman" w:cs="Times New Roman" w:eastAsia="Times New Roman" w:hint="default"/>
          <w:spacing w:val="-9"/>
        </w:rPr>
        <w:t> </w:t>
      </w:r>
      <w:r>
        <w:rPr/>
        <w:t>元，按照公允价值重新计量确认合并报表的投资收益</w:t>
      </w:r>
      <w:r>
        <w:rPr>
          <w:spacing w:val="-63"/>
        </w:rPr>
        <w:t> </w:t>
      </w:r>
      <w:r>
        <w:rPr>
          <w:rFonts w:ascii="Times New Roman" w:hAnsi="Times New Roman" w:cs="Times New Roman" w:eastAsia="Times New Roman" w:hint="default"/>
        </w:rPr>
        <w:t>465,997</w:t>
      </w:r>
      <w:r>
        <w:rPr>
          <w:rFonts w:ascii="Times New Roman" w:hAnsi="Times New Roman" w:cs="Times New Roman" w:eastAsia="Times New Roman" w:hint="default"/>
          <w:spacing w:val="-11"/>
        </w:rPr>
        <w:t> </w:t>
      </w:r>
      <w:r>
        <w:rPr>
          <w:spacing w:val="-4"/>
        </w:rPr>
        <w:t>元。同时，将购买前确</w:t>
      </w:r>
    </w:p>
    <w:p>
      <w:pPr>
        <w:pStyle w:val="BodyText"/>
        <w:spacing w:line="240" w:lineRule="auto" w:before="89"/>
        <w:ind w:left="857" w:right="0"/>
        <w:jc w:val="both"/>
      </w:pPr>
      <w:r>
        <w:rPr/>
        <w:t>认对北京利博赛的长期股权投资</w:t>
      </w:r>
      <w:r>
        <w:rPr>
          <w:rFonts w:ascii="Times New Roman" w:hAnsi="Times New Roman" w:cs="Times New Roman" w:eastAsia="Times New Roman" w:hint="default"/>
        </w:rPr>
        <w:t>-</w:t>
      </w:r>
      <w:r>
        <w:rPr/>
        <w:t>其他权益变动</w:t>
      </w:r>
      <w:r>
        <w:rPr>
          <w:spacing w:val="-56"/>
        </w:rPr>
        <w:t> </w:t>
      </w:r>
      <w:r>
        <w:rPr>
          <w:rFonts w:ascii="Times New Roman" w:hAnsi="Times New Roman" w:cs="Times New Roman" w:eastAsia="Times New Roman" w:hint="default"/>
        </w:rPr>
        <w:t>755,902</w:t>
      </w:r>
      <w:r>
        <w:rPr>
          <w:rFonts w:ascii="Times New Roman" w:hAnsi="Times New Roman" w:cs="Times New Roman" w:eastAsia="Times New Roman" w:hint="default"/>
          <w:spacing w:val="-3"/>
        </w:rPr>
        <w:t> </w:t>
      </w:r>
      <w:r>
        <w:rPr/>
        <w:t>元确认为合并报表的投资收益。</w:t>
      </w:r>
    </w:p>
    <w:p>
      <w:pPr>
        <w:pStyle w:val="BodyText"/>
        <w:spacing w:line="324" w:lineRule="auto" w:before="88"/>
        <w:ind w:left="857" w:right="114"/>
        <w:jc w:val="both"/>
      </w:pPr>
      <w:r>
        <w:rPr/>
        <w:pict>
          <v:group style="position:absolute;margin-left:101.010002pt;margin-top:57.766232pt;width:436.5pt;height:117.55pt;mso-position-horizontal-relative:page;mso-position-vertical-relative:paragraph;z-index:-1129312" coordorigin="2020,1155" coordsize="8730,2351">
            <v:group style="position:absolute;left:2050;top:1170;width:8686;height:2" coordorigin="2050,1170" coordsize="8686,2">
              <v:shape style="position:absolute;left:2050;top:1170;width:8686;height:2" coordorigin="2050,1170" coordsize="8686,0" path="m2050,1170l10735,1170e" filled="false" stroked="true" strokeweight="1.5pt" strokecolor="#000000">
                <v:path arrowok="t"/>
              </v:shape>
            </v:group>
            <v:group style="position:absolute;left:2035;top:3491;width:1816;height:2" coordorigin="2035,3491" coordsize="1816,2">
              <v:shape style="position:absolute;left:2035;top:3491;width:1816;height:2" coordorigin="2035,3491" coordsize="1816,0" path="m2035,3491l3851,3491e" filled="false" stroked="true" strokeweight="1.5pt" strokecolor="#000000">
                <v:path arrowok="t"/>
              </v:shape>
              <v:shape style="position:absolute;left:2021;top:1162;width:8725;height:2343" type="#_x0000_t75" stroked="false">
                <v:imagedata r:id="rId100" o:title=""/>
              </v:shape>
            </v:group>
            <v:group style="position:absolute;left:3851;top:3491;width:1212;height:2" coordorigin="3851,3491" coordsize="1212,2">
              <v:shape style="position:absolute;left:3851;top:3491;width:1212;height:2" coordorigin="3851,3491" coordsize="1212,0" path="m3851,3491l5063,3491e" filled="false" stroked="true" strokeweight="1.5pt" strokecolor="#000000">
                <v:path arrowok="t"/>
              </v:shape>
              <v:shape style="position:absolute;left:5034;top:1547;width:67;height:1958" type="#_x0000_t75" stroked="false">
                <v:imagedata r:id="rId101" o:title=""/>
              </v:shape>
            </v:group>
            <v:group style="position:absolute;left:5063;top:3491;width:5673;height:2" coordorigin="5063,3491" coordsize="5673,2">
              <v:shape style="position:absolute;left:5063;top:3491;width:5673;height:2" coordorigin="5063,3491" coordsize="5673,0" path="m5063,3491l10735,3491e" filled="false" stroked="true" strokeweight="1.5pt" strokecolor="#000000">
                <v:path arrowok="t"/>
              </v:shape>
              <v:shape style="position:absolute;left:2657;top:135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被合并方</w:t>
                      </w:r>
                      <w:r>
                        <w:rPr>
                          <w:rFonts w:ascii="宋体" w:hAnsi="宋体" w:cs="宋体" w:eastAsia="宋体" w:hint="default"/>
                          <w:sz w:val="18"/>
                          <w:szCs w:val="18"/>
                        </w:rPr>
                      </w:r>
                    </w:p>
                  </w:txbxContent>
                </v:textbox>
                <w10:wrap type="none"/>
              </v:shape>
              <v:shape style="position:absolute;left:4099;top:135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商誉金额</w:t>
                      </w:r>
                      <w:r>
                        <w:rPr>
                          <w:rFonts w:ascii="宋体" w:hAnsi="宋体" w:cs="宋体" w:eastAsia="宋体" w:hint="default"/>
                          <w:sz w:val="18"/>
                          <w:szCs w:val="18"/>
                        </w:rPr>
                      </w:r>
                    </w:p>
                  </w:txbxContent>
                </v:textbox>
                <w10:wrap type="none"/>
              </v:shape>
              <v:shape style="position:absolute;left:7360;top:1357;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商誉计算方法</w:t>
                      </w:r>
                      <w:r>
                        <w:rPr>
                          <w:rFonts w:ascii="宋体" w:hAnsi="宋体" w:cs="宋体" w:eastAsia="宋体" w:hint="default"/>
                          <w:sz w:val="18"/>
                          <w:szCs w:val="18"/>
                        </w:rPr>
                      </w:r>
                    </w:p>
                  </w:txbxContent>
                </v:textbox>
                <w10:wrap type="none"/>
              </v:shape>
              <v:shape style="position:absolute;left:2158;top:2317;width:1612;height:56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8"/>
                          <w:sz w:val="18"/>
                          <w:szCs w:val="18"/>
                        </w:rPr>
                        <w:t>北京利博赛社保信</w:t>
                      </w:r>
                      <w:r>
                        <w:rPr>
                          <w:rFonts w:ascii="宋体" w:hAnsi="宋体" w:cs="宋体" w:eastAsia="宋体" w:hint="default"/>
                          <w:spacing w:val="-69"/>
                          <w:sz w:val="18"/>
                          <w:szCs w:val="18"/>
                        </w:rPr>
                        <w:t> </w:t>
                      </w:r>
                      <w:r>
                        <w:rPr>
                          <w:rFonts w:ascii="宋体" w:hAnsi="宋体" w:cs="宋体" w:eastAsia="宋体" w:hint="default"/>
                          <w:sz w:val="18"/>
                          <w:szCs w:val="18"/>
                        </w:rPr>
                      </w:r>
                    </w:p>
                    <w:p>
                      <w:pPr>
                        <w:spacing w:before="145"/>
                        <w:ind w:left="0" w:right="0" w:firstLine="0"/>
                        <w:jc w:val="left"/>
                        <w:rPr>
                          <w:rFonts w:ascii="宋体" w:hAnsi="宋体" w:cs="宋体" w:eastAsia="宋体" w:hint="default"/>
                          <w:sz w:val="18"/>
                          <w:szCs w:val="18"/>
                        </w:rPr>
                      </w:pPr>
                      <w:r>
                        <w:rPr>
                          <w:rFonts w:ascii="宋体" w:hAnsi="宋体" w:cs="宋体" w:eastAsia="宋体" w:hint="default"/>
                          <w:sz w:val="18"/>
                          <w:szCs w:val="18"/>
                        </w:rPr>
                        <w:t>息技术有限公司</w:t>
                      </w:r>
                    </w:p>
                  </w:txbxContent>
                </v:textbox>
                <w10:wrap type="none"/>
              </v:shape>
              <v:shape style="position:absolute;left:4238;top:1747;width:6393;height:1320" type="#_x0000_t202" filled="false" stroked="false">
                <v:textbox inset="0,0,0,0">
                  <w:txbxContent>
                    <w:p>
                      <w:pPr>
                        <w:spacing w:line="194" w:lineRule="exact" w:before="0"/>
                        <w:ind w:left="937" w:right="0" w:firstLine="0"/>
                        <w:jc w:val="left"/>
                        <w:rPr>
                          <w:rFonts w:ascii="宋体" w:hAnsi="宋体" w:cs="宋体" w:eastAsia="宋体" w:hint="default"/>
                          <w:sz w:val="18"/>
                          <w:szCs w:val="18"/>
                        </w:rPr>
                      </w:pPr>
                      <w:r>
                        <w:rPr>
                          <w:rFonts w:ascii="宋体" w:hAnsi="宋体" w:cs="宋体" w:eastAsia="宋体" w:hint="default"/>
                          <w:sz w:val="18"/>
                          <w:szCs w:val="18"/>
                        </w:rPr>
                        <w:t>本次购买取得北京利博赛 </w:t>
                      </w:r>
                      <w:r>
                        <w:rPr>
                          <w:rFonts w:ascii="Times New Roman" w:hAnsi="Times New Roman" w:cs="Times New Roman" w:eastAsia="Times New Roman" w:hint="default"/>
                          <w:sz w:val="18"/>
                          <w:szCs w:val="18"/>
                        </w:rPr>
                        <w:t>28.33%</w:t>
                      </w:r>
                      <w:r>
                        <w:rPr>
                          <w:rFonts w:ascii="宋体" w:hAnsi="宋体" w:cs="宋体" w:eastAsia="宋体" w:hint="default"/>
                          <w:sz w:val="18"/>
                          <w:szCs w:val="18"/>
                        </w:rPr>
                        <w:t>权益，加上之前持有的</w:t>
                      </w:r>
                      <w:r>
                        <w:rPr>
                          <w:rFonts w:ascii="宋体" w:hAnsi="宋体" w:cs="宋体" w:eastAsia="宋体" w:hint="default"/>
                          <w:spacing w:val="14"/>
                          <w:sz w:val="18"/>
                          <w:szCs w:val="18"/>
                        </w:rPr>
                        <w:t> </w:t>
                      </w:r>
                      <w:r>
                        <w:rPr>
                          <w:rFonts w:ascii="Times New Roman" w:hAnsi="Times New Roman" w:cs="Times New Roman" w:eastAsia="Times New Roman" w:hint="default"/>
                          <w:sz w:val="18"/>
                          <w:szCs w:val="18"/>
                        </w:rPr>
                        <w:t>33.33%</w:t>
                      </w:r>
                      <w:r>
                        <w:rPr>
                          <w:rFonts w:ascii="宋体" w:hAnsi="宋体" w:cs="宋体" w:eastAsia="宋体" w:hint="default"/>
                          <w:sz w:val="18"/>
                          <w:szCs w:val="18"/>
                        </w:rPr>
                        <w:t>的权</w:t>
                      </w:r>
                    </w:p>
                    <w:p>
                      <w:pPr>
                        <w:spacing w:before="131"/>
                        <w:ind w:left="937" w:right="0" w:firstLine="0"/>
                        <w:jc w:val="left"/>
                        <w:rPr>
                          <w:rFonts w:ascii="Times New Roman" w:hAnsi="Times New Roman" w:cs="Times New Roman" w:eastAsia="Times New Roman" w:hint="default"/>
                          <w:sz w:val="18"/>
                          <w:szCs w:val="18"/>
                        </w:rPr>
                      </w:pPr>
                      <w:r>
                        <w:rPr>
                          <w:rFonts w:ascii="宋体" w:hAnsi="宋体" w:cs="宋体" w:eastAsia="宋体" w:hint="default"/>
                          <w:spacing w:val="-7"/>
                          <w:sz w:val="18"/>
                          <w:szCs w:val="18"/>
                        </w:rPr>
                        <w:t>益，合计持有北京利博赛</w:t>
                      </w:r>
                      <w:r>
                        <w:rPr>
                          <w:rFonts w:ascii="宋体" w:hAnsi="宋体" w:cs="宋体" w:eastAsia="宋体" w:hint="default"/>
                          <w:spacing w:val="-44"/>
                          <w:sz w:val="18"/>
                          <w:szCs w:val="18"/>
                        </w:rPr>
                        <w:t> </w:t>
                      </w:r>
                      <w:r>
                        <w:rPr>
                          <w:rFonts w:ascii="Times New Roman" w:hAnsi="Times New Roman" w:cs="Times New Roman" w:eastAsia="Times New Roman" w:hint="default"/>
                          <w:spacing w:val="-4"/>
                          <w:sz w:val="18"/>
                          <w:szCs w:val="18"/>
                        </w:rPr>
                        <w:t>61.67%</w:t>
                      </w:r>
                      <w:r>
                        <w:rPr>
                          <w:rFonts w:ascii="宋体" w:hAnsi="宋体" w:cs="宋体" w:eastAsia="宋体" w:hint="default"/>
                          <w:spacing w:val="-4"/>
                          <w:sz w:val="18"/>
                          <w:szCs w:val="18"/>
                        </w:rPr>
                        <w:t>的权益，合并成本为人民币</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11,731,775</w:t>
                      </w:r>
                    </w:p>
                    <w:p>
                      <w:pPr>
                        <w:spacing w:line="245" w:lineRule="exact" w:before="131"/>
                        <w:ind w:left="937"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元</w:t>
                      </w:r>
                      <w:r>
                        <w:rPr>
                          <w:rFonts w:ascii="宋体" w:hAnsi="宋体" w:cs="宋体" w:eastAsia="宋体" w:hint="default"/>
                          <w:spacing w:val="-83"/>
                          <w:sz w:val="18"/>
                          <w:szCs w:val="18"/>
                        </w:rPr>
                        <w:t>，</w:t>
                      </w:r>
                      <w:r>
                        <w:rPr>
                          <w:rFonts w:ascii="宋体" w:hAnsi="宋体" w:cs="宋体" w:eastAsia="宋体" w:hint="default"/>
                          <w:sz w:val="18"/>
                          <w:szCs w:val="18"/>
                        </w:rPr>
                        <w:t>北京利博赛可辨认净资产在购买日的公允价值为人民币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16,090,872</w:t>
                      </w:r>
                    </w:p>
                    <w:p>
                      <w:pPr>
                        <w:spacing w:line="169" w:lineRule="exact" w:before="0"/>
                        <w:ind w:left="0" w:right="0" w:firstLine="0"/>
                        <w:jc w:val="left"/>
                        <w:rPr>
                          <w:rFonts w:ascii="Times New Roman" w:hAnsi="Times New Roman" w:cs="Times New Roman" w:eastAsia="Times New Roman" w:hint="default"/>
                          <w:sz w:val="18"/>
                          <w:szCs w:val="18"/>
                        </w:rPr>
                      </w:pPr>
                      <w:r>
                        <w:rPr>
                          <w:rFonts w:ascii="Times New Roman"/>
                          <w:sz w:val="18"/>
                        </w:rPr>
                        <w:t>1,809,071</w:t>
                      </w:r>
                    </w:p>
                    <w:p>
                      <w:pPr>
                        <w:spacing w:line="201" w:lineRule="exact" w:before="0"/>
                        <w:ind w:left="937" w:right="0" w:firstLine="0"/>
                        <w:jc w:val="left"/>
                        <w:rPr>
                          <w:rFonts w:ascii="宋体" w:hAnsi="宋体" w:cs="宋体" w:eastAsia="宋体" w:hint="default"/>
                          <w:sz w:val="18"/>
                          <w:szCs w:val="18"/>
                        </w:rPr>
                      </w:pPr>
                      <w:r>
                        <w:rPr>
                          <w:rFonts w:ascii="宋体" w:hAnsi="宋体" w:cs="宋体" w:eastAsia="宋体" w:hint="default"/>
                          <w:sz w:val="18"/>
                          <w:szCs w:val="18"/>
                        </w:rPr>
                        <w:t>元，合并成本超过按比例取得的北京利博赛可辨认净资产公允价值的</w:t>
                      </w:r>
                    </w:p>
                  </w:txbxContent>
                </v:textbox>
                <w10:wrap type="none"/>
              </v:shape>
              <v:shape style="position:absolute;left:5176;top:3267;width:315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差额人民币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1,809,071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元，确认为商誉。</w:t>
                      </w:r>
                    </w:p>
                  </w:txbxContent>
                </v:textbox>
                <w10:wrap type="none"/>
              </v:shape>
            </v:group>
            <w10:wrap type="none"/>
          </v:group>
        </w:pict>
      </w:r>
      <w:r>
        <w:rPr/>
        <w:t>北京利博赛是于</w:t>
      </w:r>
      <w:r>
        <w:rPr>
          <w:spacing w:val="-51"/>
        </w:rPr>
        <w:t> </w:t>
      </w:r>
      <w:r>
        <w:rPr>
          <w:rFonts w:ascii="Times New Roman" w:hAnsi="Times New Roman" w:cs="Times New Roman" w:eastAsia="Times New Roman" w:hint="default"/>
        </w:rPr>
        <w:t>2001</w:t>
      </w:r>
      <w:r>
        <w:rPr>
          <w:rFonts w:ascii="Times New Roman" w:hAnsi="Times New Roman" w:cs="Times New Roman" w:eastAsia="Times New Roman" w:hint="default"/>
          <w:spacing w:val="2"/>
        </w:rPr>
        <w:t> </w:t>
      </w:r>
      <w:r>
        <w:rPr/>
        <w:t>年</w:t>
      </w:r>
      <w:r>
        <w:rPr>
          <w:spacing w:val="-52"/>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w:t>
      </w:r>
      <w:r>
        <w:rPr>
          <w:spacing w:val="-52"/>
        </w:rPr>
        <w:t> </w:t>
      </w:r>
      <w:r>
        <w:rPr>
          <w:rFonts w:ascii="Times New Roman" w:hAnsi="Times New Roman" w:cs="Times New Roman" w:eastAsia="Times New Roman" w:hint="default"/>
        </w:rPr>
        <w:t>16</w:t>
      </w:r>
      <w:r>
        <w:rPr>
          <w:rFonts w:ascii="Times New Roman" w:hAnsi="Times New Roman" w:cs="Times New Roman" w:eastAsia="Times New Roman" w:hint="default"/>
          <w:spacing w:val="2"/>
        </w:rPr>
        <w:t> </w:t>
      </w:r>
      <w:r>
        <w:rPr>
          <w:spacing w:val="-3"/>
        </w:rPr>
        <w:t>日在北京成立的公司，总部位于北京，主要从事技术开发咨询</w:t>
      </w:r>
      <w:r>
        <w:rPr>
          <w:spacing w:val="-102"/>
        </w:rPr>
        <w:t> </w:t>
      </w:r>
      <w:r>
        <w:rPr>
          <w:spacing w:val="-102"/>
        </w:rPr>
      </w:r>
      <w:r>
        <w:rPr/>
        <w:t>服务及产品销售。在被合并之前，北京利博赛社保信息技术有限公司无母公司及最终控制方。 购买日的确定依据：以支付</w:t>
      </w:r>
      <w:r>
        <w:rPr>
          <w:spacing w:val="-56"/>
        </w:rPr>
        <w:t> </w:t>
      </w:r>
      <w:r>
        <w:rPr>
          <w:rFonts w:ascii="Times New Roman" w:hAnsi="Times New Roman" w:cs="Times New Roman" w:eastAsia="Times New Roman" w:hint="default"/>
        </w:rPr>
        <w:t>50%</w:t>
      </w:r>
      <w:r>
        <w:rPr/>
        <w:t>以上股权款且办理完毕工商变更登记为购买日。</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pStyle w:val="Heading6"/>
        <w:spacing w:line="240" w:lineRule="auto"/>
        <w:ind w:right="91"/>
        <w:jc w:val="left"/>
        <w:rPr>
          <w:b w:val="0"/>
          <w:bCs w:val="0"/>
        </w:rPr>
      </w:pPr>
      <w:r>
        <w:rPr/>
        <w:pict>
          <v:group style="position:absolute;margin-left:101.040001pt;margin-top:17.073967pt;width:437.1pt;height:157.050pt;mso-position-horizontal-relative:page;mso-position-vertical-relative:paragraph;z-index:-1129264" coordorigin="2021,341" coordsize="8742,3141">
            <v:group style="position:absolute;left:2050;top:356;width:8686;height:2" coordorigin="2050,356" coordsize="8686,2">
              <v:shape style="position:absolute;left:2050;top:356;width:8686;height:2" coordorigin="2050,356" coordsize="8686,0" path="m2050,356l10735,356e" filled="false" stroked="true" strokeweight="1.5pt" strokecolor="#000000">
                <v:path arrowok="t"/>
              </v:shape>
              <v:shape style="position:absolute;left:5831;top:371;width:10;height:380" type="#_x0000_t75" stroked="false">
                <v:imagedata r:id="rId102" o:title=""/>
              </v:shape>
              <v:shape style="position:absolute;left:5812;top:733;width:4943;height:428" type="#_x0000_t75" stroked="false">
                <v:imagedata r:id="rId103" o:title=""/>
              </v:shape>
              <v:shape style="position:absolute;left:2021;top:1123;width:8742;height:2359" type="#_x0000_t75" stroked="false">
                <v:imagedata r:id="rId104" o:title=""/>
              </v:shape>
              <v:shape style="position:absolute;left:8014;top:54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购买日</w:t>
                      </w:r>
                    </w:p>
                  </w:txbxContent>
                </v:textbox>
                <w10:wrap type="none"/>
              </v:shape>
            </v:group>
            <w10:wrap type="none"/>
          </v:group>
        </w:pict>
      </w:r>
      <w:r>
        <w:rPr/>
        <w:t>被购买方（北京利博赛）可辨认资产和负债的情况</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2"/>
          <w:szCs w:val="12"/>
        </w:rPr>
      </w:pPr>
    </w:p>
    <w:tbl>
      <w:tblPr>
        <w:tblW w:w="0" w:type="auto"/>
        <w:jc w:val="left"/>
        <w:tblInd w:w="735" w:type="dxa"/>
        <w:tblLayout w:type="fixed"/>
        <w:tblCellMar>
          <w:top w:w="0" w:type="dxa"/>
          <w:left w:w="0" w:type="dxa"/>
          <w:bottom w:w="0" w:type="dxa"/>
          <w:right w:w="0" w:type="dxa"/>
        </w:tblCellMar>
        <w:tblLook w:val="01E0"/>
      </w:tblPr>
      <w:tblGrid>
        <w:gridCol w:w="1285"/>
        <w:gridCol w:w="2116"/>
        <w:gridCol w:w="3304"/>
        <w:gridCol w:w="1995"/>
      </w:tblGrid>
      <w:tr>
        <w:trPr>
          <w:trHeight w:val="479" w:hRule="exact"/>
        </w:trPr>
        <w:tc>
          <w:tcPr>
            <w:tcW w:w="1285" w:type="dxa"/>
            <w:tcBorders>
              <w:top w:val="nil" w:sz="6" w:space="0" w:color="auto"/>
              <w:left w:val="nil" w:sz="6" w:space="0" w:color="auto"/>
              <w:bottom w:val="nil" w:sz="6" w:space="0" w:color="auto"/>
              <w:right w:val="nil" w:sz="6" w:space="0" w:color="auto"/>
            </w:tcBorders>
          </w:tcPr>
          <w:p>
            <w:pPr/>
          </w:p>
        </w:tc>
        <w:tc>
          <w:tcPr>
            <w:tcW w:w="2116" w:type="dxa"/>
            <w:tcBorders>
              <w:top w:val="nil" w:sz="6" w:space="0" w:color="auto"/>
              <w:left w:val="nil" w:sz="6" w:space="0" w:color="auto"/>
              <w:bottom w:val="nil" w:sz="6" w:space="0" w:color="auto"/>
              <w:right w:val="nil" w:sz="6" w:space="0" w:color="auto"/>
            </w:tcBorders>
          </w:tcPr>
          <w:p>
            <w:pPr>
              <w:pStyle w:val="TableParagraph"/>
              <w:spacing w:line="180" w:lineRule="exact"/>
              <w:ind w:left="442"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3304"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44"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460" w:right="0"/>
              <w:jc w:val="left"/>
              <w:rPr>
                <w:rFonts w:ascii="宋体" w:hAnsi="宋体" w:cs="宋体" w:eastAsia="宋体" w:hint="default"/>
                <w:sz w:val="18"/>
                <w:szCs w:val="18"/>
              </w:rPr>
            </w:pPr>
            <w:r>
              <w:rPr>
                <w:rFonts w:ascii="宋体" w:hAnsi="宋体" w:cs="宋体" w:eastAsia="宋体" w:hint="default"/>
                <w:sz w:val="18"/>
                <w:szCs w:val="18"/>
              </w:rPr>
              <w:t>公允价值</w:t>
            </w:r>
          </w:p>
        </w:tc>
      </w:tr>
      <w:tr>
        <w:trPr>
          <w:trHeight w:val="401" w:hRule="exact"/>
        </w:trPr>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116" w:type="dxa"/>
            <w:tcBorders>
              <w:top w:val="nil" w:sz="6" w:space="0" w:color="auto"/>
              <w:left w:val="nil" w:sz="6" w:space="0" w:color="auto"/>
              <w:bottom w:val="nil" w:sz="6" w:space="0" w:color="auto"/>
              <w:right w:val="nil" w:sz="6" w:space="0" w:color="auto"/>
            </w:tcBorders>
          </w:tcPr>
          <w:p>
            <w:pPr/>
          </w:p>
        </w:tc>
        <w:tc>
          <w:tcPr>
            <w:tcW w:w="3304"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59"/>
              <w:jc w:val="right"/>
              <w:rPr>
                <w:rFonts w:ascii="Times New Roman" w:hAnsi="Times New Roman" w:cs="Times New Roman" w:eastAsia="Times New Roman" w:hint="default"/>
                <w:sz w:val="20"/>
                <w:szCs w:val="20"/>
              </w:rPr>
            </w:pPr>
            <w:r>
              <w:rPr>
                <w:rFonts w:ascii="Times New Roman"/>
                <w:spacing w:val="-1"/>
                <w:sz w:val="20"/>
              </w:rPr>
              <w:t>15,472,729</w:t>
            </w:r>
            <w:r>
              <w:rPr>
                <w:rFonts w:ascii="Times New Roman"/>
                <w:sz w:val="20"/>
              </w:rPr>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20"/>
                <w:szCs w:val="20"/>
              </w:rPr>
            </w:pPr>
            <w:r>
              <w:rPr>
                <w:rFonts w:ascii="Times New Roman"/>
                <w:spacing w:val="-1"/>
                <w:sz w:val="20"/>
              </w:rPr>
              <w:t>15,472,729</w:t>
            </w:r>
            <w:r>
              <w:rPr>
                <w:rFonts w:ascii="Times New Roman"/>
                <w:sz w:val="20"/>
              </w:rPr>
            </w:r>
          </w:p>
        </w:tc>
      </w:tr>
      <w:tr>
        <w:trPr>
          <w:trHeight w:val="390" w:hRule="exact"/>
        </w:trPr>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116" w:type="dxa"/>
            <w:tcBorders>
              <w:top w:val="nil" w:sz="6" w:space="0" w:color="auto"/>
              <w:left w:val="nil" w:sz="6" w:space="0" w:color="auto"/>
              <w:bottom w:val="nil" w:sz="6" w:space="0" w:color="auto"/>
              <w:right w:val="nil" w:sz="6" w:space="0" w:color="auto"/>
            </w:tcBorders>
          </w:tcPr>
          <w:p>
            <w:pPr/>
          </w:p>
        </w:tc>
        <w:tc>
          <w:tcPr>
            <w:tcW w:w="330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458"/>
              <w:jc w:val="right"/>
              <w:rPr>
                <w:rFonts w:ascii="Times New Roman" w:hAnsi="Times New Roman" w:cs="Times New Roman" w:eastAsia="Times New Roman" w:hint="default"/>
                <w:sz w:val="20"/>
                <w:szCs w:val="20"/>
              </w:rPr>
            </w:pPr>
            <w:r>
              <w:rPr>
                <w:rFonts w:ascii="Times New Roman"/>
                <w:spacing w:val="-1"/>
                <w:sz w:val="20"/>
              </w:rPr>
              <w:t>823,757</w:t>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20"/>
                <w:szCs w:val="20"/>
              </w:rPr>
            </w:pPr>
            <w:r>
              <w:rPr>
                <w:rFonts w:ascii="Times New Roman"/>
                <w:spacing w:val="-1"/>
                <w:sz w:val="20"/>
              </w:rPr>
              <w:t>823,757</w:t>
            </w:r>
          </w:p>
        </w:tc>
      </w:tr>
      <w:tr>
        <w:trPr>
          <w:trHeight w:val="390" w:hRule="exact"/>
        </w:trPr>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116" w:type="dxa"/>
            <w:tcBorders>
              <w:top w:val="nil" w:sz="6" w:space="0" w:color="auto"/>
              <w:left w:val="nil" w:sz="6" w:space="0" w:color="auto"/>
              <w:bottom w:val="nil" w:sz="6" w:space="0" w:color="auto"/>
              <w:right w:val="nil" w:sz="6" w:space="0" w:color="auto"/>
            </w:tcBorders>
          </w:tcPr>
          <w:p>
            <w:pPr/>
          </w:p>
        </w:tc>
        <w:tc>
          <w:tcPr>
            <w:tcW w:w="330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458"/>
              <w:jc w:val="right"/>
              <w:rPr>
                <w:rFonts w:ascii="Times New Roman" w:hAnsi="Times New Roman" w:cs="Times New Roman" w:eastAsia="Times New Roman" w:hint="default"/>
                <w:sz w:val="20"/>
                <w:szCs w:val="20"/>
              </w:rPr>
            </w:pPr>
            <w:r>
              <w:rPr>
                <w:rFonts w:ascii="Times New Roman"/>
                <w:spacing w:val="-1"/>
                <w:sz w:val="20"/>
              </w:rPr>
              <w:t>287,930</w:t>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20"/>
                <w:szCs w:val="20"/>
              </w:rPr>
            </w:pPr>
            <w:r>
              <w:rPr>
                <w:rFonts w:ascii="Times New Roman"/>
                <w:spacing w:val="-1"/>
                <w:sz w:val="20"/>
              </w:rPr>
              <w:t>287,930</w:t>
            </w:r>
          </w:p>
        </w:tc>
      </w:tr>
      <w:tr>
        <w:trPr>
          <w:trHeight w:val="390" w:hRule="exact"/>
        </w:trPr>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资产总额</w:t>
            </w:r>
          </w:p>
        </w:tc>
        <w:tc>
          <w:tcPr>
            <w:tcW w:w="2116" w:type="dxa"/>
            <w:tcBorders>
              <w:top w:val="nil" w:sz="6" w:space="0" w:color="auto"/>
              <w:left w:val="nil" w:sz="6" w:space="0" w:color="auto"/>
              <w:bottom w:val="nil" w:sz="6" w:space="0" w:color="auto"/>
              <w:right w:val="nil" w:sz="6" w:space="0" w:color="auto"/>
            </w:tcBorders>
          </w:tcPr>
          <w:p>
            <w:pPr/>
          </w:p>
        </w:tc>
        <w:tc>
          <w:tcPr>
            <w:tcW w:w="330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459"/>
              <w:jc w:val="right"/>
              <w:rPr>
                <w:rFonts w:ascii="Times New Roman" w:hAnsi="Times New Roman" w:cs="Times New Roman" w:eastAsia="Times New Roman" w:hint="default"/>
                <w:sz w:val="20"/>
                <w:szCs w:val="20"/>
              </w:rPr>
            </w:pPr>
            <w:r>
              <w:rPr>
                <w:rFonts w:ascii="Times New Roman"/>
                <w:spacing w:val="-1"/>
                <w:sz w:val="20"/>
              </w:rPr>
              <w:t>17,230,575</w:t>
            </w:r>
            <w:r>
              <w:rPr>
                <w:rFonts w:ascii="Times New Roman"/>
                <w:sz w:val="20"/>
              </w:rPr>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20"/>
                <w:szCs w:val="20"/>
              </w:rPr>
            </w:pPr>
            <w:r>
              <w:rPr>
                <w:rFonts w:ascii="Times New Roman"/>
                <w:spacing w:val="-1"/>
                <w:sz w:val="20"/>
              </w:rPr>
              <w:t>17,230,575</w:t>
            </w:r>
            <w:r>
              <w:rPr>
                <w:rFonts w:ascii="Times New Roman"/>
                <w:sz w:val="20"/>
              </w:rPr>
            </w:r>
          </w:p>
        </w:tc>
      </w:tr>
      <w:tr>
        <w:trPr>
          <w:trHeight w:val="390" w:hRule="exact"/>
        </w:trPr>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116" w:type="dxa"/>
            <w:tcBorders>
              <w:top w:val="nil" w:sz="6" w:space="0" w:color="auto"/>
              <w:left w:val="nil" w:sz="6" w:space="0" w:color="auto"/>
              <w:bottom w:val="nil" w:sz="6" w:space="0" w:color="auto"/>
              <w:right w:val="nil" w:sz="6" w:space="0" w:color="auto"/>
            </w:tcBorders>
          </w:tcPr>
          <w:p>
            <w:pPr/>
          </w:p>
        </w:tc>
        <w:tc>
          <w:tcPr>
            <w:tcW w:w="3304"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458"/>
              <w:jc w:val="right"/>
              <w:rPr>
                <w:rFonts w:ascii="Times New Roman" w:hAnsi="Times New Roman" w:cs="Times New Roman" w:eastAsia="Times New Roman" w:hint="default"/>
                <w:sz w:val="20"/>
                <w:szCs w:val="20"/>
              </w:rPr>
            </w:pPr>
            <w:r>
              <w:rPr>
                <w:rFonts w:ascii="Times New Roman"/>
                <w:spacing w:val="-1"/>
                <w:sz w:val="20"/>
              </w:rPr>
              <w:t>1,139,703</w:t>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20"/>
                <w:szCs w:val="20"/>
              </w:rPr>
            </w:pPr>
            <w:r>
              <w:rPr>
                <w:rFonts w:ascii="Times New Roman"/>
                <w:spacing w:val="-1"/>
                <w:sz w:val="20"/>
              </w:rPr>
              <w:t>1,139,703</w:t>
            </w:r>
          </w:p>
        </w:tc>
      </w:tr>
      <w:tr>
        <w:trPr>
          <w:trHeight w:val="318" w:hRule="exact"/>
        </w:trPr>
        <w:tc>
          <w:tcPr>
            <w:tcW w:w="128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2116" w:type="dxa"/>
            <w:tcBorders>
              <w:top w:val="nil" w:sz="6" w:space="0" w:color="auto"/>
              <w:left w:val="nil" w:sz="6" w:space="0" w:color="auto"/>
              <w:bottom w:val="single" w:sz="12" w:space="0" w:color="000000"/>
              <w:right w:val="nil" w:sz="6" w:space="0" w:color="auto"/>
            </w:tcBorders>
          </w:tcPr>
          <w:p>
            <w:pPr/>
          </w:p>
        </w:tc>
        <w:tc>
          <w:tcPr>
            <w:tcW w:w="3304"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459"/>
              <w:jc w:val="right"/>
              <w:rPr>
                <w:rFonts w:ascii="Times New Roman" w:hAnsi="Times New Roman" w:cs="Times New Roman" w:eastAsia="Times New Roman" w:hint="default"/>
                <w:sz w:val="20"/>
                <w:szCs w:val="20"/>
              </w:rPr>
            </w:pPr>
            <w:r>
              <w:rPr>
                <w:rFonts w:ascii="Times New Roman"/>
                <w:spacing w:val="-1"/>
                <w:sz w:val="20"/>
              </w:rPr>
              <w:t>16,090,872</w:t>
            </w:r>
            <w:r>
              <w:rPr>
                <w:rFonts w:ascii="Times New Roman"/>
                <w:sz w:val="20"/>
              </w:rPr>
            </w:r>
          </w:p>
        </w:tc>
        <w:tc>
          <w:tcPr>
            <w:tcW w:w="1995"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20"/>
                <w:szCs w:val="20"/>
              </w:rPr>
            </w:pPr>
            <w:r>
              <w:rPr>
                <w:rFonts w:ascii="Times New Roman"/>
                <w:spacing w:val="-1"/>
                <w:sz w:val="20"/>
              </w:rPr>
              <w:t>16,090,872</w:t>
            </w:r>
            <w:r>
              <w:rPr>
                <w:rFonts w:ascii="Times New Roman"/>
                <w:sz w:val="20"/>
              </w:rPr>
            </w:r>
          </w:p>
        </w:tc>
      </w:tr>
    </w:tbl>
    <w:p>
      <w:pPr>
        <w:pStyle w:val="BodyText"/>
        <w:spacing w:line="240" w:lineRule="auto" w:before="57"/>
        <w:ind w:left="857" w:right="0"/>
        <w:jc w:val="both"/>
      </w:pPr>
      <w:r>
        <w:rPr/>
        <w:t>（</w:t>
      </w:r>
      <w:r>
        <w:rPr>
          <w:rFonts w:ascii="Times New Roman" w:hAnsi="Times New Roman" w:cs="Times New Roman" w:eastAsia="Times New Roman" w:hint="default"/>
        </w:rPr>
        <w:t>2</w:t>
      </w:r>
      <w:r>
        <w:rPr/>
        <w:t>）本公司之子公司东软集团（北京）有限公司以</w:t>
      </w:r>
      <w:r>
        <w:rPr>
          <w:spacing w:val="-46"/>
        </w:rPr>
        <w:t> </w:t>
      </w:r>
      <w:r>
        <w:rPr>
          <w:rFonts w:ascii="Times New Roman" w:hAnsi="Times New Roman" w:cs="Times New Roman" w:eastAsia="Times New Roman" w:hint="default"/>
        </w:rPr>
        <w:t>2011</w:t>
      </w:r>
      <w:r>
        <w:rPr>
          <w:rFonts w:ascii="Times New Roman" w:hAnsi="Times New Roman" w:cs="Times New Roman" w:eastAsia="Times New Roman" w:hint="default"/>
          <w:spacing w:val="7"/>
        </w:rPr>
        <w:t> </w:t>
      </w:r>
      <w:r>
        <w:rPr/>
        <w:t>年</w:t>
      </w:r>
      <w:r>
        <w:rPr>
          <w:spacing w:val="-46"/>
        </w:rPr>
        <w:t> </w:t>
      </w:r>
      <w:r>
        <w:rPr>
          <w:rFonts w:ascii="Times New Roman" w:hAnsi="Times New Roman" w:cs="Times New Roman" w:eastAsia="Times New Roman" w:hint="default"/>
        </w:rPr>
        <w:t>8</w:t>
      </w:r>
      <w:r>
        <w:rPr>
          <w:rFonts w:ascii="Times New Roman" w:hAnsi="Times New Roman" w:cs="Times New Roman" w:eastAsia="Times New Roman" w:hint="default"/>
          <w:spacing w:val="7"/>
        </w:rPr>
        <w:t>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7"/>
        </w:rPr>
        <w:t> </w:t>
      </w:r>
      <w:r>
        <w:rPr/>
        <w:t>日为购买日，支付现金人</w:t>
      </w:r>
    </w:p>
    <w:p>
      <w:pPr>
        <w:pStyle w:val="BodyText"/>
        <w:spacing w:line="314" w:lineRule="auto" w:before="89"/>
        <w:ind w:left="857" w:right="172" w:hanging="1"/>
        <w:jc w:val="both"/>
      </w:pPr>
      <w:r>
        <w:rPr/>
        <w:t>民币 </w:t>
      </w:r>
      <w:r>
        <w:rPr>
          <w:rFonts w:ascii="Times New Roman" w:hAnsi="Times New Roman" w:cs="Times New Roman" w:eastAsia="Times New Roman" w:hint="default"/>
        </w:rPr>
        <w:t>114,101,440</w:t>
      </w:r>
      <w:r>
        <w:rPr>
          <w:rFonts w:ascii="Times New Roman" w:hAnsi="Times New Roman" w:cs="Times New Roman" w:eastAsia="Times New Roman" w:hint="default"/>
          <w:spacing w:val="-10"/>
        </w:rPr>
        <w:t> </w:t>
      </w:r>
      <w:r>
        <w:rPr/>
        <w:t>元购买了北京望海康信科技有限公司（收购后更名为“北京东软望海科技有 </w:t>
      </w:r>
      <w:r>
        <w:rPr>
          <w:spacing w:val="-2"/>
        </w:rPr>
        <w:t>限公司”，以下简称</w:t>
      </w:r>
      <w:r>
        <w:rPr>
          <w:rFonts w:ascii="Times New Roman" w:hAnsi="Times New Roman" w:cs="Times New Roman" w:eastAsia="Times New Roman" w:hint="default"/>
          <w:spacing w:val="-2"/>
        </w:rPr>
        <w:t>“</w:t>
      </w:r>
      <w:r>
        <w:rPr>
          <w:spacing w:val="-2"/>
        </w:rPr>
        <w:t>东软望海</w:t>
      </w:r>
      <w:r>
        <w:rPr>
          <w:rFonts w:ascii="Times New Roman" w:hAnsi="Times New Roman" w:cs="Times New Roman" w:eastAsia="Times New Roman" w:hint="default"/>
          <w:spacing w:val="-2"/>
        </w:rPr>
        <w:t>”</w:t>
      </w:r>
      <w:r>
        <w:rPr>
          <w:spacing w:val="-2"/>
        </w:rPr>
        <w:t>）</w:t>
      </w:r>
      <w:r>
        <w:rPr>
          <w:rFonts w:ascii="Times New Roman" w:hAnsi="Times New Roman" w:cs="Times New Roman" w:eastAsia="Times New Roman" w:hint="default"/>
          <w:spacing w:val="-2"/>
        </w:rPr>
        <w:t>73.14%</w:t>
      </w:r>
      <w:r>
        <w:rPr>
          <w:spacing w:val="-2"/>
        </w:rPr>
        <w:t>的权益。合并对价公允价值的确认依据为经双方协商</w:t>
      </w:r>
      <w:r>
        <w:rPr>
          <w:spacing w:val="-81"/>
        </w:rPr>
        <w:t> </w:t>
      </w:r>
      <w:r>
        <w:rPr>
          <w:spacing w:val="-81"/>
        </w:rPr>
      </w:r>
      <w:r>
        <w:rPr/>
        <w:t>确认的东软望海的整体企业价值，具体内容详见东软集团临 </w:t>
      </w:r>
      <w:r>
        <w:rPr>
          <w:rFonts w:ascii="Times New Roman" w:hAnsi="Times New Roman" w:cs="Times New Roman" w:eastAsia="Times New Roman" w:hint="default"/>
        </w:rPr>
        <w:t>2011-001</w:t>
      </w:r>
      <w:r>
        <w:rPr>
          <w:rFonts w:ascii="Times New Roman" w:hAnsi="Times New Roman" w:cs="Times New Roman" w:eastAsia="Times New Roman" w:hint="default"/>
          <w:spacing w:val="25"/>
        </w:rPr>
        <w:t> </w:t>
      </w:r>
      <w:r>
        <w:rPr/>
        <w:t>号公告。东软望海是于</w:t>
      </w:r>
    </w:p>
    <w:p>
      <w:pPr>
        <w:pStyle w:val="BodyText"/>
        <w:spacing w:line="321" w:lineRule="auto" w:before="17"/>
        <w:ind w:left="857" w:right="171"/>
        <w:jc w:val="both"/>
      </w:pPr>
      <w:r>
        <w:rPr>
          <w:rFonts w:ascii="Times New Roman" w:hAnsi="Times New Roman" w:cs="Times New Roman" w:eastAsia="Times New Roman" w:hint="default"/>
        </w:rPr>
        <w:t>2003</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5</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27</w:t>
      </w:r>
      <w:r>
        <w:rPr>
          <w:rFonts w:ascii="Times New Roman" w:hAnsi="Times New Roman" w:cs="Times New Roman" w:eastAsia="Times New Roman" w:hint="default"/>
          <w:spacing w:val="-3"/>
        </w:rPr>
        <w:t> </w:t>
      </w:r>
      <w:r>
        <w:rPr/>
        <w:t>日在北京成立的公司，总部位于北京，主要从事开发、生产计算机软件，销售 </w:t>
      </w:r>
      <w:r>
        <w:rPr>
          <w:spacing w:val="-2"/>
        </w:rPr>
        <w:t>自产产品；提供技术支持、技术服务，计算机软硬件产品的开发、佣金代理（拍卖除外）、进</w:t>
      </w:r>
      <w:r>
        <w:rPr>
          <w:spacing w:val="-89"/>
        </w:rPr>
        <w:t> </w:t>
      </w:r>
      <w:r>
        <w:rPr>
          <w:spacing w:val="-89"/>
        </w:rPr>
      </w:r>
      <w:r>
        <w:rPr/>
        <w:t>出口业务。在被合并之前，东软望海的控股股东为自然人郭学文。</w:t>
      </w:r>
    </w:p>
    <w:p>
      <w:pPr>
        <w:pStyle w:val="BodyText"/>
        <w:spacing w:line="240" w:lineRule="auto" w:before="54"/>
        <w:ind w:left="857" w:right="0"/>
        <w:jc w:val="both"/>
      </w:pPr>
      <w:r>
        <w:rPr/>
        <w:t>购买日的确定依据：支付</w:t>
      </w:r>
      <w:r>
        <w:rPr>
          <w:spacing w:val="-55"/>
        </w:rPr>
        <w:t> </w:t>
      </w:r>
      <w:r>
        <w:rPr/>
        <w:t>50%以上股权款且办理完毕工商变更登记为购买日。</w:t>
      </w:r>
    </w:p>
    <w:p>
      <w:pPr>
        <w:spacing w:after="0" w:line="240" w:lineRule="auto"/>
        <w:jc w:val="both"/>
        <w:sectPr>
          <w:pgSz w:w="11910" w:h="16840"/>
          <w:pgMar w:header="883" w:footer="1003" w:top="1600" w:bottom="1200" w:left="1300" w:right="1020"/>
        </w:sectPr>
      </w:pPr>
    </w:p>
    <w:p>
      <w:pPr>
        <w:spacing w:line="240" w:lineRule="auto" w:before="7"/>
        <w:rPr>
          <w:rFonts w:ascii="宋体" w:hAnsi="宋体" w:cs="宋体" w:eastAsia="宋体" w:hint="default"/>
          <w:sz w:val="3"/>
          <w:szCs w:val="3"/>
        </w:rPr>
      </w:pPr>
    </w:p>
    <w:p>
      <w:pPr>
        <w:spacing w:line="2480" w:lineRule="exact"/>
        <w:ind w:left="105"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68.15pt;height:124.05pt;mso-position-horizontal-relative:char;mso-position-vertical-relative:line" coordorigin="0,0" coordsize="9363,2481">
            <v:group style="position:absolute;left:5;top:5;width:9330;height:2" coordorigin="5,5" coordsize="9330,2">
              <v:shape style="position:absolute;left:5;top:5;width:9330;height:2" coordorigin="5,5" coordsize="9330,0" path="m5,5l9335,5e" filled="false" stroked="true" strokeweight=".47998pt" strokecolor="#000000">
                <v:path arrowok="t"/>
              </v:shape>
            </v:group>
            <v:group style="position:absolute;left:644;top:25;width:8700;height:2" coordorigin="644,25" coordsize="8700,2">
              <v:shape style="position:absolute;left:644;top:25;width:8700;height:2" coordorigin="644,25" coordsize="8700,0" path="m644,25l9344,25e" filled="false" stroked="true" strokeweight="1.5pt" strokecolor="#000000">
                <v:path arrowok="t"/>
              </v:shape>
            </v:group>
            <v:group style="position:absolute;left:630;top:2465;width:1818;height:2" coordorigin="630,2465" coordsize="1818,2">
              <v:shape style="position:absolute;left:630;top:2465;width:1818;height:2" coordorigin="630,2465" coordsize="1818,0" path="m630,2465l2448,2465e" filled="false" stroked="true" strokeweight="1.5pt" strokecolor="#000000">
                <v:path arrowok="t"/>
              </v:shape>
              <v:shape style="position:absolute;left:616;top:14;width:8747;height:2465" type="#_x0000_t75" stroked="false">
                <v:imagedata r:id="rId105" o:title=""/>
              </v:shape>
            </v:group>
            <v:group style="position:absolute;left:2448;top:2465;width:1308;height:2" coordorigin="2448,2465" coordsize="1308,2">
              <v:shape style="position:absolute;left:2448;top:2465;width:1308;height:2" coordorigin="2448,2465" coordsize="1308,0" path="m2448,2465l3756,2465e" filled="false" stroked="true" strokeweight="1.5pt" strokecolor="#000000">
                <v:path arrowok="t"/>
              </v:shape>
              <v:shape style="position:absolute;left:3727;top:421;width:67;height:2058" type="#_x0000_t75" stroked="false">
                <v:imagedata r:id="rId106" o:title=""/>
              </v:shape>
            </v:group>
            <v:group style="position:absolute;left:3756;top:2465;width:5589;height:2" coordorigin="3756,2465" coordsize="5589,2">
              <v:shape style="position:absolute;left:3756;top:2465;width:5589;height:2" coordorigin="3756,2465" coordsize="5589,0" path="m3756,2465l9344,2465e" filled="false" stroked="true" strokeweight="1.5pt" strokecolor="#000000">
                <v:path arrowok="t"/>
              </v:shape>
              <v:shape style="position:absolute;left:1253;top:23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被合并方</w:t>
                      </w:r>
                      <w:r>
                        <w:rPr>
                          <w:rFonts w:ascii="宋体" w:hAnsi="宋体" w:cs="宋体" w:eastAsia="宋体" w:hint="default"/>
                          <w:sz w:val="18"/>
                          <w:szCs w:val="18"/>
                        </w:rPr>
                      </w:r>
                    </w:p>
                  </w:txbxContent>
                </v:textbox>
                <w10:wrap type="none"/>
              </v:shape>
              <v:shape style="position:absolute;left:2746;top:23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商誉金额</w:t>
                      </w:r>
                      <w:r>
                        <w:rPr>
                          <w:rFonts w:ascii="宋体" w:hAnsi="宋体" w:cs="宋体" w:eastAsia="宋体" w:hint="default"/>
                          <w:sz w:val="18"/>
                          <w:szCs w:val="18"/>
                        </w:rPr>
                      </w:r>
                    </w:p>
                  </w:txbxContent>
                </v:textbox>
                <w10:wrap type="none"/>
              </v:shape>
              <v:shape style="position:absolute;left:6011;top:232;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商誉计算方法</w:t>
                      </w:r>
                      <w:r>
                        <w:rPr>
                          <w:rFonts w:ascii="宋体" w:hAnsi="宋体" w:cs="宋体" w:eastAsia="宋体" w:hint="default"/>
                          <w:sz w:val="18"/>
                          <w:szCs w:val="18"/>
                        </w:rPr>
                      </w:r>
                    </w:p>
                  </w:txbxContent>
                </v:textbox>
                <w10:wrap type="none"/>
              </v:shape>
              <v:shape style="position:absolute;left:3869;top:642;width:5367;height:59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购买取得北京东软望海科技有限公司</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73.14%</w:t>
                      </w:r>
                      <w:r>
                        <w:rPr>
                          <w:rFonts w:ascii="宋体" w:hAnsi="宋体" w:cs="宋体" w:eastAsia="宋体" w:hint="default"/>
                          <w:sz w:val="18"/>
                          <w:szCs w:val="18"/>
                        </w:rPr>
                        <w:t>权益，购买成本为人民</w:t>
                      </w:r>
                    </w:p>
                    <w:p>
                      <w:pPr>
                        <w:spacing w:line="245" w:lineRule="exact" w:before="150"/>
                        <w:ind w:left="0" w:right="0" w:firstLine="0"/>
                        <w:jc w:val="left"/>
                        <w:rPr>
                          <w:rFonts w:ascii="宋体" w:hAnsi="宋体" w:cs="宋体" w:eastAsia="宋体" w:hint="default"/>
                          <w:sz w:val="18"/>
                          <w:szCs w:val="18"/>
                        </w:rPr>
                      </w:pPr>
                      <w:r>
                        <w:rPr>
                          <w:rFonts w:ascii="宋体" w:hAnsi="宋体" w:cs="宋体" w:eastAsia="宋体" w:hint="default"/>
                          <w:sz w:val="18"/>
                          <w:szCs w:val="18"/>
                        </w:rPr>
                        <w:t>币 </w:t>
                      </w:r>
                      <w:r>
                        <w:rPr>
                          <w:rFonts w:ascii="Times New Roman" w:hAnsi="Times New Roman" w:cs="Times New Roman" w:eastAsia="Times New Roman" w:hint="default"/>
                          <w:sz w:val="18"/>
                          <w:szCs w:val="18"/>
                        </w:rPr>
                        <w:t>114,101,440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元。北京东软望海科技有限公司可辨认净资产在购买</w:t>
                      </w:r>
                    </w:p>
                  </w:txbxContent>
                </v:textbox>
                <w10:wrap type="none"/>
              </v:shape>
              <v:shape style="position:absolute;left:752;top:1242;width:161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北京东软望海</w:t>
                      </w:r>
                      <w:r>
                        <w:rPr>
                          <w:rFonts w:ascii="宋体" w:hAnsi="宋体" w:cs="宋体" w:eastAsia="宋体" w:hint="default"/>
                          <w:spacing w:val="-65"/>
                          <w:sz w:val="18"/>
                          <w:szCs w:val="18"/>
                        </w:rPr>
                        <w:t> </w:t>
                      </w:r>
                      <w:r>
                        <w:rPr>
                          <w:rFonts w:ascii="宋体" w:hAnsi="宋体" w:cs="宋体" w:eastAsia="宋体" w:hint="default"/>
                          <w:spacing w:val="10"/>
                          <w:sz w:val="18"/>
                          <w:szCs w:val="18"/>
                        </w:rPr>
                        <w:t>科技</w:t>
                      </w:r>
                      <w:r>
                        <w:rPr>
                          <w:rFonts w:ascii="宋体" w:hAnsi="宋体" w:cs="宋体" w:eastAsia="宋体" w:hint="default"/>
                          <w:spacing w:val="-69"/>
                          <w:sz w:val="18"/>
                          <w:szCs w:val="18"/>
                        </w:rPr>
                        <w:t> </w:t>
                      </w:r>
                      <w:r>
                        <w:rPr>
                          <w:rFonts w:ascii="宋体" w:hAnsi="宋体" w:cs="宋体" w:eastAsia="宋体" w:hint="default"/>
                          <w:sz w:val="18"/>
                          <w:szCs w:val="18"/>
                        </w:rPr>
                      </w:r>
                    </w:p>
                  </w:txbxContent>
                </v:textbox>
                <w10:wrap type="none"/>
              </v:shape>
              <v:shape style="position:absolute;left:2842;top:1443;width:6394;height:200" type="#_x0000_t202" filled="false" stroked="false">
                <v:textbox inset="0,0,0,0">
                  <w:txbxContent>
                    <w:p>
                      <w:pPr>
                        <w:tabs>
                          <w:tab w:pos="1027"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99,953,597</w:t>
                        <w:tab/>
                      </w:r>
                      <w:r>
                        <w:rPr>
                          <w:rFonts w:ascii="宋体" w:hAnsi="宋体" w:cs="宋体" w:eastAsia="宋体" w:hint="default"/>
                          <w:position w:val="1"/>
                          <w:sz w:val="18"/>
                          <w:szCs w:val="18"/>
                        </w:rPr>
                        <w:t>日的公允价值为人民币</w:t>
                      </w:r>
                      <w:r>
                        <w:rPr>
                          <w:rFonts w:ascii="宋体" w:hAnsi="宋体" w:cs="宋体" w:eastAsia="宋体" w:hint="default"/>
                          <w:spacing w:val="-41"/>
                          <w:position w:val="1"/>
                          <w:sz w:val="18"/>
                          <w:szCs w:val="18"/>
                        </w:rPr>
                        <w:t> </w:t>
                      </w:r>
                      <w:r>
                        <w:rPr>
                          <w:rFonts w:ascii="Times New Roman" w:hAnsi="Times New Roman" w:cs="Times New Roman" w:eastAsia="Times New Roman" w:hint="default"/>
                          <w:position w:val="1"/>
                          <w:sz w:val="18"/>
                          <w:szCs w:val="18"/>
                        </w:rPr>
                        <w:t>19,343,510</w:t>
                      </w:r>
                      <w:r>
                        <w:rPr>
                          <w:rFonts w:ascii="Times New Roman" w:hAnsi="Times New Roman" w:cs="Times New Roman" w:eastAsia="Times New Roman" w:hint="default"/>
                          <w:spacing w:val="4"/>
                          <w:position w:val="1"/>
                          <w:sz w:val="18"/>
                          <w:szCs w:val="18"/>
                        </w:rPr>
                        <w:t> </w:t>
                      </w:r>
                      <w:r>
                        <w:rPr>
                          <w:rFonts w:ascii="宋体" w:hAnsi="宋体" w:cs="宋体" w:eastAsia="宋体" w:hint="default"/>
                          <w:spacing w:val="-3"/>
                          <w:position w:val="1"/>
                          <w:sz w:val="18"/>
                          <w:szCs w:val="18"/>
                        </w:rPr>
                        <w:t>元。合并成本超过按比例取得的北</w:t>
                      </w:r>
                      <w:r>
                        <w:rPr>
                          <w:rFonts w:ascii="宋体" w:hAnsi="宋体" w:cs="宋体" w:eastAsia="宋体" w:hint="default"/>
                          <w:spacing w:val="-3"/>
                          <w:sz w:val="18"/>
                          <w:szCs w:val="18"/>
                        </w:rPr>
                      </w:r>
                    </w:p>
                  </w:txbxContent>
                </v:textbox>
                <w10:wrap type="none"/>
              </v:shape>
              <v:shape style="position:absolute;left:752;top:164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3869;top:1842;width:5367;height:58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京东软望海可辨认净资产公允价值的差额人民币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99,953,597</w:t>
                      </w:r>
                      <w:r>
                        <w:rPr>
                          <w:rFonts w:ascii="Times New Roman" w:hAnsi="Times New Roman" w:cs="Times New Roman" w:eastAsia="Times New Roman" w:hint="default"/>
                          <w:spacing w:val="-1"/>
                          <w:sz w:val="18"/>
                          <w:szCs w:val="18"/>
                        </w:rPr>
                        <w:t> </w:t>
                      </w:r>
                      <w:r>
                        <w:rPr>
                          <w:rFonts w:ascii="宋体" w:hAnsi="宋体" w:cs="宋体" w:eastAsia="宋体" w:hint="default"/>
                          <w:spacing w:val="-9"/>
                          <w:sz w:val="18"/>
                          <w:szCs w:val="18"/>
                        </w:rPr>
                        <w:t>元，确认</w:t>
                      </w:r>
                    </w:p>
                    <w:p>
                      <w:pPr>
                        <w:spacing w:before="150"/>
                        <w:ind w:left="0" w:right="0" w:firstLine="0"/>
                        <w:jc w:val="left"/>
                        <w:rPr>
                          <w:rFonts w:ascii="宋体" w:hAnsi="宋体" w:cs="宋体" w:eastAsia="宋体" w:hint="default"/>
                          <w:sz w:val="18"/>
                          <w:szCs w:val="18"/>
                        </w:rPr>
                      </w:pPr>
                      <w:r>
                        <w:rPr>
                          <w:rFonts w:ascii="宋体" w:hAnsi="宋体" w:cs="宋体" w:eastAsia="宋体" w:hint="default"/>
                          <w:sz w:val="18"/>
                          <w:szCs w:val="18"/>
                        </w:rPr>
                        <w:t>为商誉。</w:t>
                      </w:r>
                    </w:p>
                  </w:txbxContent>
                </v:textbox>
                <w10:wrap type="none"/>
              </v:shape>
            </v:group>
          </v:group>
        </w:pict>
      </w:r>
      <w:r>
        <w:rPr>
          <w:rFonts w:ascii="宋体" w:hAnsi="宋体" w:cs="宋体" w:eastAsia="宋体" w:hint="default"/>
          <w:position w:val="-49"/>
          <w:sz w:val="20"/>
          <w:szCs w:val="20"/>
        </w:rPr>
      </w:r>
    </w:p>
    <w:p>
      <w:pPr>
        <w:pStyle w:val="Heading6"/>
        <w:spacing w:line="240" w:lineRule="auto" w:before="73"/>
        <w:ind w:right="0"/>
        <w:jc w:val="left"/>
        <w:rPr>
          <w:b w:val="0"/>
          <w:bCs w:val="0"/>
        </w:rPr>
      </w:pPr>
      <w:r>
        <w:rPr/>
        <w:pict>
          <v:group style="position:absolute;margin-left:101.010002pt;margin-top:18.973997pt;width:437.15pt;height:158.550pt;mso-position-horizontal-relative:page;mso-position-vertical-relative:paragraph;z-index:-1128856" coordorigin="2020,379" coordsize="8743,3171">
            <v:group style="position:absolute;left:2050;top:394;width:8686;height:2" coordorigin="2050,394" coordsize="8686,2">
              <v:shape style="position:absolute;left:2050;top:394;width:8686;height:2" coordorigin="2050,394" coordsize="8686,0" path="m2050,394l10735,394e" filled="false" stroked="true" strokeweight="1.5pt" strokecolor="#000000">
                <v:path arrowok="t"/>
              </v:shape>
              <v:shape style="position:absolute;left:5831;top:409;width:10;height:380" type="#_x0000_t75" stroked="false">
                <v:imagedata r:id="rId107" o:title=""/>
              </v:shape>
              <v:shape style="position:absolute;left:5812;top:771;width:4943;height:428" type="#_x0000_t75" stroked="false">
                <v:imagedata r:id="rId108" o:title=""/>
              </v:shape>
            </v:group>
            <v:group style="position:absolute;left:2035;top:3535;width:3796;height:2" coordorigin="2035,3535" coordsize="3796,2">
              <v:shape style="position:absolute;left:2035;top:3535;width:3796;height:2" coordorigin="2035,3535" coordsize="3796,0" path="m2035,3535l5831,3535e" filled="false" stroked="true" strokeweight="1.5pt" strokecolor="#000000">
                <v:path arrowok="t"/>
              </v:shape>
            </v:group>
            <v:group style="position:absolute;left:5831;top:3535;width:2552;height:2" coordorigin="5831,3535" coordsize="2552,2">
              <v:shape style="position:absolute;left:5831;top:3535;width:2552;height:2" coordorigin="5831,3535" coordsize="2552,0" path="m5831,3535l8382,3535e" filled="false" stroked="true" strokeweight="1.5pt" strokecolor="#000000">
                <v:path arrowok="t"/>
              </v:shape>
              <v:shape style="position:absolute;left:2021;top:1161;width:8742;height:2359" type="#_x0000_t75" stroked="false">
                <v:imagedata r:id="rId109" o:title=""/>
              </v:shape>
            </v:group>
            <v:group style="position:absolute;left:8382;top:3535;width:2354;height:2" coordorigin="8382,3535" coordsize="2354,2">
              <v:shape style="position:absolute;left:8382;top:3535;width:2354;height:2" coordorigin="8382,3535" coordsize="2354,0" path="m8382,3535l10735,3535e" filled="false" stroked="true" strokeweight="1.5pt" strokecolor="#000000">
                <v:path arrowok="t"/>
              </v:shape>
              <v:shape style="position:absolute;left:8014;top:58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购买日</w:t>
                      </w:r>
                    </w:p>
                  </w:txbxContent>
                </v:textbox>
                <w10:wrap type="none"/>
              </v:shape>
              <v:shape style="position:absolute;left:3762;top:77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6750;top:97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2158;top:136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流动资产</w:t>
                      </w:r>
                    </w:p>
                  </w:txbxContent>
                </v:textbox>
                <w10:wrap type="none"/>
              </v:shape>
              <v:shape style="position:absolute;left:7469;top:129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35,158,967</w:t>
                      </w:r>
                    </w:p>
                  </w:txbxContent>
                </v:textbox>
                <w10:wrap type="none"/>
              </v:shape>
              <v:shape style="position:absolute;left:9200;top:971;width:1428;height:50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公允价值</w:t>
                      </w:r>
                    </w:p>
                    <w:p>
                      <w:pPr>
                        <w:spacing w:line="203" w:lineRule="exact" w:before="123"/>
                        <w:ind w:left="616" w:right="0" w:firstLine="0"/>
                        <w:jc w:val="left"/>
                        <w:rPr>
                          <w:rFonts w:ascii="Times New Roman" w:hAnsi="Times New Roman" w:cs="Times New Roman" w:eastAsia="Times New Roman" w:hint="default"/>
                          <w:sz w:val="18"/>
                          <w:szCs w:val="18"/>
                        </w:rPr>
                      </w:pPr>
                      <w:r>
                        <w:rPr>
                          <w:rFonts w:ascii="Times New Roman"/>
                          <w:sz w:val="18"/>
                        </w:rPr>
                        <w:t>35,158,967</w:t>
                      </w:r>
                    </w:p>
                  </w:txbxContent>
                </v:textbox>
                <w10:wrap type="none"/>
              </v:shape>
              <v:shape style="position:absolute;left:2158;top:1751;width:720;height:174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固定资产</w:t>
                      </w:r>
                    </w:p>
                    <w:p>
                      <w:pPr>
                        <w:spacing w:line="390" w:lineRule="atLeas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无形资产 资产总额 负债合计 净资产</w:t>
                      </w:r>
                    </w:p>
                  </w:txbxContent>
                </v:textbox>
                <w10:wrap type="none"/>
              </v:shape>
            </v:group>
            <w10:wrap type="none"/>
          </v:group>
        </w:pict>
      </w:r>
      <w:r>
        <w:rPr/>
        <w:t>被购买方（东软望海）可辨认资产和负债的情况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tbl>
      <w:tblPr>
        <w:tblW w:w="0" w:type="auto"/>
        <w:jc w:val="left"/>
        <w:tblInd w:w="6133" w:type="dxa"/>
        <w:tblLayout w:type="fixed"/>
        <w:tblCellMar>
          <w:top w:w="0" w:type="dxa"/>
          <w:left w:w="0" w:type="dxa"/>
          <w:bottom w:w="0" w:type="dxa"/>
          <w:right w:w="0" w:type="dxa"/>
        </w:tblCellMar>
        <w:tblLook w:val="01E0"/>
      </w:tblPr>
      <w:tblGrid>
        <w:gridCol w:w="1615"/>
        <w:gridCol w:w="1650"/>
      </w:tblGrid>
      <w:tr>
        <w:trPr>
          <w:trHeight w:val="385" w:hRule="exact"/>
        </w:trPr>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66"/>
              <w:jc w:val="right"/>
              <w:rPr>
                <w:rFonts w:ascii="Times New Roman" w:hAnsi="Times New Roman" w:cs="Times New Roman" w:eastAsia="Times New Roman" w:hint="default"/>
                <w:sz w:val="18"/>
                <w:szCs w:val="18"/>
              </w:rPr>
            </w:pPr>
            <w:r>
              <w:rPr>
                <w:rFonts w:ascii="Times New Roman"/>
                <w:sz w:val="18"/>
              </w:rPr>
              <w:t>457,648</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68"/>
              <w:jc w:val="right"/>
              <w:rPr>
                <w:rFonts w:ascii="Times New Roman" w:hAnsi="Times New Roman" w:cs="Times New Roman" w:eastAsia="Times New Roman" w:hint="default"/>
                <w:sz w:val="18"/>
                <w:szCs w:val="18"/>
              </w:rPr>
            </w:pPr>
            <w:r>
              <w:rPr>
                <w:rFonts w:ascii="Times New Roman"/>
                <w:sz w:val="18"/>
              </w:rPr>
              <w:t>457,648</w:t>
            </w:r>
          </w:p>
        </w:tc>
      </w:tr>
      <w:tr>
        <w:trPr>
          <w:trHeight w:val="390" w:hRule="exact"/>
        </w:trPr>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766"/>
              <w:jc w:val="right"/>
              <w:rPr>
                <w:rFonts w:ascii="Times New Roman" w:hAnsi="Times New Roman" w:cs="Times New Roman" w:eastAsia="Times New Roman" w:hint="default"/>
                <w:sz w:val="18"/>
                <w:szCs w:val="18"/>
              </w:rPr>
            </w:pPr>
            <w:r>
              <w:rPr>
                <w:rFonts w:ascii="Times New Roman"/>
                <w:sz w:val="18"/>
              </w:rPr>
              <w:t>217,806</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8"/>
              <w:jc w:val="right"/>
              <w:rPr>
                <w:rFonts w:ascii="Times New Roman" w:hAnsi="Times New Roman" w:cs="Times New Roman" w:eastAsia="Times New Roman" w:hint="default"/>
                <w:sz w:val="18"/>
                <w:szCs w:val="18"/>
              </w:rPr>
            </w:pPr>
            <w:r>
              <w:rPr>
                <w:rFonts w:ascii="Times New Roman"/>
                <w:sz w:val="18"/>
              </w:rPr>
              <w:t>217,806</w:t>
            </w:r>
          </w:p>
        </w:tc>
      </w:tr>
      <w:tr>
        <w:trPr>
          <w:trHeight w:val="390" w:hRule="exact"/>
        </w:trPr>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766"/>
              <w:jc w:val="right"/>
              <w:rPr>
                <w:rFonts w:ascii="Times New Roman" w:hAnsi="Times New Roman" w:cs="Times New Roman" w:eastAsia="Times New Roman" w:hint="default"/>
                <w:sz w:val="18"/>
                <w:szCs w:val="18"/>
              </w:rPr>
            </w:pPr>
            <w:r>
              <w:rPr>
                <w:rFonts w:ascii="Times New Roman"/>
                <w:sz w:val="18"/>
              </w:rPr>
              <w:t>36,485,258</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8"/>
              <w:jc w:val="right"/>
              <w:rPr>
                <w:rFonts w:ascii="Times New Roman" w:hAnsi="Times New Roman" w:cs="Times New Roman" w:eastAsia="Times New Roman" w:hint="default"/>
                <w:sz w:val="18"/>
                <w:szCs w:val="18"/>
              </w:rPr>
            </w:pPr>
            <w:r>
              <w:rPr>
                <w:rFonts w:ascii="Times New Roman"/>
                <w:sz w:val="18"/>
              </w:rPr>
              <w:t>36,485,258</w:t>
            </w:r>
          </w:p>
        </w:tc>
      </w:tr>
      <w:tr>
        <w:trPr>
          <w:trHeight w:val="390" w:hRule="exact"/>
        </w:trPr>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766"/>
              <w:jc w:val="right"/>
              <w:rPr>
                <w:rFonts w:ascii="Times New Roman" w:hAnsi="Times New Roman" w:cs="Times New Roman" w:eastAsia="Times New Roman" w:hint="default"/>
                <w:sz w:val="18"/>
                <w:szCs w:val="18"/>
              </w:rPr>
            </w:pPr>
            <w:r>
              <w:rPr>
                <w:rFonts w:ascii="Times New Roman"/>
                <w:sz w:val="18"/>
              </w:rPr>
              <w:t>17,141,748</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8"/>
              <w:jc w:val="right"/>
              <w:rPr>
                <w:rFonts w:ascii="Times New Roman" w:hAnsi="Times New Roman" w:cs="Times New Roman" w:eastAsia="Times New Roman" w:hint="default"/>
                <w:sz w:val="18"/>
                <w:szCs w:val="18"/>
              </w:rPr>
            </w:pPr>
            <w:r>
              <w:rPr>
                <w:rFonts w:ascii="Times New Roman"/>
                <w:sz w:val="18"/>
              </w:rPr>
              <w:t>17,141,748</w:t>
            </w:r>
          </w:p>
        </w:tc>
      </w:tr>
      <w:tr>
        <w:trPr>
          <w:trHeight w:val="392" w:hRule="exact"/>
        </w:trPr>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766"/>
              <w:jc w:val="right"/>
              <w:rPr>
                <w:rFonts w:ascii="Times New Roman" w:hAnsi="Times New Roman" w:cs="Times New Roman" w:eastAsia="Times New Roman" w:hint="default"/>
                <w:sz w:val="18"/>
                <w:szCs w:val="18"/>
              </w:rPr>
            </w:pPr>
            <w:r>
              <w:rPr>
                <w:rFonts w:ascii="Times New Roman"/>
                <w:sz w:val="18"/>
              </w:rPr>
              <w:t>19,343,510</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8"/>
              <w:jc w:val="right"/>
              <w:rPr>
                <w:rFonts w:ascii="Times New Roman" w:hAnsi="Times New Roman" w:cs="Times New Roman" w:eastAsia="Times New Roman" w:hint="default"/>
                <w:sz w:val="18"/>
                <w:szCs w:val="18"/>
              </w:rPr>
            </w:pPr>
            <w:r>
              <w:rPr>
                <w:rFonts w:ascii="Times New Roman"/>
                <w:sz w:val="18"/>
              </w:rPr>
              <w:t>19,343,510</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pStyle w:val="BodyText"/>
        <w:spacing w:line="240" w:lineRule="auto"/>
        <w:ind w:left="665" w:right="0"/>
        <w:jc w:val="left"/>
      </w:pPr>
      <w:r>
        <w:rPr/>
        <w:pict>
          <v:group style="position:absolute;margin-left:101.040001pt;margin-top:17.133986pt;width:438.7pt;height:82.5pt;mso-position-horizontal-relative:page;mso-position-vertical-relative:paragraph;z-index:-1128736" coordorigin="2021,343" coordsize="8774,1650">
            <v:group style="position:absolute;left:2050;top:358;width:8717;height:2" coordorigin="2050,358" coordsize="8717,2">
              <v:shape style="position:absolute;left:2050;top:358;width:8717;height:2" coordorigin="2050,358" coordsize="8717,0" path="m2050,358l10766,358e" filled="false" stroked="true" strokeweight="1.5pt" strokecolor="#000000">
                <v:path arrowok="t"/>
              </v:shape>
              <v:shape style="position:absolute;left:3763;top:353;width:4928;height:838" type="#_x0000_t75" stroked="false">
                <v:imagedata r:id="rId110" o:title=""/>
              </v:shape>
              <v:shape style="position:absolute;left:2021;top:1153;width:8773;height:840" type="#_x0000_t75" stroked="false">
                <v:imagedata r:id="rId111" o:title=""/>
              </v:shape>
              <v:shape style="position:absolute;left:8816;top:565;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自购买日至本期期末的</w:t>
                      </w:r>
                    </w:p>
                  </w:txbxContent>
                </v:textbox>
                <w10:wrap type="none"/>
              </v:shape>
              <v:shape style="position:absolute;left:2558;top:7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被购买方</w:t>
                      </w:r>
                    </w:p>
                  </w:txbxContent>
                </v:textbox>
                <w10:wrap type="none"/>
              </v:shape>
              <v:shape style="position:absolute;left:3902;top:764;width:465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自购买日至本期期末的收入</w:t>
                      </w:r>
                      <w:r>
                        <w:rPr>
                          <w:rFonts w:ascii="宋体" w:hAnsi="宋体" w:cs="宋体" w:eastAsia="宋体" w:hint="default"/>
                          <w:spacing w:val="68"/>
                          <w:sz w:val="18"/>
                          <w:szCs w:val="18"/>
                        </w:rPr>
                        <w:t> </w:t>
                      </w:r>
                      <w:r>
                        <w:rPr>
                          <w:rFonts w:ascii="宋体" w:hAnsi="宋体" w:cs="宋体" w:eastAsia="宋体" w:hint="default"/>
                          <w:sz w:val="18"/>
                          <w:szCs w:val="18"/>
                        </w:rPr>
                        <w:t>自购买日至本期期末的净利润</w:t>
                      </w:r>
                    </w:p>
                  </w:txbxContent>
                </v:textbox>
                <w10:wrap type="none"/>
              </v:shape>
              <v:shape style="position:absolute;left:8996;top:964;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经营活动净现金流</w:t>
                      </w:r>
                    </w:p>
                  </w:txbxContent>
                </v:textbox>
                <w10:wrap type="none"/>
              </v:shape>
            </v:group>
            <w10:wrap type="none"/>
          </v:group>
        </w:pict>
      </w:r>
      <w:r>
        <w:rPr/>
        <w:t>（</w:t>
      </w:r>
      <w:r>
        <w:rPr>
          <w:rFonts w:ascii="Times New Roman" w:hAnsi="Times New Roman" w:cs="Times New Roman" w:eastAsia="Times New Roman" w:hint="default"/>
        </w:rPr>
        <w:t>3</w:t>
      </w:r>
      <w:r>
        <w:rPr/>
        <w:t>）非同一控制下企业合并的公司纳入合并后的报表情况：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2"/>
          <w:szCs w:val="12"/>
        </w:rPr>
      </w:pPr>
    </w:p>
    <w:tbl>
      <w:tblPr>
        <w:tblW w:w="0" w:type="auto"/>
        <w:jc w:val="left"/>
        <w:tblInd w:w="735" w:type="dxa"/>
        <w:tblLayout w:type="fixed"/>
        <w:tblCellMar>
          <w:top w:w="0" w:type="dxa"/>
          <w:left w:w="0" w:type="dxa"/>
          <w:bottom w:w="0" w:type="dxa"/>
          <w:right w:w="0" w:type="dxa"/>
        </w:tblCellMar>
        <w:tblLook w:val="01E0"/>
      </w:tblPr>
      <w:tblGrid>
        <w:gridCol w:w="2094"/>
        <w:gridCol w:w="2766"/>
        <w:gridCol w:w="2354"/>
        <w:gridCol w:w="1518"/>
      </w:tblGrid>
      <w:tr>
        <w:trPr>
          <w:trHeight w:val="404" w:hRule="exact"/>
        </w:trPr>
        <w:tc>
          <w:tcPr>
            <w:tcW w:w="209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北京利博赛</w:t>
            </w:r>
          </w:p>
        </w:tc>
        <w:tc>
          <w:tcPr>
            <w:tcW w:w="276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881"/>
              <w:jc w:val="right"/>
              <w:rPr>
                <w:rFonts w:ascii="Times New Roman" w:hAnsi="Times New Roman" w:cs="Times New Roman" w:eastAsia="Times New Roman" w:hint="default"/>
                <w:sz w:val="18"/>
                <w:szCs w:val="18"/>
              </w:rPr>
            </w:pPr>
            <w:r>
              <w:rPr>
                <w:rFonts w:ascii="Times New Roman"/>
                <w:sz w:val="18"/>
              </w:rPr>
              <w:t>3,598,028</w:t>
            </w:r>
          </w:p>
        </w:tc>
        <w:tc>
          <w:tcPr>
            <w:tcW w:w="235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687"/>
              <w:jc w:val="right"/>
              <w:rPr>
                <w:rFonts w:ascii="Times New Roman" w:hAnsi="Times New Roman" w:cs="Times New Roman" w:eastAsia="Times New Roman" w:hint="default"/>
                <w:sz w:val="18"/>
                <w:szCs w:val="18"/>
              </w:rPr>
            </w:pPr>
            <w:r>
              <w:rPr>
                <w:rFonts w:ascii="Times New Roman"/>
                <w:w w:val="95"/>
                <w:sz w:val="18"/>
              </w:rPr>
              <w:t>-1,039,841</w:t>
            </w:r>
            <w:r>
              <w:rPr>
                <w:rFonts w:ascii="Times New Roman"/>
                <w:sz w:val="18"/>
              </w:rPr>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z w:val="18"/>
              </w:rPr>
              <w:t>1,036,558</w:t>
            </w:r>
          </w:p>
        </w:tc>
      </w:tr>
      <w:tr>
        <w:trPr>
          <w:trHeight w:val="329" w:hRule="exact"/>
        </w:trPr>
        <w:tc>
          <w:tcPr>
            <w:tcW w:w="2094"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东软望海</w:t>
            </w:r>
          </w:p>
        </w:tc>
        <w:tc>
          <w:tcPr>
            <w:tcW w:w="2766"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881"/>
              <w:jc w:val="right"/>
              <w:rPr>
                <w:rFonts w:ascii="Times New Roman" w:hAnsi="Times New Roman" w:cs="Times New Roman" w:eastAsia="Times New Roman" w:hint="default"/>
                <w:sz w:val="18"/>
                <w:szCs w:val="18"/>
              </w:rPr>
            </w:pPr>
            <w:r>
              <w:rPr>
                <w:rFonts w:ascii="Times New Roman"/>
                <w:sz w:val="18"/>
              </w:rPr>
              <w:t>19,080,938</w:t>
            </w:r>
          </w:p>
        </w:tc>
        <w:tc>
          <w:tcPr>
            <w:tcW w:w="2354"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687"/>
              <w:jc w:val="right"/>
              <w:rPr>
                <w:rFonts w:ascii="Times New Roman" w:hAnsi="Times New Roman" w:cs="Times New Roman" w:eastAsia="Times New Roman" w:hint="default"/>
                <w:sz w:val="18"/>
                <w:szCs w:val="18"/>
              </w:rPr>
            </w:pPr>
            <w:r>
              <w:rPr>
                <w:rFonts w:ascii="Times New Roman"/>
                <w:sz w:val="18"/>
              </w:rPr>
              <w:t>1,669,753</w:t>
            </w:r>
          </w:p>
        </w:tc>
        <w:tc>
          <w:tcPr>
            <w:tcW w:w="1518"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231,731</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Heading6"/>
        <w:tabs>
          <w:tab w:pos="853" w:val="left" w:leader="none"/>
        </w:tabs>
        <w:spacing w:line="698" w:lineRule="auto"/>
        <w:ind w:left="125" w:right="4742"/>
        <w:jc w:val="left"/>
        <w:rPr>
          <w:b w:val="0"/>
          <w:bCs w:val="0"/>
        </w:rPr>
      </w:pPr>
      <w:r>
        <w:rPr>
          <w:w w:val="95"/>
        </w:rPr>
        <w:t>(六)</w:t>
        <w:tab/>
      </w:r>
      <w:r>
        <w:rPr/>
        <w:t>本期无因出售股权丧失控制权而减少子公司</w:t>
      </w:r>
      <w:r>
        <w:rPr>
          <w:spacing w:val="1"/>
          <w:w w:val="99"/>
        </w:rPr>
        <w:t> </w:t>
      </w:r>
      <w:r>
        <w:rPr>
          <w:w w:val="95"/>
        </w:rPr>
        <w:t>(七)</w:t>
        <w:tab/>
      </w:r>
      <w:r>
        <w:rPr/>
        <w:t>本期无反向购买</w:t>
      </w:r>
      <w:r>
        <w:rPr>
          <w:b w:val="0"/>
          <w:bCs w:val="0"/>
        </w:rPr>
      </w:r>
    </w:p>
    <w:p>
      <w:pPr>
        <w:tabs>
          <w:tab w:pos="853" w:val="left" w:leader="none"/>
        </w:tabs>
        <w:spacing w:before="123"/>
        <w:ind w:left="125" w:right="0" w:firstLine="0"/>
        <w:jc w:val="left"/>
        <w:rPr>
          <w:rFonts w:ascii="宋体" w:hAnsi="宋体" w:cs="宋体" w:eastAsia="宋体" w:hint="default"/>
          <w:sz w:val="21"/>
          <w:szCs w:val="21"/>
        </w:rPr>
      </w:pPr>
      <w:r>
        <w:rPr>
          <w:rFonts w:ascii="宋体" w:hAnsi="宋体" w:cs="宋体" w:eastAsia="宋体" w:hint="default"/>
          <w:b/>
          <w:bCs/>
          <w:w w:val="95"/>
          <w:sz w:val="21"/>
          <w:szCs w:val="21"/>
        </w:rPr>
        <w:t>(八)</w:t>
        <w:tab/>
      </w:r>
      <w:r>
        <w:rPr>
          <w:rFonts w:ascii="宋体" w:hAnsi="宋体" w:cs="宋体" w:eastAsia="宋体" w:hint="default"/>
          <w:b/>
          <w:bCs/>
          <w:sz w:val="21"/>
          <w:szCs w:val="21"/>
        </w:rPr>
        <w:t>本期无吸收合并</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pStyle w:val="BodyText"/>
        <w:tabs>
          <w:tab w:pos="853" w:val="left" w:leader="none"/>
        </w:tabs>
        <w:spacing w:line="350" w:lineRule="auto" w:before="0"/>
        <w:ind w:left="857" w:right="192" w:hanging="732"/>
        <w:jc w:val="left"/>
      </w:pPr>
      <w:r>
        <w:rPr>
          <w:rFonts w:ascii="宋体" w:hAnsi="宋体" w:cs="宋体" w:eastAsia="宋体" w:hint="default"/>
          <w:b/>
          <w:bCs/>
          <w:w w:val="95"/>
        </w:rPr>
        <w:t>(九)</w:t>
        <w:tab/>
      </w:r>
      <w:r>
        <w:rPr>
          <w:rFonts w:ascii="宋体" w:hAnsi="宋体" w:cs="宋体" w:eastAsia="宋体" w:hint="default"/>
          <w:b/>
          <w:bCs/>
        </w:rPr>
        <w:t>境外经营实体主要报表项目的折算汇率</w:t>
      </w:r>
      <w:r>
        <w:rPr>
          <w:rFonts w:ascii="宋体" w:hAnsi="宋体" w:cs="宋体" w:eastAsia="宋体" w:hint="default"/>
          <w:b/>
          <w:bCs/>
          <w:w w:val="99"/>
        </w:rPr>
        <w:t> </w:t>
      </w:r>
      <w:r>
        <w:rPr>
          <w:spacing w:val="-2"/>
        </w:rPr>
        <w:t>纳入本集团财务报表合并范围的境外子公司的外币资产负债表中的资产和负债项目，采用资产</w:t>
      </w:r>
      <w:r>
        <w:rPr/>
        <w:t> </w:t>
      </w:r>
      <w:r>
        <w:rPr>
          <w:spacing w:val="-2"/>
        </w:rPr>
        <w:t>负债表日的即期汇率折算；所有者权益项目除“未分配利润”项目外，其他项目采用发生时的</w:t>
      </w:r>
      <w:r>
        <w:rPr/>
        <w:t> </w:t>
      </w:r>
      <w:r>
        <w:rPr>
          <w:spacing w:val="-2"/>
        </w:rPr>
        <w:t>即期汇率折算。利润表中的收入和费用项目，采用报告期平均汇率折算。按照上述折算产生的</w:t>
      </w:r>
      <w:r>
        <w:rPr/>
        <w:t> 外币财务报表折算差额，在资产负债表所有者权益项目下单独列示。</w:t>
      </w:r>
    </w:p>
    <w:p>
      <w:pPr>
        <w:spacing w:after="0" w:line="350" w:lineRule="auto"/>
        <w:jc w:val="left"/>
        <w:sectPr>
          <w:pgSz w:w="11910" w:h="16840"/>
          <w:pgMar w:header="883" w:footer="1003" w:top="1540" w:bottom="1200" w:left="1300" w:right="1000"/>
        </w:sectPr>
      </w:pPr>
    </w:p>
    <w:p>
      <w:pPr>
        <w:spacing w:line="240" w:lineRule="auto" w:before="7"/>
        <w:rPr>
          <w:rFonts w:ascii="宋体" w:hAnsi="宋体" w:cs="宋体" w:eastAsia="宋体" w:hint="default"/>
          <w:sz w:val="3"/>
          <w:szCs w:val="3"/>
        </w:rPr>
      </w:pPr>
      <w:r>
        <w:rPr/>
        <w:pict>
          <v:group style="position:absolute;margin-left:101.519997pt;margin-top:140.039993pt;width:437.7pt;height:575.050pt;mso-position-horizontal-relative:page;mso-position-vertical-relative:page;z-index:-1128688" coordorigin="2030,2801" coordsize="8754,11501">
            <v:group style="position:absolute;left:2050;top:2816;width:8715;height:2" coordorigin="2050,2816" coordsize="8715,2">
              <v:shape style="position:absolute;left:2050;top:2816;width:8715;height:2" coordorigin="2050,2816" coordsize="8715,0" path="m2050,2816l10764,2816e" filled="false" stroked="true" strokeweight="1.5pt" strokecolor="#000000">
                <v:path arrowok="t"/>
              </v:shape>
              <v:shape style="position:absolute;left:3586;top:2806;width:3718;height:451" type="#_x0000_t75" stroked="false">
                <v:imagedata r:id="rId112" o:title=""/>
              </v:shape>
              <v:shape style="position:absolute;left:3592;top:3212;width:7193;height:448" type="#_x0000_t75" stroked="false">
                <v:imagedata r:id="rId113" o:title=""/>
              </v:shape>
              <v:shape style="position:absolute;left:2030;top:3622;width:8754;height:10680" type="#_x0000_t75" stroked="false">
                <v:imagedata r:id="rId114" o:title=""/>
              </v:shape>
            </v:group>
            <w10:wrap type="none"/>
          </v:group>
        </w:pict>
      </w: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67pt;height:.5pt;mso-position-horizontal-relative:char;mso-position-vertical-relative:line" coordorigin="0,0" coordsize="9340,10">
            <v:group style="position:absolute;left:5;top:5;width:9330;height:2" coordorigin="5,5" coordsize="9330,2">
              <v:shape style="position:absolute;left:5;top:5;width:9330;height:2" coordorigin="5,5" coordsize="9330,0" path="m5,5l9335,5e" filled="false" stroked="true" strokeweight=".47998pt" strokecolor="#000000">
                <v:path arrowok="t"/>
              </v:shape>
            </v:group>
          </v:group>
        </w:pict>
      </w:r>
      <w:r>
        <w:rPr>
          <w:rFonts w:ascii="宋体" w:hAnsi="宋体" w:cs="宋体" w:eastAsia="宋体" w:hint="default"/>
          <w:sz w:val="2"/>
          <w:szCs w:val="2"/>
        </w:rPr>
      </w:r>
    </w:p>
    <w:p>
      <w:pPr>
        <w:pStyle w:val="Heading6"/>
        <w:tabs>
          <w:tab w:pos="853" w:val="left" w:leader="none"/>
        </w:tabs>
        <w:spacing w:line="240" w:lineRule="auto" w:before="82"/>
        <w:ind w:left="129" w:right="0"/>
        <w:jc w:val="left"/>
        <w:rPr>
          <w:b w:val="0"/>
          <w:bCs w:val="0"/>
        </w:rPr>
      </w:pPr>
      <w:r>
        <w:rPr>
          <w:w w:val="95"/>
        </w:rPr>
        <w:t>五、</w:t>
        <w:tab/>
      </w:r>
      <w:r>
        <w:rPr/>
        <w:t>合并财务报表主要项目注释</w:t>
      </w:r>
      <w:r>
        <w:rPr>
          <w:b w:val="0"/>
          <w:bCs w:val="0"/>
        </w:rPr>
      </w:r>
    </w:p>
    <w:p>
      <w:pPr>
        <w:tabs>
          <w:tab w:pos="895" w:val="left" w:leader="none"/>
        </w:tabs>
        <w:spacing w:line="348" w:lineRule="auto" w:before="126"/>
        <w:ind w:left="125" w:right="4613" w:firstLine="453"/>
        <w:jc w:val="left"/>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 </w:t>
      </w:r>
      <w:r>
        <w:rPr>
          <w:rFonts w:ascii="宋体" w:hAnsi="宋体" w:cs="宋体" w:eastAsia="宋体" w:hint="default"/>
          <w:b/>
          <w:bCs/>
          <w:w w:val="95"/>
          <w:sz w:val="21"/>
          <w:szCs w:val="21"/>
        </w:rPr>
        <w:t>(一)</w:t>
        <w:tab/>
      </w:r>
      <w:r>
        <w:rPr>
          <w:rFonts w:ascii="宋体" w:hAnsi="宋体" w:cs="宋体" w:eastAsia="宋体" w:hint="default"/>
          <w:b/>
          <w:bCs/>
          <w:sz w:val="21"/>
          <w:szCs w:val="21"/>
        </w:rPr>
        <w:t>货币资金</w:t>
      </w:r>
      <w:r>
        <w:rPr>
          <w:rFonts w:ascii="宋体" w:hAnsi="宋体" w:cs="宋体" w:eastAsia="宋体" w:hint="default"/>
          <w:sz w:val="21"/>
          <w:szCs w:val="21"/>
        </w:rPr>
      </w:r>
    </w:p>
    <w:p>
      <w:pPr>
        <w:spacing w:line="240" w:lineRule="auto" w:before="7"/>
        <w:rPr>
          <w:rFonts w:ascii="宋体" w:hAnsi="宋体" w:cs="宋体" w:eastAsia="宋体" w:hint="default"/>
          <w:b/>
          <w:bCs/>
          <w:sz w:val="4"/>
          <w:szCs w:val="4"/>
        </w:rPr>
      </w:pPr>
    </w:p>
    <w:tbl>
      <w:tblPr>
        <w:tblW w:w="0" w:type="auto"/>
        <w:jc w:val="left"/>
        <w:tblInd w:w="735" w:type="dxa"/>
        <w:tblLayout w:type="fixed"/>
        <w:tblCellMar>
          <w:top w:w="0" w:type="dxa"/>
          <w:left w:w="0" w:type="dxa"/>
          <w:bottom w:w="0" w:type="dxa"/>
          <w:right w:w="0" w:type="dxa"/>
        </w:tblCellMar>
        <w:tblLook w:val="01E0"/>
      </w:tblPr>
      <w:tblGrid>
        <w:gridCol w:w="1561"/>
        <w:gridCol w:w="1334"/>
        <w:gridCol w:w="1023"/>
        <w:gridCol w:w="1379"/>
        <w:gridCol w:w="1238"/>
        <w:gridCol w:w="992"/>
        <w:gridCol w:w="1201"/>
      </w:tblGrid>
      <w:tr>
        <w:trPr>
          <w:trHeight w:val="806"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9"/>
                <w:szCs w:val="19"/>
              </w:rPr>
            </w:pPr>
          </w:p>
          <w:p>
            <w:pPr>
              <w:pStyle w:val="TableParagraph"/>
              <w:tabs>
                <w:tab w:pos="976" w:val="left" w:leader="none"/>
              </w:tabs>
              <w:spacing w:line="240" w:lineRule="auto"/>
              <w:ind w:left="436"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1023"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71" w:right="147" w:hanging="18"/>
              <w:jc w:val="left"/>
              <w:rPr>
                <w:rFonts w:ascii="宋体" w:hAnsi="宋体" w:cs="宋体" w:eastAsia="宋体" w:hint="default"/>
                <w:sz w:val="18"/>
                <w:szCs w:val="18"/>
              </w:rPr>
            </w:pPr>
            <w:r>
              <w:rPr>
                <w:rFonts w:ascii="宋体" w:hAnsi="宋体" w:cs="宋体" w:eastAsia="宋体" w:hint="default"/>
                <w:sz w:val="18"/>
                <w:szCs w:val="18"/>
              </w:rPr>
              <w:t>期末余额 折算率</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49" w:right="0"/>
              <w:jc w:val="left"/>
              <w:rPr>
                <w:rFonts w:ascii="宋体" w:hAnsi="宋体" w:cs="宋体" w:eastAsia="宋体" w:hint="default"/>
                <w:sz w:val="18"/>
                <w:szCs w:val="18"/>
              </w:rPr>
            </w:pPr>
            <w:r>
              <w:rPr>
                <w:rFonts w:ascii="宋体" w:hAnsi="宋体" w:cs="宋体" w:eastAsia="宋体" w:hint="default"/>
                <w:sz w:val="18"/>
                <w:szCs w:val="18"/>
              </w:rPr>
              <w:t>人民币金额</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238"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992" w:type="dxa"/>
            <w:tcBorders>
              <w:top w:val="nil" w:sz="6" w:space="0" w:color="auto"/>
              <w:left w:val="nil" w:sz="6" w:space="0" w:color="auto"/>
              <w:bottom w:val="nil" w:sz="6" w:space="0" w:color="auto"/>
              <w:right w:val="nil" w:sz="6" w:space="0" w:color="auto"/>
            </w:tcBorders>
          </w:tcPr>
          <w:p>
            <w:pPr>
              <w:pStyle w:val="TableParagraph"/>
              <w:spacing w:line="417" w:lineRule="auto" w:before="44"/>
              <w:ind w:left="233" w:right="182" w:hanging="147"/>
              <w:jc w:val="left"/>
              <w:rPr>
                <w:rFonts w:ascii="宋体" w:hAnsi="宋体" w:cs="宋体" w:eastAsia="宋体" w:hint="default"/>
                <w:sz w:val="18"/>
                <w:szCs w:val="18"/>
              </w:rPr>
            </w:pPr>
            <w:r>
              <w:rPr>
                <w:rFonts w:ascii="宋体" w:hAnsi="宋体" w:cs="宋体" w:eastAsia="宋体" w:hint="default"/>
                <w:sz w:val="18"/>
                <w:szCs w:val="18"/>
              </w:rPr>
              <w:t>年初余额 折算率</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50"/>
              <w:jc w:val="right"/>
              <w:rPr>
                <w:rFonts w:ascii="宋体" w:hAnsi="宋体" w:cs="宋体" w:eastAsia="宋体" w:hint="default"/>
                <w:sz w:val="18"/>
                <w:szCs w:val="18"/>
              </w:rPr>
            </w:pPr>
            <w:r>
              <w:rPr>
                <w:rFonts w:ascii="宋体" w:hAnsi="宋体" w:cs="宋体" w:eastAsia="宋体" w:hint="default"/>
                <w:sz w:val="18"/>
                <w:szCs w:val="18"/>
              </w:rPr>
              <w:t>人民币金额</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334" w:type="dxa"/>
            <w:tcBorders>
              <w:top w:val="nil" w:sz="6" w:space="0" w:color="auto"/>
              <w:left w:val="nil" w:sz="6" w:space="0" w:color="auto"/>
              <w:bottom w:val="nil" w:sz="6" w:space="0" w:color="auto"/>
              <w:right w:val="nil" w:sz="6" w:space="0" w:color="auto"/>
            </w:tcBorders>
          </w:tcPr>
          <w:p>
            <w:pPr/>
          </w:p>
        </w:tc>
        <w:tc>
          <w:tcPr>
            <w:tcW w:w="1023" w:type="dxa"/>
            <w:tcBorders>
              <w:top w:val="nil" w:sz="6" w:space="0" w:color="auto"/>
              <w:left w:val="nil" w:sz="6" w:space="0" w:color="auto"/>
              <w:bottom w:val="nil" w:sz="6" w:space="0" w:color="auto"/>
              <w:right w:val="nil" w:sz="6" w:space="0" w:color="auto"/>
            </w:tcBorders>
          </w:tcPr>
          <w:p>
            <w:pPr/>
          </w:p>
        </w:tc>
        <w:tc>
          <w:tcPr>
            <w:tcW w:w="1379" w:type="dxa"/>
            <w:tcBorders>
              <w:top w:val="nil" w:sz="6" w:space="0" w:color="auto"/>
              <w:left w:val="nil" w:sz="6" w:space="0" w:color="auto"/>
              <w:bottom w:val="nil" w:sz="6" w:space="0" w:color="auto"/>
              <w:right w:val="nil" w:sz="6" w:space="0" w:color="auto"/>
            </w:tcBorders>
          </w:tcPr>
          <w:p>
            <w:pPr/>
          </w:p>
        </w:tc>
        <w:tc>
          <w:tcPr>
            <w:tcW w:w="1238"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r>
      <w:tr>
        <w:trPr>
          <w:trHeight w:val="42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0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334" w:type="dxa"/>
            <w:tcBorders>
              <w:top w:val="nil" w:sz="6" w:space="0" w:color="auto"/>
              <w:left w:val="nil" w:sz="6" w:space="0" w:color="auto"/>
              <w:bottom w:val="nil" w:sz="6" w:space="0" w:color="auto"/>
              <w:right w:val="nil" w:sz="6" w:space="0" w:color="auto"/>
            </w:tcBorders>
          </w:tcPr>
          <w:p>
            <w:pPr/>
          </w:p>
        </w:tc>
        <w:tc>
          <w:tcPr>
            <w:tcW w:w="1023" w:type="dxa"/>
            <w:tcBorders>
              <w:top w:val="nil" w:sz="6" w:space="0" w:color="auto"/>
              <w:left w:val="nil" w:sz="6" w:space="0" w:color="auto"/>
              <w:bottom w:val="nil" w:sz="6" w:space="0" w:color="auto"/>
              <w:right w:val="nil" w:sz="6" w:space="0" w:color="auto"/>
            </w:tcBorders>
          </w:tcPr>
          <w:p>
            <w:pP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66"/>
              <w:jc w:val="right"/>
              <w:rPr>
                <w:rFonts w:ascii="Times New Roman" w:hAnsi="Times New Roman" w:cs="Times New Roman" w:eastAsia="Times New Roman" w:hint="default"/>
                <w:sz w:val="18"/>
                <w:szCs w:val="18"/>
              </w:rPr>
            </w:pPr>
            <w:r>
              <w:rPr>
                <w:rFonts w:ascii="Times New Roman"/>
                <w:sz w:val="18"/>
              </w:rPr>
              <w:t>198,093</w:t>
            </w:r>
          </w:p>
        </w:tc>
        <w:tc>
          <w:tcPr>
            <w:tcW w:w="1238"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52"/>
              <w:jc w:val="right"/>
              <w:rPr>
                <w:rFonts w:ascii="Times New Roman" w:hAnsi="Times New Roman" w:cs="Times New Roman" w:eastAsia="Times New Roman" w:hint="default"/>
                <w:sz w:val="18"/>
                <w:szCs w:val="18"/>
              </w:rPr>
            </w:pPr>
            <w:r>
              <w:rPr>
                <w:rFonts w:ascii="Times New Roman"/>
                <w:sz w:val="18"/>
              </w:rPr>
              <w:t>254,766</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3"/>
              <w:jc w:val="right"/>
              <w:rPr>
                <w:rFonts w:ascii="Times New Roman" w:hAnsi="Times New Roman" w:cs="Times New Roman" w:eastAsia="Times New Roman" w:hint="default"/>
                <w:sz w:val="18"/>
                <w:szCs w:val="18"/>
              </w:rPr>
            </w:pPr>
            <w:r>
              <w:rPr>
                <w:rFonts w:ascii="Times New Roman"/>
                <w:sz w:val="18"/>
              </w:rPr>
              <w:t>2,000</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5"/>
              <w:jc w:val="right"/>
              <w:rPr>
                <w:rFonts w:ascii="Times New Roman" w:hAnsi="Times New Roman" w:cs="Times New Roman" w:eastAsia="Times New Roman" w:hint="default"/>
                <w:sz w:val="18"/>
                <w:szCs w:val="18"/>
              </w:rPr>
            </w:pPr>
            <w:r>
              <w:rPr>
                <w:rFonts w:ascii="Times New Roman"/>
                <w:sz w:val="18"/>
              </w:rPr>
              <w:t>6.3009</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12,602</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6"/>
              <w:jc w:val="right"/>
              <w:rPr>
                <w:rFonts w:ascii="Times New Roman" w:hAnsi="Times New Roman" w:cs="Times New Roman" w:eastAsia="Times New Roman" w:hint="default"/>
                <w:sz w:val="18"/>
                <w:szCs w:val="18"/>
              </w:rPr>
            </w:pPr>
            <w:r>
              <w:rPr>
                <w:rFonts w:ascii="Times New Roman"/>
                <w:sz w:val="18"/>
              </w:rPr>
              <w:t>1</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8"/>
              <w:jc w:val="right"/>
              <w:rPr>
                <w:rFonts w:ascii="Times New Roman" w:hAnsi="Times New Roman" w:cs="Times New Roman" w:eastAsia="Times New Roman" w:hint="default"/>
                <w:sz w:val="18"/>
                <w:szCs w:val="18"/>
              </w:rPr>
            </w:pPr>
            <w:r>
              <w:rPr>
                <w:rFonts w:ascii="Times New Roman"/>
                <w:sz w:val="18"/>
              </w:rPr>
              <w:t>6.6227</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7</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3"/>
              <w:jc w:val="right"/>
              <w:rPr>
                <w:rFonts w:ascii="Times New Roman" w:hAnsi="Times New Roman" w:cs="Times New Roman" w:eastAsia="Times New Roman" w:hint="default"/>
                <w:sz w:val="18"/>
                <w:szCs w:val="18"/>
              </w:rPr>
            </w:pPr>
            <w:r>
              <w:rPr>
                <w:rFonts w:ascii="Times New Roman"/>
                <w:sz w:val="18"/>
              </w:rPr>
              <w:t>23,299</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6"/>
              <w:jc w:val="right"/>
              <w:rPr>
                <w:rFonts w:ascii="Times New Roman" w:hAnsi="Times New Roman" w:cs="Times New Roman" w:eastAsia="Times New Roman" w:hint="default"/>
                <w:sz w:val="18"/>
                <w:szCs w:val="18"/>
              </w:rPr>
            </w:pPr>
            <w:r>
              <w:rPr>
                <w:rFonts w:ascii="Times New Roman"/>
                <w:spacing w:val="-1"/>
                <w:w w:val="95"/>
                <w:sz w:val="18"/>
              </w:rPr>
              <w:t>0.081103</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1,890</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6"/>
              <w:jc w:val="right"/>
              <w:rPr>
                <w:rFonts w:ascii="Times New Roman" w:hAnsi="Times New Roman" w:cs="Times New Roman" w:eastAsia="Times New Roman" w:hint="default"/>
                <w:sz w:val="18"/>
                <w:szCs w:val="18"/>
              </w:rPr>
            </w:pPr>
            <w:r>
              <w:rPr>
                <w:rFonts w:ascii="Times New Roman"/>
                <w:spacing w:val="-2"/>
                <w:sz w:val="18"/>
              </w:rPr>
              <w:t>205,511</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8"/>
              <w:jc w:val="right"/>
              <w:rPr>
                <w:rFonts w:ascii="Times New Roman" w:hAnsi="Times New Roman" w:cs="Times New Roman" w:eastAsia="Times New Roman" w:hint="default"/>
                <w:sz w:val="18"/>
                <w:szCs w:val="18"/>
              </w:rPr>
            </w:pPr>
            <w:r>
              <w:rPr>
                <w:rFonts w:ascii="Times New Roman"/>
                <w:sz w:val="18"/>
              </w:rPr>
              <w:t>0.081260</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16,700</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0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3"/>
              <w:jc w:val="right"/>
              <w:rPr>
                <w:rFonts w:ascii="Times New Roman" w:hAnsi="Times New Roman" w:cs="Times New Roman" w:eastAsia="Times New Roman" w:hint="default"/>
                <w:sz w:val="18"/>
                <w:szCs w:val="18"/>
              </w:rPr>
            </w:pPr>
            <w:r>
              <w:rPr>
                <w:rFonts w:ascii="Times New Roman"/>
                <w:sz w:val="18"/>
              </w:rPr>
              <w:t>5,462</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5"/>
              <w:jc w:val="right"/>
              <w:rPr>
                <w:rFonts w:ascii="Times New Roman" w:hAnsi="Times New Roman" w:cs="Times New Roman" w:eastAsia="Times New Roman" w:hint="default"/>
                <w:sz w:val="18"/>
                <w:szCs w:val="18"/>
              </w:rPr>
            </w:pPr>
            <w:r>
              <w:rPr>
                <w:rFonts w:ascii="Times New Roman"/>
                <w:sz w:val="18"/>
              </w:rPr>
              <w:t>8.1625</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44,584</w:t>
            </w:r>
          </w:p>
        </w:tc>
        <w:tc>
          <w:tcPr>
            <w:tcW w:w="1238"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4"/>
              <w:jc w:val="right"/>
              <w:rPr>
                <w:rFonts w:ascii="Times New Roman" w:hAnsi="Times New Roman" w:cs="Times New Roman" w:eastAsia="Times New Roman" w:hint="default"/>
                <w:sz w:val="18"/>
                <w:szCs w:val="18"/>
              </w:rPr>
            </w:pPr>
            <w:r>
              <w:rPr>
                <w:rFonts w:ascii="Times New Roman"/>
                <w:sz w:val="18"/>
              </w:rPr>
              <w:t>1,392</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5"/>
              <w:jc w:val="right"/>
              <w:rPr>
                <w:rFonts w:ascii="Times New Roman" w:hAnsi="Times New Roman" w:cs="Times New Roman" w:eastAsia="Times New Roman" w:hint="default"/>
                <w:sz w:val="18"/>
                <w:szCs w:val="18"/>
              </w:rPr>
            </w:pPr>
            <w:r>
              <w:rPr>
                <w:rFonts w:ascii="Times New Roman"/>
                <w:sz w:val="18"/>
              </w:rPr>
              <w:t>0.8107</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1,128</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6"/>
              <w:jc w:val="right"/>
              <w:rPr>
                <w:rFonts w:ascii="Times New Roman" w:hAnsi="Times New Roman" w:cs="Times New Roman" w:eastAsia="Times New Roman" w:hint="default"/>
                <w:sz w:val="18"/>
                <w:szCs w:val="18"/>
              </w:rPr>
            </w:pPr>
            <w:r>
              <w:rPr>
                <w:rFonts w:ascii="Times New Roman"/>
                <w:sz w:val="18"/>
              </w:rPr>
              <w:t>967</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8"/>
              <w:jc w:val="right"/>
              <w:rPr>
                <w:rFonts w:ascii="Times New Roman" w:hAnsi="Times New Roman" w:cs="Times New Roman" w:eastAsia="Times New Roman" w:hint="default"/>
                <w:sz w:val="18"/>
                <w:szCs w:val="18"/>
              </w:rPr>
            </w:pPr>
            <w:r>
              <w:rPr>
                <w:rFonts w:ascii="Times New Roman"/>
                <w:sz w:val="18"/>
              </w:rPr>
              <w:t>0.8509</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823</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6"/>
              <w:jc w:val="right"/>
              <w:rPr>
                <w:rFonts w:ascii="宋体" w:hAnsi="宋体" w:cs="宋体" w:eastAsia="宋体" w:hint="default"/>
                <w:sz w:val="18"/>
                <w:szCs w:val="18"/>
              </w:rPr>
            </w:pPr>
            <w:r>
              <w:rPr>
                <w:rFonts w:ascii="宋体" w:hAnsi="宋体" w:cs="宋体" w:eastAsia="宋体" w:hint="default"/>
                <w:sz w:val="18"/>
                <w:szCs w:val="18"/>
              </w:rPr>
              <w:t>阿联酋迪拉姆</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3"/>
              <w:jc w:val="right"/>
              <w:rPr>
                <w:rFonts w:ascii="Times New Roman" w:hAnsi="Times New Roman" w:cs="Times New Roman" w:eastAsia="Times New Roman" w:hint="default"/>
                <w:sz w:val="18"/>
                <w:szCs w:val="18"/>
              </w:rPr>
            </w:pPr>
            <w:r>
              <w:rPr>
                <w:rFonts w:ascii="Times New Roman"/>
                <w:sz w:val="18"/>
              </w:rPr>
              <w:t>1,467</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5"/>
              <w:jc w:val="right"/>
              <w:rPr>
                <w:rFonts w:ascii="Times New Roman" w:hAnsi="Times New Roman" w:cs="Times New Roman" w:eastAsia="Times New Roman" w:hint="default"/>
                <w:sz w:val="18"/>
                <w:szCs w:val="18"/>
              </w:rPr>
            </w:pPr>
            <w:r>
              <w:rPr>
                <w:rFonts w:ascii="Times New Roman"/>
                <w:sz w:val="18"/>
              </w:rPr>
              <w:t>1.7159</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2,517</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5"/>
              <w:jc w:val="right"/>
              <w:rPr>
                <w:rFonts w:ascii="Times New Roman" w:hAnsi="Times New Roman" w:cs="Times New Roman" w:eastAsia="Times New Roman" w:hint="default"/>
                <w:sz w:val="18"/>
                <w:szCs w:val="18"/>
              </w:rPr>
            </w:pPr>
            <w:r>
              <w:rPr>
                <w:rFonts w:ascii="Times New Roman"/>
                <w:sz w:val="18"/>
              </w:rPr>
              <w:t>12,236</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8"/>
              <w:jc w:val="right"/>
              <w:rPr>
                <w:rFonts w:ascii="Times New Roman" w:hAnsi="Times New Roman" w:cs="Times New Roman" w:eastAsia="Times New Roman" w:hint="default"/>
                <w:sz w:val="18"/>
                <w:szCs w:val="18"/>
              </w:rPr>
            </w:pPr>
            <w:r>
              <w:rPr>
                <w:rFonts w:ascii="Times New Roman"/>
                <w:sz w:val="18"/>
              </w:rPr>
              <w:t>1.8129</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22,183</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76"/>
              <w:jc w:val="right"/>
              <w:rPr>
                <w:rFonts w:ascii="宋体" w:hAnsi="宋体" w:cs="宋体" w:eastAsia="宋体" w:hint="default"/>
                <w:sz w:val="18"/>
                <w:szCs w:val="18"/>
              </w:rPr>
            </w:pPr>
            <w:r>
              <w:rPr>
                <w:rFonts w:ascii="宋体" w:hAnsi="宋体" w:cs="宋体" w:eastAsia="宋体" w:hint="default"/>
                <w:sz w:val="18"/>
                <w:szCs w:val="18"/>
              </w:rPr>
              <w:t>罗马尼亚列伊</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3"/>
              <w:jc w:val="right"/>
              <w:rPr>
                <w:rFonts w:ascii="Times New Roman" w:hAnsi="Times New Roman" w:cs="Times New Roman" w:eastAsia="Times New Roman" w:hint="default"/>
                <w:sz w:val="18"/>
                <w:szCs w:val="18"/>
              </w:rPr>
            </w:pPr>
            <w:r>
              <w:rPr>
                <w:rFonts w:ascii="Times New Roman"/>
                <w:sz w:val="18"/>
              </w:rPr>
              <w:t>3,203</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5"/>
              <w:jc w:val="right"/>
              <w:rPr>
                <w:rFonts w:ascii="Times New Roman" w:hAnsi="Times New Roman" w:cs="Times New Roman" w:eastAsia="Times New Roman" w:hint="default"/>
                <w:sz w:val="18"/>
                <w:szCs w:val="18"/>
              </w:rPr>
            </w:pPr>
            <w:r>
              <w:rPr>
                <w:rFonts w:ascii="Times New Roman"/>
                <w:sz w:val="18"/>
              </w:rPr>
              <w:t>1.8972</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6,077</w:t>
            </w:r>
          </w:p>
        </w:tc>
        <w:tc>
          <w:tcPr>
            <w:tcW w:w="1238"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334" w:type="dxa"/>
            <w:tcBorders>
              <w:top w:val="nil" w:sz="6" w:space="0" w:color="auto"/>
              <w:left w:val="nil" w:sz="6" w:space="0" w:color="auto"/>
              <w:bottom w:val="nil" w:sz="6" w:space="0" w:color="auto"/>
              <w:right w:val="nil" w:sz="6" w:space="0" w:color="auto"/>
            </w:tcBorders>
          </w:tcPr>
          <w:p>
            <w:pPr/>
          </w:p>
        </w:tc>
        <w:tc>
          <w:tcPr>
            <w:tcW w:w="1023" w:type="dxa"/>
            <w:tcBorders>
              <w:top w:val="nil" w:sz="6" w:space="0" w:color="auto"/>
              <w:left w:val="nil" w:sz="6" w:space="0" w:color="auto"/>
              <w:bottom w:val="nil" w:sz="6" w:space="0" w:color="auto"/>
              <w:right w:val="nil" w:sz="6" w:space="0" w:color="auto"/>
            </w:tcBorders>
          </w:tcPr>
          <w:p>
            <w:pP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266,891</w:t>
            </w:r>
          </w:p>
        </w:tc>
        <w:tc>
          <w:tcPr>
            <w:tcW w:w="1238"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2"/>
              <w:jc w:val="right"/>
              <w:rPr>
                <w:rFonts w:ascii="Times New Roman" w:hAnsi="Times New Roman" w:cs="Times New Roman" w:eastAsia="Times New Roman" w:hint="default"/>
                <w:sz w:val="18"/>
                <w:szCs w:val="18"/>
              </w:rPr>
            </w:pPr>
            <w:r>
              <w:rPr>
                <w:rFonts w:ascii="Times New Roman"/>
                <w:sz w:val="18"/>
              </w:rPr>
              <w:t>294,479</w:t>
            </w:r>
          </w:p>
        </w:tc>
      </w:tr>
      <w:tr>
        <w:trPr>
          <w:trHeight w:val="40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334" w:type="dxa"/>
            <w:tcBorders>
              <w:top w:val="nil" w:sz="6" w:space="0" w:color="auto"/>
              <w:left w:val="nil" w:sz="6" w:space="0" w:color="auto"/>
              <w:bottom w:val="nil" w:sz="6" w:space="0" w:color="auto"/>
              <w:right w:val="nil" w:sz="6" w:space="0" w:color="auto"/>
            </w:tcBorders>
          </w:tcPr>
          <w:p>
            <w:pPr/>
          </w:p>
        </w:tc>
        <w:tc>
          <w:tcPr>
            <w:tcW w:w="1023" w:type="dxa"/>
            <w:tcBorders>
              <w:top w:val="nil" w:sz="6" w:space="0" w:color="auto"/>
              <w:left w:val="nil" w:sz="6" w:space="0" w:color="auto"/>
              <w:bottom w:val="nil" w:sz="6" w:space="0" w:color="auto"/>
              <w:right w:val="nil" w:sz="6" w:space="0" w:color="auto"/>
            </w:tcBorders>
          </w:tcPr>
          <w:p>
            <w:pPr/>
          </w:p>
        </w:tc>
        <w:tc>
          <w:tcPr>
            <w:tcW w:w="1379" w:type="dxa"/>
            <w:tcBorders>
              <w:top w:val="nil" w:sz="6" w:space="0" w:color="auto"/>
              <w:left w:val="nil" w:sz="6" w:space="0" w:color="auto"/>
              <w:bottom w:val="nil" w:sz="6" w:space="0" w:color="auto"/>
              <w:right w:val="nil" w:sz="6" w:space="0" w:color="auto"/>
            </w:tcBorders>
          </w:tcPr>
          <w:p>
            <w:pPr/>
          </w:p>
        </w:tc>
        <w:tc>
          <w:tcPr>
            <w:tcW w:w="1238"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r>
      <w:tr>
        <w:trPr>
          <w:trHeight w:val="42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0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334" w:type="dxa"/>
            <w:tcBorders>
              <w:top w:val="nil" w:sz="6" w:space="0" w:color="auto"/>
              <w:left w:val="nil" w:sz="6" w:space="0" w:color="auto"/>
              <w:bottom w:val="nil" w:sz="6" w:space="0" w:color="auto"/>
              <w:right w:val="nil" w:sz="6" w:space="0" w:color="auto"/>
            </w:tcBorders>
          </w:tcPr>
          <w:p>
            <w:pPr/>
          </w:p>
        </w:tc>
        <w:tc>
          <w:tcPr>
            <w:tcW w:w="1023" w:type="dxa"/>
            <w:tcBorders>
              <w:top w:val="nil" w:sz="6" w:space="0" w:color="auto"/>
              <w:left w:val="nil" w:sz="6" w:space="0" w:color="auto"/>
              <w:bottom w:val="nil" w:sz="6" w:space="0" w:color="auto"/>
              <w:right w:val="nil" w:sz="6" w:space="0" w:color="auto"/>
            </w:tcBorders>
          </w:tcPr>
          <w:p>
            <w:pP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177" w:right="0"/>
              <w:jc w:val="left"/>
              <w:rPr>
                <w:rFonts w:ascii="Times New Roman" w:hAnsi="Times New Roman" w:cs="Times New Roman" w:eastAsia="Times New Roman" w:hint="default"/>
                <w:sz w:val="18"/>
                <w:szCs w:val="18"/>
              </w:rPr>
            </w:pPr>
            <w:r>
              <w:rPr>
                <w:rFonts w:ascii="Times New Roman"/>
                <w:sz w:val="18"/>
              </w:rPr>
              <w:t>1,500,755,787</w:t>
            </w:r>
          </w:p>
        </w:tc>
        <w:tc>
          <w:tcPr>
            <w:tcW w:w="1238"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53"/>
              <w:jc w:val="right"/>
              <w:rPr>
                <w:rFonts w:ascii="Times New Roman" w:hAnsi="Times New Roman" w:cs="Times New Roman" w:eastAsia="Times New Roman" w:hint="default"/>
                <w:sz w:val="18"/>
                <w:szCs w:val="18"/>
              </w:rPr>
            </w:pPr>
            <w:r>
              <w:rPr>
                <w:rFonts w:ascii="Times New Roman"/>
                <w:spacing w:val="-1"/>
                <w:sz w:val="18"/>
              </w:rPr>
              <w:t>1,473,722,991</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3"/>
              <w:jc w:val="right"/>
              <w:rPr>
                <w:rFonts w:ascii="Times New Roman" w:hAnsi="Times New Roman" w:cs="Times New Roman" w:eastAsia="Times New Roman" w:hint="default"/>
                <w:sz w:val="18"/>
                <w:szCs w:val="18"/>
              </w:rPr>
            </w:pPr>
            <w:r>
              <w:rPr>
                <w:rFonts w:ascii="Times New Roman"/>
                <w:sz w:val="18"/>
              </w:rPr>
              <w:t>17,631,079</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5"/>
              <w:jc w:val="right"/>
              <w:rPr>
                <w:rFonts w:ascii="Times New Roman" w:hAnsi="Times New Roman" w:cs="Times New Roman" w:eastAsia="Times New Roman" w:hint="default"/>
                <w:sz w:val="18"/>
                <w:szCs w:val="18"/>
              </w:rPr>
            </w:pPr>
            <w:r>
              <w:rPr>
                <w:rFonts w:ascii="Times New Roman"/>
                <w:sz w:val="18"/>
              </w:rPr>
              <w:t>6.3009</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pacing w:val="-2"/>
                <w:sz w:val="18"/>
              </w:rPr>
              <w:t>111,091,666</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6"/>
              <w:jc w:val="right"/>
              <w:rPr>
                <w:rFonts w:ascii="Times New Roman" w:hAnsi="Times New Roman" w:cs="Times New Roman" w:eastAsia="Times New Roman" w:hint="default"/>
                <w:sz w:val="18"/>
                <w:szCs w:val="18"/>
              </w:rPr>
            </w:pPr>
            <w:r>
              <w:rPr>
                <w:rFonts w:ascii="Times New Roman"/>
                <w:spacing w:val="-1"/>
                <w:sz w:val="18"/>
              </w:rPr>
              <w:t>11,890,672</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9"/>
              <w:jc w:val="right"/>
              <w:rPr>
                <w:rFonts w:ascii="Times New Roman" w:hAnsi="Times New Roman" w:cs="Times New Roman" w:eastAsia="Times New Roman" w:hint="default"/>
                <w:sz w:val="18"/>
                <w:szCs w:val="18"/>
              </w:rPr>
            </w:pPr>
            <w:r>
              <w:rPr>
                <w:rFonts w:ascii="Times New Roman"/>
                <w:sz w:val="18"/>
              </w:rPr>
              <w:t>6.6227</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78,748,353</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2"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4"/>
              <w:jc w:val="right"/>
              <w:rPr>
                <w:rFonts w:ascii="Times New Roman" w:hAnsi="Times New Roman" w:cs="Times New Roman" w:eastAsia="Times New Roman" w:hint="default"/>
                <w:sz w:val="18"/>
                <w:szCs w:val="18"/>
              </w:rPr>
            </w:pPr>
            <w:r>
              <w:rPr>
                <w:rFonts w:ascii="Times New Roman"/>
                <w:spacing w:val="-1"/>
                <w:sz w:val="18"/>
              </w:rPr>
              <w:t>1,112,200,915</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6"/>
              <w:jc w:val="right"/>
              <w:rPr>
                <w:rFonts w:ascii="Times New Roman" w:hAnsi="Times New Roman" w:cs="Times New Roman" w:eastAsia="Times New Roman" w:hint="default"/>
                <w:sz w:val="18"/>
                <w:szCs w:val="18"/>
              </w:rPr>
            </w:pPr>
            <w:r>
              <w:rPr>
                <w:rFonts w:ascii="Times New Roman"/>
                <w:spacing w:val="-1"/>
                <w:w w:val="95"/>
                <w:sz w:val="18"/>
              </w:rPr>
              <w:t>0.081103</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90,202,831</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6"/>
              <w:jc w:val="right"/>
              <w:rPr>
                <w:rFonts w:ascii="Times New Roman" w:hAnsi="Times New Roman" w:cs="Times New Roman" w:eastAsia="Times New Roman" w:hint="default"/>
                <w:sz w:val="18"/>
                <w:szCs w:val="18"/>
              </w:rPr>
            </w:pPr>
            <w:r>
              <w:rPr>
                <w:rFonts w:ascii="Times New Roman"/>
                <w:spacing w:val="-1"/>
                <w:sz w:val="18"/>
              </w:rPr>
              <w:t>1,200,795,563</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9"/>
              <w:jc w:val="right"/>
              <w:rPr>
                <w:rFonts w:ascii="Times New Roman" w:hAnsi="Times New Roman" w:cs="Times New Roman" w:eastAsia="Times New Roman" w:hint="default"/>
                <w:sz w:val="18"/>
                <w:szCs w:val="18"/>
              </w:rPr>
            </w:pPr>
            <w:r>
              <w:rPr>
                <w:rFonts w:ascii="Times New Roman"/>
                <w:sz w:val="18"/>
              </w:rPr>
              <w:t>0.081260</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97,576,647</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0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3,461,400</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5"/>
              <w:jc w:val="right"/>
              <w:rPr>
                <w:rFonts w:ascii="Times New Roman" w:hAnsi="Times New Roman" w:cs="Times New Roman" w:eastAsia="Times New Roman" w:hint="default"/>
                <w:sz w:val="18"/>
                <w:szCs w:val="18"/>
              </w:rPr>
            </w:pPr>
            <w:r>
              <w:rPr>
                <w:rFonts w:ascii="Times New Roman"/>
                <w:sz w:val="18"/>
              </w:rPr>
              <w:t>8.1625</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28,253,678</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6"/>
              <w:jc w:val="right"/>
              <w:rPr>
                <w:rFonts w:ascii="Times New Roman" w:hAnsi="Times New Roman" w:cs="Times New Roman" w:eastAsia="Times New Roman" w:hint="default"/>
                <w:sz w:val="18"/>
                <w:szCs w:val="18"/>
              </w:rPr>
            </w:pPr>
            <w:r>
              <w:rPr>
                <w:rFonts w:ascii="Times New Roman"/>
                <w:sz w:val="18"/>
              </w:rPr>
              <w:t>3,050,726</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9"/>
              <w:jc w:val="right"/>
              <w:rPr>
                <w:rFonts w:ascii="Times New Roman" w:hAnsi="Times New Roman" w:cs="Times New Roman" w:eastAsia="Times New Roman" w:hint="default"/>
                <w:sz w:val="18"/>
                <w:szCs w:val="18"/>
              </w:rPr>
            </w:pPr>
            <w:r>
              <w:rPr>
                <w:rFonts w:ascii="Times New Roman"/>
                <w:sz w:val="18"/>
              </w:rPr>
              <w:t>8.8065</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26,866,219</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5"/>
              <w:jc w:val="right"/>
              <w:rPr>
                <w:rFonts w:ascii="Times New Roman" w:hAnsi="Times New Roman" w:cs="Times New Roman" w:eastAsia="Times New Roman" w:hint="default"/>
                <w:sz w:val="18"/>
                <w:szCs w:val="18"/>
              </w:rPr>
            </w:pPr>
            <w:r>
              <w:rPr>
                <w:rFonts w:ascii="Times New Roman"/>
                <w:sz w:val="18"/>
              </w:rPr>
              <w:t>1,294,766</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5"/>
              <w:jc w:val="right"/>
              <w:rPr>
                <w:rFonts w:ascii="Times New Roman" w:hAnsi="Times New Roman" w:cs="Times New Roman" w:eastAsia="Times New Roman" w:hint="default"/>
                <w:sz w:val="18"/>
                <w:szCs w:val="18"/>
              </w:rPr>
            </w:pPr>
            <w:r>
              <w:rPr>
                <w:rFonts w:ascii="Times New Roman"/>
                <w:sz w:val="18"/>
              </w:rPr>
              <w:t>0.8107</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1,049,667</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6"/>
              <w:jc w:val="right"/>
              <w:rPr>
                <w:rFonts w:ascii="Times New Roman" w:hAnsi="Times New Roman" w:cs="Times New Roman" w:eastAsia="Times New Roman" w:hint="default"/>
                <w:sz w:val="18"/>
                <w:szCs w:val="18"/>
              </w:rPr>
            </w:pPr>
            <w:r>
              <w:rPr>
                <w:rFonts w:ascii="Times New Roman"/>
                <w:sz w:val="18"/>
              </w:rPr>
              <w:t>283,847</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9"/>
              <w:jc w:val="right"/>
              <w:rPr>
                <w:rFonts w:ascii="Times New Roman" w:hAnsi="Times New Roman" w:cs="Times New Roman" w:eastAsia="Times New Roman" w:hint="default"/>
                <w:sz w:val="18"/>
                <w:szCs w:val="18"/>
              </w:rPr>
            </w:pPr>
            <w:r>
              <w:rPr>
                <w:rFonts w:ascii="Times New Roman"/>
                <w:sz w:val="18"/>
              </w:rPr>
              <w:t>0.8509</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241,525</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2" w:right="0"/>
              <w:jc w:val="left"/>
              <w:rPr>
                <w:rFonts w:ascii="宋体" w:hAnsi="宋体" w:cs="宋体" w:eastAsia="宋体" w:hint="default"/>
                <w:sz w:val="18"/>
                <w:szCs w:val="18"/>
              </w:rPr>
            </w:pPr>
            <w:r>
              <w:rPr>
                <w:rFonts w:ascii="宋体" w:hAnsi="宋体" w:cs="宋体" w:eastAsia="宋体" w:hint="default"/>
                <w:sz w:val="18"/>
                <w:szCs w:val="18"/>
              </w:rPr>
              <w:t>新加坡元</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3"/>
              <w:jc w:val="right"/>
              <w:rPr>
                <w:rFonts w:ascii="Times New Roman" w:hAnsi="Times New Roman" w:cs="Times New Roman" w:eastAsia="Times New Roman" w:hint="default"/>
                <w:sz w:val="18"/>
                <w:szCs w:val="18"/>
              </w:rPr>
            </w:pPr>
            <w:r>
              <w:rPr>
                <w:rFonts w:ascii="Times New Roman"/>
                <w:sz w:val="18"/>
              </w:rPr>
              <w:t>499,014</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5"/>
              <w:jc w:val="right"/>
              <w:rPr>
                <w:rFonts w:ascii="Times New Roman" w:hAnsi="Times New Roman" w:cs="Times New Roman" w:eastAsia="Times New Roman" w:hint="default"/>
                <w:sz w:val="18"/>
                <w:szCs w:val="18"/>
              </w:rPr>
            </w:pPr>
            <w:r>
              <w:rPr>
                <w:rFonts w:ascii="Times New Roman"/>
                <w:sz w:val="18"/>
              </w:rPr>
              <w:t>4.8679</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2,429,150</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5"/>
              <w:jc w:val="right"/>
              <w:rPr>
                <w:rFonts w:ascii="Times New Roman" w:hAnsi="Times New Roman" w:cs="Times New Roman" w:eastAsia="Times New Roman" w:hint="default"/>
                <w:sz w:val="18"/>
                <w:szCs w:val="18"/>
              </w:rPr>
            </w:pPr>
            <w:r>
              <w:rPr>
                <w:rFonts w:ascii="Times New Roman"/>
                <w:sz w:val="18"/>
              </w:rPr>
              <w:t>925,342</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9"/>
              <w:jc w:val="right"/>
              <w:rPr>
                <w:rFonts w:ascii="Times New Roman" w:hAnsi="Times New Roman" w:cs="Times New Roman" w:eastAsia="Times New Roman" w:hint="default"/>
                <w:sz w:val="18"/>
                <w:szCs w:val="18"/>
              </w:rPr>
            </w:pPr>
            <w:r>
              <w:rPr>
                <w:rFonts w:ascii="Times New Roman"/>
                <w:spacing w:val="-2"/>
                <w:sz w:val="18"/>
              </w:rPr>
              <w:t>5.1191</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4,736,918</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02" w:right="0"/>
              <w:jc w:val="left"/>
              <w:rPr>
                <w:rFonts w:ascii="宋体" w:hAnsi="宋体" w:cs="宋体" w:eastAsia="宋体" w:hint="default"/>
                <w:sz w:val="18"/>
                <w:szCs w:val="18"/>
              </w:rPr>
            </w:pPr>
            <w:r>
              <w:rPr>
                <w:rFonts w:ascii="宋体" w:hAnsi="宋体" w:cs="宋体" w:eastAsia="宋体" w:hint="default"/>
                <w:sz w:val="18"/>
                <w:szCs w:val="18"/>
              </w:rPr>
              <w:t>瑞士法郎</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3"/>
              <w:jc w:val="right"/>
              <w:rPr>
                <w:rFonts w:ascii="Times New Roman" w:hAnsi="Times New Roman" w:cs="Times New Roman" w:eastAsia="Times New Roman" w:hint="default"/>
                <w:sz w:val="18"/>
                <w:szCs w:val="18"/>
              </w:rPr>
            </w:pPr>
            <w:r>
              <w:rPr>
                <w:rFonts w:ascii="Times New Roman"/>
                <w:sz w:val="18"/>
              </w:rPr>
              <w:t>1,619</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5"/>
              <w:jc w:val="right"/>
              <w:rPr>
                <w:rFonts w:ascii="Times New Roman" w:hAnsi="Times New Roman" w:cs="Times New Roman" w:eastAsia="Times New Roman" w:hint="default"/>
                <w:sz w:val="18"/>
                <w:szCs w:val="18"/>
              </w:rPr>
            </w:pPr>
            <w:r>
              <w:rPr>
                <w:rFonts w:ascii="Times New Roman"/>
                <w:sz w:val="18"/>
              </w:rPr>
              <w:t>6.7287</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10,894</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6"/>
              <w:jc w:val="right"/>
              <w:rPr>
                <w:rFonts w:ascii="Times New Roman" w:hAnsi="Times New Roman" w:cs="Times New Roman" w:eastAsia="Times New Roman" w:hint="default"/>
                <w:sz w:val="18"/>
                <w:szCs w:val="18"/>
              </w:rPr>
            </w:pPr>
            <w:r>
              <w:rPr>
                <w:rFonts w:ascii="Times New Roman"/>
                <w:sz w:val="18"/>
              </w:rPr>
              <w:t>146,133</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8"/>
              <w:jc w:val="right"/>
              <w:rPr>
                <w:rFonts w:ascii="Times New Roman" w:hAnsi="Times New Roman" w:cs="Times New Roman" w:eastAsia="Times New Roman" w:hint="default"/>
                <w:sz w:val="18"/>
                <w:szCs w:val="18"/>
              </w:rPr>
            </w:pPr>
            <w:r>
              <w:rPr>
                <w:rFonts w:ascii="Times New Roman"/>
                <w:sz w:val="18"/>
              </w:rPr>
              <w:t>7.0562</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1,031,144</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6"/>
              <w:jc w:val="right"/>
              <w:rPr>
                <w:rFonts w:ascii="宋体" w:hAnsi="宋体" w:cs="宋体" w:eastAsia="宋体" w:hint="default"/>
                <w:sz w:val="18"/>
                <w:szCs w:val="18"/>
              </w:rPr>
            </w:pPr>
            <w:r>
              <w:rPr>
                <w:rFonts w:ascii="宋体" w:hAnsi="宋体" w:cs="宋体" w:eastAsia="宋体" w:hint="default"/>
                <w:sz w:val="18"/>
                <w:szCs w:val="18"/>
              </w:rPr>
              <w:t>罗马尼亚列伊</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3"/>
              <w:jc w:val="right"/>
              <w:rPr>
                <w:rFonts w:ascii="Times New Roman" w:hAnsi="Times New Roman" w:cs="Times New Roman" w:eastAsia="Times New Roman" w:hint="default"/>
                <w:sz w:val="18"/>
                <w:szCs w:val="18"/>
              </w:rPr>
            </w:pPr>
            <w:r>
              <w:rPr>
                <w:rFonts w:ascii="Times New Roman"/>
                <w:sz w:val="18"/>
              </w:rPr>
              <w:t>229,574</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5"/>
              <w:jc w:val="right"/>
              <w:rPr>
                <w:rFonts w:ascii="Times New Roman" w:hAnsi="Times New Roman" w:cs="Times New Roman" w:eastAsia="Times New Roman" w:hint="default"/>
                <w:sz w:val="18"/>
                <w:szCs w:val="18"/>
              </w:rPr>
            </w:pPr>
            <w:r>
              <w:rPr>
                <w:rFonts w:ascii="Times New Roman"/>
                <w:sz w:val="18"/>
              </w:rPr>
              <w:t>1.8972</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435,548</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5"/>
              <w:jc w:val="right"/>
              <w:rPr>
                <w:rFonts w:ascii="Times New Roman" w:hAnsi="Times New Roman" w:cs="Times New Roman" w:eastAsia="Times New Roman" w:hint="default"/>
                <w:sz w:val="18"/>
                <w:szCs w:val="18"/>
              </w:rPr>
            </w:pPr>
            <w:r>
              <w:rPr>
                <w:rFonts w:ascii="Times New Roman"/>
                <w:sz w:val="18"/>
              </w:rPr>
              <w:t>1,013,672</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9"/>
              <w:jc w:val="right"/>
              <w:rPr>
                <w:rFonts w:ascii="Times New Roman" w:hAnsi="Times New Roman" w:cs="Times New Roman" w:eastAsia="Times New Roman" w:hint="default"/>
                <w:sz w:val="18"/>
                <w:szCs w:val="18"/>
              </w:rPr>
            </w:pPr>
            <w:r>
              <w:rPr>
                <w:rFonts w:ascii="Times New Roman"/>
                <w:spacing w:val="-2"/>
                <w:sz w:val="18"/>
              </w:rPr>
              <w:t>2.0115</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2,039,001</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2" w:right="0"/>
              <w:jc w:val="left"/>
              <w:rPr>
                <w:rFonts w:ascii="宋体" w:hAnsi="宋体" w:cs="宋体" w:eastAsia="宋体" w:hint="default"/>
                <w:sz w:val="18"/>
                <w:szCs w:val="18"/>
              </w:rPr>
            </w:pPr>
            <w:r>
              <w:rPr>
                <w:rFonts w:ascii="宋体" w:hAnsi="宋体" w:cs="宋体" w:eastAsia="宋体" w:hint="default"/>
                <w:sz w:val="18"/>
                <w:szCs w:val="18"/>
              </w:rPr>
              <w:t>越南盾</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4"/>
              <w:jc w:val="right"/>
              <w:rPr>
                <w:rFonts w:ascii="Times New Roman" w:hAnsi="Times New Roman" w:cs="Times New Roman" w:eastAsia="Times New Roman" w:hint="default"/>
                <w:sz w:val="18"/>
                <w:szCs w:val="18"/>
              </w:rPr>
            </w:pPr>
            <w:r>
              <w:rPr>
                <w:rFonts w:ascii="Times New Roman"/>
                <w:spacing w:val="-1"/>
                <w:sz w:val="18"/>
              </w:rPr>
              <w:t>304,611,815</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5"/>
              <w:jc w:val="right"/>
              <w:rPr>
                <w:rFonts w:ascii="Times New Roman" w:hAnsi="Times New Roman" w:cs="Times New Roman" w:eastAsia="Times New Roman" w:hint="default"/>
                <w:sz w:val="18"/>
                <w:szCs w:val="18"/>
              </w:rPr>
            </w:pPr>
            <w:r>
              <w:rPr>
                <w:rFonts w:ascii="Times New Roman"/>
                <w:sz w:val="18"/>
              </w:rPr>
              <w:t>0.0003</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91,384</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6"/>
              <w:jc w:val="right"/>
              <w:rPr>
                <w:rFonts w:ascii="Times New Roman" w:hAnsi="Times New Roman" w:cs="Times New Roman" w:eastAsia="Times New Roman" w:hint="default"/>
                <w:sz w:val="18"/>
                <w:szCs w:val="18"/>
              </w:rPr>
            </w:pPr>
            <w:r>
              <w:rPr>
                <w:rFonts w:ascii="Times New Roman"/>
                <w:sz w:val="18"/>
              </w:rPr>
              <w:t>460,171,165</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8"/>
              <w:jc w:val="right"/>
              <w:rPr>
                <w:rFonts w:ascii="Times New Roman" w:hAnsi="Times New Roman" w:cs="Times New Roman" w:eastAsia="Times New Roman" w:hint="default"/>
                <w:sz w:val="18"/>
                <w:szCs w:val="18"/>
              </w:rPr>
            </w:pPr>
            <w:r>
              <w:rPr>
                <w:rFonts w:ascii="Times New Roman"/>
                <w:sz w:val="18"/>
              </w:rPr>
              <w:t>0.000339</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155,998</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76"/>
              <w:jc w:val="right"/>
              <w:rPr>
                <w:rFonts w:ascii="宋体" w:hAnsi="宋体" w:cs="宋体" w:eastAsia="宋体" w:hint="default"/>
                <w:sz w:val="18"/>
                <w:szCs w:val="18"/>
              </w:rPr>
            </w:pPr>
            <w:r>
              <w:rPr>
                <w:rFonts w:ascii="宋体" w:hAnsi="宋体" w:cs="宋体" w:eastAsia="宋体" w:hint="default"/>
                <w:sz w:val="18"/>
                <w:szCs w:val="18"/>
              </w:rPr>
              <w:t>阿联酋迪拉姆</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3"/>
              <w:jc w:val="right"/>
              <w:rPr>
                <w:rFonts w:ascii="Times New Roman" w:hAnsi="Times New Roman" w:cs="Times New Roman" w:eastAsia="Times New Roman" w:hint="default"/>
                <w:sz w:val="18"/>
                <w:szCs w:val="18"/>
              </w:rPr>
            </w:pPr>
            <w:r>
              <w:rPr>
                <w:rFonts w:ascii="Times New Roman"/>
                <w:sz w:val="18"/>
              </w:rPr>
              <w:t>986,564</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5"/>
              <w:jc w:val="right"/>
              <w:rPr>
                <w:rFonts w:ascii="Times New Roman" w:hAnsi="Times New Roman" w:cs="Times New Roman" w:eastAsia="Times New Roman" w:hint="default"/>
                <w:sz w:val="18"/>
                <w:szCs w:val="18"/>
              </w:rPr>
            </w:pPr>
            <w:r>
              <w:rPr>
                <w:rFonts w:ascii="Times New Roman"/>
                <w:sz w:val="18"/>
              </w:rPr>
              <w:t>1.7159</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1,692,845</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6"/>
              <w:jc w:val="right"/>
              <w:rPr>
                <w:rFonts w:ascii="Times New Roman" w:hAnsi="Times New Roman" w:cs="Times New Roman" w:eastAsia="Times New Roman" w:hint="default"/>
                <w:sz w:val="18"/>
                <w:szCs w:val="18"/>
              </w:rPr>
            </w:pPr>
            <w:r>
              <w:rPr>
                <w:rFonts w:ascii="Times New Roman"/>
                <w:sz w:val="18"/>
              </w:rPr>
              <w:t>97,105</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8"/>
              <w:jc w:val="right"/>
              <w:rPr>
                <w:rFonts w:ascii="Times New Roman" w:hAnsi="Times New Roman" w:cs="Times New Roman" w:eastAsia="Times New Roman" w:hint="default"/>
                <w:sz w:val="18"/>
                <w:szCs w:val="18"/>
              </w:rPr>
            </w:pPr>
            <w:r>
              <w:rPr>
                <w:rFonts w:ascii="Times New Roman"/>
                <w:sz w:val="18"/>
              </w:rPr>
              <w:t>1.8129</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176,042</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2" w:right="0"/>
              <w:jc w:val="left"/>
              <w:rPr>
                <w:rFonts w:ascii="宋体" w:hAnsi="宋体" w:cs="宋体" w:eastAsia="宋体" w:hint="default"/>
                <w:sz w:val="18"/>
                <w:szCs w:val="18"/>
              </w:rPr>
            </w:pPr>
            <w:r>
              <w:rPr>
                <w:rFonts w:ascii="宋体" w:hAnsi="宋体" w:cs="宋体" w:eastAsia="宋体" w:hint="default"/>
                <w:sz w:val="18"/>
                <w:szCs w:val="18"/>
              </w:rPr>
              <w:t>加拿大元</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3"/>
              <w:jc w:val="right"/>
              <w:rPr>
                <w:rFonts w:ascii="Times New Roman" w:hAnsi="Times New Roman" w:cs="Times New Roman" w:eastAsia="Times New Roman" w:hint="default"/>
                <w:sz w:val="18"/>
                <w:szCs w:val="18"/>
              </w:rPr>
            </w:pPr>
            <w:r>
              <w:rPr>
                <w:rFonts w:ascii="Times New Roman"/>
                <w:sz w:val="18"/>
              </w:rPr>
              <w:t>69,053</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6"/>
              <w:jc w:val="right"/>
              <w:rPr>
                <w:rFonts w:ascii="Times New Roman" w:hAnsi="Times New Roman" w:cs="Times New Roman" w:eastAsia="Times New Roman" w:hint="default"/>
                <w:sz w:val="18"/>
                <w:szCs w:val="18"/>
              </w:rPr>
            </w:pPr>
            <w:r>
              <w:rPr>
                <w:rFonts w:ascii="Times New Roman"/>
                <w:sz w:val="18"/>
              </w:rPr>
              <w:t>6.1777</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66"/>
              <w:jc w:val="right"/>
              <w:rPr>
                <w:rFonts w:ascii="Times New Roman" w:hAnsi="Times New Roman" w:cs="Times New Roman" w:eastAsia="Times New Roman" w:hint="default"/>
                <w:sz w:val="18"/>
                <w:szCs w:val="18"/>
              </w:rPr>
            </w:pPr>
            <w:r>
              <w:rPr>
                <w:rFonts w:ascii="Times New Roman"/>
                <w:sz w:val="18"/>
              </w:rPr>
              <w:t>426,589</w:t>
            </w:r>
          </w:p>
        </w:tc>
        <w:tc>
          <w:tcPr>
            <w:tcW w:w="1238"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r>
      <w:tr>
        <w:trPr>
          <w:trHeight w:val="8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417" w:lineRule="auto" w:before="50"/>
              <w:ind w:left="122" w:right="356" w:firstLine="180"/>
              <w:jc w:val="left"/>
              <w:rPr>
                <w:rFonts w:ascii="宋体" w:hAnsi="宋体" w:cs="宋体" w:eastAsia="宋体" w:hint="default"/>
                <w:sz w:val="18"/>
                <w:szCs w:val="18"/>
              </w:rPr>
            </w:pPr>
            <w:r>
              <w:rPr>
                <w:rFonts w:ascii="宋体" w:hAnsi="宋体" w:cs="宋体" w:eastAsia="宋体" w:hint="default"/>
                <w:sz w:val="18"/>
                <w:szCs w:val="18"/>
              </w:rPr>
              <w:t>小计 其他货币资金</w:t>
            </w:r>
          </w:p>
        </w:tc>
        <w:tc>
          <w:tcPr>
            <w:tcW w:w="1334" w:type="dxa"/>
            <w:tcBorders>
              <w:top w:val="nil" w:sz="6" w:space="0" w:color="auto"/>
              <w:left w:val="nil" w:sz="6" w:space="0" w:color="auto"/>
              <w:bottom w:val="nil" w:sz="6" w:space="0" w:color="auto"/>
              <w:right w:val="nil" w:sz="6" w:space="0" w:color="auto"/>
            </w:tcBorders>
          </w:tcPr>
          <w:p>
            <w:pPr/>
          </w:p>
        </w:tc>
        <w:tc>
          <w:tcPr>
            <w:tcW w:w="1023" w:type="dxa"/>
            <w:tcBorders>
              <w:top w:val="nil" w:sz="6" w:space="0" w:color="auto"/>
              <w:left w:val="nil" w:sz="6" w:space="0" w:color="auto"/>
              <w:bottom w:val="nil" w:sz="6" w:space="0" w:color="auto"/>
              <w:right w:val="nil" w:sz="6" w:space="0" w:color="auto"/>
            </w:tcBorders>
          </w:tcPr>
          <w:p>
            <w:pP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75" w:right="0"/>
              <w:jc w:val="left"/>
              <w:rPr>
                <w:rFonts w:ascii="Times New Roman" w:hAnsi="Times New Roman" w:cs="Times New Roman" w:eastAsia="Times New Roman" w:hint="default"/>
                <w:sz w:val="18"/>
                <w:szCs w:val="18"/>
              </w:rPr>
            </w:pPr>
            <w:r>
              <w:rPr>
                <w:rFonts w:ascii="Times New Roman"/>
                <w:sz w:val="18"/>
              </w:rPr>
              <w:t>1,736,440,039</w:t>
            </w:r>
          </w:p>
        </w:tc>
        <w:tc>
          <w:tcPr>
            <w:tcW w:w="1238"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3"/>
              <w:jc w:val="right"/>
              <w:rPr>
                <w:rFonts w:ascii="Times New Roman" w:hAnsi="Times New Roman" w:cs="Times New Roman" w:eastAsia="Times New Roman" w:hint="default"/>
                <w:sz w:val="18"/>
                <w:szCs w:val="18"/>
              </w:rPr>
            </w:pPr>
            <w:r>
              <w:rPr>
                <w:rFonts w:ascii="Times New Roman"/>
                <w:spacing w:val="-1"/>
                <w:sz w:val="18"/>
              </w:rPr>
              <w:t>1,685,294,838</w:t>
            </w:r>
          </w:p>
        </w:tc>
      </w:tr>
      <w:tr>
        <w:trPr>
          <w:trHeight w:val="42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0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373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11"/>
              <w:ind w:right="112"/>
              <w:jc w:val="right"/>
              <w:rPr>
                <w:rFonts w:ascii="Times New Roman" w:hAnsi="Times New Roman" w:cs="Times New Roman" w:eastAsia="Times New Roman" w:hint="default"/>
                <w:sz w:val="18"/>
                <w:szCs w:val="18"/>
              </w:rPr>
            </w:pPr>
            <w:r>
              <w:rPr>
                <w:rFonts w:ascii="Times New Roman"/>
                <w:sz w:val="18"/>
              </w:rPr>
              <w:t>1,809,035</w:t>
            </w:r>
          </w:p>
        </w:tc>
        <w:tc>
          <w:tcPr>
            <w:tcW w:w="343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11"/>
              <w:ind w:right="53"/>
              <w:jc w:val="right"/>
              <w:rPr>
                <w:rFonts w:ascii="Times New Roman" w:hAnsi="Times New Roman" w:cs="Times New Roman" w:eastAsia="Times New Roman" w:hint="default"/>
                <w:sz w:val="18"/>
                <w:szCs w:val="18"/>
              </w:rPr>
            </w:pPr>
            <w:r>
              <w:rPr>
                <w:rFonts w:ascii="Times New Roman"/>
                <w:sz w:val="18"/>
              </w:rPr>
              <w:t>5,389,790</w:t>
            </w:r>
          </w:p>
        </w:tc>
      </w:tr>
      <w:tr>
        <w:trPr>
          <w:trHeight w:val="410" w:hRule="exact"/>
        </w:trPr>
        <w:tc>
          <w:tcPr>
            <w:tcW w:w="15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373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01"/>
              <w:ind w:right="112"/>
              <w:jc w:val="right"/>
              <w:rPr>
                <w:rFonts w:ascii="Times New Roman" w:hAnsi="Times New Roman" w:cs="Times New Roman" w:eastAsia="Times New Roman" w:hint="default"/>
                <w:sz w:val="18"/>
                <w:szCs w:val="18"/>
              </w:rPr>
            </w:pPr>
            <w:r>
              <w:rPr>
                <w:rFonts w:ascii="Times New Roman"/>
                <w:sz w:val="18"/>
              </w:rPr>
              <w:t>1,809,035</w:t>
            </w:r>
          </w:p>
        </w:tc>
        <w:tc>
          <w:tcPr>
            <w:tcW w:w="343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01"/>
              <w:ind w:right="53"/>
              <w:jc w:val="right"/>
              <w:rPr>
                <w:rFonts w:ascii="Times New Roman" w:hAnsi="Times New Roman" w:cs="Times New Roman" w:eastAsia="Times New Roman" w:hint="default"/>
                <w:sz w:val="18"/>
                <w:szCs w:val="18"/>
              </w:rPr>
            </w:pPr>
            <w:r>
              <w:rPr>
                <w:rFonts w:ascii="Times New Roman"/>
                <w:sz w:val="18"/>
              </w:rPr>
              <w:t>5,389,790</w:t>
            </w:r>
          </w:p>
        </w:tc>
      </w:tr>
      <w:tr>
        <w:trPr>
          <w:trHeight w:val="329" w:hRule="exact"/>
        </w:trPr>
        <w:tc>
          <w:tcPr>
            <w:tcW w:w="1561"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3737" w:type="dxa"/>
            <w:gridSpan w:val="3"/>
            <w:tcBorders>
              <w:top w:val="nil" w:sz="6" w:space="0" w:color="auto"/>
              <w:left w:val="nil" w:sz="6" w:space="0" w:color="auto"/>
              <w:bottom w:val="single" w:sz="12" w:space="0" w:color="000000"/>
              <w:right w:val="nil" w:sz="6" w:space="0" w:color="auto"/>
            </w:tcBorders>
          </w:tcPr>
          <w:p>
            <w:pPr>
              <w:pStyle w:val="TableParagraph"/>
              <w:spacing w:line="240" w:lineRule="auto" w:before="101"/>
              <w:ind w:right="112"/>
              <w:jc w:val="right"/>
              <w:rPr>
                <w:rFonts w:ascii="Times New Roman" w:hAnsi="Times New Roman" w:cs="Times New Roman" w:eastAsia="Times New Roman" w:hint="default"/>
                <w:sz w:val="18"/>
                <w:szCs w:val="18"/>
              </w:rPr>
            </w:pPr>
            <w:r>
              <w:rPr>
                <w:rFonts w:ascii="Times New Roman"/>
                <w:spacing w:val="-1"/>
                <w:sz w:val="18"/>
              </w:rPr>
              <w:t>1,738,515,965</w:t>
            </w:r>
          </w:p>
        </w:tc>
        <w:tc>
          <w:tcPr>
            <w:tcW w:w="3431" w:type="dxa"/>
            <w:gridSpan w:val="3"/>
            <w:tcBorders>
              <w:top w:val="nil" w:sz="6" w:space="0" w:color="auto"/>
              <w:left w:val="nil" w:sz="6" w:space="0" w:color="auto"/>
              <w:bottom w:val="single" w:sz="12" w:space="0" w:color="000000"/>
              <w:right w:val="nil" w:sz="6" w:space="0" w:color="auto"/>
            </w:tcBorders>
          </w:tcPr>
          <w:p>
            <w:pPr>
              <w:pStyle w:val="TableParagraph"/>
              <w:spacing w:line="240" w:lineRule="auto" w:before="101"/>
              <w:ind w:right="53"/>
              <w:jc w:val="right"/>
              <w:rPr>
                <w:rFonts w:ascii="Times New Roman" w:hAnsi="Times New Roman" w:cs="Times New Roman" w:eastAsia="Times New Roman" w:hint="default"/>
                <w:sz w:val="18"/>
                <w:szCs w:val="18"/>
              </w:rPr>
            </w:pPr>
            <w:r>
              <w:rPr>
                <w:rFonts w:ascii="Times New Roman"/>
                <w:spacing w:val="-1"/>
                <w:sz w:val="18"/>
              </w:rPr>
              <w:t>1,690,979,107</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pStyle w:val="Heading6"/>
        <w:tabs>
          <w:tab w:pos="1396" w:val="left" w:leader="none"/>
        </w:tabs>
        <w:spacing w:line="240" w:lineRule="auto"/>
        <w:ind w:right="0"/>
        <w:jc w:val="left"/>
        <w:rPr>
          <w:b w:val="0"/>
          <w:bCs w:val="0"/>
        </w:rPr>
      </w:pPr>
      <w:r>
        <w:rPr>
          <w:w w:val="95"/>
        </w:rPr>
        <w:t>1、</w:t>
        <w:tab/>
      </w:r>
      <w:r>
        <w:rPr/>
        <w:t>期末货币资金中存放在境外的款项余额折合人民币为</w:t>
      </w:r>
      <w:r>
        <w:rPr>
          <w:spacing w:val="-68"/>
        </w:rPr>
        <w:t> </w:t>
      </w:r>
      <w:r>
        <w:rPr/>
        <w:t>170,496,927</w:t>
      </w:r>
      <w:r>
        <w:rPr>
          <w:spacing w:val="-67"/>
        </w:rPr>
        <w:t> </w:t>
      </w:r>
      <w:r>
        <w:rPr/>
        <w:t>元。</w:t>
      </w:r>
      <w:r>
        <w:rPr>
          <w:b w:val="0"/>
          <w:bCs w:val="0"/>
        </w:rPr>
      </w:r>
    </w:p>
    <w:p>
      <w:pPr>
        <w:spacing w:after="0" w:line="240" w:lineRule="auto"/>
        <w:jc w:val="left"/>
        <w:sectPr>
          <w:pgSz w:w="11910" w:h="16840"/>
          <w:pgMar w:header="883" w:footer="1003" w:top="1540" w:bottom="1200" w:left="1300" w:right="1000"/>
        </w:sectPr>
      </w:pPr>
    </w:p>
    <w:p>
      <w:pPr>
        <w:spacing w:line="240" w:lineRule="auto" w:before="10"/>
        <w:rPr>
          <w:rFonts w:ascii="宋体" w:hAnsi="宋体" w:cs="宋体" w:eastAsia="宋体" w:hint="default"/>
          <w:b/>
          <w:bCs/>
          <w:sz w:val="8"/>
          <w:szCs w:val="8"/>
        </w:rPr>
      </w:pPr>
    </w:p>
    <w:p>
      <w:pPr>
        <w:tabs>
          <w:tab w:pos="1416" w:val="left" w:leader="none"/>
        </w:tabs>
        <w:spacing w:line="350" w:lineRule="auto" w:before="35"/>
        <w:ind w:left="1416" w:right="234" w:hanging="539"/>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期末其他货币资金中</w:t>
      </w:r>
      <w:r>
        <w:rPr>
          <w:rFonts w:ascii="宋体" w:hAnsi="宋体" w:cs="宋体" w:eastAsia="宋体" w:hint="default"/>
          <w:b/>
          <w:bCs/>
          <w:spacing w:val="-71"/>
          <w:sz w:val="21"/>
          <w:szCs w:val="21"/>
        </w:rPr>
        <w:t> </w:t>
      </w:r>
      <w:r>
        <w:rPr>
          <w:rFonts w:ascii="宋体" w:hAnsi="宋体" w:cs="宋体" w:eastAsia="宋体" w:hint="default"/>
          <w:b/>
          <w:bCs/>
          <w:sz w:val="21"/>
          <w:szCs w:val="21"/>
        </w:rPr>
        <w:t>1,809,035</w:t>
      </w:r>
      <w:r>
        <w:rPr>
          <w:rFonts w:ascii="宋体" w:hAnsi="宋体" w:cs="宋体" w:eastAsia="宋体" w:hint="default"/>
          <w:b/>
          <w:bCs/>
          <w:spacing w:val="-70"/>
          <w:sz w:val="21"/>
          <w:szCs w:val="21"/>
        </w:rPr>
        <w:t> </w:t>
      </w:r>
      <w:r>
        <w:rPr>
          <w:rFonts w:ascii="宋体" w:hAnsi="宋体" w:cs="宋体" w:eastAsia="宋体" w:hint="default"/>
          <w:b/>
          <w:bCs/>
          <w:sz w:val="21"/>
          <w:szCs w:val="21"/>
        </w:rPr>
        <w:t>元为本公司之子公司北京利博赛社保信息技术有限公司</w:t>
      </w:r>
      <w:r>
        <w:rPr>
          <w:rFonts w:ascii="宋体" w:hAnsi="宋体" w:cs="宋体" w:eastAsia="宋体" w:hint="default"/>
          <w:b/>
          <w:bCs/>
          <w:w w:val="99"/>
          <w:sz w:val="21"/>
          <w:szCs w:val="21"/>
        </w:rPr>
        <w:t> </w:t>
      </w:r>
      <w:r>
        <w:rPr>
          <w:rFonts w:ascii="宋体" w:hAnsi="宋体" w:cs="宋体" w:eastAsia="宋体" w:hint="default"/>
          <w:b/>
          <w:bCs/>
          <w:sz w:val="21"/>
          <w:szCs w:val="21"/>
        </w:rPr>
        <w:t>存放在银行的保证金存款，在编制现金流量表时不作为现金及现金等价物。</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0"/>
          <w:szCs w:val="10"/>
        </w:rPr>
      </w:pPr>
    </w:p>
    <w:tbl>
      <w:tblPr>
        <w:tblW w:w="0" w:type="auto"/>
        <w:jc w:val="left"/>
        <w:tblInd w:w="110" w:type="dxa"/>
        <w:tblLayout w:type="fixed"/>
        <w:tblCellMar>
          <w:top w:w="0" w:type="dxa"/>
          <w:left w:w="0" w:type="dxa"/>
          <w:bottom w:w="0" w:type="dxa"/>
          <w:right w:w="0" w:type="dxa"/>
        </w:tblCellMar>
        <w:tblLook w:val="01E0"/>
      </w:tblPr>
      <w:tblGrid>
        <w:gridCol w:w="659"/>
        <w:gridCol w:w="3337"/>
        <w:gridCol w:w="1985"/>
        <w:gridCol w:w="1289"/>
        <w:gridCol w:w="1354"/>
        <w:gridCol w:w="720"/>
      </w:tblGrid>
      <w:tr>
        <w:trPr>
          <w:trHeight w:val="358"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sz w:val="21"/>
                <w:szCs w:val="21"/>
              </w:rPr>
            </w:r>
          </w:p>
        </w:tc>
        <w:tc>
          <w:tcPr>
            <w:tcW w:w="333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3" w:right="0"/>
              <w:jc w:val="left"/>
              <w:rPr>
                <w:rFonts w:ascii="宋体" w:hAnsi="宋体" w:cs="宋体" w:eastAsia="宋体" w:hint="default"/>
                <w:sz w:val="21"/>
                <w:szCs w:val="21"/>
              </w:rPr>
            </w:pPr>
            <w:r>
              <w:rPr>
                <w:rFonts w:ascii="宋体" w:hAnsi="宋体" w:cs="宋体" w:eastAsia="宋体" w:hint="default"/>
                <w:b/>
                <w:bCs/>
                <w:sz w:val="21"/>
                <w:szCs w:val="21"/>
              </w:rPr>
              <w:t>交易性金融资产</w:t>
            </w:r>
            <w:r>
              <w:rPr>
                <w:rFonts w:ascii="宋体" w:hAnsi="宋体" w:cs="宋体" w:eastAsia="宋体" w:hint="default"/>
                <w:sz w:val="21"/>
                <w:szCs w:val="21"/>
              </w:rPr>
            </w:r>
          </w:p>
        </w:tc>
        <w:tc>
          <w:tcPr>
            <w:tcW w:w="5348" w:type="dxa"/>
            <w:gridSpan w:val="4"/>
            <w:tcBorders>
              <w:top w:val="nil" w:sz="6" w:space="0" w:color="auto"/>
              <w:left w:val="nil" w:sz="6" w:space="0" w:color="auto"/>
              <w:bottom w:val="single" w:sz="12" w:space="0" w:color="000000"/>
              <w:right w:val="nil" w:sz="6" w:space="0" w:color="auto"/>
            </w:tcBorders>
          </w:tcPr>
          <w:p>
            <w:pPr/>
          </w:p>
        </w:tc>
      </w:tr>
      <w:tr>
        <w:trPr>
          <w:trHeight w:val="502" w:hRule="exact"/>
        </w:trPr>
        <w:tc>
          <w:tcPr>
            <w:tcW w:w="659" w:type="dxa"/>
            <w:tcBorders>
              <w:top w:val="nil" w:sz="6" w:space="0" w:color="auto"/>
              <w:left w:val="nil" w:sz="6" w:space="0" w:color="auto"/>
              <w:bottom w:val="nil" w:sz="6" w:space="0" w:color="auto"/>
              <w:right w:val="nil" w:sz="6" w:space="0" w:color="auto"/>
            </w:tcBorders>
          </w:tcPr>
          <w:p>
            <w:pPr/>
          </w:p>
        </w:tc>
        <w:tc>
          <w:tcPr>
            <w:tcW w:w="3337" w:type="dxa"/>
            <w:tcBorders>
              <w:top w:val="single" w:sz="12" w:space="0" w:color="000000"/>
              <w:left w:val="nil" w:sz="6" w:space="0" w:color="auto"/>
              <w:bottom w:val="nil" w:sz="6" w:space="0" w:color="auto"/>
              <w:right w:val="nil" w:sz="6" w:space="0" w:color="auto"/>
            </w:tcBorders>
          </w:tcPr>
          <w:p>
            <w:pPr>
              <w:pStyle w:val="TableParagraph"/>
              <w:tabs>
                <w:tab w:pos="539" w:val="left" w:leader="none"/>
              </w:tabs>
              <w:spacing w:line="240" w:lineRule="auto" w:before="136"/>
              <w:ind w:right="1165"/>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1985"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116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289" w:type="dxa"/>
            <w:tcBorders>
              <w:top w:val="single" w:sz="12" w:space="0" w:color="000000"/>
              <w:left w:val="nil" w:sz="6" w:space="0" w:color="auto"/>
              <w:bottom w:val="nil" w:sz="6" w:space="0" w:color="auto"/>
              <w:right w:val="nil" w:sz="6" w:space="0" w:color="auto"/>
            </w:tcBorders>
          </w:tcPr>
          <w:p>
            <w:pPr/>
          </w:p>
        </w:tc>
        <w:tc>
          <w:tcPr>
            <w:tcW w:w="1354"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606"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720" w:type="dxa"/>
            <w:tcBorders>
              <w:top w:val="single" w:sz="12" w:space="0" w:color="000000"/>
              <w:left w:val="nil" w:sz="6" w:space="0" w:color="auto"/>
              <w:bottom w:val="nil" w:sz="6" w:space="0" w:color="auto"/>
              <w:right w:val="nil" w:sz="6" w:space="0" w:color="auto"/>
            </w:tcBorders>
          </w:tcPr>
          <w:p>
            <w:pP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3337"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7"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985"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
        </w:tc>
        <w:tc>
          <w:tcPr>
            <w:tcW w:w="720" w:type="dxa"/>
            <w:tcBorders>
              <w:top w:val="nil" w:sz="6" w:space="0" w:color="auto"/>
              <w:left w:val="nil" w:sz="6" w:space="0" w:color="auto"/>
              <w:bottom w:val="nil" w:sz="6" w:space="0" w:color="auto"/>
              <w:right w:val="nil" w:sz="6" w:space="0" w:color="auto"/>
            </w:tcBorders>
          </w:tcPr>
          <w:p>
            <w:pPr/>
          </w:p>
        </w:tc>
      </w:tr>
      <w:tr>
        <w:trPr>
          <w:trHeight w:val="420" w:hRule="exact"/>
        </w:trPr>
        <w:tc>
          <w:tcPr>
            <w:tcW w:w="659" w:type="dxa"/>
            <w:tcBorders>
              <w:top w:val="nil" w:sz="6" w:space="0" w:color="auto"/>
              <w:left w:val="nil" w:sz="6" w:space="0" w:color="auto"/>
              <w:bottom w:val="nil" w:sz="6" w:space="0" w:color="auto"/>
              <w:right w:val="nil" w:sz="6" w:space="0" w:color="auto"/>
            </w:tcBorders>
          </w:tcPr>
          <w:p>
            <w:pPr/>
          </w:p>
        </w:tc>
        <w:tc>
          <w:tcPr>
            <w:tcW w:w="3337"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7" w:right="0"/>
              <w:jc w:val="left"/>
              <w:rPr>
                <w:rFonts w:ascii="宋体" w:hAnsi="宋体" w:cs="宋体" w:eastAsia="宋体" w:hint="default"/>
                <w:sz w:val="18"/>
                <w:szCs w:val="18"/>
              </w:rPr>
            </w:pPr>
            <w:r>
              <w:rPr>
                <w:rFonts w:ascii="宋体" w:hAnsi="宋体" w:cs="宋体" w:eastAsia="宋体" w:hint="default"/>
                <w:sz w:val="18"/>
                <w:szCs w:val="18"/>
              </w:rPr>
              <w:t>外币远期结汇合同（注）</w:t>
            </w:r>
          </w:p>
        </w:tc>
        <w:tc>
          <w:tcPr>
            <w:tcW w:w="1985"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97" w:right="0"/>
              <w:jc w:val="left"/>
              <w:rPr>
                <w:rFonts w:ascii="Times New Roman" w:hAnsi="Times New Roman" w:cs="Times New Roman" w:eastAsia="Times New Roman" w:hint="default"/>
                <w:sz w:val="18"/>
                <w:szCs w:val="18"/>
              </w:rPr>
            </w:pPr>
            <w:r>
              <w:rPr>
                <w:rFonts w:ascii="Times New Roman"/>
                <w:sz w:val="18"/>
              </w:rPr>
              <w:t>863,170</w:t>
            </w:r>
          </w:p>
        </w:tc>
        <w:tc>
          <w:tcPr>
            <w:tcW w:w="1354" w:type="dxa"/>
            <w:tcBorders>
              <w:top w:val="nil" w:sz="6" w:space="0" w:color="auto"/>
              <w:left w:val="nil" w:sz="6" w:space="0" w:color="auto"/>
              <w:bottom w:val="nil" w:sz="6" w:space="0" w:color="auto"/>
              <w:right w:val="nil" w:sz="6" w:space="0" w:color="auto"/>
            </w:tcBorders>
          </w:tcPr>
          <w:p>
            <w:pP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77"/>
              <w:jc w:val="center"/>
              <w:rPr>
                <w:rFonts w:ascii="Times New Roman" w:hAnsi="Times New Roman" w:cs="Times New Roman" w:eastAsia="Times New Roman" w:hint="default"/>
                <w:sz w:val="18"/>
                <w:szCs w:val="18"/>
              </w:rPr>
            </w:pPr>
            <w:r>
              <w:rPr>
                <w:rFonts w:ascii="Times New Roman"/>
                <w:sz w:val="18"/>
              </w:rPr>
              <w:t>969,350</w:t>
            </w:r>
          </w:p>
        </w:tc>
      </w:tr>
      <w:tr>
        <w:trPr>
          <w:trHeight w:val="328" w:hRule="exact"/>
        </w:trPr>
        <w:tc>
          <w:tcPr>
            <w:tcW w:w="659" w:type="dxa"/>
            <w:tcBorders>
              <w:top w:val="nil" w:sz="6" w:space="0" w:color="auto"/>
              <w:left w:val="nil" w:sz="6" w:space="0" w:color="auto"/>
              <w:bottom w:val="nil" w:sz="6" w:space="0" w:color="auto"/>
              <w:right w:val="nil" w:sz="6" w:space="0" w:color="auto"/>
            </w:tcBorders>
          </w:tcPr>
          <w:p>
            <w:pPr/>
          </w:p>
        </w:tc>
        <w:tc>
          <w:tcPr>
            <w:tcW w:w="3337" w:type="dxa"/>
            <w:tcBorders>
              <w:top w:val="nil" w:sz="6" w:space="0" w:color="auto"/>
              <w:left w:val="nil" w:sz="6" w:space="0" w:color="auto"/>
              <w:bottom w:val="single" w:sz="12" w:space="0" w:color="000000"/>
              <w:right w:val="nil" w:sz="6" w:space="0" w:color="auto"/>
            </w:tcBorders>
          </w:tcPr>
          <w:p>
            <w:pPr>
              <w:pStyle w:val="TableParagraph"/>
              <w:tabs>
                <w:tab w:pos="539" w:val="left" w:leader="none"/>
              </w:tabs>
              <w:spacing w:line="240" w:lineRule="auto" w:before="50"/>
              <w:ind w:right="1165"/>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1985" w:type="dxa"/>
            <w:tcBorders>
              <w:top w:val="nil" w:sz="6" w:space="0" w:color="auto"/>
              <w:left w:val="nil" w:sz="6" w:space="0" w:color="auto"/>
              <w:bottom w:val="single" w:sz="12" w:space="0" w:color="000000"/>
              <w:right w:val="nil" w:sz="6" w:space="0" w:color="auto"/>
            </w:tcBorders>
          </w:tcPr>
          <w:p>
            <w:pPr/>
          </w:p>
        </w:tc>
        <w:tc>
          <w:tcPr>
            <w:tcW w:w="128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left="97" w:right="0"/>
              <w:jc w:val="left"/>
              <w:rPr>
                <w:rFonts w:ascii="Times New Roman" w:hAnsi="Times New Roman" w:cs="Times New Roman" w:eastAsia="Times New Roman" w:hint="default"/>
                <w:sz w:val="18"/>
                <w:szCs w:val="18"/>
              </w:rPr>
            </w:pPr>
            <w:r>
              <w:rPr>
                <w:rFonts w:ascii="Times New Roman"/>
                <w:sz w:val="18"/>
              </w:rPr>
              <w:t>863,170</w:t>
            </w:r>
          </w:p>
        </w:tc>
        <w:tc>
          <w:tcPr>
            <w:tcW w:w="1354" w:type="dxa"/>
            <w:tcBorders>
              <w:top w:val="nil" w:sz="6" w:space="0" w:color="auto"/>
              <w:left w:val="nil" w:sz="6" w:space="0" w:color="auto"/>
              <w:bottom w:val="single" w:sz="12" w:space="0" w:color="000000"/>
              <w:right w:val="nil" w:sz="6" w:space="0" w:color="auto"/>
            </w:tcBorders>
          </w:tcPr>
          <w:p>
            <w:pPr/>
          </w:p>
        </w:tc>
        <w:tc>
          <w:tcPr>
            <w:tcW w:w="72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77"/>
              <w:jc w:val="center"/>
              <w:rPr>
                <w:rFonts w:ascii="Times New Roman" w:hAnsi="Times New Roman" w:cs="Times New Roman" w:eastAsia="Times New Roman" w:hint="default"/>
                <w:sz w:val="18"/>
                <w:szCs w:val="18"/>
              </w:rPr>
            </w:pPr>
            <w:r>
              <w:rPr>
                <w:rFonts w:ascii="Times New Roman"/>
                <w:sz w:val="18"/>
              </w:rPr>
              <w:t>969,350</w:t>
            </w:r>
          </w:p>
        </w:tc>
      </w:tr>
    </w:tbl>
    <w:p>
      <w:pPr>
        <w:pStyle w:val="BodyText"/>
        <w:spacing w:line="348" w:lineRule="auto" w:before="78"/>
        <w:ind w:left="877" w:right="7"/>
        <w:jc w:val="left"/>
      </w:pPr>
      <w:r>
        <w:rPr/>
        <w:pict>
          <v:group style="position:absolute;margin-left:101.519997pt;margin-top:-84.906006pt;width:436.4pt;height:82.65pt;mso-position-horizontal-relative:page;mso-position-vertical-relative:paragraph;z-index:-1128664" coordorigin="2030,-1698" coordsize="8728,1653">
            <v:shape style="position:absolute;left:5281;top:-1698;width:2909;height:446" type="#_x0000_t75" stroked="false">
              <v:imagedata r:id="rId115" o:title=""/>
            </v:shape>
            <v:shape style="position:absolute;left:2030;top:-1294;width:8728;height:1249" type="#_x0000_t75" stroked="false">
              <v:imagedata r:id="rId116" o:title=""/>
            </v:shape>
            <w10:wrap type="none"/>
          </v:group>
        </w:pict>
      </w:r>
      <w:r>
        <w:rPr>
          <w:spacing w:val="-2"/>
        </w:rPr>
        <w:t>注：外币远期结汇合同在报告期末根据公开市场的汇率报价分不同外币币种分别计算，将预计</w:t>
      </w:r>
      <w:r>
        <w:rPr>
          <w:spacing w:val="-81"/>
        </w:rPr>
        <w:t> </w:t>
      </w:r>
      <w:r>
        <w:rPr>
          <w:spacing w:val="-81"/>
        </w:rPr>
      </w:r>
      <w:r>
        <w:rPr/>
        <w:t>的浮动收益计入公允价值变动收益并作为交易性金融资产列报。</w:t>
      </w:r>
    </w:p>
    <w:p>
      <w:pPr>
        <w:spacing w:line="240" w:lineRule="auto" w:before="0"/>
        <w:rPr>
          <w:rFonts w:ascii="宋体" w:hAnsi="宋体" w:cs="宋体" w:eastAsia="宋体" w:hint="default"/>
          <w:sz w:val="20"/>
          <w:szCs w:val="20"/>
        </w:rPr>
      </w:pPr>
    </w:p>
    <w:p>
      <w:pPr>
        <w:pStyle w:val="Heading6"/>
        <w:tabs>
          <w:tab w:pos="980" w:val="left" w:leader="none"/>
        </w:tabs>
        <w:spacing w:line="240" w:lineRule="auto" w:before="169"/>
        <w:ind w:left="145" w:right="396"/>
        <w:jc w:val="left"/>
        <w:rPr>
          <w:b w:val="0"/>
          <w:bCs w:val="0"/>
        </w:rPr>
      </w:pPr>
      <w:r>
        <w:rPr>
          <w:w w:val="95"/>
        </w:rPr>
        <w:t>(三)</w:t>
        <w:tab/>
      </w:r>
      <w:r>
        <w:rPr/>
        <w:t>应收票据</w:t>
      </w:r>
      <w:r>
        <w:rPr>
          <w:b w:val="0"/>
          <w:bCs w:val="0"/>
        </w:rPr>
      </w:r>
    </w:p>
    <w:p>
      <w:pPr>
        <w:tabs>
          <w:tab w:pos="1416" w:val="left" w:leader="none"/>
        </w:tabs>
        <w:spacing w:before="125"/>
        <w:ind w:left="877" w:right="396" w:firstLine="0"/>
        <w:jc w:val="left"/>
        <w:rPr>
          <w:rFonts w:ascii="宋体" w:hAnsi="宋体" w:cs="宋体" w:eastAsia="宋体" w:hint="default"/>
          <w:sz w:val="21"/>
          <w:szCs w:val="21"/>
        </w:rPr>
      </w:pPr>
      <w:r>
        <w:rPr/>
        <w:pict>
          <v:group style="position:absolute;margin-left:101.040001pt;margin-top:21.632307pt;width:440.35pt;height:83pt;mso-position-horizontal-relative:page;mso-position-vertical-relative:paragraph;z-index:-1128640" coordorigin="2021,433" coordsize="8807,1660">
            <v:group style="position:absolute;left:2050;top:448;width:8747;height:2" coordorigin="2050,448" coordsize="8747,2">
              <v:shape style="position:absolute;left:2050;top:448;width:8747;height:2" coordorigin="2050,448" coordsize="8747,0" path="m2050,448l10796,448e" filled="false" stroked="true" strokeweight="1.5pt" strokecolor="#000000">
                <v:path arrowok="t"/>
              </v:shape>
              <v:shape style="position:absolute;left:5279;top:439;width:2906;height:446" type="#_x0000_t75" stroked="false">
                <v:imagedata r:id="rId117" o:title=""/>
              </v:shape>
              <v:shape style="position:absolute;left:2021;top:837;width:8807;height:1255" type="#_x0000_t75" stroked="false">
                <v:imagedata r:id="rId118" o:title=""/>
              </v:shape>
            </v:group>
            <w10:wrap type="none"/>
          </v:group>
        </w:pict>
      </w:r>
      <w:r>
        <w:rPr>
          <w:rFonts w:ascii="宋体" w:hAnsi="宋体" w:cs="宋体" w:eastAsia="宋体" w:hint="default"/>
          <w:b/>
          <w:bCs/>
          <w:w w:val="95"/>
          <w:sz w:val="21"/>
          <w:szCs w:val="21"/>
        </w:rPr>
        <w:t>1、</w:t>
        <w:tab/>
      </w:r>
      <w:r>
        <w:rPr>
          <w:rFonts w:ascii="宋体" w:hAnsi="宋体" w:cs="宋体" w:eastAsia="宋体" w:hint="default"/>
          <w:b/>
          <w:bCs/>
          <w:sz w:val="21"/>
          <w:szCs w:val="21"/>
        </w:rPr>
        <w:t>应收票据的分类</w:t>
      </w:r>
      <w:r>
        <w:rPr>
          <w:rFonts w:ascii="宋体" w:hAnsi="宋体" w:cs="宋体" w:eastAsia="宋体" w:hint="default"/>
          <w:sz w:val="21"/>
          <w:szCs w:val="21"/>
        </w:rPr>
      </w:r>
    </w:p>
    <w:p>
      <w:pPr>
        <w:spacing w:line="240" w:lineRule="auto" w:before="11"/>
        <w:rPr>
          <w:rFonts w:ascii="宋体" w:hAnsi="宋体" w:cs="宋体" w:eastAsia="宋体" w:hint="default"/>
          <w:b/>
          <w:bCs/>
          <w:sz w:val="11"/>
          <w:szCs w:val="11"/>
        </w:rPr>
      </w:pPr>
    </w:p>
    <w:tbl>
      <w:tblPr>
        <w:tblW w:w="0" w:type="auto"/>
        <w:jc w:val="left"/>
        <w:tblInd w:w="755" w:type="dxa"/>
        <w:tblLayout w:type="fixed"/>
        <w:tblCellMar>
          <w:top w:w="0" w:type="dxa"/>
          <w:left w:w="0" w:type="dxa"/>
          <w:bottom w:w="0" w:type="dxa"/>
          <w:right w:w="0" w:type="dxa"/>
        </w:tblCellMar>
        <w:tblLook w:val="01E0"/>
      </w:tblPr>
      <w:tblGrid>
        <w:gridCol w:w="1472"/>
        <w:gridCol w:w="1528"/>
        <w:gridCol w:w="2046"/>
        <w:gridCol w:w="1418"/>
        <w:gridCol w:w="1273"/>
        <w:gridCol w:w="1025"/>
      </w:tblGrid>
      <w:tr>
        <w:trPr>
          <w:trHeight w:val="814" w:hRule="exact"/>
        </w:trPr>
        <w:tc>
          <w:tcPr>
            <w:tcW w:w="1472"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178" w:firstLine="990"/>
              <w:jc w:val="left"/>
              <w:rPr>
                <w:rFonts w:ascii="宋体" w:hAnsi="宋体" w:cs="宋体" w:eastAsia="宋体" w:hint="default"/>
                <w:sz w:val="18"/>
                <w:szCs w:val="18"/>
              </w:rPr>
            </w:pPr>
            <w:r>
              <w:rPr>
                <w:rFonts w:ascii="宋体" w:hAnsi="宋体" w:cs="宋体" w:eastAsia="宋体" w:hint="default"/>
                <w:sz w:val="18"/>
                <w:szCs w:val="18"/>
              </w:rPr>
              <w:t>种 银行承兑汇票</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0" w:right="0"/>
              <w:jc w:val="left"/>
              <w:rPr>
                <w:rFonts w:ascii="宋体" w:hAnsi="宋体" w:cs="宋体" w:eastAsia="宋体" w:hint="default"/>
                <w:sz w:val="18"/>
                <w:szCs w:val="18"/>
              </w:rPr>
            </w:pPr>
            <w:r>
              <w:rPr>
                <w:rFonts w:ascii="宋体" w:hAnsi="宋体" w:cs="宋体" w:eastAsia="宋体" w:hint="default"/>
                <w:sz w:val="18"/>
                <w:szCs w:val="18"/>
              </w:rPr>
              <w:t>类</w:t>
            </w:r>
          </w:p>
        </w:tc>
        <w:tc>
          <w:tcPr>
            <w:tcW w:w="204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6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right="446"/>
              <w:jc w:val="right"/>
              <w:rPr>
                <w:rFonts w:ascii="Times New Roman" w:hAnsi="Times New Roman" w:cs="Times New Roman" w:eastAsia="Times New Roman" w:hint="default"/>
                <w:sz w:val="18"/>
                <w:szCs w:val="18"/>
              </w:rPr>
            </w:pPr>
            <w:r>
              <w:rPr>
                <w:rFonts w:ascii="Times New Roman"/>
                <w:sz w:val="18"/>
              </w:rPr>
              <w:t>33,772,838</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47"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12,798,400</w:t>
            </w:r>
          </w:p>
        </w:tc>
      </w:tr>
      <w:tr>
        <w:trPr>
          <w:trHeight w:val="410" w:hRule="exact"/>
        </w:trPr>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1528" w:type="dxa"/>
            <w:tcBorders>
              <w:top w:val="nil" w:sz="6" w:space="0" w:color="auto"/>
              <w:left w:val="nil" w:sz="6" w:space="0" w:color="auto"/>
              <w:bottom w:val="nil" w:sz="6" w:space="0" w:color="auto"/>
              <w:right w:val="nil" w:sz="6" w:space="0" w:color="auto"/>
            </w:tcBorders>
          </w:tcPr>
          <w:p>
            <w:pPr/>
          </w:p>
        </w:tc>
        <w:tc>
          <w:tcPr>
            <w:tcW w:w="2046"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45"/>
              <w:jc w:val="right"/>
              <w:rPr>
                <w:rFonts w:ascii="Times New Roman" w:hAnsi="Times New Roman" w:cs="Times New Roman" w:eastAsia="Times New Roman" w:hint="default"/>
                <w:sz w:val="18"/>
                <w:szCs w:val="18"/>
              </w:rPr>
            </w:pPr>
            <w:r>
              <w:rPr>
                <w:rFonts w:ascii="Times New Roman"/>
                <w:sz w:val="18"/>
              </w:rPr>
              <w:t>2,442,407</w:t>
            </w:r>
          </w:p>
        </w:tc>
        <w:tc>
          <w:tcPr>
            <w:tcW w:w="1273" w:type="dxa"/>
            <w:tcBorders>
              <w:top w:val="nil" w:sz="6" w:space="0" w:color="auto"/>
              <w:left w:val="nil" w:sz="6" w:space="0" w:color="auto"/>
              <w:bottom w:val="nil" w:sz="6" w:space="0" w:color="auto"/>
              <w:right w:val="nil" w:sz="6" w:space="0" w:color="auto"/>
            </w:tcBorders>
          </w:tcPr>
          <w:p>
            <w:pPr/>
          </w:p>
        </w:tc>
        <w:tc>
          <w:tcPr>
            <w:tcW w:w="1025" w:type="dxa"/>
            <w:tcBorders>
              <w:top w:val="nil" w:sz="6" w:space="0" w:color="auto"/>
              <w:left w:val="nil" w:sz="6" w:space="0" w:color="auto"/>
              <w:bottom w:val="nil" w:sz="6" w:space="0" w:color="auto"/>
              <w:right w:val="nil" w:sz="6" w:space="0" w:color="auto"/>
            </w:tcBorders>
          </w:tcPr>
          <w:p>
            <w:pPr/>
          </w:p>
        </w:tc>
      </w:tr>
      <w:tr>
        <w:trPr>
          <w:trHeight w:val="328" w:hRule="exact"/>
        </w:trPr>
        <w:tc>
          <w:tcPr>
            <w:tcW w:w="1472"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78"/>
              <w:jc w:val="right"/>
              <w:rPr>
                <w:rFonts w:ascii="宋体" w:hAnsi="宋体" w:cs="宋体" w:eastAsia="宋体" w:hint="default"/>
                <w:sz w:val="18"/>
                <w:szCs w:val="18"/>
              </w:rPr>
            </w:pPr>
            <w:r>
              <w:rPr>
                <w:rFonts w:ascii="宋体" w:hAnsi="宋体" w:cs="宋体" w:eastAsia="宋体" w:hint="default"/>
                <w:sz w:val="18"/>
                <w:szCs w:val="18"/>
              </w:rPr>
              <w:t>合</w:t>
            </w:r>
          </w:p>
        </w:tc>
        <w:tc>
          <w:tcPr>
            <w:tcW w:w="1528"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180"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046" w:type="dxa"/>
            <w:tcBorders>
              <w:top w:val="nil" w:sz="6" w:space="0" w:color="auto"/>
              <w:left w:val="nil" w:sz="6" w:space="0" w:color="auto"/>
              <w:bottom w:val="single" w:sz="12" w:space="0" w:color="000000"/>
              <w:right w:val="nil" w:sz="6" w:space="0" w:color="auto"/>
            </w:tcBorders>
          </w:tcPr>
          <w:p>
            <w:pPr/>
          </w:p>
        </w:tc>
        <w:tc>
          <w:tcPr>
            <w:tcW w:w="1418"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446"/>
              <w:jc w:val="right"/>
              <w:rPr>
                <w:rFonts w:ascii="Times New Roman" w:hAnsi="Times New Roman" w:cs="Times New Roman" w:eastAsia="Times New Roman" w:hint="default"/>
                <w:sz w:val="18"/>
                <w:szCs w:val="18"/>
              </w:rPr>
            </w:pPr>
            <w:r>
              <w:rPr>
                <w:rFonts w:ascii="Times New Roman"/>
                <w:sz w:val="18"/>
              </w:rPr>
              <w:t>36,215,245</w:t>
            </w:r>
          </w:p>
        </w:tc>
        <w:tc>
          <w:tcPr>
            <w:tcW w:w="1273" w:type="dxa"/>
            <w:tcBorders>
              <w:top w:val="nil" w:sz="6" w:space="0" w:color="auto"/>
              <w:left w:val="nil" w:sz="6" w:space="0" w:color="auto"/>
              <w:bottom w:val="single" w:sz="12" w:space="0" w:color="000000"/>
              <w:right w:val="nil" w:sz="6" w:space="0" w:color="auto"/>
            </w:tcBorders>
          </w:tcPr>
          <w:p>
            <w:pPr/>
          </w:p>
        </w:tc>
        <w:tc>
          <w:tcPr>
            <w:tcW w:w="102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0"/>
              <w:jc w:val="center"/>
              <w:rPr>
                <w:rFonts w:ascii="Times New Roman" w:hAnsi="Times New Roman" w:cs="Times New Roman" w:eastAsia="Times New Roman" w:hint="default"/>
                <w:sz w:val="18"/>
                <w:szCs w:val="18"/>
              </w:rPr>
            </w:pPr>
            <w:r>
              <w:rPr>
                <w:rFonts w:ascii="Times New Roman"/>
                <w:sz w:val="18"/>
              </w:rPr>
              <w:t>12,798,400</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416" w:val="left" w:leader="none"/>
        </w:tabs>
        <w:spacing w:before="35"/>
        <w:ind w:left="877" w:right="396"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期末无已质押的应收票据；</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415" w:val="left" w:leader="none"/>
        </w:tabs>
        <w:spacing w:line="348" w:lineRule="auto" w:before="0"/>
        <w:ind w:left="1416" w:right="231" w:hanging="539"/>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期末无因出票人无力履约而将票据转为应收账款的票据，以及期末公司已经背书给他方</w:t>
      </w:r>
      <w:r>
        <w:rPr>
          <w:rFonts w:ascii="宋体" w:hAnsi="宋体" w:cs="宋体" w:eastAsia="宋体" w:hint="default"/>
          <w:b/>
          <w:bCs/>
          <w:w w:val="99"/>
          <w:sz w:val="21"/>
          <w:szCs w:val="21"/>
        </w:rPr>
        <w:t> </w:t>
      </w:r>
      <w:r>
        <w:rPr>
          <w:rFonts w:ascii="宋体" w:hAnsi="宋体" w:cs="宋体" w:eastAsia="宋体" w:hint="default"/>
          <w:b/>
          <w:bCs/>
          <w:sz w:val="21"/>
          <w:szCs w:val="21"/>
        </w:rPr>
        <w:t>但尚未到期的票据；</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1415" w:val="left" w:leader="none"/>
        </w:tabs>
        <w:spacing w:before="169"/>
        <w:ind w:left="877" w:right="396"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期末无未到期已贴现的银行承兑汇票和商业承兑汇票；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433" w:val="left" w:leader="none"/>
        </w:tabs>
        <w:spacing w:before="0"/>
        <w:ind w:left="877" w:right="396" w:firstLine="0"/>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期末应收票据中，无应收持有本公司</w:t>
      </w:r>
      <w:r>
        <w:rPr>
          <w:rFonts w:ascii="宋体" w:hAnsi="宋体" w:cs="宋体" w:eastAsia="宋体" w:hint="default"/>
          <w:b/>
          <w:bCs/>
          <w:spacing w:val="-59"/>
          <w:sz w:val="21"/>
          <w:szCs w:val="21"/>
        </w:rPr>
        <w:t> </w:t>
      </w:r>
      <w:r>
        <w:rPr>
          <w:rFonts w:ascii="宋体" w:hAnsi="宋体" w:cs="宋体" w:eastAsia="宋体" w:hint="default"/>
          <w:b/>
          <w:bCs/>
          <w:sz w:val="21"/>
          <w:szCs w:val="21"/>
        </w:rPr>
        <w:t>5%以上（含</w:t>
      </w:r>
      <w:r>
        <w:rPr>
          <w:rFonts w:ascii="宋体" w:hAnsi="宋体" w:cs="宋体" w:eastAsia="宋体" w:hint="default"/>
          <w:b/>
          <w:bCs/>
          <w:spacing w:val="-59"/>
          <w:sz w:val="21"/>
          <w:szCs w:val="21"/>
        </w:rPr>
        <w:t> </w:t>
      </w:r>
      <w:r>
        <w:rPr>
          <w:rFonts w:ascii="宋体" w:hAnsi="宋体" w:cs="宋体" w:eastAsia="宋体" w:hint="default"/>
          <w:b/>
          <w:bCs/>
          <w:sz w:val="21"/>
          <w:szCs w:val="21"/>
        </w:rPr>
        <w:t>5%）表决权股份的股东单位票据。</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3" w:footer="1003" w:top="1540" w:bottom="1200" w:left="1280" w:right="960"/>
        </w:sectPr>
      </w:pPr>
    </w:p>
    <w:p>
      <w:pPr>
        <w:spacing w:line="240" w:lineRule="auto" w:before="10"/>
        <w:rPr>
          <w:rFonts w:ascii="宋体" w:hAnsi="宋体" w:cs="宋体" w:eastAsia="宋体" w:hint="default"/>
          <w:b/>
          <w:bCs/>
          <w:sz w:val="8"/>
          <w:szCs w:val="8"/>
        </w:rPr>
      </w:pPr>
    </w:p>
    <w:p>
      <w:pPr>
        <w:tabs>
          <w:tab w:pos="853" w:val="left" w:leader="none"/>
        </w:tabs>
        <w:spacing w:before="35"/>
        <w:ind w:left="125" w:right="91" w:firstLine="0"/>
        <w:jc w:val="left"/>
        <w:rPr>
          <w:rFonts w:ascii="宋体" w:hAnsi="宋体" w:cs="宋体" w:eastAsia="宋体" w:hint="default"/>
          <w:sz w:val="21"/>
          <w:szCs w:val="21"/>
        </w:rPr>
      </w:pPr>
      <w:r>
        <w:rPr>
          <w:rFonts w:ascii="宋体" w:hAnsi="宋体" w:cs="宋体" w:eastAsia="宋体" w:hint="default"/>
          <w:b/>
          <w:bCs/>
          <w:w w:val="95"/>
          <w:sz w:val="21"/>
          <w:szCs w:val="21"/>
        </w:rPr>
        <w:t>(四)</w:t>
        <w:tab/>
      </w:r>
      <w:r>
        <w:rPr>
          <w:rFonts w:ascii="宋体" w:hAnsi="宋体" w:cs="宋体" w:eastAsia="宋体" w:hint="default"/>
          <w:b/>
          <w:bCs/>
          <w:sz w:val="21"/>
          <w:szCs w:val="21"/>
        </w:rPr>
        <w:t>应收账款</w:t>
      </w:r>
      <w:r>
        <w:rPr>
          <w:rFonts w:ascii="宋体" w:hAnsi="宋体" w:cs="宋体" w:eastAsia="宋体" w:hint="default"/>
          <w:sz w:val="21"/>
          <w:szCs w:val="21"/>
        </w:rPr>
      </w:r>
    </w:p>
    <w:p>
      <w:pPr>
        <w:tabs>
          <w:tab w:pos="1395" w:val="left" w:leader="none"/>
        </w:tabs>
        <w:spacing w:before="126"/>
        <w:ind w:left="857" w:right="91"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应收账款按种类披露</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4119" w:lineRule="exact"/>
        <w:ind w:left="720" w:right="0" w:firstLine="0"/>
        <w:rPr>
          <w:rFonts w:ascii="宋体" w:hAnsi="宋体" w:cs="宋体" w:eastAsia="宋体" w:hint="default"/>
          <w:sz w:val="20"/>
          <w:szCs w:val="20"/>
        </w:rPr>
      </w:pPr>
      <w:r>
        <w:rPr>
          <w:rFonts w:ascii="宋体" w:hAnsi="宋体" w:cs="宋体" w:eastAsia="宋体" w:hint="default"/>
          <w:position w:val="-81"/>
          <w:sz w:val="20"/>
          <w:szCs w:val="20"/>
        </w:rPr>
        <w:pict>
          <v:group style="width:437.95pt;height:206pt;mso-position-horizontal-relative:char;mso-position-vertical-relative:line" coordorigin="0,0" coordsize="8759,4120">
            <v:group style="position:absolute;left:29;top:15;width:8700;height:2" coordorigin="29,15" coordsize="8700,2">
              <v:shape style="position:absolute;left:29;top:15;width:8700;height:2" coordorigin="29,15" coordsize="8700,0" path="m29,15l8729,15e" filled="false" stroked="true" strokeweight="1.5pt" strokecolor="#000000">
                <v:path arrowok="t"/>
              </v:shape>
              <v:shape style="position:absolute;left:1816;top:7;width:3696;height:446" type="#_x0000_t75" stroked="false">
                <v:imagedata r:id="rId119" o:title=""/>
              </v:shape>
              <v:shape style="position:absolute;left:1814;top:404;width:6944;height:865" type="#_x0000_t75" stroked="false">
                <v:imagedata r:id="rId120" o:title=""/>
              </v:shape>
            </v:group>
            <v:group style="position:absolute;left:15;top:4105;width:1824;height:2" coordorigin="15,4105" coordsize="1824,2">
              <v:shape style="position:absolute;left:15;top:4105;width:1824;height:2" coordorigin="15,4105" coordsize="1824,0" path="m15,4105l1839,4105e" filled="false" stroked="true" strokeweight="1.5pt" strokecolor="#000000">
                <v:path arrowok="t"/>
              </v:shape>
            </v:group>
            <v:group style="position:absolute;left:1839;top:4105;width:1240;height:2" coordorigin="1839,4105" coordsize="1240,2">
              <v:shape style="position:absolute;left:1839;top:4105;width:1240;height:2" coordorigin="1839,4105" coordsize="1240,0" path="m1839,4105l3079,4105e" filled="false" stroked="true" strokeweight="1.5pt" strokecolor="#000000">
                <v:path arrowok="t"/>
              </v:shape>
            </v:group>
            <v:group style="position:absolute;left:3079;top:4105;width:708;height:2" coordorigin="3079,4105" coordsize="708,2">
              <v:shape style="position:absolute;left:3079;top:4105;width:708;height:2" coordorigin="3079,4105" coordsize="708,0" path="m3079,4105l3787,4105e" filled="false" stroked="true" strokeweight="1.5pt" strokecolor="#000000">
                <v:path arrowok="t"/>
              </v:shape>
            </v:group>
            <v:group style="position:absolute;left:3787;top:4105;width:1008;height:2" coordorigin="3787,4105" coordsize="1008,2">
              <v:shape style="position:absolute;left:3787;top:4105;width:1008;height:2" coordorigin="3787,4105" coordsize="1008,0" path="m3787,4105l4795,4105e" filled="false" stroked="true" strokeweight="1.5pt" strokecolor="#000000">
                <v:path arrowok="t"/>
              </v:shape>
            </v:group>
            <v:group style="position:absolute;left:4795;top:4105;width:684;height:2" coordorigin="4795,4105" coordsize="684,2">
              <v:shape style="position:absolute;left:4795;top:4105;width:684;height:2" coordorigin="4795,4105" coordsize="684,0" path="m4795,4105l5479,4105e" filled="false" stroked="true" strokeweight="1.5pt" strokecolor="#000000">
                <v:path arrowok="t"/>
              </v:shape>
            </v:group>
            <v:group style="position:absolute;left:5479;top:4105;width:948;height:2" coordorigin="5479,4105" coordsize="948,2">
              <v:shape style="position:absolute;left:5479;top:4105;width:948;height:2" coordorigin="5479,4105" coordsize="948,0" path="m5479,4105l6427,4105e" filled="false" stroked="true" strokeweight="1.5pt" strokecolor="#000000">
                <v:path arrowok="t"/>
              </v:shape>
            </v:group>
            <v:group style="position:absolute;left:6427;top:4105;width:713;height:2" coordorigin="6427,4105" coordsize="713,2">
              <v:shape style="position:absolute;left:6427;top:4105;width:713;height:2" coordorigin="6427,4105" coordsize="713,0" path="m6427,4105l7139,4105e" filled="false" stroked="true" strokeweight="1.5pt" strokecolor="#000000">
                <v:path arrowok="t"/>
              </v:shape>
            </v:group>
            <v:group style="position:absolute;left:7139;top:4105;width:893;height:2" coordorigin="7139,4105" coordsize="893,2">
              <v:shape style="position:absolute;left:7139;top:4105;width:893;height:2" coordorigin="7139,4105" coordsize="893,0" path="m7139,4105l8032,4105e" filled="false" stroked="true" strokeweight="1.5pt" strokecolor="#000000">
                <v:path arrowok="t"/>
              </v:shape>
              <v:shape style="position:absolute;left:10;top:1231;width:8742;height:2858" type="#_x0000_t75" stroked="false">
                <v:imagedata r:id="rId121" o:title=""/>
              </v:shape>
            </v:group>
            <v:group style="position:absolute;left:8032;top:4105;width:698;height:2" coordorigin="8032,4105" coordsize="698,2">
              <v:shape style="position:absolute;left:8032;top:4105;width:698;height:2" coordorigin="8032,4105" coordsize="698,0" path="m8032,4105l8729,4105e" filled="false" stroked="true" strokeweight="1.5pt" strokecolor="#000000">
                <v:path arrowok="t"/>
              </v:shape>
              <v:shape style="position:absolute;left:3362;top:25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期末余额</w:t>
                      </w:r>
                    </w:p>
                  </w:txbxContent>
                </v:textbox>
                <w10:wrap type="none"/>
              </v:shape>
              <v:shape style="position:absolute;left:6803;top:25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634;top:667;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种</w:t>
                      </w:r>
                    </w:p>
                  </w:txbxContent>
                </v:textbox>
                <w10:wrap type="none"/>
              </v:shape>
              <v:shape style="position:absolute;left:1084;top:667;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类</w:t>
                      </w:r>
                    </w:p>
                  </w:txbxContent>
                </v:textbox>
                <w10:wrap type="none"/>
              </v:shape>
              <v:shape style="position:absolute;left:2515;top:66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4335;top:66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6011;top:66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7634;top:66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2311;top:107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3172;top:1076;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4142;top:107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4877;top:1076;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5805;top:107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6482;top:1076;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7438;top:107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8119;top:1076;width:526;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137;top:1486;width:168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单项金额重大并单项计提</w:t>
                      </w:r>
                    </w:p>
                  </w:txbxContent>
                </v:textbox>
                <w10:wrap type="none"/>
              </v:shape>
              <v:shape style="position:absolute;left:2303;top:1703;width:7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203,808,369</w:t>
                      </w:r>
                    </w:p>
                  </w:txbxContent>
                </v:textbox>
                <w10:wrap type="none"/>
              </v:shape>
              <v:shape style="position:absolute;left:3425;top:1703;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16.70</w:t>
                      </w:r>
                    </w:p>
                  </w:txbxContent>
                </v:textbox>
                <w10:wrap type="none"/>
              </v:shape>
              <v:shape style="position:absolute;left:4100;top:1703;width:67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13,811,688</w:t>
                      </w:r>
                    </w:p>
                  </w:txbxContent>
                </v:textbox>
                <w10:wrap type="none"/>
              </v:shape>
              <v:shape style="position:absolute;left:5192;top:1703;width:1212;height:150" type="#_x0000_t202" filled="false" stroked="false">
                <v:textbox inset="0,0,0,0">
                  <w:txbxContent>
                    <w:p>
                      <w:pPr>
                        <w:tabs>
                          <w:tab w:pos="466"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6.78</w:t>
                        <w:tab/>
                        <w:t>117,846,230</w:t>
                      </w:r>
                    </w:p>
                  </w:txbxContent>
                </v:textbox>
                <w10:wrap type="none"/>
              </v:shape>
              <v:shape style="position:absolute;left:6783;top:1703;width:333;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2"/>
                          <w:sz w:val="15"/>
                        </w:rPr>
                        <w:t>11.76</w:t>
                      </w:r>
                    </w:p>
                  </w:txbxContent>
                </v:textbox>
                <w10:wrap type="none"/>
              </v:shape>
              <v:shape style="position:absolute;left:7408;top:1703;width:6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9,903,231</w:t>
                      </w:r>
                    </w:p>
                  </w:txbxContent>
                </v:textbox>
                <w10:wrap type="none"/>
              </v:shape>
              <v:shape style="position:absolute;left:8438;top:1703;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8.40</w:t>
                      </w:r>
                    </w:p>
                  </w:txbxContent>
                </v:textbox>
                <w10:wrap type="none"/>
              </v:shape>
              <v:shape style="position:absolute;left:137;top:1886;width:13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坏账准备的应收账款</w:t>
                      </w:r>
                    </w:p>
                  </w:txbxContent>
                </v:textbox>
                <w10:wrap type="none"/>
              </v:shape>
              <v:shape style="position:absolute;left:137;top:2296;width:168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按组合计提坏账准备的应</w:t>
                      </w:r>
                    </w:p>
                  </w:txbxContent>
                </v:textbox>
                <w10:wrap type="none"/>
              </v:shape>
              <v:shape style="position:absolute;left:2303;top:2513;width:75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971,097,433</w:t>
                      </w:r>
                    </w:p>
                  </w:txbxContent>
                </v:textbox>
                <w10:wrap type="none"/>
              </v:shape>
              <v:shape style="position:absolute;left:3425;top:2513;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79.57</w:t>
                      </w:r>
                    </w:p>
                  </w:txbxContent>
                </v:textbox>
                <w10:wrap type="none"/>
              </v:shape>
              <v:shape style="position:absolute;left:4095;top:2513;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31,862,593</w:t>
                      </w:r>
                    </w:p>
                  </w:txbxContent>
                </v:textbox>
                <w10:wrap type="none"/>
              </v:shape>
              <v:shape style="position:absolute;left:5192;top:2513;width:121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3.28    </w:t>
                      </w:r>
                      <w:r>
                        <w:rPr>
                          <w:rFonts w:ascii="Times New Roman"/>
                          <w:spacing w:val="3"/>
                          <w:sz w:val="15"/>
                        </w:rPr>
                        <w:t> </w:t>
                      </w:r>
                      <w:r>
                        <w:rPr>
                          <w:rFonts w:ascii="Times New Roman"/>
                          <w:sz w:val="15"/>
                        </w:rPr>
                        <w:t>856,562,486</w:t>
                      </w:r>
                    </w:p>
                  </w:txbxContent>
                </v:textbox>
                <w10:wrap type="none"/>
              </v:shape>
              <v:shape style="position:absolute;left:6778;top:2513;width:1232;height:150" type="#_x0000_t202" filled="false" stroked="false">
                <v:textbox inset="0,0,0,0">
                  <w:txbxContent>
                    <w:p>
                      <w:pPr>
                        <w:tabs>
                          <w:tab w:pos="560"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85.48</w:t>
                        <w:tab/>
                        <w:t>22,911,031</w:t>
                      </w:r>
                    </w:p>
                  </w:txbxContent>
                </v:textbox>
                <w10:wrap type="none"/>
              </v:shape>
              <v:shape style="position:absolute;left:8438;top:2513;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2.67</w:t>
                      </w:r>
                    </w:p>
                  </w:txbxContent>
                </v:textbox>
                <w10:wrap type="none"/>
              </v:shape>
              <v:shape style="position:absolute;left:137;top:269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收账款</w:t>
                      </w:r>
                    </w:p>
                  </w:txbxContent>
                </v:textbox>
                <w10:wrap type="none"/>
              </v:shape>
              <v:shape style="position:absolute;left:137;top:3106;width:168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单项金额虽不重大但单项</w:t>
                      </w:r>
                    </w:p>
                  </w:txbxContent>
                </v:textbox>
                <w10:wrap type="none"/>
              </v:shape>
              <v:shape style="position:absolute;left:2379;top:3323;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45,459,795</w:t>
                      </w:r>
                    </w:p>
                  </w:txbxContent>
                </v:textbox>
                <w10:wrap type="none"/>
              </v:shape>
              <v:shape style="position:absolute;left:3500;top:3323;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3.73</w:t>
                      </w:r>
                    </w:p>
                  </w:txbxContent>
                </v:textbox>
                <w10:wrap type="none"/>
              </v:shape>
              <v:shape style="position:absolute;left:4095;top:3323;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13,402,767</w:t>
                      </w:r>
                    </w:p>
                  </w:txbxContent>
                </v:textbox>
                <w10:wrap type="none"/>
              </v:shape>
              <v:shape style="position:absolute;left:5117;top:3323;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29.48</w:t>
                      </w:r>
                    </w:p>
                  </w:txbxContent>
                </v:textbox>
                <w10:wrap type="none"/>
              </v:shape>
              <v:shape style="position:absolute;left:5728;top:3323;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27,605,463</w:t>
                      </w:r>
                    </w:p>
                  </w:txbxContent>
                </v:textbox>
                <w10:wrap type="none"/>
              </v:shape>
              <v:shape style="position:absolute;left:6853;top:3323;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2.76</w:t>
                      </w:r>
                    </w:p>
                  </w:txbxContent>
                </v:textbox>
                <w10:wrap type="none"/>
              </v:shape>
              <v:shape style="position:absolute;left:7408;top:3323;width:6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9,474,787</w:t>
                      </w:r>
                    </w:p>
                  </w:txbxContent>
                </v:textbox>
                <w10:wrap type="none"/>
              </v:shape>
              <v:shape style="position:absolute;left:8363;top:3323;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34.32</w:t>
                      </w:r>
                    </w:p>
                  </w:txbxContent>
                </v:textbox>
                <w10:wrap type="none"/>
              </v:shape>
              <v:shape style="position:absolute;left:137;top:3506;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计提坏账准备的应收账款</w:t>
                      </w:r>
                    </w:p>
                  </w:txbxContent>
                </v:textbox>
                <w10:wrap type="none"/>
              </v:shape>
              <v:shape style="position:absolute;left:634;top:3916;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w:t>
                      </w:r>
                    </w:p>
                  </w:txbxContent>
                </v:textbox>
                <w10:wrap type="none"/>
              </v:shape>
              <v:shape style="position:absolute;left:1084;top:3916;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计</w:t>
                      </w:r>
                    </w:p>
                  </w:txbxContent>
                </v:textbox>
                <w10:wrap type="none"/>
              </v:shape>
              <v:shape style="position:absolute;left:2191;top:3933;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1,220,365,597</w:t>
                      </w:r>
                    </w:p>
                  </w:txbxContent>
                </v:textbox>
                <w10:wrap type="none"/>
              </v:shape>
              <v:shape style="position:absolute;left:3350;top:3933;width:41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100.00</w:t>
                      </w:r>
                    </w:p>
                  </w:txbxContent>
                </v:textbox>
                <w10:wrap type="none"/>
              </v:shape>
              <v:shape style="position:absolute;left:4095;top:3933;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59,077,048</w:t>
                      </w:r>
                    </w:p>
                  </w:txbxContent>
                </v:textbox>
                <w10:wrap type="none"/>
              </v:shape>
              <v:shape style="position:absolute;left:5541;top:3933;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1,002,014,179</w:t>
                      </w:r>
                    </w:p>
                  </w:txbxContent>
                </v:textbox>
                <w10:wrap type="none"/>
              </v:shape>
              <v:shape style="position:absolute;left:6703;top:3933;width:1308;height:150" type="#_x0000_t202" filled="false" stroked="false">
                <v:textbox inset="0,0,0,0">
                  <w:txbxContent>
                    <w:p>
                      <w:pPr>
                        <w:tabs>
                          <w:tab w:pos="632"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100.00</w:t>
                        <w:tab/>
                        <w:t>42,289,049</w:t>
                      </w:r>
                    </w:p>
                  </w:txbxContent>
                </v:textbox>
                <w10:wrap type="none"/>
              </v:shape>
            </v:group>
          </v:group>
        </w:pict>
      </w:r>
      <w:r>
        <w:rPr>
          <w:rFonts w:ascii="宋体" w:hAnsi="宋体" w:cs="宋体" w:eastAsia="宋体" w:hint="default"/>
          <w:position w:val="-81"/>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tabs>
          <w:tab w:pos="1395" w:val="left" w:leader="none"/>
        </w:tabs>
        <w:spacing w:before="35"/>
        <w:ind w:left="857" w:right="91" w:firstLine="0"/>
        <w:jc w:val="left"/>
        <w:rPr>
          <w:rFonts w:ascii="宋体" w:hAnsi="宋体" w:cs="宋体" w:eastAsia="宋体" w:hint="default"/>
          <w:sz w:val="21"/>
          <w:szCs w:val="21"/>
        </w:rPr>
      </w:pPr>
      <w:r>
        <w:rPr/>
        <w:pict>
          <v:group style="position:absolute;margin-left:101.519997pt;margin-top:17.073824pt;width:435.15pt;height:164pt;mso-position-horizontal-relative:page;mso-position-vertical-relative:paragraph;z-index:-1127392" coordorigin="2030,341" coordsize="8703,3280">
            <v:group style="position:absolute;left:2050;top:356;width:8658;height:2" coordorigin="2050,356" coordsize="8658,2">
              <v:shape style="position:absolute;left:2050;top:356;width:8658;height:2" coordorigin="2050,356" coordsize="8658,0" path="m2050,356l10708,356e" filled="false" stroked="true" strokeweight="1.5pt" strokecolor="#000000">
                <v:path arrowok="t"/>
              </v:shape>
              <v:shape style="position:absolute;left:4337;top:348;width:3174;height:446" type="#_x0000_t75" stroked="false">
                <v:imagedata r:id="rId122" o:title=""/>
              </v:shape>
              <v:shape style="position:absolute;left:2030;top:752;width:8702;height:2869" type="#_x0000_t75" stroked="false">
                <v:imagedata r:id="rId123" o:title=""/>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z w:val="21"/>
          <w:szCs w:val="21"/>
        </w:rPr>
        <w:t>期末单项金额重大并单项计提坏账准备的应收账款：</w:t>
      </w:r>
      <w:r>
        <w:rPr>
          <w:rFonts w:ascii="宋体" w:hAnsi="宋体" w:cs="宋体" w:eastAsia="宋体" w:hint="default"/>
          <w:sz w:val="21"/>
          <w:szCs w:val="21"/>
        </w:rPr>
      </w:r>
    </w:p>
    <w:p>
      <w:pPr>
        <w:spacing w:line="240" w:lineRule="auto" w:before="1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2372"/>
        <w:gridCol w:w="1044"/>
        <w:gridCol w:w="979"/>
        <w:gridCol w:w="1093"/>
        <w:gridCol w:w="3184"/>
      </w:tblGrid>
      <w:tr>
        <w:trPr>
          <w:trHeight w:val="815"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828" w:firstLine="339"/>
              <w:jc w:val="left"/>
              <w:rPr>
                <w:rFonts w:ascii="宋体" w:hAnsi="宋体" w:cs="宋体" w:eastAsia="宋体" w:hint="default"/>
                <w:sz w:val="18"/>
                <w:szCs w:val="18"/>
              </w:rPr>
            </w:pPr>
            <w:r>
              <w:rPr>
                <w:rFonts w:ascii="宋体" w:hAnsi="宋体" w:cs="宋体" w:eastAsia="宋体" w:hint="default"/>
                <w:sz w:val="18"/>
                <w:szCs w:val="18"/>
              </w:rPr>
              <w:t>应收款项内容 联通网通</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6" w:right="0"/>
              <w:jc w:val="left"/>
              <w:rPr>
                <w:rFonts w:ascii="宋体" w:hAnsi="宋体" w:cs="宋体" w:eastAsia="宋体" w:hint="default"/>
                <w:sz w:val="18"/>
                <w:szCs w:val="18"/>
              </w:rPr>
            </w:pPr>
            <w:r>
              <w:rPr>
                <w:rFonts w:ascii="宋体" w:hAnsi="宋体" w:cs="宋体" w:eastAsia="宋体" w:hint="default"/>
                <w:sz w:val="18"/>
                <w:szCs w:val="18"/>
              </w:rPr>
              <w:t>账面金额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84" w:right="0"/>
              <w:jc w:val="left"/>
              <w:rPr>
                <w:rFonts w:ascii="Times New Roman" w:hAnsi="Times New Roman" w:cs="Times New Roman" w:eastAsia="Times New Roman" w:hint="default"/>
                <w:sz w:val="18"/>
                <w:szCs w:val="18"/>
              </w:rPr>
            </w:pPr>
            <w:r>
              <w:rPr>
                <w:rFonts w:ascii="Times New Roman"/>
                <w:sz w:val="18"/>
              </w:rPr>
              <w:t>139,469,434</w:t>
            </w:r>
          </w:p>
        </w:tc>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8" w:right="0"/>
              <w:jc w:val="left"/>
              <w:rPr>
                <w:rFonts w:ascii="宋体" w:hAnsi="宋体" w:cs="宋体" w:eastAsia="宋体" w:hint="default"/>
                <w:sz w:val="18"/>
                <w:szCs w:val="18"/>
              </w:rPr>
            </w:pPr>
            <w:r>
              <w:rPr>
                <w:rFonts w:ascii="宋体" w:hAnsi="宋体" w:cs="宋体" w:eastAsia="宋体" w:hint="default"/>
                <w:sz w:val="18"/>
                <w:szCs w:val="18"/>
              </w:rPr>
              <w:t>坏账准备</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11,180,373</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708" w:right="0"/>
              <w:jc w:val="left"/>
              <w:rPr>
                <w:rFonts w:ascii="Times New Roman" w:hAnsi="Times New Roman" w:cs="Times New Roman" w:eastAsia="Times New Roman" w:hint="default"/>
                <w:sz w:val="18"/>
                <w:szCs w:val="18"/>
              </w:rPr>
            </w:pPr>
            <w:r>
              <w:rPr>
                <w:rFonts w:ascii="Times New Roman"/>
                <w:sz w:val="18"/>
              </w:rPr>
              <w:t>8.02</w:t>
            </w:r>
          </w:p>
        </w:tc>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42" w:right="0"/>
              <w:jc w:val="left"/>
              <w:rPr>
                <w:rFonts w:ascii="宋体" w:hAnsi="宋体" w:cs="宋体" w:eastAsia="宋体" w:hint="default"/>
                <w:sz w:val="18"/>
                <w:szCs w:val="18"/>
              </w:rPr>
            </w:pPr>
            <w:r>
              <w:rPr>
                <w:rFonts w:ascii="宋体" w:hAnsi="宋体" w:cs="宋体" w:eastAsia="宋体" w:hint="default"/>
                <w:sz w:val="18"/>
                <w:szCs w:val="18"/>
              </w:rPr>
              <w:t>计提理由</w:t>
            </w: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金额重大</w:t>
            </w:r>
            <w:r>
              <w:rPr>
                <w:rFonts w:ascii="Times New Roman" w:hAnsi="Times New Roman" w:cs="Times New Roman" w:eastAsia="Times New Roman" w:hint="default"/>
                <w:sz w:val="18"/>
                <w:szCs w:val="18"/>
              </w:rPr>
              <w:t>—</w:t>
            </w:r>
            <w:r>
              <w:rPr>
                <w:rFonts w:ascii="宋体" w:hAnsi="宋体" w:cs="宋体" w:eastAsia="宋体" w:hint="default"/>
                <w:sz w:val="18"/>
                <w:szCs w:val="18"/>
              </w:rPr>
              <w:t>预计可收回比例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90%</w:t>
            </w:r>
            <w:r>
              <w:rPr>
                <w:rFonts w:ascii="宋体" w:hAnsi="宋体" w:cs="宋体" w:eastAsia="宋体" w:hint="default"/>
                <w:sz w:val="18"/>
                <w:szCs w:val="18"/>
              </w:rPr>
              <w:t>以上</w:t>
            </w:r>
          </w:p>
        </w:tc>
      </w:tr>
      <w:tr>
        <w:trPr>
          <w:trHeight w:val="295"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诺基亚西门子东软通信技术</w:t>
            </w:r>
          </w:p>
        </w:tc>
        <w:tc>
          <w:tcPr>
            <w:tcW w:w="1044" w:type="dxa"/>
            <w:tcBorders>
              <w:top w:val="nil" w:sz="6" w:space="0" w:color="auto"/>
              <w:left w:val="nil" w:sz="6" w:space="0" w:color="auto"/>
              <w:bottom w:val="nil" w:sz="6" w:space="0" w:color="auto"/>
              <w:right w:val="nil" w:sz="6" w:space="0" w:color="auto"/>
            </w:tcBorders>
          </w:tcPr>
          <w:p>
            <w:pPr/>
          </w:p>
        </w:tc>
        <w:tc>
          <w:tcPr>
            <w:tcW w:w="979" w:type="dxa"/>
            <w:tcBorders>
              <w:top w:val="nil" w:sz="6" w:space="0" w:color="auto"/>
              <w:left w:val="nil" w:sz="6" w:space="0" w:color="auto"/>
              <w:bottom w:val="nil" w:sz="6" w:space="0" w:color="auto"/>
              <w:right w:val="nil" w:sz="6" w:space="0" w:color="auto"/>
            </w:tcBorders>
          </w:tcPr>
          <w:p>
            <w:pPr/>
          </w:p>
        </w:tc>
        <w:tc>
          <w:tcPr>
            <w:tcW w:w="1093" w:type="dxa"/>
            <w:tcBorders>
              <w:top w:val="nil" w:sz="6" w:space="0" w:color="auto"/>
              <w:left w:val="nil" w:sz="6" w:space="0" w:color="auto"/>
              <w:bottom w:val="nil" w:sz="6" w:space="0" w:color="auto"/>
              <w:right w:val="nil" w:sz="6" w:space="0" w:color="auto"/>
            </w:tcBorders>
          </w:tcPr>
          <w:p>
            <w:pPr/>
          </w:p>
        </w:tc>
        <w:tc>
          <w:tcPr>
            <w:tcW w:w="3184" w:type="dxa"/>
            <w:tcBorders>
              <w:top w:val="nil" w:sz="6" w:space="0" w:color="auto"/>
              <w:left w:val="nil" w:sz="6" w:space="0" w:color="auto"/>
              <w:bottom w:val="nil" w:sz="6" w:space="0" w:color="auto"/>
              <w:right w:val="nil" w:sz="6" w:space="0" w:color="auto"/>
            </w:tcBorders>
          </w:tcPr>
          <w:p>
            <w:pPr/>
          </w:p>
        </w:tc>
      </w:tr>
      <w:tr>
        <w:trPr>
          <w:trHeight w:val="510"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155"/>
              <w:ind w:left="122" w:right="0"/>
              <w:jc w:val="left"/>
              <w:rPr>
                <w:rFonts w:ascii="宋体" w:hAnsi="宋体" w:cs="宋体" w:eastAsia="宋体" w:hint="default"/>
                <w:sz w:val="18"/>
                <w:szCs w:val="18"/>
              </w:rPr>
            </w:pPr>
            <w:r>
              <w:rPr>
                <w:rFonts w:ascii="宋体" w:hAnsi="宋体" w:cs="宋体" w:eastAsia="宋体" w:hint="default"/>
                <w:sz w:val="18"/>
                <w:szCs w:val="18"/>
              </w:rPr>
              <w:t>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诺西东软</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6"/>
              <w:ind w:left="122" w:right="0"/>
              <w:jc w:val="center"/>
              <w:rPr>
                <w:rFonts w:ascii="Times New Roman" w:hAnsi="Times New Roman" w:cs="Times New Roman" w:eastAsia="Times New Roman" w:hint="default"/>
                <w:sz w:val="18"/>
                <w:szCs w:val="18"/>
              </w:rPr>
            </w:pPr>
            <w:r>
              <w:rPr>
                <w:rFonts w:ascii="Times New Roman"/>
                <w:sz w:val="18"/>
              </w:rPr>
              <w:t>33,113,689</w:t>
            </w:r>
          </w:p>
        </w:tc>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6"/>
              <w:jc w:val="right"/>
              <w:rPr>
                <w:rFonts w:ascii="Times New Roman" w:hAnsi="Times New Roman" w:cs="Times New Roman" w:eastAsia="Times New Roman" w:hint="default"/>
                <w:sz w:val="18"/>
                <w:szCs w:val="18"/>
              </w:rPr>
            </w:pPr>
            <w:r>
              <w:rPr>
                <w:rFonts w:ascii="Times New Roman"/>
                <w:sz w:val="18"/>
              </w:rPr>
              <w:t>2,040,901</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5"/>
              <w:jc w:val="right"/>
              <w:rPr>
                <w:rFonts w:ascii="Times New Roman" w:hAnsi="Times New Roman" w:cs="Times New Roman" w:eastAsia="Times New Roman" w:hint="default"/>
                <w:sz w:val="18"/>
                <w:szCs w:val="18"/>
              </w:rPr>
            </w:pPr>
            <w:r>
              <w:rPr>
                <w:rFonts w:ascii="Times New Roman"/>
                <w:sz w:val="18"/>
              </w:rPr>
              <w:t>6.16</w:t>
            </w:r>
          </w:p>
        </w:tc>
        <w:tc>
          <w:tcPr>
            <w:tcW w:w="3184" w:type="dxa"/>
            <w:tcBorders>
              <w:top w:val="nil" w:sz="6" w:space="0" w:color="auto"/>
              <w:left w:val="nil" w:sz="6" w:space="0" w:color="auto"/>
              <w:bottom w:val="nil" w:sz="6" w:space="0" w:color="auto"/>
              <w:right w:val="nil" w:sz="6" w:space="0" w:color="auto"/>
            </w:tcBorders>
          </w:tcPr>
          <w:p>
            <w:pPr>
              <w:pStyle w:val="TableParagraph"/>
              <w:spacing w:line="204" w:lineRule="exact"/>
              <w:ind w:left="67" w:right="0"/>
              <w:jc w:val="left"/>
              <w:rPr>
                <w:rFonts w:ascii="宋体" w:hAnsi="宋体" w:cs="宋体" w:eastAsia="宋体" w:hint="default"/>
                <w:sz w:val="18"/>
                <w:szCs w:val="18"/>
              </w:rPr>
            </w:pPr>
            <w:r>
              <w:rPr>
                <w:rFonts w:ascii="宋体" w:hAnsi="宋体" w:cs="宋体" w:eastAsia="宋体" w:hint="default"/>
                <w:sz w:val="18"/>
                <w:szCs w:val="18"/>
              </w:rPr>
              <w:t>金额重大</w:t>
            </w:r>
            <w:r>
              <w:rPr>
                <w:rFonts w:ascii="Times New Roman" w:hAnsi="Times New Roman" w:cs="Times New Roman" w:eastAsia="Times New Roman" w:hint="default"/>
                <w:sz w:val="18"/>
                <w:szCs w:val="18"/>
              </w:rPr>
              <w:t>—</w:t>
            </w:r>
            <w:r>
              <w:rPr>
                <w:rFonts w:ascii="宋体" w:hAnsi="宋体" w:cs="宋体" w:eastAsia="宋体" w:hint="default"/>
                <w:sz w:val="18"/>
                <w:szCs w:val="18"/>
              </w:rPr>
              <w:t>预计可收回比例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90%</w:t>
            </w:r>
            <w:r>
              <w:rPr>
                <w:rFonts w:ascii="宋体" w:hAnsi="宋体" w:cs="宋体" w:eastAsia="宋体" w:hint="default"/>
                <w:sz w:val="18"/>
                <w:szCs w:val="18"/>
              </w:rPr>
              <w:t>以上</w:t>
            </w:r>
          </w:p>
        </w:tc>
      </w:tr>
      <w:tr>
        <w:trPr>
          <w:trHeight w:val="300"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辽宁金汇信息技术服务有限</w:t>
            </w:r>
          </w:p>
        </w:tc>
        <w:tc>
          <w:tcPr>
            <w:tcW w:w="1044" w:type="dxa"/>
            <w:tcBorders>
              <w:top w:val="nil" w:sz="6" w:space="0" w:color="auto"/>
              <w:left w:val="nil" w:sz="6" w:space="0" w:color="auto"/>
              <w:bottom w:val="nil" w:sz="6" w:space="0" w:color="auto"/>
              <w:right w:val="nil" w:sz="6" w:space="0" w:color="auto"/>
            </w:tcBorders>
          </w:tcPr>
          <w:p>
            <w:pPr/>
          </w:p>
        </w:tc>
        <w:tc>
          <w:tcPr>
            <w:tcW w:w="979" w:type="dxa"/>
            <w:tcBorders>
              <w:top w:val="nil" w:sz="6" w:space="0" w:color="auto"/>
              <w:left w:val="nil" w:sz="6" w:space="0" w:color="auto"/>
              <w:bottom w:val="nil" w:sz="6" w:space="0" w:color="auto"/>
              <w:right w:val="nil" w:sz="6" w:space="0" w:color="auto"/>
            </w:tcBorders>
          </w:tcPr>
          <w:p>
            <w:pPr/>
          </w:p>
        </w:tc>
        <w:tc>
          <w:tcPr>
            <w:tcW w:w="1093" w:type="dxa"/>
            <w:tcBorders>
              <w:top w:val="nil" w:sz="6" w:space="0" w:color="auto"/>
              <w:left w:val="nil" w:sz="6" w:space="0" w:color="auto"/>
              <w:bottom w:val="nil" w:sz="6" w:space="0" w:color="auto"/>
              <w:right w:val="nil" w:sz="6" w:space="0" w:color="auto"/>
            </w:tcBorders>
          </w:tcPr>
          <w:p>
            <w:pPr/>
          </w:p>
        </w:tc>
        <w:tc>
          <w:tcPr>
            <w:tcW w:w="3184" w:type="dxa"/>
            <w:tcBorders>
              <w:top w:val="nil" w:sz="6" w:space="0" w:color="auto"/>
              <w:left w:val="nil" w:sz="6" w:space="0" w:color="auto"/>
              <w:bottom w:val="nil" w:sz="6" w:space="0" w:color="auto"/>
              <w:right w:val="nil" w:sz="6" w:space="0" w:color="auto"/>
            </w:tcBorders>
          </w:tcPr>
          <w:p>
            <w:pPr/>
          </w:p>
        </w:tc>
      </w:tr>
      <w:tr>
        <w:trPr>
          <w:trHeight w:val="505"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155"/>
              <w:ind w:left="1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center"/>
              <w:rPr>
                <w:rFonts w:ascii="Times New Roman" w:hAnsi="Times New Roman" w:cs="Times New Roman" w:eastAsia="Times New Roman" w:hint="default"/>
                <w:sz w:val="18"/>
                <w:szCs w:val="18"/>
              </w:rPr>
            </w:pPr>
            <w:r>
              <w:rPr>
                <w:rFonts w:ascii="Times New Roman"/>
                <w:sz w:val="18"/>
              </w:rPr>
              <w:t>16,074,138</w:t>
            </w:r>
          </w:p>
        </w:tc>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6"/>
              <w:jc w:val="right"/>
              <w:rPr>
                <w:rFonts w:ascii="Times New Roman" w:hAnsi="Times New Roman" w:cs="Times New Roman" w:eastAsia="Times New Roman" w:hint="default"/>
                <w:sz w:val="18"/>
                <w:szCs w:val="18"/>
              </w:rPr>
            </w:pPr>
            <w:r>
              <w:rPr>
                <w:rFonts w:ascii="Times New Roman"/>
                <w:sz w:val="18"/>
              </w:rPr>
              <w:t>253,094</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66"/>
              <w:jc w:val="right"/>
              <w:rPr>
                <w:rFonts w:ascii="Times New Roman" w:hAnsi="Times New Roman" w:cs="Times New Roman" w:eastAsia="Times New Roman" w:hint="default"/>
                <w:sz w:val="18"/>
                <w:szCs w:val="18"/>
              </w:rPr>
            </w:pPr>
            <w:r>
              <w:rPr>
                <w:rFonts w:ascii="Times New Roman"/>
                <w:sz w:val="18"/>
              </w:rPr>
              <w:t>1.57</w:t>
            </w:r>
          </w:p>
        </w:tc>
        <w:tc>
          <w:tcPr>
            <w:tcW w:w="3184" w:type="dxa"/>
            <w:tcBorders>
              <w:top w:val="nil" w:sz="6" w:space="0" w:color="auto"/>
              <w:left w:val="nil" w:sz="6" w:space="0" w:color="auto"/>
              <w:bottom w:val="nil" w:sz="6" w:space="0" w:color="auto"/>
              <w:right w:val="nil" w:sz="6" w:space="0" w:color="auto"/>
            </w:tcBorders>
          </w:tcPr>
          <w:p>
            <w:pPr>
              <w:pStyle w:val="TableParagraph"/>
              <w:spacing w:line="204" w:lineRule="exact"/>
              <w:ind w:left="67" w:right="0"/>
              <w:jc w:val="left"/>
              <w:rPr>
                <w:rFonts w:ascii="宋体" w:hAnsi="宋体" w:cs="宋体" w:eastAsia="宋体" w:hint="default"/>
                <w:sz w:val="18"/>
                <w:szCs w:val="18"/>
              </w:rPr>
            </w:pPr>
            <w:r>
              <w:rPr>
                <w:rFonts w:ascii="宋体" w:hAnsi="宋体" w:cs="宋体" w:eastAsia="宋体" w:hint="default"/>
                <w:sz w:val="18"/>
                <w:szCs w:val="18"/>
              </w:rPr>
              <w:t>金额重大</w:t>
            </w:r>
            <w:r>
              <w:rPr>
                <w:rFonts w:ascii="Times New Roman" w:hAnsi="Times New Roman" w:cs="Times New Roman" w:eastAsia="Times New Roman" w:hint="default"/>
                <w:sz w:val="18"/>
                <w:szCs w:val="18"/>
              </w:rPr>
              <w:t>—</w:t>
            </w:r>
            <w:r>
              <w:rPr>
                <w:rFonts w:ascii="宋体" w:hAnsi="宋体" w:cs="宋体" w:eastAsia="宋体" w:hint="default"/>
                <w:sz w:val="18"/>
                <w:szCs w:val="18"/>
              </w:rPr>
              <w:t>预计可收回比例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95%</w:t>
            </w:r>
            <w:r>
              <w:rPr>
                <w:rFonts w:ascii="宋体" w:hAnsi="宋体" w:cs="宋体" w:eastAsia="宋体" w:hint="default"/>
                <w:sz w:val="18"/>
                <w:szCs w:val="18"/>
              </w:rPr>
              <w:t>以上</w:t>
            </w:r>
          </w:p>
        </w:tc>
      </w:tr>
      <w:tr>
        <w:trPr>
          <w:trHeight w:val="420" w:hRule="exact"/>
        </w:trPr>
        <w:tc>
          <w:tcPr>
            <w:tcW w:w="237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沈阳地铁有限公司</w:t>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115" w:right="0"/>
              <w:jc w:val="center"/>
              <w:rPr>
                <w:rFonts w:ascii="Times New Roman" w:hAnsi="Times New Roman" w:cs="Times New Roman" w:eastAsia="Times New Roman" w:hint="default"/>
                <w:sz w:val="18"/>
                <w:szCs w:val="18"/>
              </w:rPr>
            </w:pPr>
            <w:r>
              <w:rPr>
                <w:rFonts w:ascii="Times New Roman"/>
                <w:sz w:val="18"/>
              </w:rPr>
              <w:t>15,151,108</w:t>
            </w:r>
          </w:p>
        </w:tc>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6"/>
              <w:jc w:val="right"/>
              <w:rPr>
                <w:rFonts w:ascii="Times New Roman" w:hAnsi="Times New Roman" w:cs="Times New Roman" w:eastAsia="Times New Roman" w:hint="default"/>
                <w:sz w:val="18"/>
                <w:szCs w:val="18"/>
              </w:rPr>
            </w:pPr>
            <w:r>
              <w:rPr>
                <w:rFonts w:ascii="Times New Roman"/>
                <w:sz w:val="18"/>
              </w:rPr>
              <w:t>337,320</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66"/>
              <w:jc w:val="right"/>
              <w:rPr>
                <w:rFonts w:ascii="Times New Roman" w:hAnsi="Times New Roman" w:cs="Times New Roman" w:eastAsia="Times New Roman" w:hint="default"/>
                <w:sz w:val="18"/>
                <w:szCs w:val="18"/>
              </w:rPr>
            </w:pPr>
            <w:r>
              <w:rPr>
                <w:rFonts w:ascii="Times New Roman"/>
                <w:sz w:val="18"/>
              </w:rPr>
              <w:t>2.23</w:t>
            </w:r>
          </w:p>
        </w:tc>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67" w:right="0"/>
              <w:jc w:val="left"/>
              <w:rPr>
                <w:rFonts w:ascii="宋体" w:hAnsi="宋体" w:cs="宋体" w:eastAsia="宋体" w:hint="default"/>
                <w:sz w:val="18"/>
                <w:szCs w:val="18"/>
              </w:rPr>
            </w:pPr>
            <w:r>
              <w:rPr>
                <w:rFonts w:ascii="宋体" w:hAnsi="宋体" w:cs="宋体" w:eastAsia="宋体" w:hint="default"/>
                <w:sz w:val="18"/>
                <w:szCs w:val="18"/>
              </w:rPr>
              <w:t>金额重大</w:t>
            </w:r>
            <w:r>
              <w:rPr>
                <w:rFonts w:ascii="Times New Roman" w:hAnsi="Times New Roman" w:cs="Times New Roman" w:eastAsia="Times New Roman" w:hint="default"/>
                <w:sz w:val="18"/>
                <w:szCs w:val="18"/>
              </w:rPr>
              <w:t>—</w:t>
            </w:r>
            <w:r>
              <w:rPr>
                <w:rFonts w:ascii="宋体" w:hAnsi="宋体" w:cs="宋体" w:eastAsia="宋体" w:hint="default"/>
                <w:sz w:val="18"/>
                <w:szCs w:val="18"/>
              </w:rPr>
              <w:t>预计可收回比例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95%</w:t>
            </w:r>
            <w:r>
              <w:rPr>
                <w:rFonts w:ascii="宋体" w:hAnsi="宋体" w:cs="宋体" w:eastAsia="宋体" w:hint="default"/>
                <w:sz w:val="18"/>
                <w:szCs w:val="18"/>
              </w:rPr>
              <w:t>以上</w:t>
            </w:r>
          </w:p>
        </w:tc>
      </w:tr>
      <w:tr>
        <w:trPr>
          <w:trHeight w:val="328" w:hRule="exact"/>
        </w:trPr>
        <w:tc>
          <w:tcPr>
            <w:tcW w:w="2372" w:type="dxa"/>
            <w:tcBorders>
              <w:top w:val="nil" w:sz="6" w:space="0" w:color="auto"/>
              <w:left w:val="nil" w:sz="6" w:space="0" w:color="auto"/>
              <w:bottom w:val="single" w:sz="12" w:space="0" w:color="000000"/>
              <w:right w:val="nil" w:sz="6" w:space="0" w:color="auto"/>
            </w:tcBorders>
          </w:tcPr>
          <w:p>
            <w:pPr>
              <w:pStyle w:val="TableParagraph"/>
              <w:tabs>
                <w:tab w:pos="591" w:val="left" w:leader="none"/>
              </w:tabs>
              <w:spacing w:line="240" w:lineRule="auto" w:before="50"/>
              <w:ind w:left="51"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044"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left="25" w:right="0"/>
              <w:jc w:val="center"/>
              <w:rPr>
                <w:rFonts w:ascii="Times New Roman" w:hAnsi="Times New Roman" w:cs="Times New Roman" w:eastAsia="Times New Roman" w:hint="default"/>
                <w:sz w:val="18"/>
                <w:szCs w:val="18"/>
              </w:rPr>
            </w:pPr>
            <w:r>
              <w:rPr>
                <w:rFonts w:ascii="Times New Roman"/>
                <w:sz w:val="18"/>
              </w:rPr>
              <w:t>203,808,369</w:t>
            </w:r>
          </w:p>
        </w:tc>
        <w:tc>
          <w:tcPr>
            <w:tcW w:w="97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7"/>
              <w:jc w:val="right"/>
              <w:rPr>
                <w:rFonts w:ascii="Times New Roman" w:hAnsi="Times New Roman" w:cs="Times New Roman" w:eastAsia="Times New Roman" w:hint="default"/>
                <w:sz w:val="18"/>
                <w:szCs w:val="18"/>
              </w:rPr>
            </w:pPr>
            <w:r>
              <w:rPr>
                <w:rFonts w:ascii="Times New Roman"/>
                <w:spacing w:val="-1"/>
                <w:sz w:val="18"/>
              </w:rPr>
              <w:t>13,811,688</w:t>
            </w:r>
          </w:p>
        </w:tc>
        <w:tc>
          <w:tcPr>
            <w:tcW w:w="1093" w:type="dxa"/>
            <w:tcBorders>
              <w:top w:val="nil" w:sz="6" w:space="0" w:color="auto"/>
              <w:left w:val="nil" w:sz="6" w:space="0" w:color="auto"/>
              <w:bottom w:val="single" w:sz="12" w:space="0" w:color="000000"/>
              <w:right w:val="nil" w:sz="6" w:space="0" w:color="auto"/>
            </w:tcBorders>
          </w:tcPr>
          <w:p>
            <w:pPr/>
          </w:p>
        </w:tc>
        <w:tc>
          <w:tcPr>
            <w:tcW w:w="3184"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pStyle w:val="BodyText"/>
        <w:spacing w:line="240" w:lineRule="auto"/>
        <w:ind w:left="857" w:right="91"/>
        <w:jc w:val="left"/>
      </w:pPr>
      <w:r>
        <w:rPr/>
        <w:pict>
          <v:group style="position:absolute;margin-left:101.040001pt;margin-top:17.073824pt;width:436.1pt;height:185.55pt;mso-position-horizontal-relative:page;mso-position-vertical-relative:paragraph;z-index:-1127320" coordorigin="2021,341" coordsize="8722,3711">
            <v:group style="position:absolute;left:2050;top:356;width:8662;height:2" coordorigin="2050,356" coordsize="8662,2">
              <v:shape style="position:absolute;left:2050;top:356;width:8662;height:2" coordorigin="2050,356" coordsize="8662,0" path="m2050,356l10711,356e" filled="false" stroked="true" strokeweight="1.5pt" strokecolor="#000000">
                <v:path arrowok="t"/>
              </v:shape>
              <v:shape style="position:absolute;left:3089;top:348;width:4050;height:446" type="#_x0000_t75" stroked="false">
                <v:imagedata r:id="rId124" o:title=""/>
              </v:shape>
              <v:shape style="position:absolute;left:3088;top:746;width:7655;height:461" type="#_x0000_t75" stroked="false">
                <v:imagedata r:id="rId125" o:title=""/>
              </v:shape>
              <v:shape style="position:absolute;left:3088;top:1156;width:6416;height:461" type="#_x0000_t75" stroked="false">
                <v:imagedata r:id="rId126" o:title=""/>
              </v:shape>
              <v:shape style="position:absolute;left:2021;top:1568;width:8722;height:2483" type="#_x0000_t75" stroked="false">
                <v:imagedata r:id="rId127" o:title=""/>
              </v:shape>
              <v:shape style="position:absolute;left:4754;top:5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551;top:5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t>组合中，按账龄分析法计提坏账准备的应收账款：</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tbl>
      <w:tblPr>
        <w:tblW w:w="0" w:type="auto"/>
        <w:jc w:val="left"/>
        <w:tblInd w:w="735" w:type="dxa"/>
        <w:tblLayout w:type="fixed"/>
        <w:tblCellMar>
          <w:top w:w="0" w:type="dxa"/>
          <w:left w:w="0" w:type="dxa"/>
          <w:bottom w:w="0" w:type="dxa"/>
          <w:right w:w="0" w:type="dxa"/>
        </w:tblCellMar>
        <w:tblLook w:val="01E0"/>
      </w:tblPr>
      <w:tblGrid>
        <w:gridCol w:w="728"/>
        <w:gridCol w:w="464"/>
        <w:gridCol w:w="1489"/>
        <w:gridCol w:w="1005"/>
        <w:gridCol w:w="1545"/>
        <w:gridCol w:w="1405"/>
        <w:gridCol w:w="878"/>
        <w:gridCol w:w="1162"/>
      </w:tblGrid>
      <w:tr>
        <w:trPr>
          <w:trHeight w:val="497" w:hRule="exact"/>
        </w:trPr>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8" w:right="0"/>
              <w:jc w:val="left"/>
              <w:rPr>
                <w:rFonts w:ascii="宋体" w:hAnsi="宋体" w:cs="宋体" w:eastAsia="宋体" w:hint="default"/>
                <w:sz w:val="18"/>
                <w:szCs w:val="18"/>
              </w:rPr>
            </w:pPr>
            <w:r>
              <w:rPr>
                <w:rFonts w:ascii="宋体" w:hAnsi="宋体" w:cs="宋体" w:eastAsia="宋体" w:hint="default"/>
                <w:sz w:val="18"/>
                <w:szCs w:val="18"/>
              </w:rPr>
              <w:t>账</w:t>
            </w:r>
          </w:p>
        </w:tc>
        <w:tc>
          <w:tcPr>
            <w:tcW w:w="46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left"/>
              <w:rPr>
                <w:rFonts w:ascii="宋体" w:hAnsi="宋体" w:cs="宋体" w:eastAsia="宋体" w:hint="default"/>
                <w:sz w:val="18"/>
                <w:szCs w:val="18"/>
              </w:rPr>
            </w:pPr>
            <w:r>
              <w:rPr>
                <w:rFonts w:ascii="宋体" w:hAnsi="宋体" w:cs="宋体" w:eastAsia="宋体" w:hint="default"/>
                <w:sz w:val="18"/>
                <w:szCs w:val="18"/>
              </w:rPr>
              <w:t>龄</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55"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1005" w:type="dxa"/>
            <w:tcBorders>
              <w:top w:val="nil" w:sz="6" w:space="0" w:color="auto"/>
              <w:left w:val="nil" w:sz="6" w:space="0" w:color="auto"/>
              <w:bottom w:val="nil" w:sz="6" w:space="0" w:color="auto"/>
              <w:right w:val="nil" w:sz="6" w:space="0" w:color="auto"/>
            </w:tcBorders>
          </w:tcPr>
          <w:p>
            <w:pP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5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65"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878"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13" w:hRule="exact"/>
        </w:trPr>
        <w:tc>
          <w:tcPr>
            <w:tcW w:w="728" w:type="dxa"/>
            <w:tcBorders>
              <w:top w:val="nil" w:sz="6" w:space="0" w:color="auto"/>
              <w:left w:val="nil" w:sz="6" w:space="0" w:color="auto"/>
              <w:bottom w:val="nil" w:sz="6" w:space="0" w:color="auto"/>
              <w:right w:val="nil" w:sz="6" w:space="0" w:color="auto"/>
            </w:tcBorders>
          </w:tcPr>
          <w:p>
            <w:pPr/>
          </w:p>
        </w:tc>
        <w:tc>
          <w:tcPr>
            <w:tcW w:w="464"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Style w:val="TableParagraph"/>
              <w:spacing w:line="193" w:lineRule="exact"/>
              <w:ind w:left="41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005" w:type="dxa"/>
            <w:tcBorders>
              <w:top w:val="nil" w:sz="6" w:space="0" w:color="auto"/>
              <w:left w:val="nil" w:sz="6" w:space="0" w:color="auto"/>
              <w:bottom w:val="nil" w:sz="6" w:space="0" w:color="auto"/>
              <w:right w:val="nil" w:sz="6" w:space="0" w:color="auto"/>
            </w:tcBorders>
          </w:tcPr>
          <w:p>
            <w:pPr>
              <w:pStyle w:val="TableParagraph"/>
              <w:spacing w:line="206" w:lineRule="exact"/>
              <w:ind w:left="1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545"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Style w:val="TableParagraph"/>
              <w:spacing w:line="193" w:lineRule="exact"/>
              <w:ind w:left="37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878" w:type="dxa"/>
            <w:tcBorders>
              <w:top w:val="nil" w:sz="6" w:space="0" w:color="auto"/>
              <w:left w:val="nil" w:sz="6" w:space="0" w:color="auto"/>
              <w:bottom w:val="nil" w:sz="6" w:space="0" w:color="auto"/>
              <w:right w:val="nil" w:sz="6" w:space="0" w:color="auto"/>
            </w:tcBorders>
          </w:tcPr>
          <w:p>
            <w:pPr>
              <w:pStyle w:val="TableParagraph"/>
              <w:spacing w:line="206" w:lineRule="exact"/>
              <w:ind w:right="227"/>
              <w:jc w:val="righ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162" w:type="dxa"/>
            <w:tcBorders>
              <w:top w:val="nil" w:sz="6" w:space="0" w:color="auto"/>
              <w:left w:val="nil" w:sz="6" w:space="0" w:color="auto"/>
              <w:bottom w:val="nil" w:sz="6" w:space="0" w:color="auto"/>
              <w:right w:val="nil" w:sz="6" w:space="0" w:color="auto"/>
            </w:tcBorders>
          </w:tcPr>
          <w:p>
            <w:pPr/>
          </w:p>
        </w:tc>
      </w:tr>
      <w:tr>
        <w:trPr>
          <w:trHeight w:val="415" w:hRule="exact"/>
        </w:trPr>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54"/>
              <w:ind w:left="69" w:right="-1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464"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283" w:right="0"/>
              <w:jc w:val="left"/>
              <w:rPr>
                <w:rFonts w:ascii="Times New Roman" w:hAnsi="Times New Roman" w:cs="Times New Roman" w:eastAsia="Times New Roman" w:hint="default"/>
                <w:sz w:val="18"/>
                <w:szCs w:val="18"/>
              </w:rPr>
            </w:pPr>
            <w:r>
              <w:rPr>
                <w:rFonts w:ascii="Times New Roman"/>
                <w:sz w:val="18"/>
              </w:rPr>
              <w:t>753,616,537</w:t>
            </w:r>
          </w:p>
        </w:tc>
        <w:tc>
          <w:tcPr>
            <w:tcW w:w="1005"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56"/>
              <w:jc w:val="right"/>
              <w:rPr>
                <w:rFonts w:ascii="Times New Roman" w:hAnsi="Times New Roman" w:cs="Times New Roman" w:eastAsia="Times New Roman" w:hint="default"/>
                <w:sz w:val="18"/>
                <w:szCs w:val="18"/>
              </w:rPr>
            </w:pPr>
            <w:r>
              <w:rPr>
                <w:rFonts w:ascii="Times New Roman"/>
                <w:sz w:val="18"/>
              </w:rPr>
              <w:t>77.61</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60"/>
              <w:jc w:val="right"/>
              <w:rPr>
                <w:rFonts w:ascii="Times New Roman" w:hAnsi="Times New Roman" w:cs="Times New Roman" w:eastAsia="Times New Roman" w:hint="default"/>
                <w:sz w:val="18"/>
                <w:szCs w:val="18"/>
              </w:rPr>
            </w:pPr>
            <w:r>
              <w:rPr>
                <w:rFonts w:ascii="Times New Roman"/>
                <w:sz w:val="18"/>
              </w:rPr>
              <w:t>7,536,165</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262" w:right="0"/>
              <w:jc w:val="left"/>
              <w:rPr>
                <w:rFonts w:ascii="Times New Roman" w:hAnsi="Times New Roman" w:cs="Times New Roman" w:eastAsia="Times New Roman" w:hint="default"/>
                <w:sz w:val="18"/>
                <w:szCs w:val="18"/>
              </w:rPr>
            </w:pPr>
            <w:r>
              <w:rPr>
                <w:rFonts w:ascii="Times New Roman"/>
                <w:sz w:val="18"/>
              </w:rPr>
              <w:t>699,564,802</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80"/>
              <w:jc w:val="right"/>
              <w:rPr>
                <w:rFonts w:ascii="Times New Roman" w:hAnsi="Times New Roman" w:cs="Times New Roman" w:eastAsia="Times New Roman" w:hint="default"/>
                <w:sz w:val="18"/>
                <w:szCs w:val="18"/>
              </w:rPr>
            </w:pPr>
            <w:r>
              <w:rPr>
                <w:rFonts w:ascii="Times New Roman"/>
                <w:sz w:val="18"/>
              </w:rPr>
              <w:t>81.67</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5"/>
              <w:jc w:val="right"/>
              <w:rPr>
                <w:rFonts w:ascii="Times New Roman" w:hAnsi="Times New Roman" w:cs="Times New Roman" w:eastAsia="Times New Roman" w:hint="default"/>
                <w:sz w:val="18"/>
                <w:szCs w:val="18"/>
              </w:rPr>
            </w:pPr>
            <w:r>
              <w:rPr>
                <w:rFonts w:ascii="Times New Roman"/>
                <w:sz w:val="18"/>
              </w:rPr>
              <w:t>6,995,648</w:t>
            </w:r>
          </w:p>
        </w:tc>
      </w:tr>
      <w:tr>
        <w:trPr>
          <w:trHeight w:val="410" w:hRule="exact"/>
        </w:trPr>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64"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283" w:right="0"/>
              <w:jc w:val="left"/>
              <w:rPr>
                <w:rFonts w:ascii="Times New Roman" w:hAnsi="Times New Roman" w:cs="Times New Roman" w:eastAsia="Times New Roman" w:hint="default"/>
                <w:sz w:val="18"/>
                <w:szCs w:val="18"/>
              </w:rPr>
            </w:pPr>
            <w:r>
              <w:rPr>
                <w:rFonts w:ascii="Times New Roman"/>
                <w:sz w:val="18"/>
              </w:rPr>
              <w:t>131,858,322</w:t>
            </w:r>
          </w:p>
        </w:tc>
        <w:tc>
          <w:tcPr>
            <w:tcW w:w="100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56"/>
              <w:jc w:val="right"/>
              <w:rPr>
                <w:rFonts w:ascii="Times New Roman" w:hAnsi="Times New Roman" w:cs="Times New Roman" w:eastAsia="Times New Roman" w:hint="default"/>
                <w:sz w:val="18"/>
                <w:szCs w:val="18"/>
              </w:rPr>
            </w:pPr>
            <w:r>
              <w:rPr>
                <w:rFonts w:ascii="Times New Roman"/>
                <w:sz w:val="18"/>
              </w:rPr>
              <w:t>13.58</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0"/>
              <w:jc w:val="right"/>
              <w:rPr>
                <w:rFonts w:ascii="Times New Roman" w:hAnsi="Times New Roman" w:cs="Times New Roman" w:eastAsia="Times New Roman" w:hint="default"/>
                <w:sz w:val="18"/>
                <w:szCs w:val="18"/>
              </w:rPr>
            </w:pPr>
            <w:r>
              <w:rPr>
                <w:rFonts w:ascii="Times New Roman"/>
                <w:sz w:val="18"/>
              </w:rPr>
              <w:t>2,637,167</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52" w:right="0"/>
              <w:jc w:val="left"/>
              <w:rPr>
                <w:rFonts w:ascii="Times New Roman" w:hAnsi="Times New Roman" w:cs="Times New Roman" w:eastAsia="Times New Roman" w:hint="default"/>
                <w:sz w:val="18"/>
                <w:szCs w:val="18"/>
              </w:rPr>
            </w:pPr>
            <w:r>
              <w:rPr>
                <w:rFonts w:ascii="Times New Roman"/>
                <w:sz w:val="18"/>
              </w:rPr>
              <w:t>80,423,826</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0"/>
              <w:jc w:val="right"/>
              <w:rPr>
                <w:rFonts w:ascii="Times New Roman" w:hAnsi="Times New Roman" w:cs="Times New Roman" w:eastAsia="Times New Roman" w:hint="default"/>
                <w:sz w:val="18"/>
                <w:szCs w:val="18"/>
              </w:rPr>
            </w:pPr>
            <w:r>
              <w:rPr>
                <w:rFonts w:ascii="Times New Roman"/>
                <w:sz w:val="18"/>
              </w:rPr>
              <w:t>9.39</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1,608,477</w:t>
            </w:r>
          </w:p>
        </w:tc>
      </w:tr>
      <w:tr>
        <w:trPr>
          <w:trHeight w:val="410" w:hRule="exact"/>
        </w:trPr>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64"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73" w:right="0"/>
              <w:jc w:val="left"/>
              <w:rPr>
                <w:rFonts w:ascii="Times New Roman" w:hAnsi="Times New Roman" w:cs="Times New Roman" w:eastAsia="Times New Roman" w:hint="default"/>
                <w:sz w:val="18"/>
                <w:szCs w:val="18"/>
              </w:rPr>
            </w:pPr>
            <w:r>
              <w:rPr>
                <w:rFonts w:ascii="Times New Roman"/>
                <w:sz w:val="18"/>
              </w:rPr>
              <w:t>41,610,955</w:t>
            </w:r>
          </w:p>
        </w:tc>
        <w:tc>
          <w:tcPr>
            <w:tcW w:w="100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56"/>
              <w:jc w:val="right"/>
              <w:rPr>
                <w:rFonts w:ascii="Times New Roman" w:hAnsi="Times New Roman" w:cs="Times New Roman" w:eastAsia="Times New Roman" w:hint="default"/>
                <w:sz w:val="18"/>
                <w:szCs w:val="18"/>
              </w:rPr>
            </w:pPr>
            <w:r>
              <w:rPr>
                <w:rFonts w:ascii="Times New Roman"/>
                <w:sz w:val="18"/>
              </w:rPr>
              <w:t>4.28</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0"/>
              <w:jc w:val="right"/>
              <w:rPr>
                <w:rFonts w:ascii="Times New Roman" w:hAnsi="Times New Roman" w:cs="Times New Roman" w:eastAsia="Times New Roman" w:hint="default"/>
                <w:sz w:val="18"/>
                <w:szCs w:val="18"/>
              </w:rPr>
            </w:pPr>
            <w:r>
              <w:rPr>
                <w:rFonts w:ascii="Times New Roman"/>
                <w:sz w:val="18"/>
              </w:rPr>
              <w:t>2,080,548</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51" w:right="0"/>
              <w:jc w:val="left"/>
              <w:rPr>
                <w:rFonts w:ascii="Times New Roman" w:hAnsi="Times New Roman" w:cs="Times New Roman" w:eastAsia="Times New Roman" w:hint="default"/>
                <w:sz w:val="18"/>
                <w:szCs w:val="18"/>
              </w:rPr>
            </w:pPr>
            <w:r>
              <w:rPr>
                <w:rFonts w:ascii="Times New Roman"/>
                <w:sz w:val="18"/>
              </w:rPr>
              <w:t>41,877,917</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0"/>
              <w:jc w:val="right"/>
              <w:rPr>
                <w:rFonts w:ascii="Times New Roman" w:hAnsi="Times New Roman" w:cs="Times New Roman" w:eastAsia="Times New Roman" w:hint="default"/>
                <w:sz w:val="18"/>
                <w:szCs w:val="18"/>
              </w:rPr>
            </w:pPr>
            <w:r>
              <w:rPr>
                <w:rFonts w:ascii="Times New Roman"/>
                <w:sz w:val="18"/>
              </w:rPr>
              <w:t>4.89</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2,093,896</w:t>
            </w:r>
          </w:p>
        </w:tc>
      </w:tr>
      <w:tr>
        <w:trPr>
          <w:trHeight w:val="410" w:hRule="exact"/>
        </w:trPr>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464"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80" w:right="0"/>
              <w:jc w:val="left"/>
              <w:rPr>
                <w:rFonts w:ascii="Times New Roman" w:hAnsi="Times New Roman" w:cs="Times New Roman" w:eastAsia="Times New Roman" w:hint="default"/>
                <w:sz w:val="18"/>
                <w:szCs w:val="18"/>
              </w:rPr>
            </w:pPr>
            <w:r>
              <w:rPr>
                <w:rFonts w:ascii="Times New Roman"/>
                <w:sz w:val="18"/>
              </w:rPr>
              <w:t>27,114,340</w:t>
            </w:r>
          </w:p>
        </w:tc>
        <w:tc>
          <w:tcPr>
            <w:tcW w:w="100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56"/>
              <w:jc w:val="right"/>
              <w:rPr>
                <w:rFonts w:ascii="Times New Roman" w:hAnsi="Times New Roman" w:cs="Times New Roman" w:eastAsia="Times New Roman" w:hint="default"/>
                <w:sz w:val="18"/>
                <w:szCs w:val="18"/>
              </w:rPr>
            </w:pPr>
            <w:r>
              <w:rPr>
                <w:rFonts w:ascii="Times New Roman"/>
                <w:sz w:val="18"/>
              </w:rPr>
              <w:t>2.79</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59"/>
              <w:jc w:val="right"/>
              <w:rPr>
                <w:rFonts w:ascii="Times New Roman" w:hAnsi="Times New Roman" w:cs="Times New Roman" w:eastAsia="Times New Roman" w:hint="default"/>
                <w:sz w:val="18"/>
                <w:szCs w:val="18"/>
              </w:rPr>
            </w:pPr>
            <w:r>
              <w:rPr>
                <w:rFonts w:ascii="Times New Roman"/>
                <w:spacing w:val="-1"/>
                <w:sz w:val="18"/>
              </w:rPr>
              <w:t>2,711,434</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52" w:right="0"/>
              <w:jc w:val="left"/>
              <w:rPr>
                <w:rFonts w:ascii="Times New Roman" w:hAnsi="Times New Roman" w:cs="Times New Roman" w:eastAsia="Times New Roman" w:hint="default"/>
                <w:sz w:val="18"/>
                <w:szCs w:val="18"/>
              </w:rPr>
            </w:pPr>
            <w:r>
              <w:rPr>
                <w:rFonts w:ascii="Times New Roman"/>
                <w:sz w:val="18"/>
              </w:rPr>
              <w:t>24,981,035</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0"/>
              <w:jc w:val="right"/>
              <w:rPr>
                <w:rFonts w:ascii="Times New Roman" w:hAnsi="Times New Roman" w:cs="Times New Roman" w:eastAsia="Times New Roman" w:hint="default"/>
                <w:sz w:val="18"/>
                <w:szCs w:val="18"/>
              </w:rPr>
            </w:pPr>
            <w:r>
              <w:rPr>
                <w:rFonts w:ascii="Times New Roman"/>
                <w:sz w:val="18"/>
              </w:rPr>
              <w:t>2.92</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2,498,104</w:t>
            </w:r>
          </w:p>
        </w:tc>
      </w:tr>
      <w:tr>
        <w:trPr>
          <w:trHeight w:val="410" w:hRule="exact"/>
        </w:trPr>
        <w:tc>
          <w:tcPr>
            <w:tcW w:w="72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9" w:right="-16"/>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464"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73" w:right="0"/>
              <w:jc w:val="left"/>
              <w:rPr>
                <w:rFonts w:ascii="Times New Roman" w:hAnsi="Times New Roman" w:cs="Times New Roman" w:eastAsia="Times New Roman" w:hint="default"/>
                <w:sz w:val="18"/>
                <w:szCs w:val="18"/>
              </w:rPr>
            </w:pPr>
            <w:r>
              <w:rPr>
                <w:rFonts w:ascii="Times New Roman"/>
                <w:sz w:val="18"/>
              </w:rPr>
              <w:t>16,897,279</w:t>
            </w:r>
          </w:p>
        </w:tc>
        <w:tc>
          <w:tcPr>
            <w:tcW w:w="100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56"/>
              <w:jc w:val="right"/>
              <w:rPr>
                <w:rFonts w:ascii="Times New Roman" w:hAnsi="Times New Roman" w:cs="Times New Roman" w:eastAsia="Times New Roman" w:hint="default"/>
                <w:sz w:val="18"/>
                <w:szCs w:val="18"/>
              </w:rPr>
            </w:pPr>
            <w:r>
              <w:rPr>
                <w:rFonts w:ascii="Times New Roman"/>
                <w:sz w:val="18"/>
              </w:rPr>
              <w:t>1.74</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0"/>
              <w:jc w:val="right"/>
              <w:rPr>
                <w:rFonts w:ascii="Times New Roman" w:hAnsi="Times New Roman" w:cs="Times New Roman" w:eastAsia="Times New Roman" w:hint="default"/>
                <w:sz w:val="18"/>
                <w:szCs w:val="18"/>
              </w:rPr>
            </w:pPr>
            <w:r>
              <w:rPr>
                <w:rFonts w:ascii="Times New Roman"/>
                <w:sz w:val="18"/>
              </w:rPr>
              <w:t>16,897,279</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442" w:right="0"/>
              <w:jc w:val="left"/>
              <w:rPr>
                <w:rFonts w:ascii="Times New Roman" w:hAnsi="Times New Roman" w:cs="Times New Roman" w:eastAsia="Times New Roman" w:hint="default"/>
                <w:sz w:val="18"/>
                <w:szCs w:val="18"/>
              </w:rPr>
            </w:pPr>
            <w:r>
              <w:rPr>
                <w:rFonts w:ascii="Times New Roman"/>
                <w:sz w:val="18"/>
              </w:rPr>
              <w:t>9,714,906</w:t>
            </w:r>
          </w:p>
        </w:tc>
        <w:tc>
          <w:tcPr>
            <w:tcW w:w="87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0"/>
              <w:jc w:val="right"/>
              <w:rPr>
                <w:rFonts w:ascii="Times New Roman" w:hAnsi="Times New Roman" w:cs="Times New Roman" w:eastAsia="Times New Roman" w:hint="default"/>
                <w:sz w:val="18"/>
                <w:szCs w:val="18"/>
              </w:rPr>
            </w:pPr>
            <w:r>
              <w:rPr>
                <w:rFonts w:ascii="Times New Roman"/>
                <w:sz w:val="18"/>
              </w:rPr>
              <w:t>1.13</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9,714,906</w:t>
            </w:r>
          </w:p>
        </w:tc>
      </w:tr>
      <w:tr>
        <w:trPr>
          <w:trHeight w:val="329" w:hRule="exact"/>
        </w:trPr>
        <w:tc>
          <w:tcPr>
            <w:tcW w:w="728"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88" w:right="0"/>
              <w:jc w:val="left"/>
              <w:rPr>
                <w:rFonts w:ascii="宋体" w:hAnsi="宋体" w:cs="宋体" w:eastAsia="宋体" w:hint="default"/>
                <w:sz w:val="18"/>
                <w:szCs w:val="18"/>
              </w:rPr>
            </w:pPr>
            <w:r>
              <w:rPr>
                <w:rFonts w:ascii="宋体" w:hAnsi="宋体" w:cs="宋体" w:eastAsia="宋体" w:hint="default"/>
                <w:sz w:val="18"/>
                <w:szCs w:val="18"/>
              </w:rPr>
              <w:t>合</w:t>
            </w:r>
          </w:p>
        </w:tc>
        <w:tc>
          <w:tcPr>
            <w:tcW w:w="464"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48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left="283" w:right="0"/>
              <w:jc w:val="left"/>
              <w:rPr>
                <w:rFonts w:ascii="Times New Roman" w:hAnsi="Times New Roman" w:cs="Times New Roman" w:eastAsia="Times New Roman" w:hint="default"/>
                <w:sz w:val="18"/>
                <w:szCs w:val="18"/>
              </w:rPr>
            </w:pPr>
            <w:r>
              <w:rPr>
                <w:rFonts w:ascii="Times New Roman"/>
                <w:sz w:val="18"/>
              </w:rPr>
              <w:t>971,097,433</w:t>
            </w:r>
          </w:p>
        </w:tc>
        <w:tc>
          <w:tcPr>
            <w:tcW w:w="100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56"/>
              <w:jc w:val="right"/>
              <w:rPr>
                <w:rFonts w:ascii="Times New Roman" w:hAnsi="Times New Roman" w:cs="Times New Roman" w:eastAsia="Times New Roman" w:hint="default"/>
                <w:sz w:val="18"/>
                <w:szCs w:val="18"/>
              </w:rPr>
            </w:pPr>
            <w:r>
              <w:rPr>
                <w:rFonts w:ascii="Times New Roman"/>
                <w:sz w:val="18"/>
              </w:rPr>
              <w:t>100.00</w:t>
            </w:r>
          </w:p>
        </w:tc>
        <w:tc>
          <w:tcPr>
            <w:tcW w:w="154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60"/>
              <w:jc w:val="right"/>
              <w:rPr>
                <w:rFonts w:ascii="Times New Roman" w:hAnsi="Times New Roman" w:cs="Times New Roman" w:eastAsia="Times New Roman" w:hint="default"/>
                <w:sz w:val="18"/>
                <w:szCs w:val="18"/>
              </w:rPr>
            </w:pPr>
            <w:r>
              <w:rPr>
                <w:rFonts w:ascii="Times New Roman"/>
                <w:sz w:val="18"/>
              </w:rPr>
              <w:t>31,862,593</w:t>
            </w:r>
          </w:p>
        </w:tc>
        <w:tc>
          <w:tcPr>
            <w:tcW w:w="140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left="261" w:right="0"/>
              <w:jc w:val="left"/>
              <w:rPr>
                <w:rFonts w:ascii="Times New Roman" w:hAnsi="Times New Roman" w:cs="Times New Roman" w:eastAsia="Times New Roman" w:hint="default"/>
                <w:sz w:val="18"/>
                <w:szCs w:val="18"/>
              </w:rPr>
            </w:pPr>
            <w:r>
              <w:rPr>
                <w:rFonts w:ascii="Times New Roman"/>
                <w:sz w:val="18"/>
              </w:rPr>
              <w:t>856,562,486</w:t>
            </w:r>
          </w:p>
        </w:tc>
        <w:tc>
          <w:tcPr>
            <w:tcW w:w="878"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80"/>
              <w:jc w:val="right"/>
              <w:rPr>
                <w:rFonts w:ascii="Times New Roman" w:hAnsi="Times New Roman" w:cs="Times New Roman" w:eastAsia="Times New Roman" w:hint="default"/>
                <w:sz w:val="18"/>
                <w:szCs w:val="18"/>
              </w:rPr>
            </w:pPr>
            <w:r>
              <w:rPr>
                <w:rFonts w:ascii="Times New Roman"/>
                <w:sz w:val="18"/>
              </w:rPr>
              <w:t>100.00</w:t>
            </w:r>
          </w:p>
        </w:tc>
        <w:tc>
          <w:tcPr>
            <w:tcW w:w="1162"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pacing w:val="-1"/>
                <w:sz w:val="18"/>
              </w:rPr>
              <w:t>22,911,031</w:t>
            </w:r>
          </w:p>
        </w:tc>
      </w:tr>
    </w:tbl>
    <w:p>
      <w:pPr>
        <w:spacing w:after="0" w:line="240" w:lineRule="auto"/>
        <w:jc w:val="right"/>
        <w:rPr>
          <w:rFonts w:ascii="Times New Roman" w:hAnsi="Times New Roman" w:cs="Times New Roman" w:eastAsia="Times New Roman" w:hint="default"/>
          <w:sz w:val="18"/>
          <w:szCs w:val="18"/>
        </w:rPr>
        <w:sectPr>
          <w:pgSz w:w="11910" w:h="16840"/>
          <w:pgMar w:header="883" w:footer="1003" w:top="1540" w:bottom="1200" w:left="1300" w:right="1020"/>
        </w:sectPr>
      </w:pPr>
    </w:p>
    <w:p>
      <w:pPr>
        <w:spacing w:line="240" w:lineRule="auto" w:before="10"/>
        <w:rPr>
          <w:rFonts w:ascii="宋体" w:hAnsi="宋体" w:cs="宋体" w:eastAsia="宋体" w:hint="default"/>
          <w:sz w:val="8"/>
          <w:szCs w:val="8"/>
        </w:rPr>
      </w:pPr>
    </w:p>
    <w:p>
      <w:pPr>
        <w:pStyle w:val="Heading6"/>
        <w:spacing w:line="240" w:lineRule="auto"/>
        <w:ind w:left="773" w:right="337"/>
        <w:jc w:val="left"/>
        <w:rPr>
          <w:b w:val="0"/>
          <w:bCs w:val="0"/>
        </w:rPr>
      </w:pPr>
      <w:r>
        <w:rPr/>
        <w:t>期末单项金额虽不重大但单项计提坏账准备的应收账款：</w:t>
      </w:r>
      <w:r>
        <w:rPr>
          <w:b w:val="0"/>
          <w:bCs w:val="0"/>
        </w:rPr>
      </w:r>
    </w:p>
    <w:p>
      <w:pPr>
        <w:spacing w:line="240" w:lineRule="auto" w:before="7"/>
        <w:rPr>
          <w:rFonts w:ascii="宋体" w:hAnsi="宋体" w:cs="宋体" w:eastAsia="宋体" w:hint="default"/>
          <w:b/>
          <w:bCs/>
          <w:sz w:val="2"/>
          <w:szCs w:val="2"/>
        </w:rPr>
      </w:pPr>
    </w:p>
    <w:p>
      <w:pPr>
        <w:spacing w:line="2100" w:lineRule="exact"/>
        <w:ind w:left="720"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38.35pt;height:105pt;mso-position-horizontal-relative:char;mso-position-vertical-relative:line" coordorigin="0,0" coordsize="8767,2100">
            <v:group style="position:absolute;left:29;top:15;width:8715;height:2" coordorigin="29,15" coordsize="8715,2">
              <v:shape style="position:absolute;left:29;top:15;width:8715;height:2" coordorigin="29,15" coordsize="8715,0" path="m29,15l8744,15e" filled="false" stroked="true" strokeweight="1.5pt" strokecolor="#000000">
                <v:path arrowok="t"/>
              </v:shape>
              <v:shape style="position:absolute;left:2330;top:7;width:3301;height:446" type="#_x0000_t75" stroked="false">
                <v:imagedata r:id="rId128" o:title=""/>
              </v:shape>
            </v:group>
            <v:group style="position:absolute;left:15;top:2085;width:2339;height:2" coordorigin="15,2085" coordsize="2339,2">
              <v:shape style="position:absolute;left:15;top:2085;width:2339;height:2" coordorigin="15,2085" coordsize="2339,0" path="m15,2085l2354,2085e" filled="false" stroked="true" strokeweight="1.5pt" strokecolor="#000000">
                <v:path arrowok="t"/>
              </v:shape>
            </v:group>
            <v:group style="position:absolute;left:2354;top:2085;width:1059;height:2" coordorigin="2354,2085" coordsize="1059,2">
              <v:shape style="position:absolute;left:2354;top:2085;width:1059;height:2" coordorigin="2354,2085" coordsize="1059,0" path="m2354,2085l3412,2085e" filled="false" stroked="true" strokeweight="1.5pt" strokecolor="#000000">
                <v:path arrowok="t"/>
              </v:shape>
            </v:group>
            <v:group style="position:absolute;left:3412;top:2085;width:1044;height:2" coordorigin="3412,2085" coordsize="1044,2">
              <v:shape style="position:absolute;left:3412;top:2085;width:1044;height:2" coordorigin="3412,2085" coordsize="1044,0" path="m3412,2085l4456,2085e" filled="false" stroked="true" strokeweight="1.5pt" strokecolor="#000000">
                <v:path arrowok="t"/>
              </v:shape>
            </v:group>
            <v:group style="position:absolute;left:4456;top:2085;width:1143;height:2" coordorigin="4456,2085" coordsize="1143,2">
              <v:shape style="position:absolute;left:4456;top:2085;width:1143;height:2" coordorigin="4456,2085" coordsize="1143,0" path="m4456,2085l5599,2085e" filled="false" stroked="true" strokeweight="1.5pt" strokecolor="#000000">
                <v:path arrowok="t"/>
              </v:shape>
              <v:shape style="position:absolute;left:10;top:410;width:8756;height:1660" type="#_x0000_t75" stroked="false">
                <v:imagedata r:id="rId129" o:title=""/>
              </v:shape>
            </v:group>
            <v:group style="position:absolute;left:5599;top:2085;width:3146;height:2" coordorigin="5599,2085" coordsize="3146,2">
              <v:shape style="position:absolute;left:5599;top:2085;width:3146;height:2" coordorigin="5599,2085" coordsize="3146,0" path="m5599,2085l8744,2085e" filled="false" stroked="true" strokeweight="1.5pt" strokecolor="#000000">
                <v:path arrowok="t"/>
              </v:shape>
              <v:shape style="position:absolute;left:653;top:22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应收款项内容</w:t>
                      </w:r>
                    </w:p>
                  </w:txbxContent>
                </v:textbox>
                <w10:wrap type="none"/>
              </v:shape>
              <v:shape style="position:absolute;left:2528;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账面金额</w:t>
                      </w:r>
                    </w:p>
                  </w:txbxContent>
                </v:textbox>
                <w10:wrap type="none"/>
              </v:shape>
              <v:shape style="position:absolute;left:3579;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4589;top:222;width:99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xbxContent>
                </v:textbox>
                <w10:wrap type="none"/>
              </v:shape>
              <v:shape style="position:absolute;left:6813;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计提理由</w:t>
                      </w:r>
                    </w:p>
                  </w:txbxContent>
                </v:textbox>
                <w10:wrap type="none"/>
              </v:shape>
              <v:shape style="position:absolute;left:137;top:631;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应收软件及系统集成合同款</w:t>
                      </w:r>
                    </w:p>
                  </w:txbxContent>
                </v:textbox>
                <w10:wrap type="none"/>
              </v:shape>
              <v:shape style="position:absolute;left:2588;top:651;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6,697,327</w:t>
                      </w:r>
                    </w:p>
                  </w:txbxContent>
                </v:textbox>
                <w10:wrap type="none"/>
              </v:shape>
              <v:shape style="position:absolute;left:3632;top:651;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6,697,327</w:t>
                      </w:r>
                    </w:p>
                  </w:txbxContent>
                </v:textbox>
                <w10:wrap type="none"/>
              </v:shape>
              <v:shape style="position:absolute;left:5001;top:631;width:2581;height:200" type="#_x0000_t202" filled="false" stroked="false">
                <v:textbox inset="0,0,0,0">
                  <w:txbxContent>
                    <w:p>
                      <w:pPr>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100.00 </w:t>
                      </w:r>
                      <w:r>
                        <w:rPr>
                          <w:rFonts w:ascii="Times New Roman" w:hAnsi="Times New Roman" w:cs="Times New Roman" w:eastAsia="Times New Roman" w:hint="default"/>
                          <w:spacing w:val="14"/>
                          <w:sz w:val="18"/>
                          <w:szCs w:val="18"/>
                        </w:rPr>
                        <w:t> </w:t>
                      </w:r>
                      <w:r>
                        <w:rPr>
                          <w:rFonts w:ascii="宋体" w:hAnsi="宋体" w:cs="宋体" w:eastAsia="宋体" w:hint="default"/>
                          <w:position w:val="1"/>
                          <w:sz w:val="18"/>
                          <w:szCs w:val="18"/>
                        </w:rPr>
                        <w:t>账龄较长</w:t>
                      </w:r>
                      <w:r>
                        <w:rPr>
                          <w:rFonts w:ascii="Times New Roman" w:hAnsi="Times New Roman" w:cs="Times New Roman" w:eastAsia="Times New Roman" w:hint="default"/>
                          <w:position w:val="1"/>
                          <w:sz w:val="18"/>
                          <w:szCs w:val="18"/>
                        </w:rPr>
                        <w:t>—</w:t>
                      </w:r>
                      <w:r>
                        <w:rPr>
                          <w:rFonts w:ascii="宋体" w:hAnsi="宋体" w:cs="宋体" w:eastAsia="宋体" w:hint="default"/>
                          <w:position w:val="1"/>
                          <w:sz w:val="18"/>
                          <w:szCs w:val="18"/>
                        </w:rPr>
                        <w:t>预计不可收回</w:t>
                      </w:r>
                      <w:r>
                        <w:rPr>
                          <w:rFonts w:ascii="宋体" w:hAnsi="宋体" w:cs="宋体" w:eastAsia="宋体" w:hint="default"/>
                          <w:sz w:val="18"/>
                          <w:szCs w:val="18"/>
                        </w:rPr>
                      </w:r>
                    </w:p>
                  </w:txbxContent>
                </v:textbox>
                <w10:wrap type="none"/>
              </v:shape>
              <v:shape style="position:absolute;left:137;top:1042;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应收软件及系统集成合同款</w:t>
                      </w:r>
                    </w:p>
                  </w:txbxContent>
                </v:textbox>
                <w10:wrap type="none"/>
              </v:shape>
              <v:shape style="position:absolute;left:2588;top:106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5,849,575</w:t>
                      </w:r>
                    </w:p>
                  </w:txbxContent>
                </v:textbox>
                <w10:wrap type="none"/>
              </v:shape>
              <v:shape style="position:absolute;left:3632;top:106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3,317,221</w:t>
                      </w:r>
                    </w:p>
                  </w:txbxContent>
                </v:textbox>
                <w10:wrap type="none"/>
              </v:shape>
              <v:shape style="position:absolute;left:5091;top:1042;width:3585;height:200" type="#_x0000_t202" filled="false" stroked="false">
                <v:textbox inset="0,0,0,0">
                  <w:txbxContent>
                    <w:p>
                      <w:pPr>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56.71  </w:t>
                      </w:r>
                      <w:r>
                        <w:rPr>
                          <w:rFonts w:ascii="宋体" w:hAnsi="宋体" w:cs="宋体" w:eastAsia="宋体" w:hint="default"/>
                          <w:position w:val="1"/>
                          <w:sz w:val="18"/>
                          <w:szCs w:val="18"/>
                        </w:rPr>
                        <w:t>账龄较长</w:t>
                      </w:r>
                      <w:r>
                        <w:rPr>
                          <w:rFonts w:ascii="Times New Roman" w:hAnsi="Times New Roman" w:cs="Times New Roman" w:eastAsia="Times New Roman" w:hint="default"/>
                          <w:position w:val="1"/>
                          <w:sz w:val="18"/>
                          <w:szCs w:val="18"/>
                        </w:rPr>
                        <w:t>—</w:t>
                      </w:r>
                      <w:r>
                        <w:rPr>
                          <w:rFonts w:ascii="宋体" w:hAnsi="宋体" w:cs="宋体" w:eastAsia="宋体" w:hint="default"/>
                          <w:position w:val="1"/>
                          <w:sz w:val="18"/>
                          <w:szCs w:val="18"/>
                        </w:rPr>
                        <w:t>预计可收回比例在</w:t>
                      </w:r>
                      <w:r>
                        <w:rPr>
                          <w:rFonts w:ascii="宋体" w:hAnsi="宋体" w:cs="宋体" w:eastAsia="宋体" w:hint="default"/>
                          <w:spacing w:val="-32"/>
                          <w:position w:val="1"/>
                          <w:sz w:val="18"/>
                          <w:szCs w:val="18"/>
                        </w:rPr>
                        <w:t> </w:t>
                      </w:r>
                      <w:r>
                        <w:rPr>
                          <w:rFonts w:ascii="Times New Roman" w:hAnsi="Times New Roman" w:cs="Times New Roman" w:eastAsia="Times New Roman" w:hint="default"/>
                          <w:position w:val="1"/>
                          <w:sz w:val="18"/>
                          <w:szCs w:val="18"/>
                        </w:rPr>
                        <w:t>50%</w:t>
                      </w:r>
                      <w:r>
                        <w:rPr>
                          <w:rFonts w:ascii="宋体" w:hAnsi="宋体" w:cs="宋体" w:eastAsia="宋体" w:hint="default"/>
                          <w:position w:val="1"/>
                          <w:sz w:val="18"/>
                          <w:szCs w:val="18"/>
                        </w:rPr>
                        <w:t>左右</w:t>
                      </w:r>
                      <w:r>
                        <w:rPr>
                          <w:rFonts w:ascii="宋体" w:hAnsi="宋体" w:cs="宋体" w:eastAsia="宋体" w:hint="default"/>
                          <w:sz w:val="18"/>
                          <w:szCs w:val="18"/>
                        </w:rPr>
                      </w:r>
                    </w:p>
                  </w:txbxContent>
                </v:textbox>
                <w10:wrap type="none"/>
              </v:shape>
              <v:shape style="position:absolute;left:137;top:1452;width:3172;height:200" type="#_x0000_t202" filled="false" stroked="false">
                <v:textbox inset="0,0,0,0">
                  <w:txbxContent>
                    <w:p>
                      <w:pPr>
                        <w:tabs>
                          <w:tab w:pos="2360" w:val="left" w:leader="none"/>
                        </w:tabs>
                        <w:spacing w:line="199"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应收软件及系统集成合同款</w:t>
                        <w:tab/>
                      </w:r>
                      <w:r>
                        <w:rPr>
                          <w:rFonts w:ascii="Times New Roman" w:hAnsi="Times New Roman" w:cs="Times New Roman" w:eastAsia="Times New Roman" w:hint="default"/>
                          <w:sz w:val="18"/>
                          <w:szCs w:val="18"/>
                        </w:rPr>
                        <w:t>32,912,893</w:t>
                      </w:r>
                    </w:p>
                  </w:txbxContent>
                </v:textbox>
                <w10:wrap type="none"/>
              </v:shape>
              <v:shape style="position:absolute;left:3632;top:1472;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3,388,219</w:t>
                      </w:r>
                    </w:p>
                  </w:txbxContent>
                </v:textbox>
                <w10:wrap type="none"/>
              </v:shape>
              <v:shape style="position:absolute;left:5091;top:1452;width:3585;height:200" type="#_x0000_t202" filled="false" stroked="false">
                <v:textbox inset="0,0,0,0">
                  <w:txbxContent>
                    <w:p>
                      <w:pPr>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10.29  </w:t>
                      </w:r>
                      <w:r>
                        <w:rPr>
                          <w:rFonts w:ascii="宋体" w:hAnsi="宋体" w:cs="宋体" w:eastAsia="宋体" w:hint="default"/>
                          <w:position w:val="1"/>
                          <w:sz w:val="18"/>
                          <w:szCs w:val="18"/>
                        </w:rPr>
                        <w:t>账龄较长</w:t>
                      </w:r>
                      <w:r>
                        <w:rPr>
                          <w:rFonts w:ascii="Times New Roman" w:hAnsi="Times New Roman" w:cs="Times New Roman" w:eastAsia="Times New Roman" w:hint="default"/>
                          <w:position w:val="1"/>
                          <w:sz w:val="18"/>
                          <w:szCs w:val="18"/>
                        </w:rPr>
                        <w:t>—</w:t>
                      </w:r>
                      <w:r>
                        <w:rPr>
                          <w:rFonts w:ascii="宋体" w:hAnsi="宋体" w:cs="宋体" w:eastAsia="宋体" w:hint="default"/>
                          <w:position w:val="1"/>
                          <w:sz w:val="18"/>
                          <w:szCs w:val="18"/>
                        </w:rPr>
                        <w:t>预计可收回比例在</w:t>
                      </w:r>
                      <w:r>
                        <w:rPr>
                          <w:rFonts w:ascii="宋体" w:hAnsi="宋体" w:cs="宋体" w:eastAsia="宋体" w:hint="default"/>
                          <w:spacing w:val="-32"/>
                          <w:position w:val="1"/>
                          <w:sz w:val="18"/>
                          <w:szCs w:val="18"/>
                        </w:rPr>
                        <w:t> </w:t>
                      </w:r>
                      <w:r>
                        <w:rPr>
                          <w:rFonts w:ascii="Times New Roman" w:hAnsi="Times New Roman" w:cs="Times New Roman" w:eastAsia="Times New Roman" w:hint="default"/>
                          <w:position w:val="1"/>
                          <w:sz w:val="18"/>
                          <w:szCs w:val="18"/>
                        </w:rPr>
                        <w:t>90%</w:t>
                      </w:r>
                      <w:r>
                        <w:rPr>
                          <w:rFonts w:ascii="宋体" w:hAnsi="宋体" w:cs="宋体" w:eastAsia="宋体" w:hint="default"/>
                          <w:position w:val="1"/>
                          <w:sz w:val="18"/>
                          <w:szCs w:val="18"/>
                        </w:rPr>
                        <w:t>左右</w:t>
                      </w:r>
                      <w:r>
                        <w:rPr>
                          <w:rFonts w:ascii="宋体" w:hAnsi="宋体" w:cs="宋体" w:eastAsia="宋体" w:hint="default"/>
                          <w:sz w:val="18"/>
                          <w:szCs w:val="18"/>
                        </w:rPr>
                      </w:r>
                    </w:p>
                  </w:txbxContent>
                </v:textbox>
                <w10:wrap type="none"/>
              </v:shape>
              <v:shape style="position:absolute;left:833;top:186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1373;top:186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2498;top:188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45,459,795</w:t>
                      </w:r>
                    </w:p>
                  </w:txbxContent>
                </v:textbox>
                <w10:wrap type="none"/>
              </v:shape>
              <v:shape style="position:absolute;left:3542;top:188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13,402,767</w:t>
                      </w:r>
                    </w:p>
                  </w:txbxContent>
                </v:textbox>
                <w10:wrap type="none"/>
              </v:shape>
            </v:group>
          </v:group>
        </w:pict>
      </w:r>
      <w:r>
        <w:rPr>
          <w:rFonts w:ascii="宋体" w:hAnsi="宋体" w:cs="宋体" w:eastAsia="宋体" w:hint="default"/>
          <w:position w:val="-41"/>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5" w:val="left" w:leader="none"/>
        </w:tabs>
        <w:spacing w:before="35"/>
        <w:ind w:left="857" w:right="337" w:firstLine="0"/>
        <w:jc w:val="left"/>
        <w:rPr>
          <w:rFonts w:ascii="宋体" w:hAnsi="宋体" w:cs="宋体" w:eastAsia="宋体" w:hint="default"/>
          <w:sz w:val="21"/>
          <w:szCs w:val="21"/>
        </w:rPr>
      </w:pPr>
      <w:r>
        <w:rPr/>
        <w:pict>
          <v:group style="position:absolute;margin-left:101.519997pt;margin-top:17.073509pt;width:446.2pt;height:165pt;mso-position-horizontal-relative:page;mso-position-vertical-relative:paragraph;z-index:-1125808" coordorigin="2030,341" coordsize="8924,3300">
            <v:group style="position:absolute;left:2050;top:356;width:8882;height:2" coordorigin="2050,356" coordsize="8882,2">
              <v:shape style="position:absolute;left:2050;top:356;width:8882;height:2" coordorigin="2050,356" coordsize="8882,0" path="m2050,356l10931,356e" filled="false" stroked="true" strokeweight="1.5pt" strokecolor="#000000">
                <v:path arrowok="t"/>
              </v:shape>
              <v:shape style="position:absolute;left:4279;top:346;width:4847;height:451" type="#_x0000_t75" stroked="false">
                <v:imagedata r:id="rId130" o:title=""/>
              </v:shape>
              <v:shape style="position:absolute;left:2030;top:753;width:8923;height:2888" type="#_x0000_t75" stroked="false">
                <v:imagedata r:id="rId131" o:title=""/>
              </v:shape>
            </v:group>
            <w10:wrap type="none"/>
          </v:group>
        </w:pict>
      </w:r>
      <w:r>
        <w:rPr>
          <w:rFonts w:ascii="宋体" w:hAnsi="宋体" w:cs="宋体" w:eastAsia="宋体" w:hint="default"/>
          <w:b/>
          <w:bCs/>
          <w:w w:val="95"/>
          <w:sz w:val="21"/>
          <w:szCs w:val="21"/>
        </w:rPr>
        <w:t>3、</w:t>
        <w:tab/>
      </w:r>
      <w:r>
        <w:rPr>
          <w:rFonts w:ascii="宋体" w:hAnsi="宋体" w:cs="宋体" w:eastAsia="宋体" w:hint="default"/>
          <w:b/>
          <w:bCs/>
          <w:sz w:val="21"/>
          <w:szCs w:val="21"/>
        </w:rPr>
        <w:t>以前年度已全额或大比例计提坏账准备于本期又全额或部分收回的应收账款情况：</w:t>
      </w:r>
      <w:r>
        <w:rPr>
          <w:rFonts w:ascii="宋体" w:hAnsi="宋体" w:cs="宋体" w:eastAsia="宋体" w:hint="default"/>
          <w:sz w:val="21"/>
          <w:szCs w:val="21"/>
        </w:rPr>
      </w:r>
    </w:p>
    <w:p>
      <w:pPr>
        <w:spacing w:line="240" w:lineRule="auto" w:before="1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2163"/>
        <w:gridCol w:w="1492"/>
        <w:gridCol w:w="1419"/>
        <w:gridCol w:w="2147"/>
        <w:gridCol w:w="1675"/>
      </w:tblGrid>
      <w:tr>
        <w:trPr>
          <w:trHeight w:val="815" w:hRule="exact"/>
        </w:trPr>
        <w:tc>
          <w:tcPr>
            <w:tcW w:w="2163"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477" w:firstLine="481"/>
              <w:jc w:val="left"/>
              <w:rPr>
                <w:rFonts w:ascii="宋体" w:hAnsi="宋体" w:cs="宋体" w:eastAsia="宋体" w:hint="default"/>
                <w:sz w:val="18"/>
                <w:szCs w:val="18"/>
              </w:rPr>
            </w:pPr>
            <w:r>
              <w:rPr>
                <w:rFonts w:ascii="宋体" w:hAnsi="宋体" w:cs="宋体" w:eastAsia="宋体" w:hint="default"/>
                <w:sz w:val="18"/>
                <w:szCs w:val="18"/>
              </w:rPr>
              <w:t>应收款项内容 青岛市技师学院</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40" w:right="0"/>
              <w:jc w:val="left"/>
              <w:rPr>
                <w:rFonts w:ascii="宋体" w:hAnsi="宋体" w:cs="宋体" w:eastAsia="宋体" w:hint="default"/>
                <w:sz w:val="18"/>
                <w:szCs w:val="18"/>
              </w:rPr>
            </w:pPr>
            <w:r>
              <w:rPr>
                <w:rFonts w:ascii="宋体" w:hAnsi="宋体" w:cs="宋体" w:eastAsia="宋体" w:hint="default"/>
                <w:sz w:val="18"/>
                <w:szCs w:val="18"/>
              </w:rPr>
              <w:t>年初应收余额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622" w:right="0"/>
              <w:jc w:val="left"/>
              <w:rPr>
                <w:rFonts w:ascii="Times New Roman" w:hAnsi="Times New Roman" w:cs="Times New Roman" w:eastAsia="Times New Roman" w:hint="default"/>
                <w:sz w:val="18"/>
                <w:szCs w:val="18"/>
              </w:rPr>
            </w:pPr>
            <w:r>
              <w:rPr>
                <w:rFonts w:ascii="Times New Roman"/>
                <w:sz w:val="18"/>
              </w:rPr>
              <w:t>1,141,700</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8" w:right="0"/>
              <w:jc w:val="left"/>
              <w:rPr>
                <w:rFonts w:ascii="宋体" w:hAnsi="宋体" w:cs="宋体" w:eastAsia="宋体" w:hint="default"/>
                <w:sz w:val="18"/>
                <w:szCs w:val="18"/>
              </w:rPr>
            </w:pPr>
            <w:r>
              <w:rPr>
                <w:rFonts w:ascii="宋体" w:hAnsi="宋体" w:cs="宋体" w:eastAsia="宋体" w:hint="default"/>
                <w:sz w:val="18"/>
                <w:szCs w:val="18"/>
              </w:rPr>
              <w:t>年初坏账准备</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597" w:right="0"/>
              <w:jc w:val="left"/>
              <w:rPr>
                <w:rFonts w:ascii="Times New Roman" w:hAnsi="Times New Roman" w:cs="Times New Roman" w:eastAsia="Times New Roman" w:hint="default"/>
                <w:sz w:val="18"/>
                <w:szCs w:val="18"/>
              </w:rPr>
            </w:pPr>
            <w:r>
              <w:rPr>
                <w:rFonts w:ascii="Times New Roman"/>
                <w:sz w:val="18"/>
              </w:rPr>
              <w:t>1,110,200</w:t>
            </w:r>
          </w:p>
        </w:tc>
        <w:tc>
          <w:tcPr>
            <w:tcW w:w="214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6" w:right="0"/>
              <w:jc w:val="left"/>
              <w:rPr>
                <w:rFonts w:ascii="宋体" w:hAnsi="宋体" w:cs="宋体" w:eastAsia="宋体" w:hint="default"/>
                <w:sz w:val="18"/>
                <w:szCs w:val="18"/>
              </w:rPr>
            </w:pPr>
            <w:r>
              <w:rPr>
                <w:rFonts w:ascii="宋体" w:hAnsi="宋体" w:cs="宋体" w:eastAsia="宋体" w:hint="default"/>
                <w:sz w:val="18"/>
                <w:szCs w:val="18"/>
              </w:rPr>
              <w:t>坏账准备计提比例（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265"/>
              <w:jc w:val="right"/>
              <w:rPr>
                <w:rFonts w:ascii="Times New Roman" w:hAnsi="Times New Roman" w:cs="Times New Roman" w:eastAsia="Times New Roman" w:hint="default"/>
                <w:sz w:val="18"/>
                <w:szCs w:val="18"/>
              </w:rPr>
            </w:pPr>
            <w:r>
              <w:rPr>
                <w:rFonts w:ascii="Times New Roman"/>
                <w:sz w:val="18"/>
              </w:rPr>
              <w:t>97.24</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0" w:right="0"/>
              <w:jc w:val="left"/>
              <w:rPr>
                <w:rFonts w:ascii="宋体" w:hAnsi="宋体" w:cs="宋体" w:eastAsia="宋体" w:hint="default"/>
                <w:sz w:val="18"/>
                <w:szCs w:val="18"/>
              </w:rPr>
            </w:pPr>
            <w:r>
              <w:rPr>
                <w:rFonts w:ascii="宋体" w:hAnsi="宋体" w:cs="宋体" w:eastAsia="宋体" w:hint="default"/>
                <w:sz w:val="18"/>
                <w:szCs w:val="18"/>
              </w:rPr>
              <w:t>报告期内收回金额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981" w:right="0"/>
              <w:jc w:val="left"/>
              <w:rPr>
                <w:rFonts w:ascii="Times New Roman" w:hAnsi="Times New Roman" w:cs="Times New Roman" w:eastAsia="Times New Roman" w:hint="default"/>
                <w:sz w:val="18"/>
                <w:szCs w:val="18"/>
              </w:rPr>
            </w:pPr>
            <w:r>
              <w:rPr>
                <w:rFonts w:ascii="Times New Roman"/>
                <w:sz w:val="18"/>
              </w:rPr>
              <w:t>740,700</w:t>
            </w:r>
          </w:p>
        </w:tc>
      </w:tr>
      <w:tr>
        <w:trPr>
          <w:trHeight w:val="410" w:hRule="exact"/>
        </w:trPr>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黑龙江省电力有限公司</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6"/>
              <w:jc w:val="right"/>
              <w:rPr>
                <w:rFonts w:ascii="Times New Roman" w:hAnsi="Times New Roman" w:cs="Times New Roman" w:eastAsia="Times New Roman" w:hint="default"/>
                <w:sz w:val="18"/>
                <w:szCs w:val="18"/>
              </w:rPr>
            </w:pPr>
            <w:r>
              <w:rPr>
                <w:rFonts w:ascii="Times New Roman"/>
                <w:sz w:val="18"/>
              </w:rPr>
              <w:t>273,000</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273,000</w:t>
            </w:r>
          </w:p>
        </w:tc>
        <w:tc>
          <w:tcPr>
            <w:tcW w:w="21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5"/>
              <w:jc w:val="right"/>
              <w:rPr>
                <w:rFonts w:ascii="Times New Roman" w:hAnsi="Times New Roman" w:cs="Times New Roman" w:eastAsia="Times New Roman" w:hint="default"/>
                <w:sz w:val="18"/>
                <w:szCs w:val="18"/>
              </w:rPr>
            </w:pPr>
            <w:r>
              <w:rPr>
                <w:rFonts w:ascii="Times New Roman"/>
                <w:sz w:val="18"/>
              </w:rPr>
              <w:t>100.00</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273,000</w:t>
            </w:r>
          </w:p>
        </w:tc>
      </w:tr>
      <w:tr>
        <w:trPr>
          <w:trHeight w:val="410" w:hRule="exact"/>
        </w:trPr>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济南德州电厂物资公司</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6"/>
              <w:jc w:val="right"/>
              <w:rPr>
                <w:rFonts w:ascii="Times New Roman" w:hAnsi="Times New Roman" w:cs="Times New Roman" w:eastAsia="Times New Roman" w:hint="default"/>
                <w:sz w:val="18"/>
                <w:szCs w:val="18"/>
              </w:rPr>
            </w:pPr>
            <w:r>
              <w:rPr>
                <w:rFonts w:ascii="Times New Roman"/>
                <w:sz w:val="18"/>
              </w:rPr>
              <w:t>820,060</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820,060</w:t>
            </w:r>
          </w:p>
        </w:tc>
        <w:tc>
          <w:tcPr>
            <w:tcW w:w="21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5"/>
              <w:jc w:val="right"/>
              <w:rPr>
                <w:rFonts w:ascii="Times New Roman" w:hAnsi="Times New Roman" w:cs="Times New Roman" w:eastAsia="Times New Roman" w:hint="default"/>
                <w:sz w:val="18"/>
                <w:szCs w:val="18"/>
              </w:rPr>
            </w:pPr>
            <w:r>
              <w:rPr>
                <w:rFonts w:ascii="Times New Roman"/>
                <w:sz w:val="18"/>
              </w:rPr>
              <w:t>100.00</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820,060</w:t>
            </w:r>
          </w:p>
        </w:tc>
      </w:tr>
      <w:tr>
        <w:trPr>
          <w:trHeight w:val="410" w:hRule="exact"/>
        </w:trPr>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福建电力有限公司</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6"/>
              <w:jc w:val="right"/>
              <w:rPr>
                <w:rFonts w:ascii="Times New Roman" w:hAnsi="Times New Roman" w:cs="Times New Roman" w:eastAsia="Times New Roman" w:hint="default"/>
                <w:sz w:val="18"/>
                <w:szCs w:val="18"/>
              </w:rPr>
            </w:pPr>
            <w:r>
              <w:rPr>
                <w:rFonts w:ascii="Times New Roman"/>
                <w:sz w:val="18"/>
              </w:rPr>
              <w:t>593,001</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593,001</w:t>
            </w:r>
          </w:p>
        </w:tc>
        <w:tc>
          <w:tcPr>
            <w:tcW w:w="21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5"/>
              <w:jc w:val="right"/>
              <w:rPr>
                <w:rFonts w:ascii="Times New Roman" w:hAnsi="Times New Roman" w:cs="Times New Roman" w:eastAsia="Times New Roman" w:hint="default"/>
                <w:sz w:val="18"/>
                <w:szCs w:val="18"/>
              </w:rPr>
            </w:pPr>
            <w:r>
              <w:rPr>
                <w:rFonts w:ascii="Times New Roman"/>
                <w:sz w:val="18"/>
              </w:rPr>
              <w:t>100.00</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593,001</w:t>
            </w:r>
          </w:p>
        </w:tc>
      </w:tr>
      <w:tr>
        <w:trPr>
          <w:trHeight w:val="410" w:hRule="exact"/>
        </w:trPr>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上海东芝电梯有限公司</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6"/>
              <w:jc w:val="right"/>
              <w:rPr>
                <w:rFonts w:ascii="Times New Roman" w:hAnsi="Times New Roman" w:cs="Times New Roman" w:eastAsia="Times New Roman" w:hint="default"/>
                <w:sz w:val="18"/>
                <w:szCs w:val="18"/>
              </w:rPr>
            </w:pPr>
            <w:r>
              <w:rPr>
                <w:rFonts w:ascii="Times New Roman"/>
                <w:sz w:val="18"/>
              </w:rPr>
              <w:t>325,980</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325,980</w:t>
            </w:r>
          </w:p>
        </w:tc>
        <w:tc>
          <w:tcPr>
            <w:tcW w:w="21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5"/>
              <w:jc w:val="right"/>
              <w:rPr>
                <w:rFonts w:ascii="Times New Roman" w:hAnsi="Times New Roman" w:cs="Times New Roman" w:eastAsia="Times New Roman" w:hint="default"/>
                <w:sz w:val="18"/>
                <w:szCs w:val="18"/>
              </w:rPr>
            </w:pPr>
            <w:r>
              <w:rPr>
                <w:rFonts w:ascii="Times New Roman"/>
                <w:sz w:val="18"/>
              </w:rPr>
              <w:t>100.00</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325,980</w:t>
            </w:r>
          </w:p>
        </w:tc>
      </w:tr>
      <w:tr>
        <w:trPr>
          <w:trHeight w:val="410" w:hRule="exact"/>
        </w:trPr>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山东华能德州电厂</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6"/>
              <w:jc w:val="right"/>
              <w:rPr>
                <w:rFonts w:ascii="Times New Roman" w:hAnsi="Times New Roman" w:cs="Times New Roman" w:eastAsia="Times New Roman" w:hint="default"/>
                <w:sz w:val="18"/>
                <w:szCs w:val="18"/>
              </w:rPr>
            </w:pPr>
            <w:r>
              <w:rPr>
                <w:rFonts w:ascii="Times New Roman"/>
                <w:sz w:val="18"/>
              </w:rPr>
              <w:t>210,000</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210,000</w:t>
            </w:r>
          </w:p>
        </w:tc>
        <w:tc>
          <w:tcPr>
            <w:tcW w:w="21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5"/>
              <w:jc w:val="right"/>
              <w:rPr>
                <w:rFonts w:ascii="Times New Roman" w:hAnsi="Times New Roman" w:cs="Times New Roman" w:eastAsia="Times New Roman" w:hint="default"/>
                <w:sz w:val="18"/>
                <w:szCs w:val="18"/>
              </w:rPr>
            </w:pPr>
            <w:r>
              <w:rPr>
                <w:rFonts w:ascii="Times New Roman"/>
                <w:sz w:val="18"/>
              </w:rPr>
              <w:t>100.00</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210,000</w:t>
            </w:r>
          </w:p>
        </w:tc>
      </w:tr>
      <w:tr>
        <w:trPr>
          <w:trHeight w:val="328" w:hRule="exact"/>
        </w:trPr>
        <w:tc>
          <w:tcPr>
            <w:tcW w:w="2163" w:type="dxa"/>
            <w:tcBorders>
              <w:top w:val="nil" w:sz="6" w:space="0" w:color="auto"/>
              <w:left w:val="nil" w:sz="6" w:space="0" w:color="auto"/>
              <w:bottom w:val="single" w:sz="12" w:space="0" w:color="000000"/>
              <w:right w:val="nil" w:sz="6" w:space="0" w:color="auto"/>
            </w:tcBorders>
          </w:tcPr>
          <w:p>
            <w:pPr>
              <w:pStyle w:val="TableParagraph"/>
              <w:tabs>
                <w:tab w:pos="1323" w:val="left" w:leader="none"/>
              </w:tabs>
              <w:spacing w:line="240" w:lineRule="auto" w:before="50"/>
              <w:ind w:left="78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492"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46"/>
              <w:jc w:val="right"/>
              <w:rPr>
                <w:rFonts w:ascii="Times New Roman" w:hAnsi="Times New Roman" w:cs="Times New Roman" w:eastAsia="Times New Roman" w:hint="default"/>
                <w:sz w:val="18"/>
                <w:szCs w:val="18"/>
              </w:rPr>
            </w:pPr>
            <w:r>
              <w:rPr>
                <w:rFonts w:ascii="Times New Roman"/>
                <w:sz w:val="18"/>
              </w:rPr>
              <w:t>3,363,741</w:t>
            </w:r>
          </w:p>
        </w:tc>
        <w:tc>
          <w:tcPr>
            <w:tcW w:w="141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3,332,241</w:t>
            </w:r>
          </w:p>
        </w:tc>
        <w:tc>
          <w:tcPr>
            <w:tcW w:w="2147" w:type="dxa"/>
            <w:tcBorders>
              <w:top w:val="nil" w:sz="6" w:space="0" w:color="auto"/>
              <w:left w:val="nil" w:sz="6" w:space="0" w:color="auto"/>
              <w:bottom w:val="single" w:sz="12" w:space="0" w:color="000000"/>
              <w:right w:val="nil" w:sz="6" w:space="0" w:color="auto"/>
            </w:tcBorders>
          </w:tcPr>
          <w:p>
            <w:pPr/>
          </w:p>
        </w:tc>
        <w:tc>
          <w:tcPr>
            <w:tcW w:w="167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2,962,741</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tabs>
          <w:tab w:pos="1395" w:val="left" w:leader="none"/>
        </w:tabs>
        <w:spacing w:before="35"/>
        <w:ind w:left="857" w:right="337"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本报告期无通过重组等其他方式收回的应收款项；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395" w:val="left" w:leader="none"/>
        </w:tabs>
        <w:spacing w:before="0"/>
        <w:ind w:left="857" w:right="337" w:firstLine="0"/>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本报告期实际核销的应收账款情况：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2490" w:lineRule="exact"/>
        <w:ind w:left="720"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36.45pt;height:124.5pt;mso-position-horizontal-relative:char;mso-position-vertical-relative:line" coordorigin="0,0" coordsize="8729,2490">
            <v:group style="position:absolute;left:29;top:15;width:8670;height:2" coordorigin="29,15" coordsize="8670,2">
              <v:shape style="position:absolute;left:29;top:15;width:8670;height:2" coordorigin="29,15" coordsize="8670,0" path="m29,15l8699,15e" filled="false" stroked="true" strokeweight="1.5pt" strokecolor="#000000">
                <v:path arrowok="t"/>
              </v:shape>
              <v:shape style="position:absolute;left:1946;top:11;width:5432;height:838" type="#_x0000_t75" stroked="false">
                <v:imagedata r:id="rId132" o:title=""/>
              </v:shape>
            </v:group>
            <v:group style="position:absolute;left:15;top:2475;width:1950;height:2" coordorigin="15,2475" coordsize="1950,2">
              <v:shape style="position:absolute;left:15;top:2475;width:1950;height:2" coordorigin="15,2475" coordsize="1950,0" path="m15,2475l1965,2475e" filled="false" stroked="true" strokeweight="1.5pt" strokecolor="#000000">
                <v:path arrowok="t"/>
              </v:shape>
            </v:group>
            <v:group style="position:absolute;left:1965;top:2475;width:1283;height:2" coordorigin="1965,2475" coordsize="1283,2">
              <v:shape style="position:absolute;left:1965;top:2475;width:1283;height:2" coordorigin="1965,2475" coordsize="1283,0" path="m1965,2475l3248,2475e" filled="false" stroked="true" strokeweight="1.5pt" strokecolor="#000000">
                <v:path arrowok="t"/>
              </v:shape>
            </v:group>
            <v:group style="position:absolute;left:3248;top:2475;width:978;height:2" coordorigin="3248,2475" coordsize="978,2">
              <v:shape style="position:absolute;left:3248;top:2475;width:978;height:2" coordorigin="3248,2475" coordsize="978,0" path="m3248,2475l4226,2475e" filled="false" stroked="true" strokeweight="1.5pt" strokecolor="#000000">
                <v:path arrowok="t"/>
              </v:shape>
            </v:group>
            <v:group style="position:absolute;left:4226;top:2475;width:3124;height:2" coordorigin="4226,2475" coordsize="3124,2">
              <v:shape style="position:absolute;left:4226;top:2475;width:3124;height:2" coordorigin="4226,2475" coordsize="3124,0" path="m4226,2475l7349,2475e" filled="false" stroked="true" strokeweight="1.5pt" strokecolor="#000000">
                <v:path arrowok="t"/>
              </v:shape>
              <v:shape style="position:absolute;left:1;top:804;width:8728;height:1656" type="#_x0000_t75" stroked="false">
                <v:imagedata r:id="rId133" o:title=""/>
              </v:shape>
            </v:group>
            <v:group style="position:absolute;left:7349;top:2475;width:1350;height:2" coordorigin="7349,2475" coordsize="1350,2">
              <v:shape style="position:absolute;left:7349;top:2475;width:1350;height:2" coordorigin="7349,2475" coordsize="1350,0" path="m7349,2475l8699,2475e" filled="false" stroked="true" strokeweight="1.5pt" strokecolor="#000000">
                <v:path arrowok="t"/>
              </v:shape>
              <v:shape style="position:absolute;left:7532;top:22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是否因关联交</w:t>
                      </w:r>
                    </w:p>
                  </w:txbxContent>
                </v:textbox>
                <w10:wrap type="none"/>
              </v:shape>
              <v:shape style="position:absolute;left:693;top:42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2078;top:421;width:2003;height:180" type="#_x0000_t202" filled="false" stroked="false">
                <v:textbox inset="0,0,0,0">
                  <w:txbxContent>
                    <w:p>
                      <w:pPr>
                        <w:tabs>
                          <w:tab w:pos="128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应收款项性质</w:t>
                        <w:tab/>
                        <w:t>核销金额</w:t>
                      </w:r>
                    </w:p>
                  </w:txbxContent>
                </v:textbox>
                <w10:wrap type="none"/>
              </v:shape>
              <v:shape style="position:absolute;left:5486;top:42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核销原因</w:t>
                      </w:r>
                    </w:p>
                  </w:txbxContent>
                </v:textbox>
                <w10:wrap type="none"/>
              </v:shape>
              <v:shape style="position:absolute;left:7757;top:62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易产生</w:t>
                      </w:r>
                    </w:p>
                  </w:txbxContent>
                </v:textbox>
                <w10:wrap type="none"/>
              </v:shape>
              <v:shape style="position:absolute;left:137;top:1032;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湖南衡阳第五人民医院</w:t>
                      </w:r>
                    </w:p>
                  </w:txbxContent>
                </v:textbox>
                <w10:wrap type="none"/>
              </v:shape>
              <v:shape style="position:absolute;left:2305;top:103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销售货款</w:t>
                      </w:r>
                    </w:p>
                  </w:txbxContent>
                </v:textbox>
                <w10:wrap type="none"/>
              </v:shape>
              <v:shape style="position:absolute;left:3735;top:1032;width:2044;height:200" type="#_x0000_t202" filled="false" stroked="false">
                <v:textbox inset="0,0,0,0">
                  <w:txbxContent>
                    <w:p>
                      <w:pPr>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24,861 </w:t>
                      </w:r>
                      <w:r>
                        <w:rPr>
                          <w:rFonts w:ascii="Times New Roman" w:hAnsi="Times New Roman" w:cs="Times New Roman" w:eastAsia="Times New Roman" w:hint="default"/>
                          <w:spacing w:val="18"/>
                          <w:sz w:val="18"/>
                          <w:szCs w:val="18"/>
                        </w:rPr>
                        <w:t> </w:t>
                      </w:r>
                      <w:r>
                        <w:rPr>
                          <w:rFonts w:ascii="宋体" w:hAnsi="宋体" w:cs="宋体" w:eastAsia="宋体" w:hint="default"/>
                          <w:position w:val="1"/>
                          <w:sz w:val="18"/>
                          <w:szCs w:val="18"/>
                        </w:rPr>
                        <w:t>预计无法收回款项</w:t>
                      </w:r>
                      <w:r>
                        <w:rPr>
                          <w:rFonts w:ascii="宋体" w:hAnsi="宋体" w:cs="宋体" w:eastAsia="宋体" w:hint="default"/>
                          <w:sz w:val="18"/>
                          <w:szCs w:val="18"/>
                        </w:rPr>
                      </w:r>
                    </w:p>
                  </w:txbxContent>
                </v:textbox>
                <w10:wrap type="none"/>
              </v:shape>
              <v:shape style="position:absolute;left:7990;top:103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否</w:t>
                      </w:r>
                    </w:p>
                  </w:txbxContent>
                </v:textbox>
                <w10:wrap type="none"/>
              </v:shape>
              <v:shape style="position:absolute;left:4339;top:1441;width:302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为本公司之子公司沈阳东软博安软件</w:t>
                      </w:r>
                      <w:r>
                        <w:rPr>
                          <w:rFonts w:ascii="宋体" w:hAnsi="宋体" w:cs="宋体" w:eastAsia="宋体" w:hint="default"/>
                          <w:sz w:val="18"/>
                          <w:szCs w:val="18"/>
                        </w:rPr>
                      </w:r>
                    </w:p>
                  </w:txbxContent>
                </v:textbox>
                <w10:wrap type="none"/>
              </v:shape>
              <v:shape style="position:absolute;left:137;top:164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2305;top:164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销售货款</w:t>
                      </w:r>
                    </w:p>
                  </w:txbxContent>
                </v:textbox>
                <w10:wrap type="none"/>
              </v:shape>
              <v:shape style="position:absolute;left:3645;top:1661;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325,750</w:t>
                      </w:r>
                    </w:p>
                  </w:txbxContent>
                </v:textbox>
                <w10:wrap type="none"/>
              </v:shape>
              <v:shape style="position:absolute;left:7990;top:164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否</w:t>
                      </w:r>
                    </w:p>
                  </w:txbxContent>
                </v:textbox>
                <w10:wrap type="none"/>
              </v:shape>
              <v:shape style="position:absolute;left:4339;top:1842;width:28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有限公司预计无法收回的销售货款。</w:t>
                      </w:r>
                    </w:p>
                  </w:txbxContent>
                </v:textbox>
                <w10:wrap type="none"/>
              </v:shape>
              <v:shape style="position:absolute;left:783;top:225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3651;top:2271;width:57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2"/>
                          <w:sz w:val="18"/>
                        </w:rPr>
                        <w:t>350,611</w:t>
                      </w:r>
                    </w:p>
                  </w:txbxContent>
                </v:textbox>
                <w10:wrap type="none"/>
              </v:shape>
            </v:group>
          </v:group>
        </w:pict>
      </w:r>
      <w:r>
        <w:rPr>
          <w:rFonts w:ascii="宋体" w:hAnsi="宋体" w:cs="宋体" w:eastAsia="宋体" w:hint="default"/>
          <w:position w:val="-49"/>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5" w:val="left" w:leader="none"/>
        </w:tabs>
        <w:spacing w:before="35"/>
        <w:ind w:left="857" w:right="337" w:firstLine="0"/>
        <w:jc w:val="left"/>
        <w:rPr>
          <w:rFonts w:ascii="宋体" w:hAnsi="宋体" w:cs="宋体" w:eastAsia="宋体" w:hint="default"/>
          <w:sz w:val="21"/>
          <w:szCs w:val="21"/>
        </w:rPr>
      </w:pPr>
      <w:r>
        <w:rPr>
          <w:rFonts w:ascii="宋体" w:hAnsi="宋体" w:cs="宋体" w:eastAsia="宋体" w:hint="default"/>
          <w:b/>
          <w:bCs/>
          <w:w w:val="95"/>
          <w:sz w:val="21"/>
          <w:szCs w:val="21"/>
        </w:rPr>
        <w:t>6、</w:t>
        <w:tab/>
      </w:r>
      <w:r>
        <w:rPr>
          <w:rFonts w:ascii="宋体" w:hAnsi="宋体" w:cs="宋体" w:eastAsia="宋体" w:hint="default"/>
          <w:b/>
          <w:bCs/>
          <w:sz w:val="21"/>
          <w:szCs w:val="21"/>
        </w:rPr>
        <w:t>期末余额中应收持本公司</w:t>
      </w:r>
      <w:r>
        <w:rPr>
          <w:rFonts w:ascii="宋体" w:hAnsi="宋体" w:cs="宋体" w:eastAsia="宋体" w:hint="default"/>
          <w:b/>
          <w:bCs/>
          <w:spacing w:val="-56"/>
          <w:sz w:val="21"/>
          <w:szCs w:val="21"/>
        </w:rPr>
        <w:t> </w:t>
      </w:r>
      <w:r>
        <w:rPr>
          <w:rFonts w:ascii="宋体" w:hAnsi="宋体" w:cs="宋体" w:eastAsia="宋体" w:hint="default"/>
          <w:b/>
          <w:bCs/>
          <w:sz w:val="21"/>
          <w:szCs w:val="21"/>
        </w:rPr>
        <w:t>5％以上（含</w:t>
      </w:r>
      <w:r>
        <w:rPr>
          <w:rFonts w:ascii="宋体" w:hAnsi="宋体" w:cs="宋体" w:eastAsia="宋体" w:hint="default"/>
          <w:b/>
          <w:bCs/>
          <w:spacing w:val="-56"/>
          <w:sz w:val="21"/>
          <w:szCs w:val="21"/>
        </w:rPr>
        <w:t> </w:t>
      </w:r>
      <w:r>
        <w:rPr>
          <w:rFonts w:ascii="宋体" w:hAnsi="宋体" w:cs="宋体" w:eastAsia="宋体" w:hint="default"/>
          <w:b/>
          <w:bCs/>
          <w:sz w:val="21"/>
          <w:szCs w:val="21"/>
        </w:rPr>
        <w:t>5％）表决权股份的股东单位欠款情况：</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2100" w:lineRule="exact"/>
        <w:ind w:left="720"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36.25pt;height:105pt;mso-position-horizontal-relative:char;mso-position-vertical-relative:line" coordorigin="0,0" coordsize="8725,2100">
            <v:group style="position:absolute;left:29;top:15;width:8670;height:2" coordorigin="29,15" coordsize="8670,2">
              <v:shape style="position:absolute;left:29;top:15;width:8670;height:2" coordorigin="29,15" coordsize="8670,0" path="m29,15l8699,15e" filled="false" stroked="true" strokeweight="1.5pt" strokecolor="#000000">
                <v:path arrowok="t"/>
              </v:shape>
              <v:shape style="position:absolute;left:2279;top:5;width:3268;height:451" type="#_x0000_t75" stroked="false">
                <v:imagedata r:id="rId134" o:title=""/>
              </v:shape>
              <v:shape style="position:absolute;left:2281;top:407;width:6442;height:456" type="#_x0000_t75" stroked="false">
                <v:imagedata r:id="rId135" o:title=""/>
              </v:shape>
            </v:group>
            <v:group style="position:absolute;left:15;top:2085;width:2290;height:2" coordorigin="15,2085" coordsize="2290,2">
              <v:shape style="position:absolute;left:15;top:2085;width:2290;height:2" coordorigin="15,2085" coordsize="2290,0" path="m15,2085l2305,2085e" filled="false" stroked="true" strokeweight="1.5pt" strokecolor="#000000">
                <v:path arrowok="t"/>
              </v:shape>
            </v:group>
            <v:group style="position:absolute;left:2305;top:2085;width:1608;height:2" coordorigin="2305,2085" coordsize="1608,2">
              <v:shape style="position:absolute;left:2305;top:2085;width:1608;height:2" coordorigin="2305,2085" coordsize="1608,0" path="m2305,2085l3913,2085e" filled="false" stroked="true" strokeweight="1.5pt" strokecolor="#000000">
                <v:path arrowok="t"/>
              </v:shape>
            </v:group>
            <v:group style="position:absolute;left:3913;top:2085;width:1600;height:2" coordorigin="3913,2085" coordsize="1600,2">
              <v:shape style="position:absolute;left:3913;top:2085;width:1600;height:2" coordorigin="3913,2085" coordsize="1600,0" path="m3913,2085l5512,2085e" filled="false" stroked="true" strokeweight="1.5pt" strokecolor="#000000">
                <v:path arrowok="t"/>
              </v:shape>
            </v:group>
            <v:group style="position:absolute;left:5512;top:2085;width:1575;height:2" coordorigin="5512,2085" coordsize="1575,2">
              <v:shape style="position:absolute;left:5512;top:2085;width:1575;height:2" coordorigin="5512,2085" coordsize="1575,0" path="m5512,2085l7087,2085e" filled="false" stroked="true" strokeweight="1.5pt" strokecolor="#000000">
                <v:path arrowok="t"/>
              </v:shape>
              <v:shape style="position:absolute;left:1;top:815;width:8724;height:1255" type="#_x0000_t75" stroked="false">
                <v:imagedata r:id="rId136" o:title=""/>
              </v:shape>
            </v:group>
            <v:group style="position:absolute;left:7087;top:2085;width:1613;height:2" coordorigin="7087,2085" coordsize="1613,2">
              <v:shape style="position:absolute;left:7087;top:2085;width:1613;height:2" coordorigin="7087,2085" coordsize="1613,0" path="m7087,2085l8699,2085e" filled="false" stroked="true" strokeweight="1.5pt" strokecolor="#000000">
                <v:path arrowok="t"/>
              </v:shape>
              <v:shape style="position:absolute;left:3551;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748;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808;top:4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2752;top:6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账面金额</w:t>
                      </w:r>
                    </w:p>
                  </w:txbxContent>
                </v:textbox>
                <w10:wrap type="none"/>
              </v:shape>
              <v:shape style="position:absolute;left:4177;top:63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计提坏账金额</w:t>
                      </w:r>
                    </w:p>
                  </w:txbxContent>
                </v:textbox>
                <w10:wrap type="none"/>
              </v:shape>
              <v:shape style="position:absolute;left:5944;top:6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账面金额</w:t>
                      </w:r>
                    </w:p>
                  </w:txbxContent>
                </v:textbox>
                <w10:wrap type="none"/>
              </v:shape>
              <v:shape style="position:absolute;left:7354;top:63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计提坏账金额</w:t>
                      </w:r>
                    </w:p>
                  </w:txbxContent>
                </v:textbox>
                <w10:wrap type="none"/>
              </v:shape>
              <v:shape style="position:absolute;left:137;top:10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东芝公司</w:t>
                      </w:r>
                    </w:p>
                  </w:txbxContent>
                </v:textbox>
                <w10:wrap type="none"/>
              </v:shape>
              <v:shape style="position:absolute;left:3088;top:106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4,616,409</w:t>
                      </w:r>
                    </w:p>
                  </w:txbxContent>
                </v:textbox>
                <w10:wrap type="none"/>
              </v:shape>
              <v:shape style="position:absolute;left:4914;top:106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46,164</w:t>
                      </w:r>
                    </w:p>
                  </w:txbxContent>
                </v:textbox>
                <w10:wrap type="none"/>
              </v:shape>
              <v:shape style="position:absolute;left:6263;top:106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6,825,586</w:t>
                      </w:r>
                    </w:p>
                  </w:txbxContent>
                </v:textbox>
                <w10:wrap type="none"/>
              </v:shape>
              <v:shape style="position:absolute;left:8097;top:106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68,256</w:t>
                      </w:r>
                    </w:p>
                  </w:txbxContent>
                </v:textbox>
                <w10:wrap type="none"/>
              </v:shape>
              <v:shape style="position:absolute;left:137;top:14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阿尔派</w:t>
                      </w:r>
                    </w:p>
                  </w:txbxContent>
                </v:textbox>
                <w10:wrap type="none"/>
              </v:shape>
              <v:shape style="position:absolute;left:3088;top:1472;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3,982,428</w:t>
                      </w:r>
                    </w:p>
                  </w:txbxContent>
                </v:textbox>
                <w10:wrap type="none"/>
              </v:shape>
              <v:shape style="position:absolute;left:4914;top:147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39,824</w:t>
                      </w:r>
                    </w:p>
                  </w:txbxContent>
                </v:textbox>
                <w10:wrap type="none"/>
              </v:shape>
              <v:shape style="position:absolute;left:6399;top:147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720,348</w:t>
                      </w:r>
                    </w:p>
                  </w:txbxContent>
                </v:textbox>
                <w10:wrap type="none"/>
              </v:shape>
              <v:shape style="position:absolute;left:8187;top:1472;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7,203</w:t>
                      </w:r>
                    </w:p>
                  </w:txbxContent>
                </v:textbox>
                <w10:wrap type="none"/>
              </v:shape>
              <v:shape style="position:absolute;left:137;top:1863;width:208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pacing w:val="-1"/>
                          <w:sz w:val="18"/>
                          <w:szCs w:val="18"/>
                        </w:rPr>
                        <w:t>宝钢集团有限公司</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宝钢</w:t>
                      </w:r>
                      <w:r>
                        <w:rPr>
                          <w:rFonts w:ascii="Times New Roman" w:hAnsi="Times New Roman" w:cs="Times New Roman" w:eastAsia="Times New Roman" w:hint="default"/>
                          <w:spacing w:val="-1"/>
                          <w:sz w:val="18"/>
                          <w:szCs w:val="18"/>
                        </w:rPr>
                        <w:t>”)</w:t>
                      </w:r>
                    </w:p>
                  </w:txbxContent>
                </v:textbox>
                <w10:wrap type="none"/>
              </v:shape>
              <v:shape style="position:absolute;left:3224;top:188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100,000</w:t>
                      </w:r>
                    </w:p>
                  </w:txbxContent>
                </v:textbox>
                <w10:wrap type="none"/>
              </v:shape>
              <v:shape style="position:absolute;left:4915;top:188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50,000</w:t>
                      </w:r>
                    </w:p>
                  </w:txbxContent>
                </v:textbox>
                <w10:wrap type="none"/>
              </v:shape>
              <v:shape style="position:absolute;left:6262;top:1882;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1,398,500</w:t>
                      </w:r>
                    </w:p>
                  </w:txbxContent>
                </v:textbox>
                <w10:wrap type="none"/>
              </v:shape>
              <v:shape style="position:absolute;left:8096;top:188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13,985</w:t>
                      </w:r>
                    </w:p>
                  </w:txbxContent>
                </v:textbox>
                <w10:wrap type="none"/>
              </v:shape>
            </v:group>
          </v:group>
        </w:pict>
      </w:r>
      <w:r>
        <w:rPr>
          <w:rFonts w:ascii="宋体" w:hAnsi="宋体" w:cs="宋体" w:eastAsia="宋体" w:hint="default"/>
          <w:position w:val="-41"/>
          <w:sz w:val="20"/>
          <w:szCs w:val="20"/>
        </w:rPr>
      </w:r>
    </w:p>
    <w:p>
      <w:pPr>
        <w:spacing w:after="0" w:line="2100" w:lineRule="exact"/>
        <w:rPr>
          <w:rFonts w:ascii="宋体" w:hAnsi="宋体" w:cs="宋体" w:eastAsia="宋体" w:hint="default"/>
          <w:sz w:val="20"/>
          <w:szCs w:val="20"/>
        </w:rPr>
        <w:sectPr>
          <w:pgSz w:w="11910" w:h="16840"/>
          <w:pgMar w:header="883" w:footer="1003" w:top="1540" w:bottom="1200" w:left="1300" w:right="840"/>
        </w:sectPr>
      </w:pPr>
    </w:p>
    <w:p>
      <w:pPr>
        <w:spacing w:line="240" w:lineRule="auto" w:before="13"/>
        <w:rPr>
          <w:rFonts w:ascii="宋体" w:hAnsi="宋体" w:cs="宋体" w:eastAsia="宋体" w:hint="default"/>
          <w:b/>
          <w:bCs/>
          <w:sz w:val="7"/>
          <w:szCs w:val="7"/>
        </w:rPr>
      </w:pPr>
    </w:p>
    <w:p>
      <w:pPr>
        <w:tabs>
          <w:tab w:pos="1396" w:val="left" w:leader="none"/>
        </w:tabs>
        <w:spacing w:before="35"/>
        <w:ind w:left="857" w:right="91" w:firstLine="0"/>
        <w:jc w:val="left"/>
        <w:rPr>
          <w:rFonts w:ascii="宋体" w:hAnsi="宋体" w:cs="宋体" w:eastAsia="宋体" w:hint="default"/>
          <w:sz w:val="21"/>
          <w:szCs w:val="21"/>
        </w:rPr>
      </w:pPr>
      <w:r>
        <w:rPr/>
        <w:pict>
          <v:group style="position:absolute;margin-left:101.519997pt;margin-top:17.073997pt;width:437.55pt;height:141pt;mso-position-horizontal-relative:page;mso-position-vertical-relative:paragraph;z-index:-1124680" coordorigin="2030,341" coordsize="8751,2820">
            <v:group style="position:absolute;left:2050;top:356;width:8711;height:2" coordorigin="2050,356" coordsize="8711,2">
              <v:shape style="position:absolute;left:2050;top:356;width:8711;height:2" coordorigin="2050,356" coordsize="8711,0" path="m2050,356l10760,356e" filled="false" stroked="true" strokeweight="1.5pt" strokecolor="#000000">
                <v:path arrowok="t"/>
              </v:shape>
              <v:shape style="position:absolute;left:4006;top:343;width:4586;height:448" type="#_x0000_t75" stroked="false">
                <v:imagedata r:id="rId137" o:title=""/>
              </v:shape>
              <v:shape style="position:absolute;left:2030;top:742;width:8750;height:2419" type="#_x0000_t75" stroked="false">
                <v:imagedata r:id="rId138" o:title=""/>
              </v:shape>
            </v:group>
            <w10:wrap type="none"/>
          </v:group>
        </w:pict>
      </w:r>
      <w:r>
        <w:rPr>
          <w:rFonts w:ascii="宋体" w:hAnsi="宋体" w:cs="宋体" w:eastAsia="宋体" w:hint="default"/>
          <w:b/>
          <w:bCs/>
          <w:w w:val="95"/>
          <w:sz w:val="21"/>
          <w:szCs w:val="21"/>
        </w:rPr>
        <w:t>7、</w:t>
        <w:tab/>
      </w:r>
      <w:r>
        <w:rPr>
          <w:rFonts w:ascii="宋体" w:hAnsi="宋体" w:cs="宋体" w:eastAsia="宋体" w:hint="default"/>
          <w:b/>
          <w:bCs/>
          <w:sz w:val="21"/>
          <w:szCs w:val="21"/>
        </w:rPr>
        <w:t>应收账款中欠款金额前五名</w:t>
      </w:r>
      <w:r>
        <w:rPr>
          <w:rFonts w:ascii="宋体" w:hAnsi="宋体" w:cs="宋体" w:eastAsia="宋体" w:hint="default"/>
          <w:sz w:val="21"/>
          <w:szCs w:val="21"/>
        </w:rPr>
      </w:r>
    </w:p>
    <w:p>
      <w:pPr>
        <w:spacing w:line="240" w:lineRule="auto" w:before="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2035"/>
        <w:gridCol w:w="1457"/>
        <w:gridCol w:w="1326"/>
        <w:gridCol w:w="1658"/>
        <w:gridCol w:w="2250"/>
      </w:tblGrid>
      <w:tr>
        <w:trPr>
          <w:trHeight w:val="800" w:hRule="exact"/>
        </w:trPr>
        <w:tc>
          <w:tcPr>
            <w:tcW w:w="2035" w:type="dxa"/>
            <w:tcBorders>
              <w:top w:val="nil" w:sz="6" w:space="0" w:color="auto"/>
              <w:left w:val="nil" w:sz="6" w:space="0" w:color="auto"/>
              <w:bottom w:val="nil" w:sz="6" w:space="0" w:color="auto"/>
              <w:right w:val="nil" w:sz="6" w:space="0" w:color="auto"/>
            </w:tcBorders>
          </w:tcPr>
          <w:p>
            <w:pPr>
              <w:pStyle w:val="TableParagraph"/>
              <w:spacing w:line="408" w:lineRule="auto" w:before="44"/>
              <w:ind w:left="122" w:right="574" w:firstLine="435"/>
              <w:jc w:val="left"/>
              <w:rPr>
                <w:rFonts w:ascii="宋体" w:hAnsi="宋体" w:cs="宋体" w:eastAsia="宋体" w:hint="default"/>
                <w:sz w:val="18"/>
                <w:szCs w:val="18"/>
              </w:rPr>
            </w:pPr>
            <w:r>
              <w:rPr>
                <w:rFonts w:ascii="宋体" w:hAnsi="宋体" w:cs="宋体" w:eastAsia="宋体" w:hint="default"/>
                <w:sz w:val="18"/>
                <w:szCs w:val="18"/>
              </w:rPr>
              <w:t>债务人名称 联通网通</w:t>
            </w:r>
          </w:p>
        </w:tc>
        <w:tc>
          <w:tcPr>
            <w:tcW w:w="1457" w:type="dxa"/>
            <w:tcBorders>
              <w:top w:val="nil" w:sz="6" w:space="0" w:color="auto"/>
              <w:left w:val="nil" w:sz="6" w:space="0" w:color="auto"/>
              <w:bottom w:val="nil" w:sz="6" w:space="0" w:color="auto"/>
              <w:right w:val="nil" w:sz="6" w:space="0" w:color="auto"/>
            </w:tcBorders>
          </w:tcPr>
          <w:p>
            <w:pPr>
              <w:pStyle w:val="TableParagraph"/>
              <w:spacing w:line="408" w:lineRule="auto" w:before="44"/>
              <w:ind w:left="238" w:right="262" w:hanging="126"/>
              <w:jc w:val="left"/>
              <w:rPr>
                <w:rFonts w:ascii="宋体" w:hAnsi="宋体" w:cs="宋体" w:eastAsia="宋体" w:hint="default"/>
                <w:sz w:val="18"/>
                <w:szCs w:val="18"/>
              </w:rPr>
            </w:pPr>
            <w:r>
              <w:rPr>
                <w:rFonts w:ascii="宋体" w:hAnsi="宋体" w:cs="宋体" w:eastAsia="宋体" w:hint="default"/>
                <w:sz w:val="18"/>
                <w:szCs w:val="18"/>
              </w:rPr>
              <w:t>与本公司关系 非关联方</w:t>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4" w:right="0"/>
              <w:jc w:val="left"/>
              <w:rPr>
                <w:rFonts w:ascii="宋体" w:hAnsi="宋体" w:cs="宋体" w:eastAsia="宋体" w:hint="default"/>
                <w:sz w:val="18"/>
                <w:szCs w:val="18"/>
              </w:rPr>
            </w:pPr>
            <w:r>
              <w:rPr>
                <w:rFonts w:ascii="宋体" w:hAnsi="宋体" w:cs="宋体" w:eastAsia="宋体" w:hint="default"/>
                <w:sz w:val="18"/>
                <w:szCs w:val="18"/>
              </w:rPr>
              <w:t>金  额</w:t>
            </w:r>
          </w:p>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291" w:right="0"/>
              <w:jc w:val="left"/>
              <w:rPr>
                <w:rFonts w:ascii="Times New Roman" w:hAnsi="Times New Roman" w:cs="Times New Roman" w:eastAsia="Times New Roman" w:hint="default"/>
                <w:sz w:val="18"/>
                <w:szCs w:val="18"/>
              </w:rPr>
            </w:pPr>
            <w:r>
              <w:rPr>
                <w:rFonts w:ascii="Times New Roman"/>
                <w:sz w:val="18"/>
              </w:rPr>
              <w:t>139,469,434</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 w:right="0"/>
              <w:jc w:val="center"/>
              <w:rPr>
                <w:rFonts w:ascii="宋体" w:hAnsi="宋体" w:cs="宋体" w:eastAsia="宋体" w:hint="default"/>
                <w:sz w:val="18"/>
                <w:szCs w:val="18"/>
              </w:rPr>
            </w:pPr>
            <w:r>
              <w:rPr>
                <w:rFonts w:ascii="宋体" w:hAnsi="宋体" w:cs="宋体" w:eastAsia="宋体" w:hint="default"/>
                <w:sz w:val="18"/>
                <w:szCs w:val="18"/>
              </w:rPr>
              <w:t>年限</w:t>
            </w: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64"/>
              <w:jc w:val="right"/>
              <w:rPr>
                <w:rFonts w:ascii="Times New Roman" w:hAnsi="Times New Roman" w:cs="Times New Roman" w:eastAsia="Times New Roman" w:hint="default"/>
                <w:sz w:val="18"/>
                <w:szCs w:val="18"/>
              </w:rPr>
            </w:pPr>
            <w:r>
              <w:rPr>
                <w:rFonts w:ascii="宋体" w:hAnsi="宋体" w:cs="宋体" w:eastAsia="宋体" w:hint="default"/>
                <w:sz w:val="18"/>
                <w:szCs w:val="18"/>
              </w:rPr>
              <w:t>占应收账款总额的比例</w:t>
            </w:r>
            <w:r>
              <w:rPr>
                <w:rFonts w:ascii="Times New Roman" w:hAnsi="Times New Roman" w:cs="Times New Roman" w:eastAsia="Times New Roman" w:hint="default"/>
                <w:sz w:val="18"/>
                <w:szCs w:val="18"/>
              </w:rPr>
              <w:t>(%)</w:t>
            </w:r>
          </w:p>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2"/>
                <w:sz w:val="18"/>
              </w:rPr>
              <w:t>11.43</w:t>
            </w:r>
          </w:p>
        </w:tc>
      </w:tr>
      <w:tr>
        <w:trPr>
          <w:trHeight w:val="400" w:hRule="exact"/>
        </w:trPr>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山西星际科贸有限公司</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58"/>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1"/>
              <w:jc w:val="right"/>
              <w:rPr>
                <w:rFonts w:ascii="Times New Roman" w:hAnsi="Times New Roman" w:cs="Times New Roman" w:eastAsia="Times New Roman" w:hint="default"/>
                <w:sz w:val="18"/>
                <w:szCs w:val="18"/>
              </w:rPr>
            </w:pPr>
            <w:r>
              <w:rPr>
                <w:rFonts w:ascii="Times New Roman"/>
                <w:sz w:val="18"/>
              </w:rPr>
              <w:t>47,394,000</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z w:val="18"/>
              </w:rPr>
              <w:t>3.88</w:t>
            </w:r>
          </w:p>
        </w:tc>
      </w:tr>
      <w:tr>
        <w:trPr>
          <w:trHeight w:val="400" w:hRule="exact"/>
        </w:trPr>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索尼</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58"/>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1"/>
              <w:jc w:val="right"/>
              <w:rPr>
                <w:rFonts w:ascii="Times New Roman" w:hAnsi="Times New Roman" w:cs="Times New Roman" w:eastAsia="Times New Roman" w:hint="default"/>
                <w:sz w:val="18"/>
                <w:szCs w:val="18"/>
              </w:rPr>
            </w:pPr>
            <w:r>
              <w:rPr>
                <w:rFonts w:ascii="Times New Roman"/>
                <w:sz w:val="18"/>
              </w:rPr>
              <w:t>47,242,012</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z w:val="18"/>
              </w:rPr>
              <w:t>3.87</w:t>
            </w:r>
          </w:p>
        </w:tc>
      </w:tr>
      <w:tr>
        <w:trPr>
          <w:trHeight w:val="400" w:hRule="exact"/>
        </w:trPr>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22" w:right="0"/>
              <w:jc w:val="left"/>
              <w:rPr>
                <w:rFonts w:ascii="Times New Roman" w:hAnsi="Times New Roman" w:cs="Times New Roman" w:eastAsia="Times New Roman" w:hint="default"/>
                <w:sz w:val="18"/>
                <w:szCs w:val="18"/>
              </w:rPr>
            </w:pPr>
            <w:r>
              <w:rPr>
                <w:rFonts w:ascii="Times New Roman"/>
                <w:sz w:val="18"/>
              </w:rPr>
              <w:t>Harman</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58"/>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31"/>
              <w:jc w:val="right"/>
              <w:rPr>
                <w:rFonts w:ascii="Times New Roman" w:hAnsi="Times New Roman" w:cs="Times New Roman" w:eastAsia="Times New Roman" w:hint="default"/>
                <w:sz w:val="18"/>
                <w:szCs w:val="18"/>
              </w:rPr>
            </w:pPr>
            <w:r>
              <w:rPr>
                <w:rFonts w:ascii="Times New Roman"/>
                <w:sz w:val="18"/>
              </w:rPr>
              <w:t>34,075,916</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4"/>
              <w:jc w:val="right"/>
              <w:rPr>
                <w:rFonts w:ascii="Times New Roman" w:hAnsi="Times New Roman" w:cs="Times New Roman" w:eastAsia="Times New Roman" w:hint="default"/>
                <w:sz w:val="18"/>
                <w:szCs w:val="18"/>
              </w:rPr>
            </w:pPr>
            <w:r>
              <w:rPr>
                <w:rFonts w:ascii="Times New Roman"/>
                <w:sz w:val="18"/>
              </w:rPr>
              <w:t>2.79</w:t>
            </w:r>
          </w:p>
        </w:tc>
      </w:tr>
      <w:tr>
        <w:trPr>
          <w:trHeight w:val="400" w:hRule="exact"/>
        </w:trPr>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诺西东软</w:t>
            </w:r>
          </w:p>
        </w:tc>
        <w:tc>
          <w:tcPr>
            <w:tcW w:w="145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58"/>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1"/>
              <w:jc w:val="right"/>
              <w:rPr>
                <w:rFonts w:ascii="Times New Roman" w:hAnsi="Times New Roman" w:cs="Times New Roman" w:eastAsia="Times New Roman" w:hint="default"/>
                <w:sz w:val="18"/>
                <w:szCs w:val="18"/>
              </w:rPr>
            </w:pPr>
            <w:r>
              <w:rPr>
                <w:rFonts w:ascii="Times New Roman"/>
                <w:spacing w:val="-1"/>
                <w:sz w:val="18"/>
              </w:rPr>
              <w:t>33,113,689</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25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z w:val="18"/>
              </w:rPr>
              <w:t>2.71</w:t>
            </w:r>
          </w:p>
        </w:tc>
      </w:tr>
      <w:tr>
        <w:trPr>
          <w:trHeight w:val="323" w:hRule="exact"/>
        </w:trPr>
        <w:tc>
          <w:tcPr>
            <w:tcW w:w="2035"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right="16"/>
              <w:jc w:val="center"/>
              <w:rPr>
                <w:rFonts w:ascii="宋体" w:hAnsi="宋体" w:cs="宋体" w:eastAsia="宋体" w:hint="default"/>
                <w:sz w:val="18"/>
                <w:szCs w:val="18"/>
              </w:rPr>
            </w:pPr>
            <w:r>
              <w:rPr>
                <w:rFonts w:ascii="宋体" w:hAnsi="宋体" w:cs="宋体" w:eastAsia="宋体" w:hint="default"/>
                <w:sz w:val="18"/>
                <w:szCs w:val="18"/>
              </w:rPr>
              <w:t>合  计</w:t>
            </w:r>
          </w:p>
        </w:tc>
        <w:tc>
          <w:tcPr>
            <w:tcW w:w="1457" w:type="dxa"/>
            <w:tcBorders>
              <w:top w:val="nil" w:sz="6" w:space="0" w:color="auto"/>
              <w:left w:val="nil" w:sz="6" w:space="0" w:color="auto"/>
              <w:bottom w:val="single" w:sz="12" w:space="0" w:color="000000"/>
              <w:right w:val="nil" w:sz="6" w:space="0" w:color="auto"/>
            </w:tcBorders>
          </w:tcPr>
          <w:p>
            <w:pPr/>
          </w:p>
        </w:tc>
        <w:tc>
          <w:tcPr>
            <w:tcW w:w="1326"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31"/>
              <w:jc w:val="right"/>
              <w:rPr>
                <w:rFonts w:ascii="Times New Roman" w:hAnsi="Times New Roman" w:cs="Times New Roman" w:eastAsia="Times New Roman" w:hint="default"/>
                <w:sz w:val="18"/>
                <w:szCs w:val="18"/>
              </w:rPr>
            </w:pPr>
            <w:r>
              <w:rPr>
                <w:rFonts w:ascii="Times New Roman"/>
                <w:sz w:val="18"/>
              </w:rPr>
              <w:t>301,295,051</w:t>
            </w:r>
          </w:p>
        </w:tc>
        <w:tc>
          <w:tcPr>
            <w:tcW w:w="1658" w:type="dxa"/>
            <w:tcBorders>
              <w:top w:val="nil" w:sz="6" w:space="0" w:color="auto"/>
              <w:left w:val="nil" w:sz="6" w:space="0" w:color="auto"/>
              <w:bottom w:val="single" w:sz="12" w:space="0" w:color="000000"/>
              <w:right w:val="nil" w:sz="6" w:space="0" w:color="auto"/>
            </w:tcBorders>
          </w:tcPr>
          <w:p>
            <w:pPr/>
          </w:p>
        </w:tc>
        <w:tc>
          <w:tcPr>
            <w:tcW w:w="2250"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z w:val="18"/>
              </w:rPr>
              <w:t>24.68</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tabs>
          <w:tab w:pos="1395" w:val="left" w:leader="none"/>
        </w:tabs>
        <w:spacing w:before="0"/>
        <w:ind w:left="857" w:right="91" w:firstLine="0"/>
        <w:jc w:val="left"/>
        <w:rPr>
          <w:rFonts w:ascii="宋体" w:hAnsi="宋体" w:cs="宋体" w:eastAsia="宋体" w:hint="default"/>
          <w:sz w:val="21"/>
          <w:szCs w:val="21"/>
        </w:rPr>
      </w:pPr>
      <w:r>
        <w:rPr>
          <w:rFonts w:ascii="宋体" w:hAnsi="宋体" w:cs="宋体" w:eastAsia="宋体" w:hint="default"/>
          <w:b/>
          <w:bCs/>
          <w:w w:val="95"/>
          <w:sz w:val="21"/>
          <w:szCs w:val="21"/>
        </w:rPr>
        <w:t>8、</w:t>
        <w:tab/>
      </w:r>
      <w:r>
        <w:rPr>
          <w:rFonts w:ascii="宋体" w:hAnsi="宋体" w:cs="宋体" w:eastAsia="宋体" w:hint="default"/>
          <w:b/>
          <w:bCs/>
          <w:sz w:val="21"/>
          <w:szCs w:val="21"/>
        </w:rPr>
        <w:t>应收关联方账款情况</w:t>
      </w:r>
      <w:r>
        <w:rPr>
          <w:rFonts w:ascii="宋体" w:hAnsi="宋体" w:cs="宋体" w:eastAsia="宋体" w:hint="default"/>
          <w:sz w:val="21"/>
          <w:szCs w:val="21"/>
        </w:rPr>
      </w:r>
    </w:p>
    <w:p>
      <w:pPr>
        <w:tabs>
          <w:tab w:pos="1413" w:val="left" w:leader="none"/>
        </w:tabs>
        <w:spacing w:line="681" w:lineRule="auto" w:before="115"/>
        <w:ind w:left="857" w:right="589" w:firstLine="0"/>
        <w:jc w:val="left"/>
        <w:rPr>
          <w:rFonts w:ascii="宋体" w:hAnsi="宋体" w:cs="宋体" w:eastAsia="宋体" w:hint="default"/>
          <w:sz w:val="21"/>
          <w:szCs w:val="21"/>
        </w:rPr>
      </w:pPr>
      <w:r>
        <w:rPr/>
        <w:pict>
          <v:group style="position:absolute;margin-left:101.010002pt;margin-top:60.074059pt;width:436.5pt;height:42.55pt;mso-position-horizontal-relative:page;mso-position-vertical-relative:paragraph;z-index:-1124512" coordorigin="2020,1201" coordsize="8730,851">
            <v:group style="position:absolute;left:2050;top:1216;width:8686;height:2" coordorigin="2050,1216" coordsize="8686,2">
              <v:shape style="position:absolute;left:2050;top:1216;width:8686;height:2" coordorigin="2050,1216" coordsize="8686,0" path="m2050,1216l10735,1216e" filled="false" stroked="true" strokeweight="1.5pt" strokecolor="#000000">
                <v:path arrowok="t"/>
              </v:shape>
            </v:group>
            <v:group style="position:absolute;left:2035;top:2037;width:3088;height:2" coordorigin="2035,2037" coordsize="3088,2">
              <v:shape style="position:absolute;left:2035;top:2037;width:3088;height:2" coordorigin="2035,2037" coordsize="3088,0" path="m2035,2037l5123,2037e" filled="false" stroked="true" strokeweight="1.5pt" strokecolor="#000000">
                <v:path arrowok="t"/>
              </v:shape>
            </v:group>
            <v:group style="position:absolute;left:5123;top:2037;width:2654;height:2" coordorigin="5123,2037" coordsize="2654,2">
              <v:shape style="position:absolute;left:5123;top:2037;width:2654;height:2" coordorigin="5123,2037" coordsize="2654,0" path="m5123,2037l7776,2037e" filled="false" stroked="true" strokeweight="1.5pt" strokecolor="#000000">
                <v:path arrowok="t"/>
              </v:shape>
              <v:shape style="position:absolute;left:2030;top:1203;width:8712;height:820" type="#_x0000_t75" stroked="false">
                <v:imagedata r:id="rId139" o:title=""/>
              </v:shape>
            </v:group>
            <v:group style="position:absolute;left:7776;top:2037;width:2960;height:2" coordorigin="7776,2037" coordsize="2960,2">
              <v:shape style="position:absolute;left:7776;top:2037;width:2960;height:2" coordorigin="7776,2037" coordsize="2960,0" path="m7776,2037l10735,2037e" filled="false" stroked="true" strokeweight="1.5pt" strokecolor="#000000">
                <v:path arrowok="t"/>
              </v:shape>
              <v:shape style="position:absolute;left:3408;top:141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5915;top:141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终止确认金额</w:t>
                      </w:r>
                    </w:p>
                  </w:txbxContent>
                </v:textbox>
                <w10:wrap type="none"/>
              </v:shape>
              <v:shape style="position:absolute;left:8088;top:1414;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与终止确认相关的利得或损失</w:t>
                      </w:r>
                    </w:p>
                  </w:txbxContent>
                </v:textbox>
                <w10:wrap type="none"/>
              </v:shape>
              <v:shape style="position:absolute;left:2158;top:1815;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中信银行股份有限公司沈阳分行</w:t>
                      </w:r>
                    </w:p>
                  </w:txbxContent>
                </v:textbox>
                <w10:wrap type="none"/>
              </v:shape>
              <v:shape style="position:absolute;left:6863;top:1834;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20,098,337</w:t>
                      </w:r>
                    </w:p>
                  </w:txbxContent>
                </v:textbox>
                <w10:wrap type="none"/>
              </v:shape>
              <v:shape style="position:absolute;left:9168;top:181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w:t>
                      </w:r>
                    </w:p>
                  </w:txbxContent>
                </v:textbox>
                <w10:wrap type="none"/>
              </v:shape>
            </v:group>
            <w10:wrap type="none"/>
          </v:group>
        </w:pict>
      </w:r>
      <w:r>
        <w:rPr>
          <w:rFonts w:ascii="宋体" w:hAnsi="宋体" w:cs="宋体" w:eastAsia="宋体" w:hint="default"/>
          <w:spacing w:val="-1"/>
          <w:sz w:val="21"/>
          <w:szCs w:val="21"/>
        </w:rPr>
        <w:t>应收关联方账款</w:t>
      </w:r>
      <w:r>
        <w:rPr>
          <w:rFonts w:ascii="宋体" w:hAnsi="宋体" w:cs="宋体" w:eastAsia="宋体" w:hint="default"/>
          <w:spacing w:val="-52"/>
          <w:sz w:val="21"/>
          <w:szCs w:val="21"/>
        </w:rPr>
        <w:t> </w:t>
      </w:r>
      <w:r>
        <w:rPr>
          <w:rFonts w:ascii="宋体" w:hAnsi="宋体" w:cs="宋体" w:eastAsia="宋体" w:hint="default"/>
          <w:spacing w:val="-1"/>
          <w:sz w:val="21"/>
          <w:szCs w:val="21"/>
        </w:rPr>
        <w:t>76,471,290</w:t>
      </w:r>
      <w:r>
        <w:rPr>
          <w:rFonts w:ascii="宋体" w:hAnsi="宋体" w:cs="宋体" w:eastAsia="宋体" w:hint="default"/>
          <w:spacing w:val="-51"/>
          <w:sz w:val="21"/>
          <w:szCs w:val="21"/>
        </w:rPr>
        <w:t> </w:t>
      </w:r>
      <w:r>
        <w:rPr>
          <w:rFonts w:ascii="宋体" w:hAnsi="宋体" w:cs="宋体" w:eastAsia="宋体" w:hint="default"/>
          <w:spacing w:val="-1"/>
          <w:sz w:val="21"/>
          <w:szCs w:val="21"/>
        </w:rPr>
        <w:t>元，占应收账款期末余额的</w:t>
      </w:r>
      <w:r>
        <w:rPr>
          <w:rFonts w:ascii="宋体" w:hAnsi="宋体" w:cs="宋体" w:eastAsia="宋体" w:hint="default"/>
          <w:spacing w:val="-52"/>
          <w:sz w:val="21"/>
          <w:szCs w:val="21"/>
        </w:rPr>
        <w:t> </w:t>
      </w:r>
      <w:r>
        <w:rPr>
          <w:rFonts w:ascii="宋体" w:hAnsi="宋体" w:cs="宋体" w:eastAsia="宋体" w:hint="default"/>
          <w:spacing w:val="-7"/>
          <w:sz w:val="21"/>
          <w:szCs w:val="21"/>
        </w:rPr>
        <w:t>6.27%，详见附注七（四）、12；</w:t>
      </w:r>
      <w:r>
        <w:rPr>
          <w:rFonts w:ascii="宋体" w:hAnsi="宋体" w:cs="宋体" w:eastAsia="宋体" w:hint="default"/>
          <w:spacing w:val="-1"/>
          <w:sz w:val="21"/>
          <w:szCs w:val="21"/>
        </w:rPr>
        <w:t> </w:t>
      </w:r>
      <w:r>
        <w:rPr>
          <w:rFonts w:ascii="宋体" w:hAnsi="宋体" w:cs="宋体" w:eastAsia="宋体" w:hint="default"/>
          <w:b/>
          <w:bCs/>
          <w:w w:val="95"/>
          <w:sz w:val="21"/>
          <w:szCs w:val="21"/>
        </w:rPr>
        <w:t>9、</w:t>
        <w:tab/>
      </w:r>
      <w:r>
        <w:rPr>
          <w:rFonts w:ascii="宋体" w:hAnsi="宋体" w:cs="宋体" w:eastAsia="宋体" w:hint="default"/>
          <w:b/>
          <w:bCs/>
          <w:sz w:val="21"/>
          <w:szCs w:val="21"/>
        </w:rPr>
        <w:t>因金融资产转移而终止确认的应收款项情况：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1"/>
          <w:szCs w:val="21"/>
        </w:rPr>
      </w:pPr>
    </w:p>
    <w:p>
      <w:pPr>
        <w:pStyle w:val="BodyText"/>
        <w:spacing w:line="340" w:lineRule="auto"/>
        <w:ind w:left="857" w:right="159"/>
        <w:jc w:val="left"/>
      </w:pPr>
      <w:r>
        <w:rPr/>
        <w:t>注：本期因金融资产转移而终止确认的应收账款，系</w:t>
      </w:r>
      <w:r>
        <w:rPr>
          <w:spacing w:val="-45"/>
        </w:rPr>
        <w:t> </w:t>
      </w:r>
      <w:r>
        <w:rPr/>
        <w:t>2011</w:t>
      </w:r>
      <w:r>
        <w:rPr>
          <w:spacing w:val="-46"/>
        </w:rPr>
        <w:t> </w:t>
      </w:r>
      <w:r>
        <w:rPr/>
        <w:t>年</w:t>
      </w:r>
      <w:r>
        <w:rPr>
          <w:spacing w:val="-45"/>
        </w:rPr>
        <w:t> </w:t>
      </w:r>
      <w:r>
        <w:rPr/>
        <w:t>12</w:t>
      </w:r>
      <w:r>
        <w:rPr>
          <w:spacing w:val="-45"/>
        </w:rPr>
        <w:t> </w:t>
      </w:r>
      <w:r>
        <w:rPr/>
        <w:t>月</w:t>
      </w:r>
      <w:r>
        <w:rPr>
          <w:spacing w:val="-45"/>
        </w:rPr>
        <w:t> </w:t>
      </w:r>
      <w:r>
        <w:rPr/>
        <w:t>28</w:t>
      </w:r>
      <w:r>
        <w:rPr>
          <w:spacing w:val="-46"/>
        </w:rPr>
        <w:t> </w:t>
      </w:r>
      <w:r>
        <w:rPr/>
        <w:t>日本公司之子公司沈阳</w:t>
      </w:r>
      <w:r>
        <w:rPr/>
        <w:t> 东软医疗系统有限公司与中信银行股份有限公司沈阳分行办理无追索权保理业务产生。</w:t>
      </w:r>
    </w:p>
    <w:p>
      <w:pPr>
        <w:spacing w:line="240" w:lineRule="auto" w:before="0"/>
        <w:rPr>
          <w:rFonts w:ascii="宋体" w:hAnsi="宋体" w:cs="宋体" w:eastAsia="宋体" w:hint="default"/>
          <w:sz w:val="20"/>
          <w:szCs w:val="20"/>
        </w:rPr>
      </w:pPr>
    </w:p>
    <w:p>
      <w:pPr>
        <w:pStyle w:val="Heading6"/>
        <w:tabs>
          <w:tab w:pos="853" w:val="left" w:leader="none"/>
        </w:tabs>
        <w:spacing w:line="240" w:lineRule="auto" w:before="155"/>
        <w:ind w:left="125" w:right="91"/>
        <w:jc w:val="left"/>
        <w:rPr>
          <w:b w:val="0"/>
          <w:bCs w:val="0"/>
        </w:rPr>
      </w:pPr>
      <w:r>
        <w:rPr>
          <w:w w:val="95"/>
        </w:rPr>
        <w:t>(五)</w:t>
        <w:tab/>
      </w:r>
      <w:r>
        <w:rPr/>
        <w:t>其他应收款</w:t>
      </w:r>
      <w:r>
        <w:rPr>
          <w:b w:val="0"/>
          <w:bCs w:val="0"/>
        </w:rPr>
      </w:r>
    </w:p>
    <w:p>
      <w:pPr>
        <w:tabs>
          <w:tab w:pos="1395" w:val="left" w:leader="none"/>
        </w:tabs>
        <w:spacing w:before="115"/>
        <w:ind w:left="857" w:right="91"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其他应收款按种类披露：</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p>
      <w:pPr>
        <w:spacing w:line="4800" w:lineRule="exact"/>
        <w:ind w:left="720" w:right="0" w:firstLine="0"/>
        <w:rPr>
          <w:rFonts w:ascii="宋体" w:hAnsi="宋体" w:cs="宋体" w:eastAsia="宋体" w:hint="default"/>
          <w:sz w:val="20"/>
          <w:szCs w:val="20"/>
        </w:rPr>
      </w:pPr>
      <w:r>
        <w:rPr>
          <w:rFonts w:ascii="宋体" w:hAnsi="宋体" w:cs="宋体" w:eastAsia="宋体" w:hint="default"/>
          <w:position w:val="-95"/>
          <w:sz w:val="20"/>
          <w:szCs w:val="20"/>
        </w:rPr>
        <w:pict>
          <v:group style="width:436.65pt;height:240pt;mso-position-horizontal-relative:char;mso-position-vertical-relative:line" coordorigin="0,0" coordsize="8733,4800">
            <v:group style="position:absolute;left:29;top:15;width:8668;height:2" coordorigin="29,15" coordsize="8668,2">
              <v:shape style="position:absolute;left:29;top:15;width:8668;height:2" coordorigin="29,15" coordsize="8668,0" path="m29,15l8697,15e" filled="false" stroked="true" strokeweight="1.5pt" strokecolor="#000000">
                <v:path arrowok="t"/>
              </v:shape>
              <v:shape style="position:absolute;left:1939;top:1;width:3509;height:448" type="#_x0000_t75" stroked="false">
                <v:imagedata r:id="rId140" o:title=""/>
              </v:shape>
              <v:shape style="position:absolute;left:1939;top:391;width:6787;height:1237" type="#_x0000_t75" stroked="false">
                <v:imagedata r:id="rId141" o:title=""/>
              </v:shape>
            </v:group>
            <v:group style="position:absolute;left:15;top:4785;width:1953;height:2" coordorigin="15,4785" coordsize="1953,2">
              <v:shape style="position:absolute;left:15;top:4785;width:1953;height:2" coordorigin="15,4785" coordsize="1953,0" path="m15,4785l1967,4785e" filled="false" stroked="true" strokeweight="1.5pt" strokecolor="#000000">
                <v:path arrowok="t"/>
              </v:shape>
            </v:group>
            <v:group style="position:absolute;left:1967;top:4785;width:1055;height:2" coordorigin="1967,4785" coordsize="1055,2">
              <v:shape style="position:absolute;left:1967;top:4785;width:1055;height:2" coordorigin="1967,4785" coordsize="1055,0" path="m1967,4785l3022,4785e" filled="false" stroked="true" strokeweight="1.5pt" strokecolor="#000000">
                <v:path arrowok="t"/>
              </v:shape>
            </v:group>
            <v:group style="position:absolute;left:3022;top:4785;width:635;height:2" coordorigin="3022,4785" coordsize="635,2">
              <v:shape style="position:absolute;left:3022;top:4785;width:635;height:2" coordorigin="3022,4785" coordsize="635,0" path="m3022,4785l3657,4785e" filled="false" stroked="true" strokeweight="1.5pt" strokecolor="#000000">
                <v:path arrowok="t"/>
              </v:shape>
            </v:group>
            <v:group style="position:absolute;left:3657;top:4785;width:1118;height:2" coordorigin="3657,4785" coordsize="1118,2">
              <v:shape style="position:absolute;left:3657;top:4785;width:1118;height:2" coordorigin="3657,4785" coordsize="1118,0" path="m3657,4785l4774,4785e" filled="false" stroked="true" strokeweight="1.5pt" strokecolor="#000000">
                <v:path arrowok="t"/>
              </v:shape>
            </v:group>
            <v:group style="position:absolute;left:4774;top:4785;width:635;height:2" coordorigin="4774,4785" coordsize="635,2">
              <v:shape style="position:absolute;left:4774;top:4785;width:635;height:2" coordorigin="4774,4785" coordsize="635,0" path="m4774,4785l5409,4785e" filled="false" stroked="true" strokeweight="1.5pt" strokecolor="#000000">
                <v:path arrowok="t"/>
              </v:shape>
            </v:group>
            <v:group style="position:absolute;left:5409;top:4785;width:1050;height:2" coordorigin="5409,4785" coordsize="1050,2">
              <v:shape style="position:absolute;left:5409;top:4785;width:1050;height:2" coordorigin="5409,4785" coordsize="1050,0" path="m5409,4785l6459,4785e" filled="false" stroked="true" strokeweight="1.5pt" strokecolor="#000000">
                <v:path arrowok="t"/>
              </v:shape>
            </v:group>
            <v:group style="position:absolute;left:6459;top:4785;width:635;height:2" coordorigin="6459,4785" coordsize="635,2">
              <v:shape style="position:absolute;left:6459;top:4785;width:635;height:2" coordorigin="6459,4785" coordsize="635,0" path="m6459,4785l7094,4785e" filled="false" stroked="true" strokeweight="1.5pt" strokecolor="#000000">
                <v:path arrowok="t"/>
              </v:shape>
            </v:group>
            <v:group style="position:absolute;left:7094;top:4785;width:969;height:2" coordorigin="7094,4785" coordsize="969,2">
              <v:shape style="position:absolute;left:7094;top:4785;width:969;height:2" coordorigin="7094,4785" coordsize="969,0" path="m7094,4785l8062,4785e" filled="false" stroked="true" strokeweight="1.5pt" strokecolor="#000000">
                <v:path arrowok="t"/>
              </v:shape>
              <v:shape style="position:absolute;left:1;top:1589;width:8732;height:3181" type="#_x0000_t75" stroked="false">
                <v:imagedata r:id="rId142" o:title=""/>
              </v:shape>
            </v:group>
            <v:group style="position:absolute;left:8062;top:4785;width:635;height:2" coordorigin="8062,4785" coordsize="635,2">
              <v:shape style="position:absolute;left:8062;top:4785;width:635;height:2" coordorigin="8062,4785" coordsize="635,0" path="m8062,4785l8697,4785e" filled="false" stroked="true" strokeweight="1.5pt" strokecolor="#000000">
                <v:path arrowok="t"/>
              </v:shape>
              <v:shape style="position:absolute;left:3316;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679;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440;top:61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161;top:61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5879;top:61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521;top:61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623;top:80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w:t>
                      </w:r>
                    </w:p>
                  </w:txbxContent>
                </v:textbox>
                <w10:wrap type="none"/>
              </v:shape>
              <v:shape style="position:absolute;left:1163;top:80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w:t>
                      </w:r>
                    </w:p>
                  </w:txbxContent>
                </v:textbox>
                <w10:wrap type="none"/>
              </v:shape>
              <v:shape style="position:absolute;left:2302;top:101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3147;top:101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4023;top:101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4899;top:101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5741;top:101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6584;top:101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7385;top:101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8185;top:101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3193;top:1421;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4945;top:1421;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629;top:1421;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8230;top:1421;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51;top:1803;width:187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单项金额重大并单项计</w:t>
                      </w:r>
                      <w:r>
                        <w:rPr>
                          <w:rFonts w:ascii="宋体" w:hAnsi="宋体" w:cs="宋体" w:eastAsia="宋体" w:hint="default"/>
                          <w:sz w:val="18"/>
                          <w:szCs w:val="18"/>
                        </w:rPr>
                      </w:r>
                    </w:p>
                  </w:txbxContent>
                </v:textbox>
                <w10:wrap type="none"/>
              </v:shape>
              <v:shape style="position:absolute;left:2276;top:2016;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8,854,730</w:t>
                      </w:r>
                    </w:p>
                  </w:txbxContent>
                </v:textbox>
                <w10:wrap type="none"/>
              </v:shape>
              <v:shape style="position:absolute;left:3316;top:2016;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4.55</w:t>
                      </w:r>
                    </w:p>
                  </w:txbxContent>
                </v:textbox>
                <w10:wrap type="none"/>
              </v:shape>
              <v:shape style="position:absolute;left:4026;top:2016;width:1358;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8,854,730  </w:t>
                      </w:r>
                      <w:r>
                        <w:rPr>
                          <w:rFonts w:ascii="Times New Roman"/>
                          <w:spacing w:val="5"/>
                          <w:sz w:val="18"/>
                        </w:rPr>
                        <w:t> </w:t>
                      </w:r>
                      <w:r>
                        <w:rPr>
                          <w:rFonts w:ascii="Times New Roman"/>
                          <w:sz w:val="18"/>
                        </w:rPr>
                        <w:t>100.00</w:t>
                      </w:r>
                    </w:p>
                  </w:txbxContent>
                </v:textbox>
                <w10:wrap type="none"/>
              </v:shape>
              <v:shape style="position:absolute;left:51;top:2193;width:1872;height:5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提坏账准备的应收账款</w:t>
                      </w:r>
                    </w:p>
                    <w:p>
                      <w:pPr>
                        <w:spacing w:line="240" w:lineRule="auto" w:before="7"/>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按组合计提坏账准备的</w:t>
                      </w:r>
                      <w:r>
                        <w:rPr>
                          <w:rFonts w:ascii="宋体" w:hAnsi="宋体" w:cs="宋体" w:eastAsia="宋体" w:hint="default"/>
                          <w:sz w:val="18"/>
                          <w:szCs w:val="18"/>
                        </w:rPr>
                      </w:r>
                    </w:p>
                  </w:txbxContent>
                </v:textbox>
                <w10:wrap type="none"/>
              </v:shape>
              <v:shape style="position:absolute;left:2095;top:2806;width:1536;height:180" type="#_x0000_t202" filled="false" stroked="false">
                <v:textbox inset="0,0,0,0">
                  <w:txbxContent>
                    <w:p>
                      <w:pPr>
                        <w:tabs>
                          <w:tab w:pos="1130"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165,647,630</w:t>
                        <w:tab/>
                        <w:t>85.13</w:t>
                      </w:r>
                    </w:p>
                  </w:txbxContent>
                </v:textbox>
                <w10:wrap type="none"/>
              </v:shape>
              <v:shape style="position:absolute;left:4025;top:2806;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4,227,351</w:t>
                      </w:r>
                    </w:p>
                  </w:txbxContent>
                </v:textbox>
                <w10:wrap type="none"/>
              </v:shape>
              <v:shape style="position:absolute;left:5066;top:2806;width:136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2.55  </w:t>
                      </w:r>
                      <w:r>
                        <w:rPr>
                          <w:rFonts w:ascii="Times New Roman"/>
                          <w:spacing w:val="13"/>
                          <w:sz w:val="18"/>
                        </w:rPr>
                        <w:t> </w:t>
                      </w:r>
                      <w:r>
                        <w:rPr>
                          <w:rFonts w:ascii="Times New Roman"/>
                          <w:sz w:val="18"/>
                        </w:rPr>
                        <w:t>176,766,721</w:t>
                      </w:r>
                    </w:p>
                  </w:txbxContent>
                </v:textbox>
                <w10:wrap type="none"/>
              </v:shape>
              <v:shape style="position:absolute;left:6663;top:2806;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99.19</w:t>
                      </w:r>
                    </w:p>
                  </w:txbxContent>
                </v:textbox>
                <w10:wrap type="none"/>
              </v:shape>
              <v:shape style="position:absolute;left:7313;top:2806;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4,739,469</w:t>
                      </w:r>
                    </w:p>
                  </w:txbxContent>
                </v:textbox>
                <w10:wrap type="none"/>
              </v:shape>
              <v:shape style="position:absolute;left:8350;top:2806;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2.68</w:t>
                      </w:r>
                    </w:p>
                  </w:txbxContent>
                </v:textbox>
                <w10:wrap type="none"/>
              </v:shape>
              <v:shape style="position:absolute;left:51;top:2982;width:1872;height:5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应收账款</w:t>
                      </w:r>
                    </w:p>
                    <w:p>
                      <w:pPr>
                        <w:spacing w:line="240" w:lineRule="auto" w:before="7"/>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单项金额虽不重大但单</w:t>
                      </w:r>
                      <w:r>
                        <w:rPr>
                          <w:rFonts w:ascii="宋体" w:hAnsi="宋体" w:cs="宋体" w:eastAsia="宋体" w:hint="default"/>
                          <w:sz w:val="18"/>
                          <w:szCs w:val="18"/>
                        </w:rPr>
                      </w:r>
                    </w:p>
                  </w:txbxContent>
                </v:textbox>
                <w10:wrap type="none"/>
              </v:shape>
              <v:shape style="position:absolute;left:51;top:3772;width:2945;height:570" type="#_x0000_t202" filled="false" stroked="false">
                <v:textbox inset="0,0,0,0">
                  <w:txbxContent>
                    <w:p>
                      <w:pPr>
                        <w:tabs>
                          <w:tab w:pos="2133" w:val="left" w:leader="none"/>
                        </w:tabs>
                        <w:spacing w:line="203"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pacing w:val="6"/>
                          <w:w w:val="95"/>
                          <w:position w:val="1"/>
                          <w:sz w:val="18"/>
                          <w:szCs w:val="18"/>
                        </w:rPr>
                        <w:t>项计提坏账准备的应收</w:t>
                        <w:tab/>
                      </w:r>
                      <w:r>
                        <w:rPr>
                          <w:rFonts w:ascii="Times New Roman" w:hAnsi="Times New Roman" w:cs="Times New Roman" w:eastAsia="Times New Roman" w:hint="default"/>
                          <w:sz w:val="18"/>
                          <w:szCs w:val="18"/>
                        </w:rPr>
                        <w:t>20,086,790</w:t>
                      </w:r>
                    </w:p>
                    <w:p>
                      <w:pPr>
                        <w:spacing w:before="131"/>
                        <w:ind w:left="0" w:right="0" w:firstLine="0"/>
                        <w:jc w:val="left"/>
                        <w:rPr>
                          <w:rFonts w:ascii="宋体" w:hAnsi="宋体" w:cs="宋体" w:eastAsia="宋体" w:hint="default"/>
                          <w:sz w:val="18"/>
                          <w:szCs w:val="18"/>
                        </w:rPr>
                      </w:pPr>
                      <w:r>
                        <w:rPr>
                          <w:rFonts w:ascii="宋体" w:hAnsi="宋体" w:cs="宋体" w:eastAsia="宋体" w:hint="default"/>
                          <w:sz w:val="18"/>
                          <w:szCs w:val="18"/>
                        </w:rPr>
                        <w:t>账款</w:t>
                      </w:r>
                    </w:p>
                  </w:txbxContent>
                </v:textbox>
                <w10:wrap type="none"/>
              </v:shape>
              <v:shape style="position:absolute;left:3225;top:3791;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10.32</w:t>
                      </w:r>
                    </w:p>
                  </w:txbxContent>
                </v:textbox>
                <w10:wrap type="none"/>
              </v:shape>
              <v:shape style="position:absolute;left:4025;top:3791;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2,020,606</w:t>
                      </w:r>
                    </w:p>
                  </w:txbxContent>
                </v:textbox>
                <w10:wrap type="none"/>
              </v:shape>
              <v:shape style="position:absolute;left:4978;top:3791;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10.06</w:t>
                      </w:r>
                    </w:p>
                  </w:txbxContent>
                </v:textbox>
                <w10:wrap type="none"/>
              </v:shape>
              <v:shape style="position:absolute;left:5709;top:3791;width:723;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1,447,777</w:t>
                      </w:r>
                    </w:p>
                  </w:txbxContent>
                </v:textbox>
                <w10:wrap type="none"/>
              </v:shape>
              <v:shape style="position:absolute;left:6753;top:3791;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0.81</w:t>
                      </w:r>
                    </w:p>
                  </w:txbxContent>
                </v:textbox>
                <w10:wrap type="none"/>
              </v:shape>
              <v:shape style="position:absolute;left:7313;top:3791;width:1353;height:180" type="#_x0000_t202" filled="false" stroked="false">
                <v:textbox inset="0,0,0,0">
                  <w:txbxContent>
                    <w:p>
                      <w:pPr>
                        <w:tabs>
                          <w:tab w:pos="946"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1,135,109</w:t>
                        <w:tab/>
                        <w:t>78.40</w:t>
                      </w:r>
                    </w:p>
                  </w:txbxContent>
                </v:textbox>
                <w10:wrap type="none"/>
              </v:shape>
              <v:shape style="position:absolute;left:623;top:456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1163;top:456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2095;top:4582;width:1538;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194,589,150  </w:t>
                      </w:r>
                      <w:r>
                        <w:rPr>
                          <w:rFonts w:ascii="Times New Roman"/>
                          <w:spacing w:val="5"/>
                          <w:sz w:val="18"/>
                        </w:rPr>
                        <w:t> </w:t>
                      </w:r>
                      <w:r>
                        <w:rPr>
                          <w:rFonts w:ascii="Times New Roman"/>
                          <w:sz w:val="18"/>
                        </w:rPr>
                        <w:t>100.00</w:t>
                      </w:r>
                    </w:p>
                  </w:txbxContent>
                </v:textbox>
                <w10:wrap type="none"/>
              </v:shape>
              <v:shape style="position:absolute;left:3935;top:458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15,102,687</w:t>
                      </w:r>
                    </w:p>
                  </w:txbxContent>
                </v:textbox>
                <w10:wrap type="none"/>
              </v:shape>
              <v:shape style="position:absolute;left:5530;top:4582;width:153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178,214,498  </w:t>
                      </w:r>
                      <w:r>
                        <w:rPr>
                          <w:rFonts w:ascii="Times New Roman"/>
                          <w:spacing w:val="6"/>
                          <w:sz w:val="18"/>
                        </w:rPr>
                        <w:t> </w:t>
                      </w:r>
                      <w:r>
                        <w:rPr>
                          <w:rFonts w:ascii="Times New Roman"/>
                          <w:sz w:val="18"/>
                        </w:rPr>
                        <w:t>100.00</w:t>
                      </w:r>
                    </w:p>
                  </w:txbxContent>
                </v:textbox>
                <w10:wrap type="none"/>
              </v:shape>
              <v:shape style="position:absolute;left:7313;top:4582;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5,874,578</w:t>
                      </w:r>
                    </w:p>
                  </w:txbxContent>
                </v:textbox>
                <w10:wrap type="none"/>
              </v:shape>
            </v:group>
          </v:group>
        </w:pict>
      </w:r>
      <w:r>
        <w:rPr>
          <w:rFonts w:ascii="宋体" w:hAnsi="宋体" w:cs="宋体" w:eastAsia="宋体" w:hint="default"/>
          <w:position w:val="-95"/>
          <w:sz w:val="20"/>
          <w:szCs w:val="20"/>
        </w:rPr>
      </w:r>
    </w:p>
    <w:p>
      <w:pPr>
        <w:spacing w:after="0" w:line="4800" w:lineRule="exact"/>
        <w:rPr>
          <w:rFonts w:ascii="宋体" w:hAnsi="宋体" w:cs="宋体" w:eastAsia="宋体" w:hint="default"/>
          <w:sz w:val="20"/>
          <w:szCs w:val="20"/>
        </w:rPr>
        <w:sectPr>
          <w:pgSz w:w="11910" w:h="16840"/>
          <w:pgMar w:header="883" w:footer="1003" w:top="1540" w:bottom="1200" w:left="1300" w:right="1020"/>
        </w:sectPr>
      </w:pPr>
    </w:p>
    <w:p>
      <w:pPr>
        <w:spacing w:line="240" w:lineRule="auto" w:before="10"/>
        <w:rPr>
          <w:rFonts w:ascii="宋体" w:hAnsi="宋体" w:cs="宋体" w:eastAsia="宋体" w:hint="default"/>
          <w:b/>
          <w:bCs/>
          <w:sz w:val="8"/>
          <w:szCs w:val="8"/>
        </w:rPr>
      </w:pPr>
    </w:p>
    <w:p>
      <w:pPr>
        <w:tabs>
          <w:tab w:pos="1395" w:val="left" w:leader="none"/>
        </w:tabs>
        <w:spacing w:before="35"/>
        <w:ind w:left="857" w:right="0"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期末单项金额重大并单项计提坏账准备的其他应收款：</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870" w:lineRule="exact"/>
        <w:ind w:left="720"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36.65pt;height:43.5pt;mso-position-horizontal-relative:char;mso-position-vertical-relative:line" coordorigin="0,0" coordsize="8733,870">
            <v:group style="position:absolute;left:29;top:15;width:8686;height:2" coordorigin="29,15" coordsize="8686,2">
              <v:shape style="position:absolute;left:29;top:15;width:8686;height:2" coordorigin="29,15" coordsize="8686,0" path="m29,15l8715,15e" filled="false" stroked="true" strokeweight="1.5pt" strokecolor="#000000">
                <v:path arrowok="t"/>
              </v:shape>
            </v:group>
            <v:group style="position:absolute;left:15;top:855;width:1670;height:2" coordorigin="15,855" coordsize="1670,2">
              <v:shape style="position:absolute;left:15;top:855;width:1670;height:2" coordorigin="15,855" coordsize="1670,0" path="m15,855l1684,855e" filled="false" stroked="true" strokeweight="1.5pt" strokecolor="#000000">
                <v:path arrowok="t"/>
              </v:shape>
            </v:group>
            <v:group style="position:absolute;left:1684;top:855;width:1418;height:2" coordorigin="1684,855" coordsize="1418,2">
              <v:shape style="position:absolute;left:1684;top:855;width:1418;height:2" coordorigin="1684,855" coordsize="1418,0" path="m1684,855l3101,855e" filled="false" stroked="true" strokeweight="1.5pt" strokecolor="#000000">
                <v:path arrowok="t"/>
              </v:shape>
            </v:group>
            <v:group style="position:absolute;left:3101;top:855;width:1418;height:2" coordorigin="3101,855" coordsize="1418,2">
              <v:shape style="position:absolute;left:3101;top:855;width:1418;height:2" coordorigin="3101,855" coordsize="1418,0" path="m3101,855l4519,855e" filled="false" stroked="true" strokeweight="1.5pt" strokecolor="#000000">
                <v:path arrowok="t"/>
              </v:shape>
            </v:group>
            <v:group style="position:absolute;left:4519;top:855;width:1277;height:2" coordorigin="4519,855" coordsize="1277,2">
              <v:shape style="position:absolute;left:4519;top:855;width:1277;height:2" coordorigin="4519,855" coordsize="1277,0" path="m4519,855l5795,855e" filled="false" stroked="true" strokeweight="1.5pt" strokecolor="#000000">
                <v:path arrowok="t"/>
              </v:shape>
              <v:shape style="position:absolute;left:1;top:7;width:8732;height:833" type="#_x0000_t75" stroked="false">
                <v:imagedata r:id="rId143" o:title=""/>
              </v:shape>
            </v:group>
            <v:group style="position:absolute;left:5795;top:855;width:2920;height:2" coordorigin="5795,855" coordsize="2920,2">
              <v:shape style="position:absolute;left:5795;top:855;width:2920;height:2" coordorigin="5795,855" coordsize="2920,0" path="m5795,855l8715,855e" filled="false" stroked="true" strokeweight="1.5pt" strokecolor="#000000">
                <v:path arrowok="t"/>
              </v:shape>
              <v:shape style="position:absolute;left:499;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2037;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账面金额</w:t>
                      </w:r>
                    </w:p>
                  </w:txbxContent>
                </v:textbox>
                <w10:wrap type="none"/>
              </v:shape>
              <v:shape style="position:absolute;left:3454;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4718;top:222;width:99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xbxContent>
                </v:textbox>
                <w10:wrap type="none"/>
              </v:shape>
              <v:shape style="position:absolute;left:6897;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计提理由</w:t>
                      </w:r>
                    </w:p>
                  </w:txbxContent>
                </v:textbox>
                <w10:wrap type="none"/>
              </v:shape>
              <v:shape style="position:absolute;left:137;top:651;width:4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Sesca</w:t>
                      </w:r>
                    </w:p>
                  </w:txbxContent>
                </v:textbox>
                <w10:wrap type="none"/>
              </v:shape>
              <v:shape style="position:absolute;left:2278;top:65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8,854,730</w:t>
                      </w:r>
                    </w:p>
                  </w:txbxContent>
                </v:textbox>
                <w10:wrap type="none"/>
              </v:shape>
              <v:shape style="position:absolute;left:3695;top:65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8,854,730</w:t>
                      </w:r>
                    </w:p>
                  </w:txbxContent>
                </v:textbox>
                <w10:wrap type="none"/>
              </v:shape>
              <v:shape style="position:absolute;left:5196;top:631;width:3411;height:200" type="#_x0000_t202" filled="false" stroked="false">
                <v:textbox inset="0,0,0,0">
                  <w:txbxContent>
                    <w:p>
                      <w:pPr>
                        <w:tabs>
                          <w:tab w:pos="711"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100.00</w:t>
                        <w:tab/>
                      </w:r>
                      <w:r>
                        <w:rPr>
                          <w:rFonts w:ascii="宋体" w:hAnsi="宋体" w:cs="宋体" w:eastAsia="宋体" w:hint="default"/>
                          <w:spacing w:val="-1"/>
                          <w:position w:val="1"/>
                          <w:sz w:val="18"/>
                          <w:szCs w:val="18"/>
                        </w:rPr>
                        <w:t>预计无法收回，全额计提减值准备</w:t>
                      </w:r>
                      <w:r>
                        <w:rPr>
                          <w:rFonts w:ascii="宋体" w:hAnsi="宋体" w:cs="宋体" w:eastAsia="宋体" w:hint="default"/>
                          <w:spacing w:val="-1"/>
                          <w:sz w:val="18"/>
                          <w:szCs w:val="18"/>
                        </w:rPr>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p>
      <w:pPr>
        <w:spacing w:before="0"/>
        <w:ind w:left="857" w:right="0" w:firstLine="0"/>
        <w:jc w:val="left"/>
        <w:rPr>
          <w:rFonts w:ascii="宋体" w:hAnsi="宋体" w:cs="宋体" w:eastAsia="宋体" w:hint="default"/>
          <w:sz w:val="21"/>
          <w:szCs w:val="21"/>
        </w:rPr>
      </w:pPr>
      <w:r>
        <w:rPr/>
        <w:pict>
          <v:group style="position:absolute;margin-left:91.559998pt;margin-top:15.32355pt;width:447.3pt;height:185.55pt;mso-position-horizontal-relative:page;mso-position-vertical-relative:paragraph;z-index:-1123912" coordorigin="1831,306" coordsize="8946,3711">
            <v:group style="position:absolute;left:1860;top:321;width:8889;height:2" coordorigin="1860,321" coordsize="8889,2">
              <v:shape style="position:absolute;left:1860;top:321;width:8889;height:2" coordorigin="1860,321" coordsize="8889,0" path="m1860,321l10748,321e" filled="false" stroked="true" strokeweight="1.5pt" strokecolor="#000000">
                <v:path arrowok="t"/>
              </v:shape>
              <v:shape style="position:absolute;left:2777;top:313;width:4184;height:446" type="#_x0000_t75" stroked="false">
                <v:imagedata r:id="rId144" o:title=""/>
              </v:shape>
              <v:shape style="position:absolute;left:2776;top:711;width:8002;height:461" type="#_x0000_t75" stroked="false">
                <v:imagedata r:id="rId145" o:title=""/>
              </v:shape>
              <v:shape style="position:absolute;left:2776;top:1121;width:6677;height:461" type="#_x0000_t75" stroked="false">
                <v:imagedata r:id="rId146" o:title=""/>
              </v:shape>
              <v:shape style="position:absolute;left:1831;top:1533;width:8946;height:2483" type="#_x0000_t75" stroked="false">
                <v:imagedata r:id="rId147" o:title=""/>
              </v:shape>
              <v:shape style="position:absolute;left:4508;top:52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480;top:52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rFonts w:ascii="宋体" w:hAnsi="宋体" w:cs="宋体" w:eastAsia="宋体" w:hint="default"/>
          <w:b/>
          <w:bCs/>
          <w:sz w:val="21"/>
          <w:szCs w:val="21"/>
        </w:rPr>
        <w:t>3、组合中，按账龄分析法计提坏账准备的其他应收款：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tbl>
      <w:tblPr>
        <w:tblW w:w="0" w:type="auto"/>
        <w:jc w:val="left"/>
        <w:tblInd w:w="545" w:type="dxa"/>
        <w:tblLayout w:type="fixed"/>
        <w:tblCellMar>
          <w:top w:w="0" w:type="dxa"/>
          <w:left w:w="0" w:type="dxa"/>
          <w:bottom w:w="0" w:type="dxa"/>
          <w:right w:w="0" w:type="dxa"/>
        </w:tblCellMar>
        <w:tblLook w:val="01E0"/>
      </w:tblPr>
      <w:tblGrid>
        <w:gridCol w:w="1161"/>
        <w:gridCol w:w="757"/>
        <w:gridCol w:w="852"/>
        <w:gridCol w:w="617"/>
        <w:gridCol w:w="465"/>
        <w:gridCol w:w="1134"/>
        <w:gridCol w:w="1261"/>
        <w:gridCol w:w="1427"/>
        <w:gridCol w:w="1244"/>
      </w:tblGrid>
      <w:tr>
        <w:trPr>
          <w:trHeight w:val="497" w:hRule="exact"/>
        </w:trPr>
        <w:tc>
          <w:tcPr>
            <w:tcW w:w="1161" w:type="dxa"/>
            <w:tcBorders>
              <w:top w:val="nil" w:sz="6" w:space="0" w:color="auto"/>
              <w:left w:val="nil" w:sz="6" w:space="0" w:color="auto"/>
              <w:bottom w:val="nil" w:sz="6" w:space="0" w:color="auto"/>
              <w:right w:val="nil" w:sz="6" w:space="0" w:color="auto"/>
            </w:tcBorders>
          </w:tcPr>
          <w:p>
            <w:pPr>
              <w:pStyle w:val="TableParagraph"/>
              <w:tabs>
                <w:tab w:pos="539" w:val="left" w:leader="none"/>
              </w:tabs>
              <w:spacing w:line="240" w:lineRule="auto" w:before="44"/>
              <w:ind w:right="311"/>
              <w:jc w:val="right"/>
              <w:rPr>
                <w:rFonts w:ascii="宋体" w:hAnsi="宋体" w:cs="宋体" w:eastAsia="宋体" w:hint="default"/>
                <w:sz w:val="18"/>
                <w:szCs w:val="18"/>
              </w:rPr>
            </w:pPr>
            <w:r>
              <w:rPr>
                <w:rFonts w:ascii="宋体" w:hAnsi="宋体" w:cs="宋体" w:eastAsia="宋体" w:hint="default"/>
                <w:sz w:val="18"/>
                <w:szCs w:val="18"/>
              </w:rPr>
              <w:t>账</w:t>
              <w:tab/>
              <w:t>龄</w:t>
            </w:r>
          </w:p>
        </w:tc>
        <w:tc>
          <w:tcPr>
            <w:tcW w:w="1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833"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1082" w:type="dxa"/>
            <w:gridSpan w:val="2"/>
            <w:tcBorders>
              <w:top w:val="nil" w:sz="6" w:space="0" w:color="auto"/>
              <w:left w:val="nil" w:sz="6" w:space="0" w:color="auto"/>
              <w:bottom w:val="nil" w:sz="6" w:space="0" w:color="auto"/>
              <w:right w:val="nil" w:sz="6" w:space="0" w:color="auto"/>
            </w:tcBorders>
          </w:tcPr>
          <w:p>
            <w:pP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0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68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4" w:right="0"/>
              <w:jc w:val="center"/>
              <w:rPr>
                <w:rFonts w:ascii="宋体" w:hAnsi="宋体" w:cs="宋体" w:eastAsia="宋体" w:hint="default"/>
                <w:sz w:val="18"/>
                <w:szCs w:val="18"/>
              </w:rPr>
            </w:pPr>
            <w:r>
              <w:rPr>
                <w:rFonts w:ascii="宋体" w:hAnsi="宋体" w:cs="宋体" w:eastAsia="宋体" w:hint="default"/>
                <w:sz w:val="18"/>
                <w:szCs w:val="18"/>
              </w:rPr>
              <w:t>账面金额</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05"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13" w:hRule="exact"/>
        </w:trPr>
        <w:tc>
          <w:tcPr>
            <w:tcW w:w="1161" w:type="dxa"/>
            <w:tcBorders>
              <w:top w:val="nil" w:sz="6" w:space="0" w:color="auto"/>
              <w:left w:val="nil" w:sz="6" w:space="0" w:color="auto"/>
              <w:bottom w:val="nil" w:sz="6" w:space="0" w:color="auto"/>
              <w:right w:val="nil" w:sz="6" w:space="0" w:color="auto"/>
            </w:tcBorders>
          </w:tcPr>
          <w:p>
            <w:pPr/>
          </w:p>
        </w:tc>
        <w:tc>
          <w:tcPr>
            <w:tcW w:w="1609" w:type="dxa"/>
            <w:gridSpan w:val="2"/>
            <w:tcBorders>
              <w:top w:val="nil" w:sz="6" w:space="0" w:color="auto"/>
              <w:left w:val="nil" w:sz="6" w:space="0" w:color="auto"/>
              <w:bottom w:val="nil" w:sz="6" w:space="0" w:color="auto"/>
              <w:right w:val="nil" w:sz="6" w:space="0" w:color="auto"/>
            </w:tcBorders>
          </w:tcPr>
          <w:p>
            <w:pPr>
              <w:pStyle w:val="TableParagraph"/>
              <w:spacing w:line="193" w:lineRule="exact"/>
              <w:ind w:left="313"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082" w:type="dxa"/>
            <w:gridSpan w:val="2"/>
            <w:tcBorders>
              <w:top w:val="nil" w:sz="6" w:space="0" w:color="auto"/>
              <w:left w:val="nil" w:sz="6" w:space="0" w:color="auto"/>
              <w:bottom w:val="nil" w:sz="6" w:space="0" w:color="auto"/>
              <w:right w:val="nil" w:sz="6" w:space="0" w:color="auto"/>
            </w:tcBorders>
          </w:tcPr>
          <w:p>
            <w:pPr>
              <w:pStyle w:val="TableParagraph"/>
              <w:spacing w:line="206" w:lineRule="exact"/>
              <w:ind w:left="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134" w:type="dxa"/>
            <w:tcBorders>
              <w:top w:val="nil" w:sz="6" w:space="0" w:color="auto"/>
              <w:left w:val="nil" w:sz="6" w:space="0" w:color="auto"/>
              <w:bottom w:val="nil" w:sz="6" w:space="0" w:color="auto"/>
              <w:right w:val="nil" w:sz="6" w:space="0" w:color="auto"/>
            </w:tcBorders>
          </w:tcPr>
          <w:p>
            <w:pPr/>
          </w:p>
        </w:tc>
        <w:tc>
          <w:tcPr>
            <w:tcW w:w="1261" w:type="dxa"/>
            <w:tcBorders>
              <w:top w:val="nil" w:sz="6" w:space="0" w:color="auto"/>
              <w:left w:val="nil" w:sz="6" w:space="0" w:color="auto"/>
              <w:bottom w:val="nil" w:sz="6" w:space="0" w:color="auto"/>
              <w:right w:val="nil" w:sz="6" w:space="0" w:color="auto"/>
            </w:tcBorders>
          </w:tcPr>
          <w:p>
            <w:pPr>
              <w:pStyle w:val="TableParagraph"/>
              <w:spacing w:line="193" w:lineRule="exact"/>
              <w:ind w:left="458"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427" w:type="dxa"/>
            <w:tcBorders>
              <w:top w:val="nil" w:sz="6" w:space="0" w:color="auto"/>
              <w:left w:val="nil" w:sz="6" w:space="0" w:color="auto"/>
              <w:bottom w:val="nil" w:sz="6" w:space="0" w:color="auto"/>
              <w:right w:val="nil" w:sz="6" w:space="0" w:color="auto"/>
            </w:tcBorders>
          </w:tcPr>
          <w:p>
            <w:pPr>
              <w:pStyle w:val="TableParagraph"/>
              <w:spacing w:line="206" w:lineRule="exact"/>
              <w:ind w:left="39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244" w:type="dxa"/>
            <w:tcBorders>
              <w:top w:val="nil" w:sz="6" w:space="0" w:color="auto"/>
              <w:left w:val="nil" w:sz="6" w:space="0" w:color="auto"/>
              <w:bottom w:val="nil" w:sz="6" w:space="0" w:color="auto"/>
              <w:right w:val="nil" w:sz="6" w:space="0" w:color="auto"/>
            </w:tcBorders>
          </w:tcPr>
          <w:p>
            <w:pPr/>
          </w:p>
        </w:tc>
      </w:tr>
      <w:tr>
        <w:trPr>
          <w:trHeight w:val="415" w:hRule="exact"/>
        </w:trPr>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128,905,982</w:t>
            </w:r>
          </w:p>
        </w:tc>
        <w:tc>
          <w:tcPr>
            <w:tcW w:w="108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6"/>
              <w:ind w:left="468" w:right="0"/>
              <w:jc w:val="left"/>
              <w:rPr>
                <w:rFonts w:ascii="Times New Roman" w:hAnsi="Times New Roman" w:cs="Times New Roman" w:eastAsia="Times New Roman" w:hint="default"/>
                <w:sz w:val="18"/>
                <w:szCs w:val="18"/>
              </w:rPr>
            </w:pPr>
            <w:r>
              <w:rPr>
                <w:rFonts w:ascii="Times New Roman"/>
                <w:sz w:val="18"/>
              </w:rPr>
              <w:t>77.83</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
              <w:jc w:val="right"/>
              <w:rPr>
                <w:rFonts w:ascii="Times New Roman" w:hAnsi="Times New Roman" w:cs="Times New Roman" w:eastAsia="Times New Roman" w:hint="default"/>
                <w:sz w:val="18"/>
                <w:szCs w:val="18"/>
              </w:rPr>
            </w:pPr>
            <w:r>
              <w:rPr>
                <w:rFonts w:ascii="Times New Roman"/>
                <w:sz w:val="18"/>
              </w:rPr>
              <w:t>1,289,060</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1"/>
              <w:jc w:val="right"/>
              <w:rPr>
                <w:rFonts w:ascii="Times New Roman" w:hAnsi="Times New Roman" w:cs="Times New Roman" w:eastAsia="Times New Roman" w:hint="default"/>
                <w:sz w:val="18"/>
                <w:szCs w:val="18"/>
              </w:rPr>
            </w:pPr>
            <w:r>
              <w:rPr>
                <w:rFonts w:ascii="Times New Roman"/>
                <w:sz w:val="18"/>
              </w:rPr>
              <w:t>144,490,646</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03"/>
              <w:jc w:val="right"/>
              <w:rPr>
                <w:rFonts w:ascii="Times New Roman" w:hAnsi="Times New Roman" w:cs="Times New Roman" w:eastAsia="Times New Roman" w:hint="default"/>
                <w:sz w:val="18"/>
                <w:szCs w:val="18"/>
              </w:rPr>
            </w:pPr>
            <w:r>
              <w:rPr>
                <w:rFonts w:ascii="Times New Roman"/>
                <w:sz w:val="18"/>
              </w:rPr>
              <w:t>81.74</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21"/>
              <w:jc w:val="right"/>
              <w:rPr>
                <w:rFonts w:ascii="Times New Roman" w:hAnsi="Times New Roman" w:cs="Times New Roman" w:eastAsia="Times New Roman" w:hint="default"/>
                <w:sz w:val="18"/>
                <w:szCs w:val="18"/>
              </w:rPr>
            </w:pPr>
            <w:r>
              <w:rPr>
                <w:rFonts w:ascii="Times New Roman"/>
                <w:sz w:val="18"/>
              </w:rPr>
              <w:t>1,444,906</w:t>
            </w:r>
          </w:p>
        </w:tc>
      </w:tr>
      <w:tr>
        <w:trPr>
          <w:trHeight w:val="410" w:hRule="exact"/>
        </w:trPr>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451" w:right="0"/>
              <w:jc w:val="left"/>
              <w:rPr>
                <w:rFonts w:ascii="Times New Roman" w:hAnsi="Times New Roman" w:cs="Times New Roman" w:eastAsia="Times New Roman" w:hint="default"/>
                <w:sz w:val="18"/>
                <w:szCs w:val="18"/>
              </w:rPr>
            </w:pPr>
            <w:r>
              <w:rPr>
                <w:rFonts w:ascii="Times New Roman"/>
                <w:sz w:val="18"/>
              </w:rPr>
              <w:t>20,513,771</w:t>
            </w:r>
          </w:p>
        </w:tc>
        <w:tc>
          <w:tcPr>
            <w:tcW w:w="108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468" w:right="0"/>
              <w:jc w:val="left"/>
              <w:rPr>
                <w:rFonts w:ascii="Times New Roman" w:hAnsi="Times New Roman" w:cs="Times New Roman" w:eastAsia="Times New Roman" w:hint="default"/>
                <w:sz w:val="18"/>
                <w:szCs w:val="18"/>
              </w:rPr>
            </w:pPr>
            <w:r>
              <w:rPr>
                <w:rFonts w:ascii="Times New Roman"/>
                <w:sz w:val="18"/>
              </w:rPr>
              <w:t>12.38</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
              <w:jc w:val="right"/>
              <w:rPr>
                <w:rFonts w:ascii="Times New Roman" w:hAnsi="Times New Roman" w:cs="Times New Roman" w:eastAsia="Times New Roman" w:hint="default"/>
                <w:sz w:val="18"/>
                <w:szCs w:val="18"/>
              </w:rPr>
            </w:pPr>
            <w:r>
              <w:rPr>
                <w:rFonts w:ascii="Times New Roman"/>
                <w:sz w:val="18"/>
              </w:rPr>
              <w:t>410,275</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
              <w:jc w:val="right"/>
              <w:rPr>
                <w:rFonts w:ascii="Times New Roman" w:hAnsi="Times New Roman" w:cs="Times New Roman" w:eastAsia="Times New Roman" w:hint="default"/>
                <w:sz w:val="18"/>
                <w:szCs w:val="18"/>
              </w:rPr>
            </w:pPr>
            <w:r>
              <w:rPr>
                <w:rFonts w:ascii="Times New Roman"/>
                <w:sz w:val="18"/>
              </w:rPr>
              <w:t>9,528,751</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3"/>
              <w:jc w:val="right"/>
              <w:rPr>
                <w:rFonts w:ascii="Times New Roman" w:hAnsi="Times New Roman" w:cs="Times New Roman" w:eastAsia="Times New Roman" w:hint="default"/>
                <w:sz w:val="18"/>
                <w:szCs w:val="18"/>
              </w:rPr>
            </w:pPr>
            <w:r>
              <w:rPr>
                <w:rFonts w:ascii="Times New Roman"/>
                <w:sz w:val="18"/>
              </w:rPr>
              <w:t>5.39</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1"/>
              <w:jc w:val="right"/>
              <w:rPr>
                <w:rFonts w:ascii="Times New Roman" w:hAnsi="Times New Roman" w:cs="Times New Roman" w:eastAsia="Times New Roman" w:hint="default"/>
                <w:sz w:val="18"/>
                <w:szCs w:val="18"/>
              </w:rPr>
            </w:pPr>
            <w:r>
              <w:rPr>
                <w:rFonts w:ascii="Times New Roman"/>
                <w:sz w:val="18"/>
              </w:rPr>
              <w:t>190,575</w:t>
            </w:r>
          </w:p>
        </w:tc>
      </w:tr>
      <w:tr>
        <w:trPr>
          <w:trHeight w:val="410" w:hRule="exact"/>
        </w:trPr>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541" w:right="0"/>
              <w:jc w:val="left"/>
              <w:rPr>
                <w:rFonts w:ascii="Times New Roman" w:hAnsi="Times New Roman" w:cs="Times New Roman" w:eastAsia="Times New Roman" w:hint="default"/>
                <w:sz w:val="18"/>
                <w:szCs w:val="18"/>
              </w:rPr>
            </w:pPr>
            <w:r>
              <w:rPr>
                <w:rFonts w:ascii="Times New Roman"/>
                <w:sz w:val="18"/>
              </w:rPr>
              <w:t>2,754,906</w:t>
            </w:r>
          </w:p>
        </w:tc>
        <w:tc>
          <w:tcPr>
            <w:tcW w:w="108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558" w:right="0"/>
              <w:jc w:val="left"/>
              <w:rPr>
                <w:rFonts w:ascii="Times New Roman" w:hAnsi="Times New Roman" w:cs="Times New Roman" w:eastAsia="Times New Roman" w:hint="default"/>
                <w:sz w:val="18"/>
                <w:szCs w:val="18"/>
              </w:rPr>
            </w:pPr>
            <w:r>
              <w:rPr>
                <w:rFonts w:ascii="Times New Roman"/>
                <w:sz w:val="18"/>
              </w:rPr>
              <w:t>1.66</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
              <w:jc w:val="right"/>
              <w:rPr>
                <w:rFonts w:ascii="Times New Roman" w:hAnsi="Times New Roman" w:cs="Times New Roman" w:eastAsia="Times New Roman" w:hint="default"/>
                <w:sz w:val="18"/>
                <w:szCs w:val="18"/>
              </w:rPr>
            </w:pPr>
            <w:r>
              <w:rPr>
                <w:rFonts w:ascii="Times New Roman"/>
                <w:sz w:val="18"/>
              </w:rPr>
              <w:t>137,745</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
              <w:jc w:val="right"/>
              <w:rPr>
                <w:rFonts w:ascii="Times New Roman" w:hAnsi="Times New Roman" w:cs="Times New Roman" w:eastAsia="Times New Roman" w:hint="default"/>
                <w:sz w:val="18"/>
                <w:szCs w:val="18"/>
              </w:rPr>
            </w:pPr>
            <w:r>
              <w:rPr>
                <w:rFonts w:ascii="Times New Roman"/>
                <w:sz w:val="18"/>
              </w:rPr>
              <w:t>17,724,394</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3"/>
              <w:jc w:val="right"/>
              <w:rPr>
                <w:rFonts w:ascii="Times New Roman" w:hAnsi="Times New Roman" w:cs="Times New Roman" w:eastAsia="Times New Roman" w:hint="default"/>
                <w:sz w:val="18"/>
                <w:szCs w:val="18"/>
              </w:rPr>
            </w:pPr>
            <w:r>
              <w:rPr>
                <w:rFonts w:ascii="Times New Roman"/>
                <w:sz w:val="18"/>
              </w:rPr>
              <w:t>10.03</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2"/>
              <w:jc w:val="right"/>
              <w:rPr>
                <w:rFonts w:ascii="Times New Roman" w:hAnsi="Times New Roman" w:cs="Times New Roman" w:eastAsia="Times New Roman" w:hint="default"/>
                <w:sz w:val="18"/>
                <w:szCs w:val="18"/>
              </w:rPr>
            </w:pPr>
            <w:r>
              <w:rPr>
                <w:rFonts w:ascii="Times New Roman"/>
                <w:sz w:val="18"/>
              </w:rPr>
              <w:t>886,220</w:t>
            </w:r>
          </w:p>
        </w:tc>
      </w:tr>
      <w:tr>
        <w:trPr>
          <w:trHeight w:val="410" w:hRule="exact"/>
        </w:trPr>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466" w:right="0"/>
              <w:jc w:val="left"/>
              <w:rPr>
                <w:rFonts w:ascii="Times New Roman" w:hAnsi="Times New Roman" w:cs="Times New Roman" w:eastAsia="Times New Roman" w:hint="default"/>
                <w:sz w:val="18"/>
                <w:szCs w:val="18"/>
              </w:rPr>
            </w:pPr>
            <w:r>
              <w:rPr>
                <w:rFonts w:ascii="Times New Roman"/>
                <w:sz w:val="18"/>
              </w:rPr>
              <w:t>12,314,111</w:t>
            </w:r>
          </w:p>
        </w:tc>
        <w:tc>
          <w:tcPr>
            <w:tcW w:w="108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558" w:right="0"/>
              <w:jc w:val="left"/>
              <w:rPr>
                <w:rFonts w:ascii="Times New Roman" w:hAnsi="Times New Roman" w:cs="Times New Roman" w:eastAsia="Times New Roman" w:hint="default"/>
                <w:sz w:val="18"/>
                <w:szCs w:val="18"/>
              </w:rPr>
            </w:pPr>
            <w:r>
              <w:rPr>
                <w:rFonts w:ascii="Times New Roman"/>
                <w:sz w:val="18"/>
              </w:rPr>
              <w:t>7.43</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
              <w:jc w:val="right"/>
              <w:rPr>
                <w:rFonts w:ascii="Times New Roman" w:hAnsi="Times New Roman" w:cs="Times New Roman" w:eastAsia="Times New Roman" w:hint="default"/>
                <w:sz w:val="18"/>
                <w:szCs w:val="18"/>
              </w:rPr>
            </w:pPr>
            <w:r>
              <w:rPr>
                <w:rFonts w:ascii="Times New Roman"/>
                <w:spacing w:val="-1"/>
                <w:sz w:val="18"/>
              </w:rPr>
              <w:t>1,231,411</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
              <w:jc w:val="right"/>
              <w:rPr>
                <w:rFonts w:ascii="Times New Roman" w:hAnsi="Times New Roman" w:cs="Times New Roman" w:eastAsia="Times New Roman" w:hint="default"/>
                <w:sz w:val="18"/>
                <w:szCs w:val="18"/>
              </w:rPr>
            </w:pPr>
            <w:r>
              <w:rPr>
                <w:rFonts w:ascii="Times New Roman"/>
                <w:spacing w:val="-1"/>
                <w:sz w:val="18"/>
              </w:rPr>
              <w:t>3,116,847</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3"/>
              <w:jc w:val="right"/>
              <w:rPr>
                <w:rFonts w:ascii="Times New Roman" w:hAnsi="Times New Roman" w:cs="Times New Roman" w:eastAsia="Times New Roman" w:hint="default"/>
                <w:sz w:val="18"/>
                <w:szCs w:val="18"/>
              </w:rPr>
            </w:pPr>
            <w:r>
              <w:rPr>
                <w:rFonts w:ascii="Times New Roman"/>
                <w:sz w:val="18"/>
              </w:rPr>
              <w:t>1.76</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2"/>
              <w:jc w:val="right"/>
              <w:rPr>
                <w:rFonts w:ascii="Times New Roman" w:hAnsi="Times New Roman" w:cs="Times New Roman" w:eastAsia="Times New Roman" w:hint="default"/>
                <w:sz w:val="18"/>
                <w:szCs w:val="18"/>
              </w:rPr>
            </w:pPr>
            <w:r>
              <w:rPr>
                <w:rFonts w:ascii="Times New Roman"/>
                <w:spacing w:val="-2"/>
                <w:sz w:val="18"/>
              </w:rPr>
              <w:t>311,685</w:t>
            </w:r>
          </w:p>
        </w:tc>
      </w:tr>
      <w:tr>
        <w:trPr>
          <w:trHeight w:val="410" w:hRule="exact"/>
        </w:trPr>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6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541" w:right="0"/>
              <w:jc w:val="left"/>
              <w:rPr>
                <w:rFonts w:ascii="Times New Roman" w:hAnsi="Times New Roman" w:cs="Times New Roman" w:eastAsia="Times New Roman" w:hint="default"/>
                <w:sz w:val="18"/>
                <w:szCs w:val="18"/>
              </w:rPr>
            </w:pPr>
            <w:r>
              <w:rPr>
                <w:rFonts w:ascii="Times New Roman"/>
                <w:sz w:val="18"/>
              </w:rPr>
              <w:t>1,158,860</w:t>
            </w:r>
          </w:p>
        </w:tc>
        <w:tc>
          <w:tcPr>
            <w:tcW w:w="108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558" w:right="0"/>
              <w:jc w:val="left"/>
              <w:rPr>
                <w:rFonts w:ascii="Times New Roman" w:hAnsi="Times New Roman" w:cs="Times New Roman" w:eastAsia="Times New Roman" w:hint="default"/>
                <w:sz w:val="18"/>
                <w:szCs w:val="18"/>
              </w:rPr>
            </w:pPr>
            <w:r>
              <w:rPr>
                <w:rFonts w:ascii="Times New Roman"/>
                <w:sz w:val="18"/>
              </w:rPr>
              <w:t>0.70</w:t>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
              <w:jc w:val="right"/>
              <w:rPr>
                <w:rFonts w:ascii="Times New Roman" w:hAnsi="Times New Roman" w:cs="Times New Roman" w:eastAsia="Times New Roman" w:hint="default"/>
                <w:sz w:val="18"/>
                <w:szCs w:val="18"/>
              </w:rPr>
            </w:pPr>
            <w:r>
              <w:rPr>
                <w:rFonts w:ascii="Times New Roman"/>
                <w:sz w:val="18"/>
              </w:rPr>
              <w:t>1,158,860</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
              <w:jc w:val="right"/>
              <w:rPr>
                <w:rFonts w:ascii="Times New Roman" w:hAnsi="Times New Roman" w:cs="Times New Roman" w:eastAsia="Times New Roman" w:hint="default"/>
                <w:sz w:val="18"/>
                <w:szCs w:val="18"/>
              </w:rPr>
            </w:pPr>
            <w:r>
              <w:rPr>
                <w:rFonts w:ascii="Times New Roman"/>
                <w:sz w:val="18"/>
              </w:rPr>
              <w:t>1,906,083</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03"/>
              <w:jc w:val="right"/>
              <w:rPr>
                <w:rFonts w:ascii="Times New Roman" w:hAnsi="Times New Roman" w:cs="Times New Roman" w:eastAsia="Times New Roman" w:hint="default"/>
                <w:sz w:val="18"/>
                <w:szCs w:val="18"/>
              </w:rPr>
            </w:pPr>
            <w:r>
              <w:rPr>
                <w:rFonts w:ascii="Times New Roman"/>
                <w:sz w:val="18"/>
              </w:rPr>
              <w:t>1.08</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1"/>
              <w:jc w:val="right"/>
              <w:rPr>
                <w:rFonts w:ascii="Times New Roman" w:hAnsi="Times New Roman" w:cs="Times New Roman" w:eastAsia="Times New Roman" w:hint="default"/>
                <w:sz w:val="18"/>
                <w:szCs w:val="18"/>
              </w:rPr>
            </w:pPr>
            <w:r>
              <w:rPr>
                <w:rFonts w:ascii="Times New Roman"/>
                <w:sz w:val="18"/>
              </w:rPr>
              <w:t>1,906,083</w:t>
            </w:r>
          </w:p>
        </w:tc>
      </w:tr>
      <w:tr>
        <w:trPr>
          <w:trHeight w:val="329" w:hRule="exact"/>
        </w:trPr>
        <w:tc>
          <w:tcPr>
            <w:tcW w:w="1161" w:type="dxa"/>
            <w:tcBorders>
              <w:top w:val="nil" w:sz="6" w:space="0" w:color="auto"/>
              <w:left w:val="nil" w:sz="6" w:space="0" w:color="auto"/>
              <w:bottom w:val="single" w:sz="12" w:space="0" w:color="000000"/>
              <w:right w:val="nil" w:sz="6" w:space="0" w:color="auto"/>
            </w:tcBorders>
          </w:tcPr>
          <w:p>
            <w:pPr>
              <w:pStyle w:val="TableParagraph"/>
              <w:tabs>
                <w:tab w:pos="539" w:val="left" w:leader="none"/>
              </w:tabs>
              <w:spacing w:line="240" w:lineRule="auto" w:before="49"/>
              <w:ind w:right="311"/>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1609"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01"/>
              <w:ind w:left="361" w:right="0"/>
              <w:jc w:val="left"/>
              <w:rPr>
                <w:rFonts w:ascii="Times New Roman" w:hAnsi="Times New Roman" w:cs="Times New Roman" w:eastAsia="Times New Roman" w:hint="default"/>
                <w:sz w:val="18"/>
                <w:szCs w:val="18"/>
              </w:rPr>
            </w:pPr>
            <w:r>
              <w:rPr>
                <w:rFonts w:ascii="Times New Roman"/>
                <w:sz w:val="18"/>
              </w:rPr>
              <w:t>165,647,630</w:t>
            </w:r>
          </w:p>
        </w:tc>
        <w:tc>
          <w:tcPr>
            <w:tcW w:w="1082"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93"/>
              <w:ind w:left="371" w:right="0"/>
              <w:jc w:val="left"/>
              <w:rPr>
                <w:rFonts w:ascii="Calibri" w:hAnsi="Calibri" w:cs="Calibri" w:eastAsia="Calibri" w:hint="default"/>
                <w:sz w:val="18"/>
                <w:szCs w:val="18"/>
              </w:rPr>
            </w:pPr>
            <w:r>
              <w:rPr>
                <w:rFonts w:ascii="Calibri"/>
                <w:sz w:val="18"/>
              </w:rPr>
              <w:t>100.00</w:t>
            </w:r>
          </w:p>
        </w:tc>
        <w:tc>
          <w:tcPr>
            <w:tcW w:w="1134"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z w:val="18"/>
              </w:rPr>
              <w:t>4,227,351</w:t>
            </w:r>
          </w:p>
        </w:tc>
        <w:tc>
          <w:tcPr>
            <w:tcW w:w="1261"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2"/>
              <w:jc w:val="right"/>
              <w:rPr>
                <w:rFonts w:ascii="Times New Roman" w:hAnsi="Times New Roman" w:cs="Times New Roman" w:eastAsia="Times New Roman" w:hint="default"/>
                <w:sz w:val="18"/>
                <w:szCs w:val="18"/>
              </w:rPr>
            </w:pPr>
            <w:r>
              <w:rPr>
                <w:rFonts w:ascii="Times New Roman"/>
                <w:sz w:val="18"/>
              </w:rPr>
              <w:t>176,766,721</w:t>
            </w:r>
          </w:p>
        </w:tc>
        <w:tc>
          <w:tcPr>
            <w:tcW w:w="1427"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03"/>
              <w:jc w:val="right"/>
              <w:rPr>
                <w:rFonts w:ascii="Times New Roman" w:hAnsi="Times New Roman" w:cs="Times New Roman" w:eastAsia="Times New Roman" w:hint="default"/>
                <w:sz w:val="18"/>
                <w:szCs w:val="18"/>
              </w:rPr>
            </w:pPr>
            <w:r>
              <w:rPr>
                <w:rFonts w:ascii="Times New Roman"/>
                <w:sz w:val="18"/>
              </w:rPr>
              <w:t>100.00</w:t>
            </w:r>
          </w:p>
        </w:tc>
        <w:tc>
          <w:tcPr>
            <w:tcW w:w="1244"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22"/>
              <w:jc w:val="right"/>
              <w:rPr>
                <w:rFonts w:ascii="Times New Roman" w:hAnsi="Times New Roman" w:cs="Times New Roman" w:eastAsia="Times New Roman" w:hint="default"/>
                <w:sz w:val="18"/>
                <w:szCs w:val="18"/>
              </w:rPr>
            </w:pPr>
            <w:r>
              <w:rPr>
                <w:rFonts w:ascii="Times New Roman"/>
                <w:sz w:val="18"/>
              </w:rPr>
              <w:t>4,739,469</w:t>
            </w:r>
          </w:p>
        </w:tc>
      </w:tr>
      <w:tr>
        <w:trPr>
          <w:trHeight w:val="510" w:hRule="exact"/>
        </w:trPr>
        <w:tc>
          <w:tcPr>
            <w:tcW w:w="8918" w:type="dxa"/>
            <w:gridSpan w:val="9"/>
            <w:tcBorders>
              <w:top w:val="nil" w:sz="6" w:space="0" w:color="auto"/>
              <w:left w:val="nil" w:sz="6" w:space="0" w:color="auto"/>
              <w:bottom w:val="nil" w:sz="6" w:space="0" w:color="auto"/>
              <w:right w:val="nil" w:sz="6" w:space="0" w:color="auto"/>
            </w:tcBorders>
          </w:tcPr>
          <w:p>
            <w:pPr>
              <w:pStyle w:val="TableParagraph"/>
              <w:spacing w:line="240" w:lineRule="auto" w:before="108"/>
              <w:ind w:left="436" w:right="0"/>
              <w:jc w:val="left"/>
              <w:rPr>
                <w:rFonts w:ascii="宋体" w:hAnsi="宋体" w:cs="宋体" w:eastAsia="宋体" w:hint="default"/>
                <w:sz w:val="21"/>
                <w:szCs w:val="21"/>
              </w:rPr>
            </w:pPr>
            <w:r>
              <w:rPr>
                <w:rFonts w:ascii="宋体" w:hAnsi="宋体" w:cs="宋体" w:eastAsia="宋体" w:hint="default"/>
                <w:b/>
                <w:bCs/>
                <w:sz w:val="21"/>
                <w:szCs w:val="21"/>
              </w:rPr>
              <w:t>期末单项金额虽不重大但单独进行减值测试的其他应收款坏账准备计提：</w:t>
            </w:r>
            <w:r>
              <w:rPr>
                <w:rFonts w:ascii="宋体" w:hAnsi="宋体" w:cs="宋体" w:eastAsia="宋体" w:hint="default"/>
                <w:sz w:val="21"/>
                <w:szCs w:val="21"/>
              </w:rPr>
            </w:r>
          </w:p>
        </w:tc>
      </w:tr>
      <w:tr>
        <w:trPr>
          <w:trHeight w:val="427" w:hRule="exact"/>
        </w:trPr>
        <w:tc>
          <w:tcPr>
            <w:tcW w:w="191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330" w:right="0"/>
              <w:jc w:val="left"/>
              <w:rPr>
                <w:rFonts w:ascii="宋体" w:hAnsi="宋体" w:cs="宋体" w:eastAsia="宋体" w:hint="default"/>
                <w:sz w:val="18"/>
                <w:szCs w:val="18"/>
              </w:rPr>
            </w:pPr>
            <w:r>
              <w:rPr>
                <w:rFonts w:ascii="宋体" w:hAnsi="宋体" w:cs="宋体" w:eastAsia="宋体" w:hint="default"/>
                <w:sz w:val="18"/>
                <w:szCs w:val="18"/>
              </w:rPr>
              <w:t>其他应收款内容</w:t>
            </w: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328"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159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187" w:right="0"/>
              <w:jc w:val="left"/>
              <w:rPr>
                <w:rFonts w:ascii="宋体" w:hAnsi="宋体" w:cs="宋体" w:eastAsia="宋体" w:hint="default"/>
                <w:sz w:val="18"/>
                <w:szCs w:val="18"/>
              </w:rPr>
            </w:pPr>
            <w:r>
              <w:rPr>
                <w:rFonts w:ascii="宋体" w:hAnsi="宋体" w:cs="宋体" w:eastAsia="宋体" w:hint="default"/>
                <w:sz w:val="18"/>
                <w:szCs w:val="18"/>
              </w:rPr>
              <w:t>坏账准备金额</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c>
        <w:tc>
          <w:tcPr>
            <w:tcW w:w="267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right="93"/>
              <w:jc w:val="center"/>
              <w:rPr>
                <w:rFonts w:ascii="宋体" w:hAnsi="宋体" w:cs="宋体" w:eastAsia="宋体" w:hint="default"/>
                <w:sz w:val="18"/>
                <w:szCs w:val="18"/>
              </w:rPr>
            </w:pPr>
            <w:r>
              <w:rPr>
                <w:rFonts w:ascii="宋体" w:hAnsi="宋体" w:cs="宋体" w:eastAsia="宋体" w:hint="default"/>
                <w:sz w:val="18"/>
                <w:szCs w:val="18"/>
              </w:rPr>
              <w:t>理  由</w:t>
            </w:r>
          </w:p>
        </w:tc>
      </w:tr>
      <w:tr>
        <w:trPr>
          <w:trHeight w:val="415" w:hRule="exact"/>
        </w:trPr>
        <w:tc>
          <w:tcPr>
            <w:tcW w:w="191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备用金借款</w:t>
            </w: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6"/>
              <w:ind w:left="469" w:right="0"/>
              <w:jc w:val="left"/>
              <w:rPr>
                <w:rFonts w:ascii="Times New Roman" w:hAnsi="Times New Roman" w:cs="Times New Roman" w:eastAsia="Times New Roman" w:hint="default"/>
                <w:sz w:val="18"/>
                <w:szCs w:val="18"/>
              </w:rPr>
            </w:pPr>
            <w:r>
              <w:rPr>
                <w:rFonts w:ascii="Times New Roman"/>
                <w:sz w:val="18"/>
              </w:rPr>
              <w:t>16,644,588</w:t>
            </w:r>
          </w:p>
        </w:tc>
        <w:tc>
          <w:tcPr>
            <w:tcW w:w="159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6"/>
              <w:ind w:left="604" w:right="0"/>
              <w:jc w:val="left"/>
              <w:rPr>
                <w:rFonts w:ascii="Times New Roman" w:hAnsi="Times New Roman" w:cs="Times New Roman" w:eastAsia="Times New Roman" w:hint="default"/>
                <w:sz w:val="18"/>
                <w:szCs w:val="18"/>
              </w:rPr>
            </w:pPr>
            <w:r>
              <w:rPr>
                <w:rFonts w:ascii="Times New Roman"/>
                <w:sz w:val="18"/>
              </w:rPr>
              <w:t>1,810,069</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652" w:right="0"/>
              <w:jc w:val="left"/>
              <w:rPr>
                <w:rFonts w:ascii="Times New Roman" w:hAnsi="Times New Roman" w:cs="Times New Roman" w:eastAsia="Times New Roman" w:hint="default"/>
                <w:sz w:val="18"/>
                <w:szCs w:val="18"/>
              </w:rPr>
            </w:pPr>
            <w:r>
              <w:rPr>
                <w:rFonts w:ascii="Times New Roman"/>
                <w:sz w:val="18"/>
              </w:rPr>
              <w:t>10.87</w:t>
            </w:r>
          </w:p>
        </w:tc>
        <w:tc>
          <w:tcPr>
            <w:tcW w:w="267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13" w:right="0"/>
              <w:jc w:val="left"/>
              <w:rPr>
                <w:rFonts w:ascii="宋体" w:hAnsi="宋体" w:cs="宋体" w:eastAsia="宋体" w:hint="default"/>
                <w:sz w:val="18"/>
                <w:szCs w:val="18"/>
              </w:rPr>
            </w:pPr>
            <w:r>
              <w:rPr>
                <w:rFonts w:ascii="宋体" w:hAnsi="宋体" w:cs="宋体" w:eastAsia="宋体" w:hint="default"/>
                <w:sz w:val="18"/>
                <w:szCs w:val="18"/>
              </w:rPr>
              <w:t>预计可收回比例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85%</w:t>
            </w:r>
            <w:r>
              <w:rPr>
                <w:rFonts w:ascii="宋体" w:hAnsi="宋体" w:cs="宋体" w:eastAsia="宋体" w:hint="default"/>
                <w:sz w:val="18"/>
                <w:szCs w:val="18"/>
              </w:rPr>
              <w:t>以上</w:t>
            </w:r>
          </w:p>
        </w:tc>
      </w:tr>
      <w:tr>
        <w:trPr>
          <w:trHeight w:val="410" w:hRule="exact"/>
        </w:trPr>
        <w:tc>
          <w:tcPr>
            <w:tcW w:w="191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单位往来款</w:t>
            </w:r>
          </w:p>
        </w:tc>
        <w:tc>
          <w:tcPr>
            <w:tcW w:w="1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559" w:right="0"/>
              <w:jc w:val="left"/>
              <w:rPr>
                <w:rFonts w:ascii="Times New Roman" w:hAnsi="Times New Roman" w:cs="Times New Roman" w:eastAsia="Times New Roman" w:hint="default"/>
                <w:sz w:val="18"/>
                <w:szCs w:val="18"/>
              </w:rPr>
            </w:pPr>
            <w:r>
              <w:rPr>
                <w:rFonts w:ascii="Times New Roman"/>
                <w:sz w:val="18"/>
              </w:rPr>
              <w:t>3,442,202</w:t>
            </w:r>
          </w:p>
        </w:tc>
        <w:tc>
          <w:tcPr>
            <w:tcW w:w="159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739" w:right="0"/>
              <w:jc w:val="left"/>
              <w:rPr>
                <w:rFonts w:ascii="Times New Roman" w:hAnsi="Times New Roman" w:cs="Times New Roman" w:eastAsia="Times New Roman" w:hint="default"/>
                <w:sz w:val="18"/>
                <w:szCs w:val="18"/>
              </w:rPr>
            </w:pPr>
            <w:r>
              <w:rPr>
                <w:rFonts w:ascii="Times New Roman"/>
                <w:sz w:val="18"/>
              </w:rPr>
              <w:t>210,537</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42" w:right="0"/>
              <w:jc w:val="left"/>
              <w:rPr>
                <w:rFonts w:ascii="Times New Roman" w:hAnsi="Times New Roman" w:cs="Times New Roman" w:eastAsia="Times New Roman" w:hint="default"/>
                <w:sz w:val="18"/>
                <w:szCs w:val="18"/>
              </w:rPr>
            </w:pPr>
            <w:r>
              <w:rPr>
                <w:rFonts w:ascii="Times New Roman"/>
                <w:sz w:val="18"/>
              </w:rPr>
              <w:t>6.12</w:t>
            </w:r>
          </w:p>
        </w:tc>
        <w:tc>
          <w:tcPr>
            <w:tcW w:w="267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9"/>
              <w:ind w:left="13" w:right="0"/>
              <w:jc w:val="left"/>
              <w:rPr>
                <w:rFonts w:ascii="宋体" w:hAnsi="宋体" w:cs="宋体" w:eastAsia="宋体" w:hint="default"/>
                <w:sz w:val="18"/>
                <w:szCs w:val="18"/>
              </w:rPr>
            </w:pPr>
            <w:r>
              <w:rPr>
                <w:rFonts w:ascii="宋体" w:hAnsi="宋体" w:cs="宋体" w:eastAsia="宋体" w:hint="default"/>
                <w:sz w:val="18"/>
                <w:szCs w:val="18"/>
              </w:rPr>
              <w:t>预计可收回比例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90%</w:t>
            </w:r>
            <w:r>
              <w:rPr>
                <w:rFonts w:ascii="宋体" w:hAnsi="宋体" w:cs="宋体" w:eastAsia="宋体" w:hint="default"/>
                <w:sz w:val="18"/>
                <w:szCs w:val="18"/>
              </w:rPr>
              <w:t>以上</w:t>
            </w:r>
          </w:p>
        </w:tc>
      </w:tr>
      <w:tr>
        <w:trPr>
          <w:trHeight w:val="328" w:hRule="exact"/>
        </w:trPr>
        <w:tc>
          <w:tcPr>
            <w:tcW w:w="1918" w:type="dxa"/>
            <w:gridSpan w:val="2"/>
            <w:tcBorders>
              <w:top w:val="nil" w:sz="6" w:space="0" w:color="auto"/>
              <w:left w:val="nil" w:sz="6" w:space="0" w:color="auto"/>
              <w:bottom w:val="single" w:sz="12" w:space="0" w:color="000000"/>
              <w:right w:val="nil" w:sz="6" w:space="0" w:color="auto"/>
            </w:tcBorders>
          </w:tcPr>
          <w:p>
            <w:pPr>
              <w:pStyle w:val="TableParagraph"/>
              <w:tabs>
                <w:tab w:pos="1112" w:val="left" w:leader="none"/>
              </w:tabs>
              <w:spacing w:line="240" w:lineRule="auto" w:before="50"/>
              <w:ind w:left="57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469"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01"/>
              <w:ind w:left="469" w:right="0"/>
              <w:jc w:val="left"/>
              <w:rPr>
                <w:rFonts w:ascii="Times New Roman" w:hAnsi="Times New Roman" w:cs="Times New Roman" w:eastAsia="Times New Roman" w:hint="default"/>
                <w:sz w:val="18"/>
                <w:szCs w:val="18"/>
              </w:rPr>
            </w:pPr>
            <w:r>
              <w:rPr>
                <w:rFonts w:ascii="Times New Roman"/>
                <w:sz w:val="18"/>
              </w:rPr>
              <w:t>20,086,790</w:t>
            </w:r>
          </w:p>
        </w:tc>
        <w:tc>
          <w:tcPr>
            <w:tcW w:w="1599"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01"/>
              <w:ind w:left="604" w:right="0"/>
              <w:jc w:val="left"/>
              <w:rPr>
                <w:rFonts w:ascii="Times New Roman" w:hAnsi="Times New Roman" w:cs="Times New Roman" w:eastAsia="Times New Roman" w:hint="default"/>
                <w:sz w:val="18"/>
                <w:szCs w:val="18"/>
              </w:rPr>
            </w:pPr>
            <w:r>
              <w:rPr>
                <w:rFonts w:ascii="Times New Roman"/>
                <w:sz w:val="18"/>
              </w:rPr>
              <w:t>2,020,606</w:t>
            </w:r>
          </w:p>
        </w:tc>
        <w:tc>
          <w:tcPr>
            <w:tcW w:w="1261" w:type="dxa"/>
            <w:tcBorders>
              <w:top w:val="nil" w:sz="6" w:space="0" w:color="auto"/>
              <w:left w:val="nil" w:sz="6" w:space="0" w:color="auto"/>
              <w:bottom w:val="single" w:sz="12" w:space="0" w:color="000000"/>
              <w:right w:val="nil" w:sz="6" w:space="0" w:color="auto"/>
            </w:tcBorders>
          </w:tcPr>
          <w:p>
            <w:pPr/>
          </w:p>
        </w:tc>
        <w:tc>
          <w:tcPr>
            <w:tcW w:w="2672" w:type="dxa"/>
            <w:gridSpan w:val="2"/>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tabs>
          <w:tab w:pos="1395" w:val="left" w:leader="none"/>
        </w:tabs>
        <w:spacing w:before="176"/>
        <w:ind w:left="857" w:right="0" w:firstLine="0"/>
        <w:jc w:val="left"/>
        <w:rPr>
          <w:rFonts w:ascii="宋体" w:hAnsi="宋体" w:cs="宋体" w:eastAsia="宋体" w:hint="default"/>
          <w:sz w:val="21"/>
          <w:szCs w:val="21"/>
        </w:rPr>
      </w:pPr>
      <w:r>
        <w:rPr/>
        <w:pict>
          <v:group style="position:absolute;margin-left:91.559998pt;margin-top:-98.336319pt;width:448.1pt;height:83pt;mso-position-horizontal-relative:page;mso-position-vertical-relative:paragraph;z-index:-1123888" coordorigin="1831,-1967" coordsize="8962,1660">
            <v:group style="position:absolute;left:1860;top:-1952;width:8904;height:2" coordorigin="1860,-1952" coordsize="8904,2">
              <v:shape style="position:absolute;left:1860;top:-1952;width:8904;height:2" coordorigin="1860,-1952" coordsize="8904,0" path="m1860,-1952l10764,-1952e" filled="false" stroked="true" strokeweight="1.5pt" strokecolor="#000000">
                <v:path arrowok="t"/>
              </v:shape>
              <v:shape style="position:absolute;left:3724;top:-1960;width:4302;height:446" type="#_x0000_t75" stroked="false">
                <v:imagedata r:id="rId148" o:title=""/>
              </v:shape>
              <v:shape style="position:absolute;left:1831;top:-1562;width:8962;height:1255" type="#_x0000_t75" stroked="false">
                <v:imagedata r:id="rId149" o:title=""/>
              </v:shape>
            </v:group>
            <w10:wrap type="none"/>
          </v:group>
        </w:pict>
      </w:r>
      <w:r>
        <w:rPr/>
        <w:pict>
          <v:group style="position:absolute;margin-left:101.040001pt;margin-top:24.18368pt;width:447.3pt;height:103.5pt;mso-position-horizontal-relative:page;mso-position-vertical-relative:paragraph;z-index:-1123768" coordorigin="2021,484" coordsize="8946,2070">
            <v:group style="position:absolute;left:2050;top:499;width:8889;height:2" coordorigin="2050,499" coordsize="8889,2">
              <v:shape style="position:absolute;left:2050;top:499;width:8889;height:2" coordorigin="2050,499" coordsize="8889,0" path="m2050,499l10938,499e" filled="false" stroked="true" strokeweight="1.5pt" strokecolor="#000000">
                <v:path arrowok="t"/>
              </v:shape>
              <v:shape style="position:absolute;left:3935;top:490;width:5330;height:446" type="#_x0000_t75" stroked="false">
                <v:imagedata r:id="rId150" o:title=""/>
              </v:shape>
              <v:shape style="position:absolute;left:2021;top:888;width:8946;height:1666" type="#_x0000_t75" stroked="false">
                <v:imagedata r:id="rId151" o:title=""/>
              </v:shape>
              <v:shape style="position:absolute;left:2376;top:706;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其他应收款内容</w:t>
                      </w:r>
                    </w:p>
                  </w:txbxContent>
                </v:textbox>
                <w10:wrap type="none"/>
              </v:shape>
              <v:shape style="position:absolute;left:4381;top:70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5856;top:70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年初坏账准备</w:t>
                      </w:r>
                    </w:p>
                  </w:txbxContent>
                </v:textbox>
                <w10:wrap type="none"/>
              </v:shape>
              <v:shape style="position:absolute;left:7381;top:706;width:3428;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宋体" w:hAnsi="宋体" w:cs="宋体" w:eastAsia="宋体" w:hint="default"/>
                          <w:spacing w:val="-54"/>
                          <w:sz w:val="18"/>
                          <w:szCs w:val="18"/>
                        </w:rPr>
                        <w:t> </w:t>
                      </w:r>
                      <w:r>
                        <w:rPr>
                          <w:rFonts w:ascii="宋体" w:hAnsi="宋体" w:cs="宋体" w:eastAsia="宋体" w:hint="default"/>
                          <w:sz w:val="18"/>
                          <w:szCs w:val="18"/>
                        </w:rPr>
                        <w:t>报告期内收回金额</w:t>
                      </w:r>
                    </w:p>
                  </w:txbxContent>
                </v:textbox>
                <w10:wrap type="none"/>
              </v:shape>
            </v:group>
            <w10:wrap type="none"/>
          </v:group>
        </w:pict>
      </w:r>
      <w:r>
        <w:rPr>
          <w:rFonts w:ascii="宋体" w:hAnsi="宋体" w:cs="宋体" w:eastAsia="宋体" w:hint="default"/>
          <w:b/>
          <w:bCs/>
          <w:w w:val="95"/>
          <w:sz w:val="21"/>
          <w:szCs w:val="21"/>
        </w:rPr>
        <w:t>4、</w:t>
        <w:tab/>
      </w:r>
      <w:r>
        <w:rPr>
          <w:rFonts w:ascii="宋体" w:hAnsi="宋体" w:cs="宋体" w:eastAsia="宋体" w:hint="default"/>
          <w:b/>
          <w:bCs/>
          <w:sz w:val="21"/>
          <w:szCs w:val="21"/>
        </w:rPr>
        <w:t>以前年度已全额或大比例计提坏账准备于本期又全额或部分收回的其他应收款情况：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tbl>
      <w:tblPr>
        <w:tblW w:w="0" w:type="auto"/>
        <w:jc w:val="left"/>
        <w:tblInd w:w="735" w:type="dxa"/>
        <w:tblLayout w:type="fixed"/>
        <w:tblCellMar>
          <w:top w:w="0" w:type="dxa"/>
          <w:left w:w="0" w:type="dxa"/>
          <w:bottom w:w="0" w:type="dxa"/>
          <w:right w:w="0" w:type="dxa"/>
        </w:tblCellMar>
        <w:tblLook w:val="01E0"/>
      </w:tblPr>
      <w:tblGrid>
        <w:gridCol w:w="1087"/>
        <w:gridCol w:w="906"/>
        <w:gridCol w:w="1900"/>
        <w:gridCol w:w="2018"/>
        <w:gridCol w:w="1675"/>
        <w:gridCol w:w="1318"/>
      </w:tblGrid>
      <w:tr>
        <w:trPr>
          <w:trHeight w:val="405" w:hRule="exact"/>
        </w:trPr>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保证金借款</w:t>
            </w:r>
          </w:p>
        </w:tc>
        <w:tc>
          <w:tcPr>
            <w:tcW w:w="906" w:type="dxa"/>
            <w:tcBorders>
              <w:top w:val="nil" w:sz="6" w:space="0" w:color="auto"/>
              <w:left w:val="nil" w:sz="6" w:space="0" w:color="auto"/>
              <w:bottom w:val="nil" w:sz="6" w:space="0" w:color="auto"/>
              <w:right w:val="nil" w:sz="6" w:space="0" w:color="auto"/>
            </w:tcBorders>
          </w:tcPr>
          <w:p>
            <w:pP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15"/>
              <w:jc w:val="right"/>
              <w:rPr>
                <w:rFonts w:ascii="Times New Roman" w:hAnsi="Times New Roman" w:cs="Times New Roman" w:eastAsia="Times New Roman" w:hint="default"/>
                <w:sz w:val="18"/>
                <w:szCs w:val="18"/>
              </w:rPr>
            </w:pPr>
            <w:r>
              <w:rPr>
                <w:rFonts w:ascii="Times New Roman"/>
                <w:sz w:val="18"/>
              </w:rPr>
              <w:t>1,136,162</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778"/>
              <w:jc w:val="right"/>
              <w:rPr>
                <w:rFonts w:ascii="Times New Roman" w:hAnsi="Times New Roman" w:cs="Times New Roman" w:eastAsia="Times New Roman" w:hint="default"/>
                <w:sz w:val="18"/>
                <w:szCs w:val="18"/>
              </w:rPr>
            </w:pPr>
            <w:r>
              <w:rPr>
                <w:rFonts w:ascii="Times New Roman"/>
                <w:sz w:val="18"/>
              </w:rPr>
              <w:t>990,122</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87"/>
              <w:jc w:val="right"/>
              <w:rPr>
                <w:rFonts w:ascii="Times New Roman" w:hAnsi="Times New Roman" w:cs="Times New Roman" w:eastAsia="Times New Roman" w:hint="default"/>
                <w:sz w:val="18"/>
                <w:szCs w:val="18"/>
              </w:rPr>
            </w:pPr>
            <w:r>
              <w:rPr>
                <w:rFonts w:ascii="Times New Roman"/>
                <w:sz w:val="18"/>
              </w:rPr>
              <w:t>87.15</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z w:val="18"/>
              </w:rPr>
              <w:t>1,136,162</w:t>
            </w:r>
          </w:p>
        </w:tc>
      </w:tr>
      <w:tr>
        <w:trPr>
          <w:trHeight w:val="410" w:hRule="exact"/>
        </w:trPr>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备用金借款</w:t>
            </w:r>
          </w:p>
        </w:tc>
        <w:tc>
          <w:tcPr>
            <w:tcW w:w="906" w:type="dxa"/>
            <w:tcBorders>
              <w:top w:val="nil" w:sz="6" w:space="0" w:color="auto"/>
              <w:left w:val="nil" w:sz="6" w:space="0" w:color="auto"/>
              <w:bottom w:val="nil" w:sz="6" w:space="0" w:color="auto"/>
              <w:right w:val="nil" w:sz="6" w:space="0" w:color="auto"/>
            </w:tcBorders>
          </w:tcPr>
          <w:p>
            <w:pP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15"/>
              <w:jc w:val="right"/>
              <w:rPr>
                <w:rFonts w:ascii="Times New Roman" w:hAnsi="Times New Roman" w:cs="Times New Roman" w:eastAsia="Times New Roman" w:hint="default"/>
                <w:sz w:val="18"/>
                <w:szCs w:val="18"/>
              </w:rPr>
            </w:pPr>
            <w:r>
              <w:rPr>
                <w:rFonts w:ascii="Times New Roman"/>
                <w:sz w:val="18"/>
              </w:rPr>
              <w:t>713,547</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778"/>
              <w:jc w:val="right"/>
              <w:rPr>
                <w:rFonts w:ascii="Times New Roman" w:hAnsi="Times New Roman" w:cs="Times New Roman" w:eastAsia="Times New Roman" w:hint="default"/>
                <w:sz w:val="18"/>
                <w:szCs w:val="18"/>
              </w:rPr>
            </w:pPr>
            <w:r>
              <w:rPr>
                <w:rFonts w:ascii="Times New Roman"/>
                <w:sz w:val="18"/>
              </w:rPr>
              <w:t>634,032</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87"/>
              <w:jc w:val="right"/>
              <w:rPr>
                <w:rFonts w:ascii="Times New Roman" w:hAnsi="Times New Roman" w:cs="Times New Roman" w:eastAsia="Times New Roman" w:hint="default"/>
                <w:sz w:val="18"/>
                <w:szCs w:val="18"/>
              </w:rPr>
            </w:pPr>
            <w:r>
              <w:rPr>
                <w:rFonts w:ascii="Times New Roman"/>
                <w:sz w:val="18"/>
              </w:rPr>
              <w:t>88.86</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713,547</w:t>
            </w:r>
          </w:p>
        </w:tc>
      </w:tr>
      <w:tr>
        <w:trPr>
          <w:trHeight w:val="410" w:hRule="exact"/>
        </w:trPr>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单位往来</w:t>
            </w:r>
          </w:p>
        </w:tc>
        <w:tc>
          <w:tcPr>
            <w:tcW w:w="906" w:type="dxa"/>
            <w:tcBorders>
              <w:top w:val="nil" w:sz="6" w:space="0" w:color="auto"/>
              <w:left w:val="nil" w:sz="6" w:space="0" w:color="auto"/>
              <w:bottom w:val="nil" w:sz="6" w:space="0" w:color="auto"/>
              <w:right w:val="nil" w:sz="6" w:space="0" w:color="auto"/>
            </w:tcBorders>
          </w:tcPr>
          <w:p>
            <w:pPr/>
          </w:p>
        </w:tc>
        <w:tc>
          <w:tcPr>
            <w:tcW w:w="190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15"/>
              <w:jc w:val="right"/>
              <w:rPr>
                <w:rFonts w:ascii="Times New Roman" w:hAnsi="Times New Roman" w:cs="Times New Roman" w:eastAsia="Times New Roman" w:hint="default"/>
                <w:sz w:val="18"/>
                <w:szCs w:val="18"/>
              </w:rPr>
            </w:pPr>
            <w:r>
              <w:rPr>
                <w:rFonts w:ascii="Times New Roman"/>
                <w:sz w:val="18"/>
              </w:rPr>
              <w:t>247,943</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778"/>
              <w:jc w:val="right"/>
              <w:rPr>
                <w:rFonts w:ascii="Times New Roman" w:hAnsi="Times New Roman" w:cs="Times New Roman" w:eastAsia="Times New Roman" w:hint="default"/>
                <w:sz w:val="18"/>
                <w:szCs w:val="18"/>
              </w:rPr>
            </w:pPr>
            <w:r>
              <w:rPr>
                <w:rFonts w:ascii="Times New Roman"/>
                <w:sz w:val="18"/>
              </w:rPr>
              <w:t>178,643</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87"/>
              <w:jc w:val="right"/>
              <w:rPr>
                <w:rFonts w:ascii="Times New Roman" w:hAnsi="Times New Roman" w:cs="Times New Roman" w:eastAsia="Times New Roman" w:hint="default"/>
                <w:sz w:val="18"/>
                <w:szCs w:val="18"/>
              </w:rPr>
            </w:pPr>
            <w:r>
              <w:rPr>
                <w:rFonts w:ascii="Times New Roman"/>
                <w:sz w:val="18"/>
              </w:rPr>
              <w:t>72.05</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247,943</w:t>
            </w:r>
          </w:p>
        </w:tc>
      </w:tr>
      <w:tr>
        <w:trPr>
          <w:trHeight w:val="329" w:hRule="exact"/>
        </w:trPr>
        <w:tc>
          <w:tcPr>
            <w:tcW w:w="1087"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610" w:right="0"/>
              <w:jc w:val="left"/>
              <w:rPr>
                <w:rFonts w:ascii="宋体" w:hAnsi="宋体" w:cs="宋体" w:eastAsia="宋体" w:hint="default"/>
                <w:sz w:val="18"/>
                <w:szCs w:val="18"/>
              </w:rPr>
            </w:pPr>
            <w:r>
              <w:rPr>
                <w:rFonts w:ascii="宋体" w:hAnsi="宋体" w:cs="宋体" w:eastAsia="宋体" w:hint="default"/>
                <w:sz w:val="18"/>
                <w:szCs w:val="18"/>
              </w:rPr>
              <w:t>合</w:t>
            </w:r>
          </w:p>
        </w:tc>
        <w:tc>
          <w:tcPr>
            <w:tcW w:w="906"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64"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90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515"/>
              <w:jc w:val="right"/>
              <w:rPr>
                <w:rFonts w:ascii="Times New Roman" w:hAnsi="Times New Roman" w:cs="Times New Roman" w:eastAsia="Times New Roman" w:hint="default"/>
                <w:sz w:val="18"/>
                <w:szCs w:val="18"/>
              </w:rPr>
            </w:pPr>
            <w:r>
              <w:rPr>
                <w:rFonts w:ascii="Times New Roman"/>
                <w:sz w:val="18"/>
              </w:rPr>
              <w:t>2,097,652</w:t>
            </w:r>
          </w:p>
        </w:tc>
        <w:tc>
          <w:tcPr>
            <w:tcW w:w="2018"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777"/>
              <w:jc w:val="right"/>
              <w:rPr>
                <w:rFonts w:ascii="Times New Roman" w:hAnsi="Times New Roman" w:cs="Times New Roman" w:eastAsia="Times New Roman" w:hint="default"/>
                <w:sz w:val="18"/>
                <w:szCs w:val="18"/>
              </w:rPr>
            </w:pPr>
            <w:r>
              <w:rPr>
                <w:rFonts w:ascii="Times New Roman"/>
                <w:sz w:val="18"/>
              </w:rPr>
              <w:t>1,802,797</w:t>
            </w:r>
          </w:p>
        </w:tc>
        <w:tc>
          <w:tcPr>
            <w:tcW w:w="1675" w:type="dxa"/>
            <w:tcBorders>
              <w:top w:val="nil" w:sz="6" w:space="0" w:color="auto"/>
              <w:left w:val="nil" w:sz="6" w:space="0" w:color="auto"/>
              <w:bottom w:val="single" w:sz="12" w:space="0" w:color="000000"/>
              <w:right w:val="nil" w:sz="6" w:space="0" w:color="auto"/>
            </w:tcBorders>
          </w:tcPr>
          <w:p>
            <w:pPr/>
          </w:p>
        </w:tc>
        <w:tc>
          <w:tcPr>
            <w:tcW w:w="1318"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2,097,652</w:t>
            </w:r>
          </w:p>
        </w:tc>
      </w:tr>
    </w:tbl>
    <w:p>
      <w:pPr>
        <w:spacing w:line="240" w:lineRule="auto" w:before="3"/>
        <w:rPr>
          <w:rFonts w:ascii="宋体" w:hAnsi="宋体" w:cs="宋体" w:eastAsia="宋体" w:hint="default"/>
          <w:b/>
          <w:bCs/>
          <w:sz w:val="29"/>
          <w:szCs w:val="29"/>
        </w:rPr>
      </w:pPr>
    </w:p>
    <w:p>
      <w:pPr>
        <w:tabs>
          <w:tab w:pos="1395" w:val="left" w:leader="none"/>
        </w:tabs>
        <w:spacing w:before="35"/>
        <w:ind w:left="857" w:right="0" w:firstLine="0"/>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本报告期实际核销的其他应收款情况；</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1270" w:lineRule="exact"/>
        <w:ind w:left="720"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40.15pt;height:63.55pt;mso-position-horizontal-relative:char;mso-position-vertical-relative:line" coordorigin="0,0" coordsize="8803,1271">
            <v:group style="position:absolute;left:29;top:15;width:8747;height:2" coordorigin="29,15" coordsize="8747,2">
              <v:shape style="position:absolute;left:29;top:15;width:8747;height:2" coordorigin="29,15" coordsize="8747,0" path="m29,15l8776,15e" filled="false" stroked="true" strokeweight="1.5pt" strokecolor="#000000">
                <v:path arrowok="t"/>
              </v:shape>
            </v:group>
            <v:group style="position:absolute;left:15;top:1256;width:1388;height:2" coordorigin="15,1256" coordsize="1388,2">
              <v:shape style="position:absolute;left:15;top:1256;width:1388;height:2" coordorigin="15,1256" coordsize="1388,0" path="m15,1256l1402,1256e" filled="false" stroked="true" strokeweight="1.5pt" strokecolor="#000000">
                <v:path arrowok="t"/>
              </v:shape>
              <v:shape style="position:absolute;left:1;top:5;width:8802;height:1256" type="#_x0000_t75" stroked="false">
                <v:imagedata r:id="rId152" o:title=""/>
              </v:shape>
            </v:group>
            <v:group style="position:absolute;left:1402;top:1256;width:1702;height:2" coordorigin="1402,1256" coordsize="1702,2">
              <v:shape style="position:absolute;left:1402;top:1256;width:1702;height:2" coordorigin="1402,1256" coordsize="1702,0" path="m1402,1256l3104,1256e" filled="false" stroked="true" strokeweight="1.5pt" strokecolor="#000000">
                <v:path arrowok="t"/>
              </v:shape>
              <v:shape style="position:absolute;left:3084;top:421;width:49;height:840" type="#_x0000_t75" stroked="false">
                <v:imagedata r:id="rId153" o:title=""/>
              </v:shape>
            </v:group>
            <v:group style="position:absolute;left:3104;top:1256;width:1217;height:2" coordorigin="3104,1256" coordsize="1217,2">
              <v:shape style="position:absolute;left:3104;top:1256;width:1217;height:2" coordorigin="3104,1256" coordsize="1217,0" path="m3104,1256l4321,1256e" filled="false" stroked="true" strokeweight="1.5pt" strokecolor="#000000">
                <v:path arrowok="t"/>
              </v:shape>
              <v:shape style="position:absolute;left:4301;top:421;width:49;height:840" type="#_x0000_t75" stroked="false">
                <v:imagedata r:id="rId154" o:title=""/>
              </v:shape>
            </v:group>
            <v:group style="position:absolute;left:4321;top:1256;width:2466;height:2" coordorigin="4321,1256" coordsize="2466,2">
              <v:shape style="position:absolute;left:4321;top:1256;width:2466;height:2" coordorigin="4321,1256" coordsize="2466,0" path="m4321,1256l6787,1256e" filled="false" stroked="true" strokeweight="1.5pt" strokecolor="#000000">
                <v:path arrowok="t"/>
              </v:shape>
              <v:shape style="position:absolute;left:6767;top:421;width:49;height:840" type="#_x0000_t75" stroked="false">
                <v:imagedata r:id="rId153" o:title=""/>
              </v:shape>
            </v:group>
            <v:group style="position:absolute;left:6787;top:1256;width:1990;height:2" coordorigin="6787,1256" coordsize="1990,2">
              <v:shape style="position:absolute;left:6787;top:1256;width:1990;height:2" coordorigin="6787,1256" coordsize="1990,0" path="m6787,1256l8776,1256e" filled="false" stroked="true" strokeweight="1.5pt" strokecolor="#000000">
                <v:path arrowok="t"/>
              </v:shape>
              <v:shape style="position:absolute;left:358;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1538;top:222;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其他应收款项性质</w:t>
                      </w:r>
                    </w:p>
                  </w:txbxContent>
                </v:textbox>
                <w10:wrap type="none"/>
              </v:shape>
              <v:shape style="position:absolute;left:3356;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核销金额</w:t>
                      </w:r>
                    </w:p>
                  </w:txbxContent>
                </v:textbox>
                <w10:wrap type="none"/>
              </v:shape>
              <v:shape style="position:absolute;left:5197;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核销原因</w:t>
                      </w:r>
                    </w:p>
                  </w:txbxContent>
                </v:textbox>
                <w10:wrap type="none"/>
              </v:shape>
              <v:shape style="position:absolute;left:6973;top:222;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是否因关联交易产生</w:t>
                      </w:r>
                    </w:p>
                  </w:txbxContent>
                </v:textbox>
                <w10:wrap type="none"/>
              </v:shape>
              <v:shape style="position:absolute;left:4432;top:632;width:2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沈阳东软博安软件有限公司</w:t>
                      </w:r>
                      <w:r>
                        <w:rPr>
                          <w:rFonts w:ascii="宋体" w:hAnsi="宋体" w:cs="宋体" w:eastAsia="宋体" w:hint="default"/>
                          <w:sz w:val="18"/>
                          <w:szCs w:val="18"/>
                        </w:rPr>
                      </w:r>
                    </w:p>
                  </w:txbxContent>
                </v:textbox>
                <w10:wrap type="none"/>
              </v:shape>
              <v:shape style="position:absolute;left:538;top:83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1898;top:8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个人欠款</w:t>
                      </w:r>
                    </w:p>
                  </w:txbxContent>
                </v:textbox>
                <w10:wrap type="none"/>
              </v:shape>
              <v:shape style="position:absolute;left:3632;top:85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256,828</w:t>
                      </w:r>
                    </w:p>
                  </w:txbxContent>
                </v:textbox>
                <w10:wrap type="none"/>
              </v:shape>
              <v:shape style="position:absolute;left:7693;top:83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否</w:t>
                      </w:r>
                    </w:p>
                  </w:txbxContent>
                </v:textbox>
                <w10:wrap type="none"/>
              </v:shape>
              <v:shape style="position:absolute;left:4432;top:103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预计无法收回的个人欠款</w:t>
                      </w:r>
                    </w:p>
                  </w:txbxContent>
                </v:textbox>
                <w10:wrap type="none"/>
              </v:shape>
            </v:group>
          </v:group>
        </w:pict>
      </w:r>
      <w:r>
        <w:rPr>
          <w:rFonts w:ascii="宋体" w:hAnsi="宋体" w:cs="宋体" w:eastAsia="宋体" w:hint="default"/>
          <w:position w:val="-24"/>
          <w:sz w:val="20"/>
          <w:szCs w:val="2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p>
      <w:pPr>
        <w:tabs>
          <w:tab w:pos="1395" w:val="left" w:leader="none"/>
        </w:tabs>
        <w:spacing w:before="0"/>
        <w:ind w:left="857" w:right="0" w:firstLine="0"/>
        <w:jc w:val="left"/>
        <w:rPr>
          <w:rFonts w:ascii="宋体" w:hAnsi="宋体" w:cs="宋体" w:eastAsia="宋体" w:hint="default"/>
          <w:sz w:val="21"/>
          <w:szCs w:val="21"/>
        </w:rPr>
      </w:pPr>
      <w:r>
        <w:rPr>
          <w:rFonts w:ascii="宋体" w:hAnsi="宋体" w:cs="宋体" w:eastAsia="宋体" w:hint="default"/>
          <w:b/>
          <w:bCs/>
          <w:w w:val="95"/>
          <w:sz w:val="21"/>
          <w:szCs w:val="21"/>
        </w:rPr>
        <w:t>6、</w:t>
        <w:tab/>
      </w:r>
      <w:r>
        <w:rPr>
          <w:rFonts w:ascii="宋体" w:hAnsi="宋体" w:cs="宋体" w:eastAsia="宋体" w:hint="default"/>
          <w:b/>
          <w:bCs/>
          <w:sz w:val="21"/>
          <w:szCs w:val="21"/>
        </w:rPr>
        <w:t>期末其他应收款中无持本公司</w:t>
      </w:r>
      <w:r>
        <w:rPr>
          <w:rFonts w:ascii="宋体" w:hAnsi="宋体" w:cs="宋体" w:eastAsia="宋体" w:hint="default"/>
          <w:b/>
          <w:bCs/>
          <w:spacing w:val="-58"/>
          <w:sz w:val="21"/>
          <w:szCs w:val="21"/>
        </w:rPr>
        <w:t> </w:t>
      </w:r>
      <w:r>
        <w:rPr>
          <w:rFonts w:ascii="宋体" w:hAnsi="宋体" w:cs="宋体" w:eastAsia="宋体" w:hint="default"/>
          <w:b/>
          <w:bCs/>
          <w:sz w:val="21"/>
          <w:szCs w:val="21"/>
        </w:rPr>
        <w:t>5％以上（含</w:t>
      </w:r>
      <w:r>
        <w:rPr>
          <w:rFonts w:ascii="宋体" w:hAnsi="宋体" w:cs="宋体" w:eastAsia="宋体" w:hint="default"/>
          <w:b/>
          <w:bCs/>
          <w:spacing w:val="-58"/>
          <w:sz w:val="21"/>
          <w:szCs w:val="21"/>
        </w:rPr>
        <w:t> </w:t>
      </w:r>
      <w:r>
        <w:rPr>
          <w:rFonts w:ascii="宋体" w:hAnsi="宋体" w:cs="宋体" w:eastAsia="宋体" w:hint="default"/>
          <w:b/>
          <w:bCs/>
          <w:sz w:val="21"/>
          <w:szCs w:val="21"/>
        </w:rPr>
        <w:t>5％）表决权股份的股东单位欠款；</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3" w:footer="1003" w:top="1540" w:bottom="1200" w:left="1300" w:right="820"/>
        </w:sect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tabs>
          <w:tab w:pos="1396" w:val="left" w:leader="none"/>
        </w:tabs>
        <w:spacing w:before="35"/>
        <w:ind w:left="857" w:right="91" w:firstLine="0"/>
        <w:jc w:val="left"/>
        <w:rPr>
          <w:rFonts w:ascii="宋体" w:hAnsi="宋体" w:cs="宋体" w:eastAsia="宋体" w:hint="default"/>
          <w:sz w:val="21"/>
          <w:szCs w:val="21"/>
        </w:rPr>
      </w:pPr>
      <w:r>
        <w:rPr/>
        <w:pict>
          <v:group style="position:absolute;margin-left:101.040001pt;margin-top:17.13426pt;width:436.5pt;height:157.5pt;mso-position-horizontal-relative:page;mso-position-vertical-relative:paragraph;z-index:-1123744" coordorigin="2021,343" coordsize="8730,3150">
            <v:group style="position:absolute;left:2050;top:358;width:5438;height:2" coordorigin="2050,358" coordsize="5438,2">
              <v:shape style="position:absolute;left:2050;top:358;width:5438;height:2" coordorigin="2050,358" coordsize="5438,0" path="m2050,358l7487,358e" filled="false" stroked="true" strokeweight="1.5pt" strokecolor="#000000">
                <v:path arrowok="t"/>
              </v:shape>
            </v:group>
            <v:group style="position:absolute;left:7487;top:358;width:1386;height:2" coordorigin="7487,358" coordsize="1386,2">
              <v:shape style="position:absolute;left:7487;top:358;width:1386;height:2" coordorigin="7487,358" coordsize="1386,0" path="m7487,358l8873,358e" filled="false" stroked="true" strokeweight="1.5pt" strokecolor="#000000">
                <v:path arrowok="t"/>
              </v:shape>
            </v:group>
            <v:group style="position:absolute;left:8873;top:358;width:1847;height:2" coordorigin="8873,358" coordsize="1847,2">
              <v:shape style="position:absolute;left:8873;top:358;width:1847;height:2" coordorigin="8873,358" coordsize="1847,0" path="m8873,358l10720,358e" filled="false" stroked="true" strokeweight="1.5pt" strokecolor="#000000">
                <v:path arrowok="t"/>
              </v:shape>
              <v:shape style="position:absolute;left:4340;top:353;width:4561;height:798" type="#_x0000_t75" stroked="false">
                <v:imagedata r:id="rId155" o:title=""/>
              </v:shape>
              <v:shape style="position:absolute;left:2021;top:1109;width:8730;height:2384" type="#_x0000_t75" stroked="false">
                <v:imagedata r:id="rId156" o:title=""/>
              </v:shape>
            </v:group>
            <w10:wrap type="none"/>
          </v:group>
        </w:pict>
      </w:r>
      <w:r>
        <w:rPr>
          <w:rFonts w:ascii="宋体" w:hAnsi="宋体" w:cs="宋体" w:eastAsia="宋体" w:hint="default"/>
          <w:b/>
          <w:bCs/>
          <w:w w:val="95"/>
          <w:sz w:val="21"/>
          <w:szCs w:val="21"/>
        </w:rPr>
        <w:t>7、</w:t>
        <w:tab/>
      </w:r>
      <w:r>
        <w:rPr>
          <w:rFonts w:ascii="宋体" w:hAnsi="宋体" w:cs="宋体" w:eastAsia="宋体" w:hint="default"/>
          <w:b/>
          <w:bCs/>
          <w:sz w:val="21"/>
          <w:szCs w:val="21"/>
        </w:rPr>
        <w:t>其他应收款金额前五名情况</w:t>
      </w:r>
      <w:r>
        <w:rPr>
          <w:rFonts w:ascii="宋体" w:hAnsi="宋体" w:cs="宋体" w:eastAsia="宋体" w:hint="default"/>
          <w:sz w:val="21"/>
          <w:szCs w:val="21"/>
        </w:rPr>
      </w:r>
    </w:p>
    <w:p>
      <w:pPr>
        <w:spacing w:line="240" w:lineRule="auto" w:before="4"/>
        <w:rPr>
          <w:rFonts w:ascii="宋体" w:hAnsi="宋体" w:cs="宋体" w:eastAsia="宋体" w:hint="default"/>
          <w:b/>
          <w:bCs/>
          <w:sz w:val="10"/>
          <w:szCs w:val="10"/>
        </w:rPr>
      </w:pPr>
    </w:p>
    <w:tbl>
      <w:tblPr>
        <w:tblW w:w="0" w:type="auto"/>
        <w:jc w:val="left"/>
        <w:tblInd w:w="735" w:type="dxa"/>
        <w:tblLayout w:type="fixed"/>
        <w:tblCellMar>
          <w:top w:w="0" w:type="dxa"/>
          <w:left w:w="0" w:type="dxa"/>
          <w:bottom w:w="0" w:type="dxa"/>
          <w:right w:w="0" w:type="dxa"/>
        </w:tblCellMar>
        <w:tblLook w:val="01E0"/>
      </w:tblPr>
      <w:tblGrid>
        <w:gridCol w:w="2244"/>
        <w:gridCol w:w="1328"/>
        <w:gridCol w:w="981"/>
        <w:gridCol w:w="848"/>
        <w:gridCol w:w="1422"/>
        <w:gridCol w:w="1862"/>
      </w:tblGrid>
      <w:tr>
        <w:trPr>
          <w:trHeight w:val="769" w:hRule="exact"/>
        </w:trPr>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715" w:right="0"/>
              <w:jc w:val="left"/>
              <w:rPr>
                <w:rFonts w:ascii="宋体" w:hAnsi="宋体" w:cs="宋体" w:eastAsia="宋体" w:hint="default"/>
                <w:sz w:val="18"/>
                <w:szCs w:val="18"/>
              </w:rPr>
            </w:pPr>
            <w:r>
              <w:rPr>
                <w:rFonts w:ascii="宋体" w:hAnsi="宋体" w:cs="宋体" w:eastAsia="宋体" w:hint="default"/>
                <w:sz w:val="18"/>
                <w:szCs w:val="18"/>
              </w:rPr>
              <w:t>债务人名称</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59"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44"/>
              <w:jc w:val="center"/>
              <w:rPr>
                <w:rFonts w:ascii="宋体" w:hAnsi="宋体" w:cs="宋体" w:eastAsia="宋体" w:hint="default"/>
                <w:sz w:val="18"/>
                <w:szCs w:val="18"/>
              </w:rPr>
            </w:pPr>
            <w:r>
              <w:rPr>
                <w:rFonts w:ascii="宋体" w:hAnsi="宋体" w:cs="宋体" w:eastAsia="宋体" w:hint="default"/>
                <w:sz w:val="18"/>
                <w:szCs w:val="18"/>
              </w:rPr>
              <w:t>金额</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267" w:right="0"/>
              <w:jc w:val="left"/>
              <w:rPr>
                <w:rFonts w:ascii="宋体" w:hAnsi="宋体" w:cs="宋体" w:eastAsia="宋体" w:hint="default"/>
                <w:sz w:val="18"/>
                <w:szCs w:val="18"/>
              </w:rPr>
            </w:pPr>
            <w:r>
              <w:rPr>
                <w:rFonts w:ascii="宋体" w:hAnsi="宋体" w:cs="宋体" w:eastAsia="宋体" w:hint="default"/>
                <w:sz w:val="18"/>
                <w:szCs w:val="18"/>
              </w:rPr>
              <w:t>年限</w:t>
            </w:r>
          </w:p>
        </w:tc>
        <w:tc>
          <w:tcPr>
            <w:tcW w:w="1422" w:type="dxa"/>
            <w:tcBorders>
              <w:top w:val="nil" w:sz="6" w:space="0" w:color="auto"/>
              <w:left w:val="nil" w:sz="6" w:space="0" w:color="auto"/>
              <w:bottom w:val="nil" w:sz="6" w:space="0" w:color="auto"/>
              <w:right w:val="nil" w:sz="6" w:space="0" w:color="auto"/>
            </w:tcBorders>
          </w:tcPr>
          <w:p>
            <w:pPr>
              <w:pStyle w:val="TableParagraph"/>
              <w:spacing w:line="386" w:lineRule="auto" w:before="44"/>
              <w:ind w:left="227" w:right="62" w:hanging="130"/>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占其他应收款总 额的比例</w:t>
            </w:r>
            <w:r>
              <w:rPr>
                <w:rFonts w:ascii="Times New Roman" w:hAnsi="Times New Roman" w:cs="Times New Roman" w:eastAsia="Times New Roman" w:hint="default"/>
                <w:sz w:val="18"/>
                <w:szCs w:val="18"/>
              </w:rPr>
              <w:t>(%)</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485" w:right="0"/>
              <w:jc w:val="left"/>
              <w:rPr>
                <w:rFonts w:ascii="宋体" w:hAnsi="宋体" w:cs="宋体" w:eastAsia="宋体" w:hint="default"/>
                <w:sz w:val="18"/>
                <w:szCs w:val="18"/>
              </w:rPr>
            </w:pPr>
            <w:r>
              <w:rPr>
                <w:rFonts w:ascii="宋体" w:hAnsi="宋体" w:cs="宋体" w:eastAsia="宋体" w:hint="default"/>
                <w:sz w:val="18"/>
                <w:szCs w:val="18"/>
              </w:rPr>
              <w:t>性质或内容</w:t>
            </w:r>
          </w:p>
        </w:tc>
      </w:tr>
      <w:tr>
        <w:trPr>
          <w:trHeight w:val="400" w:hRule="exact"/>
        </w:trPr>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8" w:right="0"/>
              <w:jc w:val="left"/>
              <w:rPr>
                <w:rFonts w:ascii="宋体" w:hAnsi="宋体" w:cs="宋体" w:eastAsia="宋体" w:hint="default"/>
                <w:sz w:val="18"/>
                <w:szCs w:val="18"/>
              </w:rPr>
            </w:pPr>
            <w:r>
              <w:rPr>
                <w:rFonts w:ascii="宋体" w:hAnsi="宋体" w:cs="宋体" w:eastAsia="宋体" w:hint="default"/>
                <w:sz w:val="18"/>
                <w:szCs w:val="18"/>
              </w:rPr>
              <w:t>招商银行（香港）分行</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4"/>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5" w:right="0"/>
              <w:jc w:val="center"/>
              <w:rPr>
                <w:rFonts w:ascii="Times New Roman" w:hAnsi="Times New Roman" w:cs="Times New Roman" w:eastAsia="Times New Roman" w:hint="default"/>
                <w:sz w:val="18"/>
                <w:szCs w:val="18"/>
              </w:rPr>
            </w:pPr>
            <w:r>
              <w:rPr>
                <w:rFonts w:ascii="Times New Roman"/>
                <w:sz w:val="18"/>
              </w:rPr>
              <w:t>11,089,978</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5"/>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86"/>
              <w:jc w:val="right"/>
              <w:rPr>
                <w:rFonts w:ascii="Times New Roman" w:hAnsi="Times New Roman" w:cs="Times New Roman" w:eastAsia="Times New Roman" w:hint="default"/>
                <w:sz w:val="18"/>
                <w:szCs w:val="18"/>
              </w:rPr>
            </w:pPr>
            <w:r>
              <w:rPr>
                <w:rFonts w:ascii="Times New Roman"/>
                <w:sz w:val="18"/>
              </w:rPr>
              <w:t>5.70</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4" w:right="0"/>
              <w:jc w:val="left"/>
              <w:rPr>
                <w:rFonts w:ascii="宋体" w:hAnsi="宋体" w:cs="宋体" w:eastAsia="宋体" w:hint="default"/>
                <w:sz w:val="18"/>
                <w:szCs w:val="18"/>
              </w:rPr>
            </w:pPr>
            <w:r>
              <w:rPr>
                <w:rFonts w:ascii="宋体" w:hAnsi="宋体" w:cs="宋体" w:eastAsia="宋体" w:hint="default"/>
                <w:sz w:val="18"/>
                <w:szCs w:val="18"/>
              </w:rPr>
              <w:t>办理信用证押金</w:t>
            </w:r>
          </w:p>
        </w:tc>
      </w:tr>
      <w:tr>
        <w:trPr>
          <w:trHeight w:val="405" w:hRule="exact"/>
        </w:trPr>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45"/>
              <w:ind w:left="5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Sesca</w:t>
            </w:r>
            <w:r>
              <w:rPr>
                <w:rFonts w:ascii="宋体" w:hAnsi="宋体" w:cs="宋体" w:eastAsia="宋体" w:hint="default"/>
                <w:sz w:val="18"/>
                <w:szCs w:val="18"/>
              </w:rPr>
              <w:t>（注）</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44"/>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50" w:right="0"/>
              <w:jc w:val="center"/>
              <w:rPr>
                <w:rFonts w:ascii="Times New Roman" w:hAnsi="Times New Roman" w:cs="Times New Roman" w:eastAsia="Times New Roman" w:hint="default"/>
                <w:sz w:val="18"/>
                <w:szCs w:val="18"/>
              </w:rPr>
            </w:pPr>
            <w:r>
              <w:rPr>
                <w:rFonts w:ascii="Times New Roman"/>
                <w:sz w:val="18"/>
              </w:rPr>
              <w:t>8,854,730</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40"/>
              <w:jc w:val="righ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86"/>
              <w:jc w:val="right"/>
              <w:rPr>
                <w:rFonts w:ascii="Times New Roman" w:hAnsi="Times New Roman" w:cs="Times New Roman" w:eastAsia="Times New Roman" w:hint="default"/>
                <w:sz w:val="18"/>
                <w:szCs w:val="18"/>
              </w:rPr>
            </w:pPr>
            <w:r>
              <w:rPr>
                <w:rFonts w:ascii="Times New Roman"/>
                <w:sz w:val="18"/>
              </w:rPr>
              <w:t>4.55</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54"/>
              <w:ind w:left="64" w:right="0"/>
              <w:jc w:val="left"/>
              <w:rPr>
                <w:rFonts w:ascii="宋体" w:hAnsi="宋体" w:cs="宋体" w:eastAsia="宋体" w:hint="default"/>
                <w:sz w:val="18"/>
                <w:szCs w:val="18"/>
              </w:rPr>
            </w:pPr>
            <w:r>
              <w:rPr>
                <w:rFonts w:ascii="宋体" w:hAnsi="宋体" w:cs="宋体" w:eastAsia="宋体" w:hint="default"/>
                <w:sz w:val="18"/>
                <w:szCs w:val="18"/>
              </w:rPr>
              <w:t>外部单位往来款</w:t>
            </w:r>
          </w:p>
        </w:tc>
      </w:tr>
      <w:tr>
        <w:trPr>
          <w:trHeight w:val="390" w:hRule="exact"/>
        </w:trPr>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58" w:right="0"/>
              <w:jc w:val="left"/>
              <w:rPr>
                <w:rFonts w:ascii="宋体" w:hAnsi="宋体" w:cs="宋体" w:eastAsia="宋体" w:hint="default"/>
                <w:sz w:val="18"/>
                <w:szCs w:val="18"/>
              </w:rPr>
            </w:pPr>
            <w:r>
              <w:rPr>
                <w:rFonts w:ascii="宋体" w:hAnsi="宋体" w:cs="宋体" w:eastAsia="宋体" w:hint="default"/>
                <w:sz w:val="18"/>
                <w:szCs w:val="18"/>
              </w:rPr>
              <w:t>河南省卫生厅</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4"/>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08" w:right="0"/>
              <w:jc w:val="center"/>
              <w:rPr>
                <w:rFonts w:ascii="Times New Roman" w:hAnsi="Times New Roman" w:cs="Times New Roman" w:eastAsia="Times New Roman" w:hint="default"/>
                <w:sz w:val="18"/>
                <w:szCs w:val="18"/>
              </w:rPr>
            </w:pPr>
            <w:r>
              <w:rPr>
                <w:rFonts w:ascii="Times New Roman"/>
                <w:sz w:val="18"/>
              </w:rPr>
              <w:t>5,799,750</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5"/>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86"/>
              <w:jc w:val="right"/>
              <w:rPr>
                <w:rFonts w:ascii="Times New Roman" w:hAnsi="Times New Roman" w:cs="Times New Roman" w:eastAsia="Times New Roman" w:hint="default"/>
                <w:sz w:val="18"/>
                <w:szCs w:val="18"/>
              </w:rPr>
            </w:pPr>
            <w:r>
              <w:rPr>
                <w:rFonts w:ascii="Times New Roman"/>
                <w:sz w:val="18"/>
              </w:rPr>
              <w:t>2.98</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4" w:right="0"/>
              <w:jc w:val="left"/>
              <w:rPr>
                <w:rFonts w:ascii="宋体" w:hAnsi="宋体" w:cs="宋体" w:eastAsia="宋体" w:hint="default"/>
                <w:sz w:val="18"/>
                <w:szCs w:val="18"/>
              </w:rPr>
            </w:pPr>
            <w:r>
              <w:rPr>
                <w:rFonts w:ascii="宋体" w:hAnsi="宋体" w:cs="宋体" w:eastAsia="宋体" w:hint="default"/>
                <w:sz w:val="18"/>
                <w:szCs w:val="18"/>
              </w:rPr>
              <w:t>保证金</w:t>
            </w:r>
          </w:p>
        </w:tc>
      </w:tr>
      <w:tr>
        <w:trPr>
          <w:trHeight w:val="390" w:hRule="exact"/>
        </w:trPr>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Pishro Darman Saz Co.,</w:t>
            </w:r>
            <w:r>
              <w:rPr>
                <w:rFonts w:ascii="Times New Roman"/>
                <w:spacing w:val="-7"/>
                <w:sz w:val="18"/>
              </w:rPr>
              <w:t> </w:t>
            </w:r>
            <w:r>
              <w:rPr>
                <w:rFonts w:ascii="Times New Roman"/>
                <w:sz w:val="18"/>
              </w:rPr>
              <w:t>Ltd</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4"/>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08" w:right="0"/>
              <w:jc w:val="center"/>
              <w:rPr>
                <w:rFonts w:ascii="Times New Roman" w:hAnsi="Times New Roman" w:cs="Times New Roman" w:eastAsia="Times New Roman" w:hint="default"/>
                <w:sz w:val="18"/>
                <w:szCs w:val="18"/>
              </w:rPr>
            </w:pPr>
            <w:r>
              <w:rPr>
                <w:rFonts w:ascii="Times New Roman"/>
                <w:sz w:val="18"/>
              </w:rPr>
              <w:t>3,299,681</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5"/>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86"/>
              <w:jc w:val="right"/>
              <w:rPr>
                <w:rFonts w:ascii="Times New Roman" w:hAnsi="Times New Roman" w:cs="Times New Roman" w:eastAsia="Times New Roman" w:hint="default"/>
                <w:sz w:val="18"/>
                <w:szCs w:val="18"/>
              </w:rPr>
            </w:pPr>
            <w:r>
              <w:rPr>
                <w:rFonts w:ascii="Times New Roman"/>
                <w:sz w:val="18"/>
              </w:rPr>
              <w:t>1.70</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4" w:right="0"/>
              <w:jc w:val="left"/>
              <w:rPr>
                <w:rFonts w:ascii="宋体" w:hAnsi="宋体" w:cs="宋体" w:eastAsia="宋体" w:hint="default"/>
                <w:sz w:val="18"/>
                <w:szCs w:val="18"/>
              </w:rPr>
            </w:pPr>
            <w:r>
              <w:rPr>
                <w:rFonts w:ascii="宋体" w:hAnsi="宋体" w:cs="宋体" w:eastAsia="宋体" w:hint="default"/>
                <w:sz w:val="18"/>
                <w:szCs w:val="18"/>
              </w:rPr>
              <w:t>外部单位往来款</w:t>
            </w:r>
          </w:p>
        </w:tc>
      </w:tr>
      <w:tr>
        <w:trPr>
          <w:trHeight w:val="390" w:hRule="exact"/>
        </w:trPr>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58" w:right="0"/>
              <w:jc w:val="left"/>
              <w:rPr>
                <w:rFonts w:ascii="宋体" w:hAnsi="宋体" w:cs="宋体" w:eastAsia="宋体" w:hint="default"/>
                <w:sz w:val="18"/>
                <w:szCs w:val="18"/>
              </w:rPr>
            </w:pPr>
            <w:r>
              <w:rPr>
                <w:rFonts w:ascii="宋体" w:hAnsi="宋体" w:cs="宋体" w:eastAsia="宋体" w:hint="default"/>
                <w:sz w:val="18"/>
                <w:szCs w:val="18"/>
              </w:rPr>
              <w:t>云南省医学信息研究所</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4"/>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08" w:right="0"/>
              <w:jc w:val="center"/>
              <w:rPr>
                <w:rFonts w:ascii="Times New Roman" w:hAnsi="Times New Roman" w:cs="Times New Roman" w:eastAsia="Times New Roman" w:hint="default"/>
                <w:sz w:val="18"/>
                <w:szCs w:val="18"/>
              </w:rPr>
            </w:pPr>
            <w:r>
              <w:rPr>
                <w:rFonts w:ascii="Times New Roman"/>
                <w:sz w:val="18"/>
              </w:rPr>
              <w:t>1,473,212</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5"/>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86"/>
              <w:jc w:val="right"/>
              <w:rPr>
                <w:rFonts w:ascii="Times New Roman" w:hAnsi="Times New Roman" w:cs="Times New Roman" w:eastAsia="Times New Roman" w:hint="default"/>
                <w:sz w:val="18"/>
                <w:szCs w:val="18"/>
              </w:rPr>
            </w:pPr>
            <w:r>
              <w:rPr>
                <w:rFonts w:ascii="Times New Roman"/>
                <w:sz w:val="18"/>
              </w:rPr>
              <w:t>0.75</w:t>
            </w: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4" w:right="0"/>
              <w:jc w:val="left"/>
              <w:rPr>
                <w:rFonts w:ascii="宋体" w:hAnsi="宋体" w:cs="宋体" w:eastAsia="宋体" w:hint="default"/>
                <w:sz w:val="18"/>
                <w:szCs w:val="18"/>
              </w:rPr>
            </w:pPr>
            <w:r>
              <w:rPr>
                <w:rFonts w:ascii="宋体" w:hAnsi="宋体" w:cs="宋体" w:eastAsia="宋体" w:hint="default"/>
                <w:sz w:val="18"/>
                <w:szCs w:val="18"/>
              </w:rPr>
              <w:t>保证金</w:t>
            </w:r>
          </w:p>
        </w:tc>
      </w:tr>
      <w:tr>
        <w:trPr>
          <w:trHeight w:val="319" w:hRule="exact"/>
        </w:trPr>
        <w:tc>
          <w:tcPr>
            <w:tcW w:w="2244" w:type="dxa"/>
            <w:tcBorders>
              <w:top w:val="nil" w:sz="6" w:space="0" w:color="auto"/>
              <w:left w:val="nil" w:sz="6" w:space="0" w:color="auto"/>
              <w:bottom w:val="single" w:sz="12" w:space="0" w:color="000000"/>
              <w:right w:val="nil" w:sz="6" w:space="0" w:color="auto"/>
            </w:tcBorders>
          </w:tcPr>
          <w:p>
            <w:pPr>
              <w:pStyle w:val="TableParagraph"/>
              <w:tabs>
                <w:tab w:pos="484" w:val="left" w:leader="none"/>
              </w:tabs>
              <w:spacing w:line="240" w:lineRule="auto" w:before="39"/>
              <w:ind w:left="34"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328" w:type="dxa"/>
            <w:tcBorders>
              <w:top w:val="nil" w:sz="6" w:space="0" w:color="auto"/>
              <w:left w:val="nil" w:sz="6" w:space="0" w:color="auto"/>
              <w:bottom w:val="single" w:sz="12" w:space="0" w:color="000000"/>
              <w:right w:val="nil" w:sz="6" w:space="0" w:color="auto"/>
            </w:tcBorders>
          </w:tcPr>
          <w:p>
            <w:pPr/>
          </w:p>
        </w:tc>
        <w:tc>
          <w:tcPr>
            <w:tcW w:w="981"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left="18" w:right="0"/>
              <w:jc w:val="center"/>
              <w:rPr>
                <w:rFonts w:ascii="Times New Roman" w:hAnsi="Times New Roman" w:cs="Times New Roman" w:eastAsia="Times New Roman" w:hint="default"/>
                <w:sz w:val="18"/>
                <w:szCs w:val="18"/>
              </w:rPr>
            </w:pPr>
            <w:r>
              <w:rPr>
                <w:rFonts w:ascii="Times New Roman"/>
                <w:sz w:val="18"/>
              </w:rPr>
              <w:t>30,517,351</w:t>
            </w:r>
          </w:p>
        </w:tc>
        <w:tc>
          <w:tcPr>
            <w:tcW w:w="848" w:type="dxa"/>
            <w:tcBorders>
              <w:top w:val="nil" w:sz="6" w:space="0" w:color="auto"/>
              <w:left w:val="nil" w:sz="6" w:space="0" w:color="auto"/>
              <w:bottom w:val="single" w:sz="12" w:space="0" w:color="000000"/>
              <w:right w:val="nil" w:sz="6" w:space="0" w:color="auto"/>
            </w:tcBorders>
          </w:tcPr>
          <w:p>
            <w:pPr/>
          </w:p>
        </w:tc>
        <w:tc>
          <w:tcPr>
            <w:tcW w:w="1422"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87"/>
              <w:jc w:val="right"/>
              <w:rPr>
                <w:rFonts w:ascii="Times New Roman" w:hAnsi="Times New Roman" w:cs="Times New Roman" w:eastAsia="Times New Roman" w:hint="default"/>
                <w:sz w:val="18"/>
                <w:szCs w:val="18"/>
              </w:rPr>
            </w:pPr>
            <w:r>
              <w:rPr>
                <w:rFonts w:ascii="Times New Roman"/>
                <w:sz w:val="18"/>
              </w:rPr>
              <w:t>15.68</w:t>
            </w:r>
          </w:p>
        </w:tc>
        <w:tc>
          <w:tcPr>
            <w:tcW w:w="1862" w:type="dxa"/>
            <w:tcBorders>
              <w:top w:val="nil" w:sz="6" w:space="0" w:color="auto"/>
              <w:left w:val="nil" w:sz="6" w:space="0" w:color="auto"/>
              <w:bottom w:val="single" w:sz="12" w:space="0" w:color="000000"/>
              <w:right w:val="nil" w:sz="6" w:space="0" w:color="auto"/>
            </w:tcBorders>
          </w:tcPr>
          <w:p>
            <w:pPr/>
          </w:p>
        </w:tc>
      </w:tr>
    </w:tbl>
    <w:p>
      <w:pPr>
        <w:pStyle w:val="BodyText"/>
        <w:spacing w:line="240" w:lineRule="auto" w:before="78"/>
        <w:ind w:left="857" w:right="91"/>
        <w:jc w:val="left"/>
      </w:pPr>
      <w:r>
        <w:rPr/>
        <w:t>注：该笔应收款项已于报告期内全额计提减值损失；</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pStyle w:val="Heading6"/>
        <w:tabs>
          <w:tab w:pos="1395" w:val="left" w:leader="none"/>
        </w:tabs>
        <w:spacing w:line="240" w:lineRule="auto" w:before="0"/>
        <w:ind w:right="91"/>
        <w:jc w:val="left"/>
        <w:rPr>
          <w:b w:val="0"/>
          <w:bCs w:val="0"/>
        </w:rPr>
      </w:pPr>
      <w:r>
        <w:rPr>
          <w:w w:val="95"/>
        </w:rPr>
        <w:t>8、</w:t>
        <w:tab/>
      </w:r>
      <w:r>
        <w:rPr/>
        <w:t>本报告期应收关联方账款情况</w:t>
      </w:r>
      <w:r>
        <w:rPr>
          <w:b w:val="0"/>
          <w:bCs w:val="0"/>
        </w:rPr>
      </w:r>
    </w:p>
    <w:p>
      <w:pPr>
        <w:tabs>
          <w:tab w:pos="1395" w:val="left" w:leader="none"/>
        </w:tabs>
        <w:spacing w:line="645" w:lineRule="auto" w:before="105"/>
        <w:ind w:left="857" w:right="256" w:firstLine="542"/>
        <w:jc w:val="left"/>
        <w:rPr>
          <w:rFonts w:ascii="宋体" w:hAnsi="宋体" w:cs="宋体" w:eastAsia="宋体" w:hint="default"/>
          <w:sz w:val="21"/>
          <w:szCs w:val="21"/>
        </w:rPr>
      </w:pPr>
      <w:r>
        <w:rPr>
          <w:rFonts w:ascii="宋体" w:hAnsi="宋体" w:cs="宋体" w:eastAsia="宋体" w:hint="default"/>
          <w:spacing w:val="-1"/>
          <w:sz w:val="21"/>
          <w:szCs w:val="21"/>
        </w:rPr>
        <w:t>应收关联方账款</w:t>
      </w:r>
      <w:r>
        <w:rPr>
          <w:rFonts w:ascii="宋体" w:hAnsi="宋体" w:cs="宋体" w:eastAsia="宋体" w:hint="default"/>
          <w:spacing w:val="-52"/>
          <w:sz w:val="21"/>
          <w:szCs w:val="21"/>
        </w:rPr>
        <w:t> </w:t>
      </w:r>
      <w:r>
        <w:rPr>
          <w:rFonts w:ascii="宋体" w:hAnsi="宋体" w:cs="宋体" w:eastAsia="宋体" w:hint="default"/>
          <w:spacing w:val="-1"/>
          <w:sz w:val="21"/>
          <w:szCs w:val="21"/>
        </w:rPr>
        <w:t>50,000</w:t>
      </w:r>
      <w:r>
        <w:rPr>
          <w:rFonts w:ascii="宋体" w:hAnsi="宋体" w:cs="宋体" w:eastAsia="宋体" w:hint="default"/>
          <w:spacing w:val="-52"/>
          <w:sz w:val="21"/>
          <w:szCs w:val="21"/>
        </w:rPr>
        <w:t> </w:t>
      </w:r>
      <w:r>
        <w:rPr>
          <w:rFonts w:ascii="宋体" w:hAnsi="宋体" w:cs="宋体" w:eastAsia="宋体" w:hint="default"/>
          <w:spacing w:val="-1"/>
          <w:sz w:val="21"/>
          <w:szCs w:val="21"/>
        </w:rPr>
        <w:t>元，占其他应收款期末余额的</w:t>
      </w:r>
      <w:r>
        <w:rPr>
          <w:rFonts w:ascii="宋体" w:hAnsi="宋体" w:cs="宋体" w:eastAsia="宋体" w:hint="default"/>
          <w:spacing w:val="-52"/>
          <w:sz w:val="21"/>
          <w:szCs w:val="21"/>
        </w:rPr>
        <w:t> </w:t>
      </w:r>
      <w:r>
        <w:rPr>
          <w:rFonts w:ascii="宋体" w:hAnsi="宋体" w:cs="宋体" w:eastAsia="宋体" w:hint="default"/>
          <w:spacing w:val="-7"/>
          <w:sz w:val="21"/>
          <w:szCs w:val="21"/>
        </w:rPr>
        <w:t>0.03%，详见附注七（四）、12；</w:t>
      </w:r>
      <w:r>
        <w:rPr>
          <w:rFonts w:ascii="宋体" w:hAnsi="宋体" w:cs="宋体" w:eastAsia="宋体" w:hint="default"/>
          <w:spacing w:val="-1"/>
          <w:sz w:val="21"/>
          <w:szCs w:val="21"/>
        </w:rPr>
        <w:t> </w:t>
      </w:r>
      <w:r>
        <w:rPr>
          <w:rFonts w:ascii="宋体" w:hAnsi="宋体" w:cs="宋体" w:eastAsia="宋体" w:hint="default"/>
          <w:b/>
          <w:bCs/>
          <w:w w:val="95"/>
          <w:sz w:val="21"/>
          <w:szCs w:val="21"/>
        </w:rPr>
        <w:t>9、</w:t>
        <w:tab/>
      </w:r>
      <w:r>
        <w:rPr>
          <w:rFonts w:ascii="宋体" w:hAnsi="宋体" w:cs="宋体" w:eastAsia="宋体" w:hint="default"/>
          <w:b/>
          <w:bCs/>
          <w:sz w:val="21"/>
          <w:szCs w:val="21"/>
        </w:rPr>
        <w:t>本报告期无终止确认其他应收款项的情况。</w:t>
      </w:r>
      <w:r>
        <w:rPr>
          <w:rFonts w:ascii="宋体" w:hAnsi="宋体" w:cs="宋体" w:eastAsia="宋体" w:hint="default"/>
          <w:sz w:val="21"/>
          <w:szCs w:val="21"/>
        </w:rPr>
      </w:r>
    </w:p>
    <w:p>
      <w:pPr>
        <w:pStyle w:val="Heading6"/>
        <w:tabs>
          <w:tab w:pos="853" w:val="left" w:leader="none"/>
        </w:tabs>
        <w:spacing w:line="240" w:lineRule="auto" w:before="110"/>
        <w:ind w:left="125" w:right="91"/>
        <w:jc w:val="left"/>
        <w:rPr>
          <w:b w:val="0"/>
          <w:bCs w:val="0"/>
        </w:rPr>
      </w:pPr>
      <w:r>
        <w:rPr>
          <w:w w:val="95"/>
        </w:rPr>
        <w:t>(六)</w:t>
        <w:tab/>
      </w:r>
      <w:r>
        <w:rPr/>
        <w:t>预付款项</w:t>
      </w:r>
      <w:r>
        <w:rPr>
          <w:b w:val="0"/>
          <w:bCs w:val="0"/>
        </w:rPr>
      </w:r>
    </w:p>
    <w:p>
      <w:pPr>
        <w:tabs>
          <w:tab w:pos="1395" w:val="left" w:leader="none"/>
        </w:tabs>
        <w:spacing w:before="105"/>
        <w:ind w:left="857" w:right="91" w:firstLine="0"/>
        <w:jc w:val="left"/>
        <w:rPr>
          <w:rFonts w:ascii="宋体" w:hAnsi="宋体" w:cs="宋体" w:eastAsia="宋体" w:hint="default"/>
          <w:sz w:val="21"/>
          <w:szCs w:val="21"/>
        </w:rPr>
      </w:pPr>
      <w:r>
        <w:rPr/>
        <w:pict>
          <v:group style="position:absolute;margin-left:101.040001pt;margin-top:20.57473pt;width:430.15pt;height:137.550pt;mso-position-horizontal-relative:page;mso-position-vertical-relative:paragraph;z-index:-1123672" coordorigin="2021,411" coordsize="8603,2751">
            <v:group style="position:absolute;left:2050;top:426;width:8548;height:2" coordorigin="2050,426" coordsize="8548,2">
              <v:shape style="position:absolute;left:2050;top:426;width:8548;height:2" coordorigin="2050,426" coordsize="8548,0" path="m2050,426l10597,426e" filled="false" stroked="true" strokeweight="1.5pt" strokecolor="#000000">
                <v:path arrowok="t"/>
              </v:shape>
              <v:shape style="position:absolute;left:4333;top:418;width:3233;height:427" type="#_x0000_t75" stroked="false">
                <v:imagedata r:id="rId157" o:title=""/>
              </v:shape>
              <v:shape style="position:absolute;left:4333;top:798;width:6290;height:437" type="#_x0000_t75" stroked="false">
                <v:imagedata r:id="rId158" o:title=""/>
              </v:shape>
              <v:shape style="position:absolute;left:2021;top:1188;width:8602;height:1973" type="#_x0000_t75" stroked="false">
                <v:imagedata r:id="rId159" o:title=""/>
              </v:shape>
              <v:shape style="position:absolute;left:5588;top:6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707;top:6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rFonts w:ascii="宋体" w:hAnsi="宋体" w:cs="宋体" w:eastAsia="宋体" w:hint="default"/>
          <w:b/>
          <w:bCs/>
          <w:w w:val="95"/>
          <w:sz w:val="21"/>
          <w:szCs w:val="21"/>
        </w:rPr>
        <w:t>1、</w:t>
        <w:tab/>
      </w:r>
      <w:r>
        <w:rPr>
          <w:rFonts w:ascii="宋体" w:hAnsi="宋体" w:cs="宋体" w:eastAsia="宋体" w:hint="default"/>
          <w:b/>
          <w:bCs/>
          <w:sz w:val="21"/>
          <w:szCs w:val="21"/>
        </w:rPr>
        <w:t>预付款项按账龄列示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2"/>
          <w:szCs w:val="12"/>
        </w:rPr>
      </w:pPr>
    </w:p>
    <w:tbl>
      <w:tblPr>
        <w:tblW w:w="0" w:type="auto"/>
        <w:jc w:val="left"/>
        <w:tblInd w:w="735" w:type="dxa"/>
        <w:tblLayout w:type="fixed"/>
        <w:tblCellMar>
          <w:top w:w="0" w:type="dxa"/>
          <w:left w:w="0" w:type="dxa"/>
          <w:bottom w:w="0" w:type="dxa"/>
          <w:right w:w="0" w:type="dxa"/>
        </w:tblCellMar>
        <w:tblLook w:val="01E0"/>
      </w:tblPr>
      <w:tblGrid>
        <w:gridCol w:w="803"/>
        <w:gridCol w:w="367"/>
        <w:gridCol w:w="1079"/>
        <w:gridCol w:w="2029"/>
        <w:gridCol w:w="1502"/>
        <w:gridCol w:w="617"/>
        <w:gridCol w:w="1058"/>
        <w:gridCol w:w="1106"/>
      </w:tblGrid>
      <w:tr>
        <w:trPr>
          <w:trHeight w:val="484" w:hRule="exact"/>
        </w:trPr>
        <w:tc>
          <w:tcPr>
            <w:tcW w:w="803" w:type="dxa"/>
            <w:tcBorders>
              <w:top w:val="nil" w:sz="6" w:space="0" w:color="auto"/>
              <w:left w:val="nil" w:sz="6" w:space="0" w:color="auto"/>
              <w:bottom w:val="nil" w:sz="6" w:space="0" w:color="auto"/>
              <w:right w:val="nil" w:sz="6" w:space="0" w:color="auto"/>
            </w:tcBorders>
          </w:tcPr>
          <w:p>
            <w:pPr/>
          </w:p>
        </w:tc>
        <w:tc>
          <w:tcPr>
            <w:tcW w:w="367" w:type="dxa"/>
            <w:tcBorders>
              <w:top w:val="nil" w:sz="6" w:space="0" w:color="auto"/>
              <w:left w:val="nil" w:sz="6" w:space="0" w:color="auto"/>
              <w:bottom w:val="nil" w:sz="6" w:space="0" w:color="auto"/>
              <w:right w:val="nil" w:sz="6" w:space="0" w:color="auto"/>
            </w:tcBorders>
          </w:tcPr>
          <w:p>
            <w:pPr>
              <w:pStyle w:val="TableParagraph"/>
              <w:spacing w:line="180" w:lineRule="exact"/>
              <w:ind w:left="6" w:right="0"/>
              <w:jc w:val="left"/>
              <w:rPr>
                <w:rFonts w:ascii="宋体" w:hAnsi="宋体" w:cs="宋体" w:eastAsia="宋体" w:hint="default"/>
                <w:sz w:val="18"/>
                <w:szCs w:val="18"/>
              </w:rPr>
            </w:pPr>
            <w:r>
              <w:rPr>
                <w:rFonts w:ascii="宋体" w:hAnsi="宋体" w:cs="宋体" w:eastAsia="宋体" w:hint="default"/>
                <w:sz w:val="18"/>
                <w:szCs w:val="18"/>
              </w:rPr>
              <w:t>账</w:t>
            </w:r>
          </w:p>
        </w:tc>
        <w:tc>
          <w:tcPr>
            <w:tcW w:w="1079" w:type="dxa"/>
            <w:tcBorders>
              <w:top w:val="nil" w:sz="6" w:space="0" w:color="auto"/>
              <w:left w:val="nil" w:sz="6" w:space="0" w:color="auto"/>
              <w:bottom w:val="nil" w:sz="6" w:space="0" w:color="auto"/>
              <w:right w:val="nil" w:sz="6" w:space="0" w:color="auto"/>
            </w:tcBorders>
          </w:tcPr>
          <w:p>
            <w:pPr>
              <w:pStyle w:val="TableParagraph"/>
              <w:spacing w:line="180" w:lineRule="exact"/>
              <w:ind w:left="180" w:right="0"/>
              <w:jc w:val="left"/>
              <w:rPr>
                <w:rFonts w:ascii="宋体" w:hAnsi="宋体" w:cs="宋体" w:eastAsia="宋体" w:hint="default"/>
                <w:sz w:val="18"/>
                <w:szCs w:val="18"/>
              </w:rPr>
            </w:pPr>
            <w:r>
              <w:rPr>
                <w:rFonts w:ascii="宋体" w:hAnsi="宋体" w:cs="宋体" w:eastAsia="宋体" w:hint="default"/>
                <w:sz w:val="18"/>
                <w:szCs w:val="18"/>
              </w:rPr>
              <w:t>龄</w:t>
            </w:r>
          </w:p>
        </w:tc>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48"/>
              <w:jc w:val="center"/>
              <w:rPr>
                <w:rFonts w:ascii="宋体" w:hAnsi="宋体" w:cs="宋体" w:eastAsia="宋体" w:hint="default"/>
                <w:sz w:val="18"/>
                <w:szCs w:val="18"/>
              </w:rPr>
            </w:pPr>
            <w:r>
              <w:rPr>
                <w:rFonts w:ascii="宋体" w:hAnsi="宋体" w:cs="宋体" w:eastAsia="宋体" w:hint="default"/>
                <w:sz w:val="18"/>
                <w:szCs w:val="18"/>
              </w:rPr>
              <w:t>金  额</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23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617"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385" w:right="0"/>
              <w:jc w:val="left"/>
              <w:rPr>
                <w:rFonts w:ascii="宋体" w:hAnsi="宋体" w:cs="宋体" w:eastAsia="宋体" w:hint="default"/>
                <w:sz w:val="18"/>
                <w:szCs w:val="18"/>
              </w:rPr>
            </w:pPr>
            <w:r>
              <w:rPr>
                <w:rFonts w:ascii="宋体" w:hAnsi="宋体" w:cs="宋体" w:eastAsia="宋体" w:hint="default"/>
                <w:sz w:val="18"/>
                <w:szCs w:val="18"/>
              </w:rPr>
              <w:t>金</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27"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19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395" w:hRule="exact"/>
        </w:trPr>
        <w:tc>
          <w:tcPr>
            <w:tcW w:w="80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36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31"/>
              <w:jc w:val="right"/>
              <w:rPr>
                <w:rFonts w:ascii="Times New Roman" w:hAnsi="Times New Roman" w:cs="Times New Roman" w:eastAsia="Times New Roman" w:hint="default"/>
                <w:sz w:val="18"/>
                <w:szCs w:val="18"/>
              </w:rPr>
            </w:pPr>
            <w:r>
              <w:rPr>
                <w:rFonts w:ascii="Times New Roman"/>
                <w:sz w:val="18"/>
              </w:rPr>
              <w:t>55,337,045</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83"/>
              <w:jc w:val="right"/>
              <w:rPr>
                <w:rFonts w:ascii="Times New Roman" w:hAnsi="Times New Roman" w:cs="Times New Roman" w:eastAsia="Times New Roman" w:hint="default"/>
                <w:sz w:val="18"/>
                <w:szCs w:val="18"/>
              </w:rPr>
            </w:pPr>
            <w:r>
              <w:rPr>
                <w:rFonts w:ascii="Times New Roman"/>
                <w:sz w:val="18"/>
              </w:rPr>
              <w:t>96.55</w:t>
            </w:r>
          </w:p>
        </w:tc>
        <w:tc>
          <w:tcPr>
            <w:tcW w:w="617" w:type="dxa"/>
            <w:tcBorders>
              <w:top w:val="nil" w:sz="6" w:space="0" w:color="auto"/>
              <w:left w:val="nil" w:sz="6" w:space="0" w:color="auto"/>
              <w:bottom w:val="nil" w:sz="6" w:space="0" w:color="auto"/>
              <w:right w:val="nil" w:sz="6" w:space="0" w:color="auto"/>
            </w:tcBorders>
          </w:tcPr>
          <w:p>
            <w:pP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96"/>
              <w:ind w:left="52" w:right="0"/>
              <w:jc w:val="left"/>
              <w:rPr>
                <w:rFonts w:ascii="Times New Roman" w:hAnsi="Times New Roman" w:cs="Times New Roman" w:eastAsia="Times New Roman" w:hint="default"/>
                <w:sz w:val="18"/>
                <w:szCs w:val="18"/>
              </w:rPr>
            </w:pPr>
            <w:r>
              <w:rPr>
                <w:rFonts w:ascii="Times New Roman"/>
                <w:sz w:val="18"/>
              </w:rPr>
              <w:t>42,366,359</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z w:val="18"/>
              </w:rPr>
              <w:t>81.68</w:t>
            </w:r>
          </w:p>
        </w:tc>
      </w:tr>
      <w:tr>
        <w:trPr>
          <w:trHeight w:val="390" w:hRule="exact"/>
        </w:trPr>
        <w:tc>
          <w:tcPr>
            <w:tcW w:w="80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6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31"/>
              <w:jc w:val="right"/>
              <w:rPr>
                <w:rFonts w:ascii="Times New Roman" w:hAnsi="Times New Roman" w:cs="Times New Roman" w:eastAsia="Times New Roman" w:hint="default"/>
                <w:sz w:val="18"/>
                <w:szCs w:val="18"/>
              </w:rPr>
            </w:pPr>
            <w:r>
              <w:rPr>
                <w:rFonts w:ascii="Times New Roman"/>
                <w:sz w:val="18"/>
              </w:rPr>
              <w:t>1,434,498</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83"/>
              <w:jc w:val="right"/>
              <w:rPr>
                <w:rFonts w:ascii="Times New Roman" w:hAnsi="Times New Roman" w:cs="Times New Roman" w:eastAsia="Times New Roman" w:hint="default"/>
                <w:sz w:val="18"/>
                <w:szCs w:val="18"/>
              </w:rPr>
            </w:pPr>
            <w:r>
              <w:rPr>
                <w:rFonts w:ascii="Times New Roman"/>
                <w:sz w:val="18"/>
              </w:rPr>
              <w:t>2.50</w:t>
            </w:r>
          </w:p>
        </w:tc>
        <w:tc>
          <w:tcPr>
            <w:tcW w:w="617" w:type="dxa"/>
            <w:tcBorders>
              <w:top w:val="nil" w:sz="6" w:space="0" w:color="auto"/>
              <w:left w:val="nil" w:sz="6" w:space="0" w:color="auto"/>
              <w:bottom w:val="nil" w:sz="6" w:space="0" w:color="auto"/>
              <w:right w:val="nil" w:sz="6" w:space="0" w:color="auto"/>
            </w:tcBorders>
          </w:tcPr>
          <w:p>
            <w:pP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92"/>
              <w:jc w:val="right"/>
              <w:rPr>
                <w:rFonts w:ascii="Times New Roman" w:hAnsi="Times New Roman" w:cs="Times New Roman" w:eastAsia="Times New Roman" w:hint="default"/>
                <w:sz w:val="18"/>
                <w:szCs w:val="18"/>
              </w:rPr>
            </w:pPr>
            <w:r>
              <w:rPr>
                <w:rFonts w:ascii="Times New Roman"/>
                <w:sz w:val="18"/>
              </w:rPr>
              <w:t>6,020,193</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pacing w:val="-2"/>
                <w:sz w:val="18"/>
              </w:rPr>
              <w:t>11.60</w:t>
            </w:r>
          </w:p>
        </w:tc>
      </w:tr>
      <w:tr>
        <w:trPr>
          <w:trHeight w:val="390" w:hRule="exact"/>
        </w:trPr>
        <w:tc>
          <w:tcPr>
            <w:tcW w:w="80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6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31"/>
              <w:jc w:val="right"/>
              <w:rPr>
                <w:rFonts w:ascii="Times New Roman" w:hAnsi="Times New Roman" w:cs="Times New Roman" w:eastAsia="Times New Roman" w:hint="default"/>
                <w:sz w:val="18"/>
                <w:szCs w:val="18"/>
              </w:rPr>
            </w:pPr>
            <w:r>
              <w:rPr>
                <w:rFonts w:ascii="Times New Roman"/>
                <w:sz w:val="18"/>
              </w:rPr>
              <w:t>250,525</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83"/>
              <w:jc w:val="right"/>
              <w:rPr>
                <w:rFonts w:ascii="Times New Roman" w:hAnsi="Times New Roman" w:cs="Times New Roman" w:eastAsia="Times New Roman" w:hint="default"/>
                <w:sz w:val="18"/>
                <w:szCs w:val="18"/>
              </w:rPr>
            </w:pPr>
            <w:r>
              <w:rPr>
                <w:rFonts w:ascii="Times New Roman"/>
                <w:sz w:val="18"/>
              </w:rPr>
              <w:t>0.44</w:t>
            </w:r>
          </w:p>
        </w:tc>
        <w:tc>
          <w:tcPr>
            <w:tcW w:w="617" w:type="dxa"/>
            <w:tcBorders>
              <w:top w:val="nil" w:sz="6" w:space="0" w:color="auto"/>
              <w:left w:val="nil" w:sz="6" w:space="0" w:color="auto"/>
              <w:bottom w:val="nil" w:sz="6" w:space="0" w:color="auto"/>
              <w:right w:val="nil" w:sz="6" w:space="0" w:color="auto"/>
            </w:tcBorders>
          </w:tcPr>
          <w:p>
            <w:pP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92"/>
              <w:jc w:val="right"/>
              <w:rPr>
                <w:rFonts w:ascii="Times New Roman" w:hAnsi="Times New Roman" w:cs="Times New Roman" w:eastAsia="Times New Roman" w:hint="default"/>
                <w:sz w:val="18"/>
                <w:szCs w:val="18"/>
              </w:rPr>
            </w:pPr>
            <w:r>
              <w:rPr>
                <w:rFonts w:ascii="Times New Roman"/>
                <w:sz w:val="18"/>
              </w:rPr>
              <w:t>3,223,287</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z w:val="18"/>
              </w:rPr>
              <w:t>6.21</w:t>
            </w:r>
          </w:p>
        </w:tc>
      </w:tr>
      <w:tr>
        <w:trPr>
          <w:trHeight w:val="390" w:hRule="exact"/>
        </w:trPr>
        <w:tc>
          <w:tcPr>
            <w:tcW w:w="80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67" w:type="dxa"/>
            <w:tcBorders>
              <w:top w:val="nil" w:sz="6" w:space="0" w:color="auto"/>
              <w:left w:val="nil" w:sz="6" w:space="0" w:color="auto"/>
              <w:bottom w:val="nil" w:sz="6" w:space="0" w:color="auto"/>
              <w:right w:val="nil" w:sz="6" w:space="0" w:color="auto"/>
            </w:tcBorders>
          </w:tcPr>
          <w:p>
            <w:pPr/>
          </w:p>
        </w:tc>
        <w:tc>
          <w:tcPr>
            <w:tcW w:w="1079" w:type="dxa"/>
            <w:tcBorders>
              <w:top w:val="nil" w:sz="6" w:space="0" w:color="auto"/>
              <w:left w:val="nil" w:sz="6" w:space="0" w:color="auto"/>
              <w:bottom w:val="nil" w:sz="6" w:space="0" w:color="auto"/>
              <w:right w:val="nil" w:sz="6" w:space="0" w:color="auto"/>
            </w:tcBorders>
          </w:tcPr>
          <w:p>
            <w:pPr/>
          </w:p>
        </w:tc>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31"/>
              <w:jc w:val="right"/>
              <w:rPr>
                <w:rFonts w:ascii="Times New Roman" w:hAnsi="Times New Roman" w:cs="Times New Roman" w:eastAsia="Times New Roman" w:hint="default"/>
                <w:sz w:val="18"/>
                <w:szCs w:val="18"/>
              </w:rPr>
            </w:pPr>
            <w:r>
              <w:rPr>
                <w:rFonts w:ascii="Times New Roman"/>
                <w:sz w:val="18"/>
              </w:rPr>
              <w:t>290,019</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83"/>
              <w:jc w:val="right"/>
              <w:rPr>
                <w:rFonts w:ascii="Times New Roman" w:hAnsi="Times New Roman" w:cs="Times New Roman" w:eastAsia="Times New Roman" w:hint="default"/>
                <w:sz w:val="18"/>
                <w:szCs w:val="18"/>
              </w:rPr>
            </w:pPr>
            <w:r>
              <w:rPr>
                <w:rFonts w:ascii="Times New Roman"/>
                <w:sz w:val="18"/>
              </w:rPr>
              <w:t>0.51</w:t>
            </w:r>
          </w:p>
        </w:tc>
        <w:tc>
          <w:tcPr>
            <w:tcW w:w="617" w:type="dxa"/>
            <w:tcBorders>
              <w:top w:val="nil" w:sz="6" w:space="0" w:color="auto"/>
              <w:left w:val="nil" w:sz="6" w:space="0" w:color="auto"/>
              <w:bottom w:val="nil" w:sz="6" w:space="0" w:color="auto"/>
              <w:right w:val="nil" w:sz="6" w:space="0" w:color="auto"/>
            </w:tcBorders>
          </w:tcPr>
          <w:p>
            <w:pP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92"/>
              <w:jc w:val="right"/>
              <w:rPr>
                <w:rFonts w:ascii="Times New Roman" w:hAnsi="Times New Roman" w:cs="Times New Roman" w:eastAsia="Times New Roman" w:hint="default"/>
                <w:sz w:val="18"/>
                <w:szCs w:val="18"/>
              </w:rPr>
            </w:pPr>
            <w:r>
              <w:rPr>
                <w:rFonts w:ascii="Times New Roman"/>
                <w:sz w:val="18"/>
              </w:rPr>
              <w:t>266,022</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z w:val="18"/>
              </w:rPr>
              <w:t>0.51</w:t>
            </w:r>
          </w:p>
        </w:tc>
      </w:tr>
      <w:tr>
        <w:trPr>
          <w:trHeight w:val="319" w:hRule="exact"/>
        </w:trPr>
        <w:tc>
          <w:tcPr>
            <w:tcW w:w="803" w:type="dxa"/>
            <w:tcBorders>
              <w:top w:val="nil" w:sz="6" w:space="0" w:color="auto"/>
              <w:left w:val="nil" w:sz="6" w:space="0" w:color="auto"/>
              <w:bottom w:val="single" w:sz="12" w:space="0" w:color="000000"/>
              <w:right w:val="nil" w:sz="6" w:space="0" w:color="auto"/>
            </w:tcBorders>
          </w:tcPr>
          <w:p>
            <w:pPr/>
          </w:p>
        </w:tc>
        <w:tc>
          <w:tcPr>
            <w:tcW w:w="36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6" w:right="0"/>
              <w:jc w:val="left"/>
              <w:rPr>
                <w:rFonts w:ascii="宋体" w:hAnsi="宋体" w:cs="宋体" w:eastAsia="宋体" w:hint="default"/>
                <w:sz w:val="18"/>
                <w:szCs w:val="18"/>
              </w:rPr>
            </w:pPr>
            <w:r>
              <w:rPr>
                <w:rFonts w:ascii="宋体" w:hAnsi="宋体" w:cs="宋体" w:eastAsia="宋体" w:hint="default"/>
                <w:sz w:val="18"/>
                <w:szCs w:val="18"/>
              </w:rPr>
              <w:t>合</w:t>
            </w:r>
          </w:p>
        </w:tc>
        <w:tc>
          <w:tcPr>
            <w:tcW w:w="1079"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80"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029"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231"/>
              <w:jc w:val="right"/>
              <w:rPr>
                <w:rFonts w:ascii="Times New Roman" w:hAnsi="Times New Roman" w:cs="Times New Roman" w:eastAsia="Times New Roman" w:hint="default"/>
                <w:sz w:val="18"/>
                <w:szCs w:val="18"/>
              </w:rPr>
            </w:pPr>
            <w:r>
              <w:rPr>
                <w:rFonts w:ascii="Times New Roman"/>
                <w:sz w:val="18"/>
              </w:rPr>
              <w:t>57,312,087</w:t>
            </w:r>
          </w:p>
        </w:tc>
        <w:tc>
          <w:tcPr>
            <w:tcW w:w="1502"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383"/>
              <w:jc w:val="right"/>
              <w:rPr>
                <w:rFonts w:ascii="Times New Roman" w:hAnsi="Times New Roman" w:cs="Times New Roman" w:eastAsia="Times New Roman" w:hint="default"/>
                <w:sz w:val="18"/>
                <w:szCs w:val="18"/>
              </w:rPr>
            </w:pPr>
            <w:r>
              <w:rPr>
                <w:rFonts w:ascii="Times New Roman"/>
                <w:sz w:val="18"/>
              </w:rPr>
              <w:t>100.00</w:t>
            </w:r>
          </w:p>
        </w:tc>
        <w:tc>
          <w:tcPr>
            <w:tcW w:w="617" w:type="dxa"/>
            <w:tcBorders>
              <w:top w:val="nil" w:sz="6" w:space="0" w:color="auto"/>
              <w:left w:val="nil" w:sz="6" w:space="0" w:color="auto"/>
              <w:bottom w:val="single" w:sz="12" w:space="0" w:color="000000"/>
              <w:right w:val="nil" w:sz="6" w:space="0" w:color="auto"/>
            </w:tcBorders>
          </w:tcPr>
          <w:p>
            <w:pPr/>
          </w:p>
        </w:tc>
        <w:tc>
          <w:tcPr>
            <w:tcW w:w="1058"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51,875,861</w:t>
            </w:r>
          </w:p>
        </w:tc>
        <w:tc>
          <w:tcPr>
            <w:tcW w:w="1106"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0"/>
        <w:rPr>
          <w:rFonts w:ascii="宋体" w:hAnsi="宋体" w:cs="宋体" w:eastAsia="宋体" w:hint="default"/>
          <w:b/>
          <w:bCs/>
          <w:sz w:val="20"/>
          <w:szCs w:val="20"/>
        </w:rPr>
      </w:pPr>
    </w:p>
    <w:p>
      <w:pPr>
        <w:tabs>
          <w:tab w:pos="1395" w:val="left" w:leader="none"/>
        </w:tabs>
        <w:spacing w:before="176"/>
        <w:ind w:left="857" w:right="91" w:firstLine="0"/>
        <w:jc w:val="left"/>
        <w:rPr>
          <w:rFonts w:ascii="宋体" w:hAnsi="宋体" w:cs="宋体" w:eastAsia="宋体" w:hint="default"/>
          <w:sz w:val="21"/>
          <w:szCs w:val="21"/>
        </w:rPr>
      </w:pPr>
      <w:r>
        <w:rPr/>
        <w:pict>
          <v:group style="position:absolute;margin-left:101.040001pt;margin-top:24.124424pt;width:437.25pt;height:137.550pt;mso-position-horizontal-relative:page;mso-position-vertical-relative:paragraph;z-index:-1123648" coordorigin="2021,482" coordsize="8745,2751">
            <v:group style="position:absolute;left:2050;top:497;width:8686;height:2" coordorigin="2050,497" coordsize="8686,2">
              <v:shape style="position:absolute;left:2050;top:497;width:8686;height:2" coordorigin="2050,497" coordsize="8686,0" path="m2050,497l10735,497e" filled="false" stroked="true" strokeweight="1.5pt" strokecolor="#000000">
                <v:path arrowok="t"/>
              </v:shape>
              <v:shape style="position:absolute;left:4939;top:489;width:3667;height:427" type="#_x0000_t75" stroked="false">
                <v:imagedata r:id="rId160" o:title=""/>
              </v:shape>
              <v:shape style="position:absolute;left:2021;top:869;width:8745;height:2363" type="#_x0000_t75" stroked="false">
                <v:imagedata r:id="rId161" o:title=""/>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z w:val="21"/>
          <w:szCs w:val="21"/>
        </w:rPr>
        <w:t>预付款项金额前五名单位情况</w:t>
      </w:r>
      <w:r>
        <w:rPr>
          <w:rFonts w:ascii="宋体" w:hAnsi="宋体" w:cs="宋体" w:eastAsia="宋体" w:hint="default"/>
          <w:sz w:val="21"/>
          <w:szCs w:val="21"/>
        </w:rPr>
      </w:r>
    </w:p>
    <w:p>
      <w:pPr>
        <w:spacing w:line="240" w:lineRule="auto" w:before="3"/>
        <w:rPr>
          <w:rFonts w:ascii="宋体" w:hAnsi="宋体" w:cs="宋体" w:eastAsia="宋体" w:hint="default"/>
          <w:b/>
          <w:bCs/>
          <w:sz w:val="10"/>
          <w:szCs w:val="10"/>
        </w:rPr>
      </w:pPr>
    </w:p>
    <w:tbl>
      <w:tblPr>
        <w:tblW w:w="0" w:type="auto"/>
        <w:jc w:val="left"/>
        <w:tblInd w:w="735" w:type="dxa"/>
        <w:tblLayout w:type="fixed"/>
        <w:tblCellMar>
          <w:top w:w="0" w:type="dxa"/>
          <w:left w:w="0" w:type="dxa"/>
          <w:bottom w:w="0" w:type="dxa"/>
          <w:right w:w="0" w:type="dxa"/>
        </w:tblCellMar>
        <w:tblLook w:val="01E0"/>
      </w:tblPr>
      <w:tblGrid>
        <w:gridCol w:w="2806"/>
        <w:gridCol w:w="1540"/>
        <w:gridCol w:w="1156"/>
        <w:gridCol w:w="1096"/>
        <w:gridCol w:w="2104"/>
      </w:tblGrid>
      <w:tr>
        <w:trPr>
          <w:trHeight w:val="1175" w:hRule="exact"/>
        </w:trPr>
        <w:tc>
          <w:tcPr>
            <w:tcW w:w="2806" w:type="dxa"/>
            <w:tcBorders>
              <w:top w:val="nil" w:sz="6" w:space="0" w:color="auto"/>
              <w:left w:val="nil" w:sz="6" w:space="0" w:color="auto"/>
              <w:bottom w:val="nil" w:sz="6" w:space="0" w:color="auto"/>
              <w:right w:val="nil" w:sz="6" w:space="0" w:color="auto"/>
            </w:tcBorders>
          </w:tcPr>
          <w:p>
            <w:pPr>
              <w:pStyle w:val="TableParagraph"/>
              <w:spacing w:line="386" w:lineRule="auto" w:before="44"/>
              <w:ind w:left="122" w:right="221" w:firstLine="990"/>
              <w:jc w:val="left"/>
              <w:rPr>
                <w:rFonts w:ascii="宋体" w:hAnsi="宋体" w:cs="宋体" w:eastAsia="宋体" w:hint="default"/>
                <w:sz w:val="18"/>
                <w:szCs w:val="18"/>
              </w:rPr>
            </w:pPr>
            <w:r>
              <w:rPr>
                <w:rFonts w:ascii="宋体" w:hAnsi="宋体" w:cs="宋体" w:eastAsia="宋体" w:hint="default"/>
                <w:sz w:val="18"/>
                <w:szCs w:val="18"/>
              </w:rPr>
              <w:t>单位名称 甲骨文</w:t>
            </w:r>
            <w:r>
              <w:rPr>
                <w:rFonts w:ascii="Times New Roman" w:hAnsi="Times New Roman" w:cs="Times New Roman" w:eastAsia="Times New Roman" w:hint="default"/>
                <w:sz w:val="18"/>
                <w:szCs w:val="18"/>
              </w:rPr>
              <w:t>(</w:t>
            </w:r>
            <w:r>
              <w:rPr>
                <w:rFonts w:ascii="宋体" w:hAnsi="宋体" w:cs="宋体" w:eastAsia="宋体" w:hint="default"/>
                <w:sz w:val="18"/>
                <w:szCs w:val="18"/>
              </w:rPr>
              <w:t>中国</w:t>
            </w:r>
            <w:r>
              <w:rPr>
                <w:rFonts w:ascii="Times New Roman" w:hAnsi="Times New Roman" w:cs="Times New Roman" w:eastAsia="Times New Roman" w:hint="default"/>
                <w:sz w:val="18"/>
                <w:szCs w:val="18"/>
              </w:rPr>
              <w:t>)</w:t>
            </w:r>
            <w:r>
              <w:rPr>
                <w:rFonts w:ascii="宋体" w:hAnsi="宋体" w:cs="宋体" w:eastAsia="宋体" w:hint="default"/>
                <w:sz w:val="18"/>
                <w:szCs w:val="18"/>
              </w:rPr>
              <w:t>软件系统有限公司 杭州华三通信技术有限公司</w:t>
            </w:r>
          </w:p>
        </w:tc>
        <w:tc>
          <w:tcPr>
            <w:tcW w:w="1540" w:type="dxa"/>
            <w:tcBorders>
              <w:top w:val="nil" w:sz="6" w:space="0" w:color="auto"/>
              <w:left w:val="nil" w:sz="6" w:space="0" w:color="auto"/>
              <w:bottom w:val="nil" w:sz="6" w:space="0" w:color="auto"/>
              <w:right w:val="nil" w:sz="6" w:space="0" w:color="auto"/>
            </w:tcBorders>
          </w:tcPr>
          <w:p>
            <w:pPr>
              <w:pStyle w:val="TableParagraph"/>
              <w:spacing w:line="398" w:lineRule="auto" w:before="44"/>
              <w:ind w:left="404" w:right="234" w:hanging="182"/>
              <w:jc w:val="left"/>
              <w:rPr>
                <w:rFonts w:ascii="宋体" w:hAnsi="宋体" w:cs="宋体" w:eastAsia="宋体" w:hint="default"/>
                <w:sz w:val="18"/>
                <w:szCs w:val="18"/>
              </w:rPr>
            </w:pPr>
            <w:r>
              <w:rPr>
                <w:rFonts w:ascii="宋体" w:hAnsi="宋体" w:cs="宋体" w:eastAsia="宋体" w:hint="default"/>
                <w:sz w:val="18"/>
                <w:szCs w:val="18"/>
              </w:rPr>
              <w:t>与本公司关系 非关联方 非关联方</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38" w:right="0"/>
              <w:jc w:val="left"/>
              <w:rPr>
                <w:rFonts w:ascii="宋体" w:hAnsi="宋体" w:cs="宋体" w:eastAsia="宋体" w:hint="default"/>
                <w:sz w:val="18"/>
                <w:szCs w:val="18"/>
              </w:rPr>
            </w:pPr>
            <w:r>
              <w:rPr>
                <w:rFonts w:ascii="宋体" w:hAnsi="宋体" w:cs="宋体" w:eastAsia="宋体" w:hint="default"/>
                <w:sz w:val="18"/>
                <w:szCs w:val="18"/>
              </w:rPr>
              <w:t>金  额</w:t>
            </w:r>
          </w:p>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326" w:right="0"/>
              <w:jc w:val="left"/>
              <w:rPr>
                <w:rFonts w:ascii="Times New Roman" w:hAnsi="Times New Roman" w:cs="Times New Roman" w:eastAsia="Times New Roman" w:hint="default"/>
                <w:sz w:val="18"/>
                <w:szCs w:val="18"/>
              </w:rPr>
            </w:pPr>
            <w:r>
              <w:rPr>
                <w:rFonts w:ascii="Times New Roman"/>
                <w:sz w:val="18"/>
              </w:rPr>
              <w:t>7,098,892</w:t>
            </w:r>
          </w:p>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left="340" w:right="0"/>
              <w:jc w:val="left"/>
              <w:rPr>
                <w:rFonts w:ascii="Times New Roman" w:hAnsi="Times New Roman" w:cs="Times New Roman" w:eastAsia="Times New Roman" w:hint="default"/>
                <w:sz w:val="18"/>
                <w:szCs w:val="18"/>
              </w:rPr>
            </w:pPr>
            <w:r>
              <w:rPr>
                <w:rFonts w:ascii="Times New Roman"/>
                <w:sz w:val="18"/>
              </w:rPr>
              <w:t>6,594,111</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1"/>
              <w:jc w:val="center"/>
              <w:rPr>
                <w:rFonts w:ascii="宋体" w:hAnsi="宋体" w:cs="宋体" w:eastAsia="宋体" w:hint="default"/>
                <w:sz w:val="18"/>
                <w:szCs w:val="18"/>
              </w:rPr>
            </w:pPr>
            <w:r>
              <w:rPr>
                <w:rFonts w:ascii="宋体" w:hAnsi="宋体" w:cs="宋体" w:eastAsia="宋体" w:hint="default"/>
                <w:sz w:val="18"/>
                <w:szCs w:val="18"/>
              </w:rPr>
              <w:t>时  间</w:t>
            </w:r>
          </w:p>
          <w:p>
            <w:pPr>
              <w:pStyle w:val="TableParagraph"/>
              <w:spacing w:line="240" w:lineRule="auto" w:before="154"/>
              <w:ind w:right="203"/>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pStyle w:val="TableParagraph"/>
              <w:spacing w:line="240" w:lineRule="auto" w:before="141"/>
              <w:ind w:right="203"/>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104" w:type="dxa"/>
            <w:tcBorders>
              <w:top w:val="nil" w:sz="6" w:space="0" w:color="auto"/>
              <w:left w:val="nil" w:sz="6" w:space="0" w:color="auto"/>
              <w:bottom w:val="nil" w:sz="6" w:space="0" w:color="auto"/>
              <w:right w:val="nil" w:sz="6" w:space="0" w:color="auto"/>
            </w:tcBorders>
          </w:tcPr>
          <w:p>
            <w:pPr>
              <w:pStyle w:val="TableParagraph"/>
              <w:spacing w:line="398" w:lineRule="auto" w:before="44"/>
              <w:ind w:left="304" w:right="356" w:firstLine="270"/>
              <w:jc w:val="left"/>
              <w:rPr>
                <w:rFonts w:ascii="宋体" w:hAnsi="宋体" w:cs="宋体" w:eastAsia="宋体" w:hint="default"/>
                <w:sz w:val="18"/>
                <w:szCs w:val="18"/>
              </w:rPr>
            </w:pPr>
            <w:r>
              <w:rPr>
                <w:rFonts w:ascii="宋体" w:hAnsi="宋体" w:cs="宋体" w:eastAsia="宋体" w:hint="default"/>
                <w:sz w:val="18"/>
                <w:szCs w:val="18"/>
              </w:rPr>
              <w:t>未结算原因 合同约定的预付款 合同约定的预付款</w:t>
            </w:r>
          </w:p>
        </w:tc>
      </w:tr>
      <w:tr>
        <w:trPr>
          <w:trHeight w:val="390" w:hRule="exact"/>
        </w:trPr>
        <w:tc>
          <w:tcPr>
            <w:tcW w:w="280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运城恒磁科技有限公司</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z w:val="18"/>
              </w:rPr>
              <w:t>5,800,000</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2"/>
              <w:jc w:val="center"/>
              <w:rPr>
                <w:rFonts w:ascii="宋体" w:hAnsi="宋体" w:cs="宋体" w:eastAsia="宋体" w:hint="default"/>
                <w:sz w:val="18"/>
                <w:szCs w:val="18"/>
              </w:rPr>
            </w:pPr>
            <w:r>
              <w:rPr>
                <w:rFonts w:ascii="宋体" w:hAnsi="宋体" w:cs="宋体" w:eastAsia="宋体" w:hint="default"/>
                <w:sz w:val="18"/>
                <w:szCs w:val="18"/>
              </w:rPr>
              <w:t>合同约定的预付款</w:t>
            </w:r>
          </w:p>
        </w:tc>
      </w:tr>
      <w:tr>
        <w:trPr>
          <w:trHeight w:val="390" w:hRule="exact"/>
        </w:trPr>
        <w:tc>
          <w:tcPr>
            <w:tcW w:w="280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大连宝士达电源股份有限公司</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z w:val="18"/>
              </w:rPr>
              <w:t>4,480,000</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2"/>
              <w:jc w:val="center"/>
              <w:rPr>
                <w:rFonts w:ascii="宋体" w:hAnsi="宋体" w:cs="宋体" w:eastAsia="宋体" w:hint="default"/>
                <w:sz w:val="18"/>
                <w:szCs w:val="18"/>
              </w:rPr>
            </w:pPr>
            <w:r>
              <w:rPr>
                <w:rFonts w:ascii="宋体" w:hAnsi="宋体" w:cs="宋体" w:eastAsia="宋体" w:hint="default"/>
                <w:sz w:val="18"/>
                <w:szCs w:val="18"/>
              </w:rPr>
              <w:t>合同约定的预付款</w:t>
            </w:r>
          </w:p>
        </w:tc>
      </w:tr>
      <w:tr>
        <w:trPr>
          <w:trHeight w:val="390" w:hRule="exact"/>
        </w:trPr>
        <w:tc>
          <w:tcPr>
            <w:tcW w:w="280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大连钰铭电子工程有限公司</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8"/>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z w:val="18"/>
              </w:rPr>
              <w:t>4,092,386</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2"/>
              <w:jc w:val="center"/>
              <w:rPr>
                <w:rFonts w:ascii="宋体" w:hAnsi="宋体" w:cs="宋体" w:eastAsia="宋体" w:hint="default"/>
                <w:sz w:val="18"/>
                <w:szCs w:val="18"/>
              </w:rPr>
            </w:pPr>
            <w:r>
              <w:rPr>
                <w:rFonts w:ascii="宋体" w:hAnsi="宋体" w:cs="宋体" w:eastAsia="宋体" w:hint="default"/>
                <w:sz w:val="18"/>
                <w:szCs w:val="18"/>
              </w:rPr>
              <w:t>合同约定的预付款</w:t>
            </w:r>
          </w:p>
        </w:tc>
      </w:tr>
      <w:tr>
        <w:trPr>
          <w:trHeight w:val="319" w:hRule="exact"/>
        </w:trPr>
        <w:tc>
          <w:tcPr>
            <w:tcW w:w="2806" w:type="dxa"/>
            <w:tcBorders>
              <w:top w:val="nil" w:sz="6" w:space="0" w:color="auto"/>
              <w:left w:val="nil" w:sz="6" w:space="0" w:color="auto"/>
              <w:bottom w:val="single" w:sz="12" w:space="0" w:color="000000"/>
              <w:right w:val="nil" w:sz="6" w:space="0" w:color="auto"/>
            </w:tcBorders>
          </w:tcPr>
          <w:p>
            <w:pPr>
              <w:pStyle w:val="TableParagraph"/>
              <w:tabs>
                <w:tab w:pos="679" w:val="left" w:leader="none"/>
              </w:tabs>
              <w:spacing w:line="240" w:lineRule="auto" w:before="39"/>
              <w:ind w:left="139"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540" w:type="dxa"/>
            <w:tcBorders>
              <w:top w:val="nil" w:sz="6" w:space="0" w:color="auto"/>
              <w:left w:val="nil" w:sz="6" w:space="0" w:color="auto"/>
              <w:bottom w:val="single" w:sz="12" w:space="0" w:color="000000"/>
              <w:right w:val="nil" w:sz="6" w:space="0" w:color="auto"/>
            </w:tcBorders>
          </w:tcPr>
          <w:p>
            <w:pPr/>
          </w:p>
        </w:tc>
        <w:tc>
          <w:tcPr>
            <w:tcW w:w="1156"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z w:val="18"/>
              </w:rPr>
              <w:t>28,065,389</w:t>
            </w:r>
          </w:p>
        </w:tc>
        <w:tc>
          <w:tcPr>
            <w:tcW w:w="1096" w:type="dxa"/>
            <w:tcBorders>
              <w:top w:val="nil" w:sz="6" w:space="0" w:color="auto"/>
              <w:left w:val="nil" w:sz="6" w:space="0" w:color="auto"/>
              <w:bottom w:val="single" w:sz="12" w:space="0" w:color="000000"/>
              <w:right w:val="nil" w:sz="6" w:space="0" w:color="auto"/>
            </w:tcBorders>
          </w:tcPr>
          <w:p>
            <w:pPr/>
          </w:p>
        </w:tc>
        <w:tc>
          <w:tcPr>
            <w:tcW w:w="2104"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83" w:footer="1003" w:top="1540" w:bottom="1200" w:left="1300" w:right="1020"/>
        </w:sectPr>
      </w:pPr>
    </w:p>
    <w:p>
      <w:pPr>
        <w:spacing w:line="240" w:lineRule="auto" w:before="10"/>
        <w:rPr>
          <w:rFonts w:ascii="宋体" w:hAnsi="宋体" w:cs="宋体" w:eastAsia="宋体" w:hint="default"/>
          <w:b/>
          <w:bCs/>
          <w:sz w:val="8"/>
          <w:szCs w:val="8"/>
        </w:rPr>
      </w:pPr>
    </w:p>
    <w:p>
      <w:pPr>
        <w:tabs>
          <w:tab w:pos="1396" w:val="left" w:leader="none"/>
        </w:tabs>
        <w:spacing w:before="35"/>
        <w:ind w:left="857" w:right="137"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期末预付款项中无持本公司</w:t>
      </w:r>
      <w:r>
        <w:rPr>
          <w:rFonts w:ascii="宋体" w:hAnsi="宋体" w:cs="宋体" w:eastAsia="宋体" w:hint="default"/>
          <w:b/>
          <w:bCs/>
          <w:spacing w:val="-59"/>
          <w:sz w:val="21"/>
          <w:szCs w:val="21"/>
        </w:rPr>
        <w:t> </w:t>
      </w:r>
      <w:r>
        <w:rPr>
          <w:rFonts w:ascii="宋体" w:hAnsi="宋体" w:cs="宋体" w:eastAsia="宋体" w:hint="default"/>
          <w:b/>
          <w:bCs/>
          <w:sz w:val="21"/>
          <w:szCs w:val="21"/>
        </w:rPr>
        <w:t>5％以上（含</w:t>
      </w:r>
      <w:r>
        <w:rPr>
          <w:rFonts w:ascii="宋体" w:hAnsi="宋体" w:cs="宋体" w:eastAsia="宋体" w:hint="default"/>
          <w:b/>
          <w:bCs/>
          <w:spacing w:val="-59"/>
          <w:sz w:val="21"/>
          <w:szCs w:val="21"/>
        </w:rPr>
        <w:t> </w:t>
      </w:r>
      <w:r>
        <w:rPr>
          <w:rFonts w:ascii="宋体" w:hAnsi="宋体" w:cs="宋体" w:eastAsia="宋体" w:hint="default"/>
          <w:b/>
          <w:bCs/>
          <w:sz w:val="21"/>
          <w:szCs w:val="21"/>
        </w:rPr>
        <w:t>5％）表决权股份的股东单位欠款。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395" w:val="left" w:leader="none"/>
        </w:tabs>
        <w:spacing w:before="0"/>
        <w:ind w:left="857" w:right="137"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本报告期预付关联方账款情况</w:t>
      </w:r>
      <w:r>
        <w:rPr>
          <w:rFonts w:ascii="宋体" w:hAnsi="宋体" w:cs="宋体" w:eastAsia="宋体" w:hint="default"/>
          <w:sz w:val="21"/>
          <w:szCs w:val="21"/>
        </w:rPr>
      </w:r>
    </w:p>
    <w:p>
      <w:pPr>
        <w:pStyle w:val="BodyText"/>
        <w:spacing w:line="240" w:lineRule="auto" w:before="125"/>
        <w:ind w:left="1400" w:right="0"/>
        <w:jc w:val="left"/>
      </w:pPr>
      <w:r>
        <w:rPr>
          <w:spacing w:val="-1"/>
        </w:rPr>
        <w:t>预付关联方账</w:t>
      </w:r>
      <w:r>
        <w:rPr/>
        <w:t>款</w:t>
      </w:r>
      <w:r>
        <w:rPr>
          <w:spacing w:val="-53"/>
        </w:rPr>
        <w:t> </w:t>
      </w:r>
      <w:r>
        <w:rPr>
          <w:spacing w:val="-1"/>
        </w:rPr>
        <w:t>2,571,90</w:t>
      </w:r>
      <w:r>
        <w:rPr/>
        <w:t>0</w:t>
      </w:r>
      <w:r>
        <w:rPr>
          <w:spacing w:val="-52"/>
        </w:rPr>
        <w:t> </w:t>
      </w:r>
      <w:r>
        <w:rPr>
          <w:spacing w:val="-1"/>
        </w:rPr>
        <w:t>元，占</w:t>
      </w:r>
      <w:r>
        <w:rPr>
          <w:spacing w:val="-2"/>
        </w:rPr>
        <w:t>预</w:t>
      </w:r>
      <w:r>
        <w:rPr>
          <w:spacing w:val="-1"/>
        </w:rPr>
        <w:t>付账款期末余额</w:t>
      </w:r>
      <w:r>
        <w:rPr/>
        <w:t>的</w:t>
      </w:r>
      <w:r>
        <w:rPr>
          <w:spacing w:val="-53"/>
        </w:rPr>
        <w:t> </w:t>
      </w:r>
      <w:r>
        <w:rPr>
          <w:spacing w:val="-1"/>
        </w:rPr>
        <w:t>4.49%，详见附注七（四</w:t>
      </w:r>
      <w:r>
        <w:rPr>
          <w:spacing w:val="-105"/>
        </w:rPr>
        <w:t>）</w:t>
      </w:r>
      <w:r>
        <w:rPr>
          <w:spacing w:val="-1"/>
        </w:rPr>
        <w:t>、12；</w:t>
      </w:r>
      <w:r>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6"/>
        <w:tabs>
          <w:tab w:pos="853" w:val="left" w:leader="none"/>
        </w:tabs>
        <w:spacing w:line="240" w:lineRule="auto" w:before="0"/>
        <w:ind w:left="125" w:right="137"/>
        <w:jc w:val="left"/>
        <w:rPr>
          <w:b w:val="0"/>
          <w:bCs w:val="0"/>
        </w:rPr>
      </w:pPr>
      <w:r>
        <w:rPr>
          <w:w w:val="95"/>
        </w:rPr>
        <w:t>(七)</w:t>
        <w:tab/>
      </w:r>
      <w:r>
        <w:rPr/>
        <w:t>存货</w:t>
      </w:r>
      <w:r>
        <w:rPr>
          <w:b w:val="0"/>
          <w:bCs w:val="0"/>
        </w:rPr>
      </w:r>
    </w:p>
    <w:p>
      <w:pPr>
        <w:tabs>
          <w:tab w:pos="1395" w:val="left" w:leader="none"/>
        </w:tabs>
        <w:spacing w:before="125"/>
        <w:ind w:left="857" w:right="137"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存货分类</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2509" w:lineRule="exact"/>
        <w:ind w:left="720"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36.75pt;height:125.5pt;mso-position-horizontal-relative:char;mso-position-vertical-relative:line" coordorigin="0,0" coordsize="8735,2510">
            <v:group style="position:absolute;left:29;top:15;width:8686;height:2" coordorigin="29,15" coordsize="8686,2">
              <v:shape style="position:absolute;left:29;top:15;width:8686;height:2" coordorigin="29,15" coordsize="8686,0" path="m29,15l8715,15e" filled="false" stroked="true" strokeweight="1.5pt" strokecolor="#000000">
                <v:path arrowok="t"/>
              </v:shape>
              <v:shape style="position:absolute;left:1237;top:7;width:3797;height:446" type="#_x0000_t75" stroked="false">
                <v:imagedata r:id="rId162" o:title=""/>
              </v:shape>
              <v:shape style="position:absolute;left:1241;top:410;width:7493;height:449" type="#_x0000_t75" stroked="false">
                <v:imagedata r:id="rId163" o:title=""/>
              </v:shape>
            </v:group>
            <v:group style="position:absolute;left:15;top:2494;width:1246;height:2" coordorigin="15,2494" coordsize="1246,2">
              <v:shape style="position:absolute;left:15;top:2494;width:1246;height:2" coordorigin="15,2494" coordsize="1246,0" path="m15,2494l1261,2494e" filled="false" stroked="true" strokeweight="1.5pt" strokecolor="#000000">
                <v:path arrowok="t"/>
              </v:shape>
            </v:group>
            <v:group style="position:absolute;left:1261;top:2494;width:1259;height:2" coordorigin="1261,2494" coordsize="1259,2">
              <v:shape style="position:absolute;left:1261;top:2494;width:1259;height:2" coordorigin="1261,2494" coordsize="1259,0" path="m1261,2494l2519,2494e" filled="false" stroked="true" strokeweight="1.5pt" strokecolor="#000000">
                <v:path arrowok="t"/>
              </v:shape>
            </v:group>
            <v:group style="position:absolute;left:2519;top:2494;width:1230;height:2" coordorigin="2519,2494" coordsize="1230,2">
              <v:shape style="position:absolute;left:2519;top:2494;width:1230;height:2" coordorigin="2519,2494" coordsize="1230,0" path="m2519,2494l3749,2494e" filled="false" stroked="true" strokeweight="1.5pt" strokecolor="#000000">
                <v:path arrowok="t"/>
              </v:shape>
            </v:group>
            <v:group style="position:absolute;left:3749;top:2494;width:1252;height:2" coordorigin="3749,2494" coordsize="1252,2">
              <v:shape style="position:absolute;left:3749;top:2494;width:1252;height:2" coordorigin="3749,2494" coordsize="1252,0" path="m3749,2494l5001,2494e" filled="false" stroked="true" strokeweight="1.5pt" strokecolor="#000000">
                <v:path arrowok="t"/>
              </v:shape>
            </v:group>
            <v:group style="position:absolute;left:5001;top:2494;width:30;height:2" coordorigin="5001,2494" coordsize="30,2">
              <v:shape style="position:absolute;left:5001;top:2494;width:30;height:2" coordorigin="5001,2494" coordsize="30,0" path="m5001,2494l5031,2494e" filled="false" stroked="true" strokeweight="1.5pt" strokecolor="#000000">
                <v:path arrowok="t"/>
              </v:shape>
            </v:group>
            <v:group style="position:absolute;left:5031;top:2494;width:1205;height:2" coordorigin="5031,2494" coordsize="1205,2">
              <v:shape style="position:absolute;left:5031;top:2494;width:1205;height:2" coordorigin="5031,2494" coordsize="1205,0" path="m5031,2494l6236,2494e" filled="false" stroked="true" strokeweight="1.5pt" strokecolor="#000000">
                <v:path arrowok="t"/>
              </v:shape>
            </v:group>
            <v:group style="position:absolute;left:6236;top:2494;width:1067;height:2" coordorigin="6236,2494" coordsize="1067,2">
              <v:shape style="position:absolute;left:6236;top:2494;width:1067;height:2" coordorigin="6236,2494" coordsize="1067,0" path="m6236,2494l7303,2494e" filled="false" stroked="true" strokeweight="1.5pt" strokecolor="#000000">
                <v:path arrowok="t"/>
              </v:shape>
              <v:shape style="position:absolute;left:10;top:821;width:8724;height:1658" type="#_x0000_t75" stroked="false">
                <v:imagedata r:id="rId164" o:title=""/>
              </v:shape>
            </v:group>
            <v:group style="position:absolute;left:7303;top:2494;width:1413;height:2" coordorigin="7303,2494" coordsize="1413,2">
              <v:shape style="position:absolute;left:7303;top:2494;width:1413;height:2" coordorigin="7303,2494" coordsize="1413,0" path="m7303,2494l8715,2494e" filled="false" stroked="true" strokeweight="1.5pt" strokecolor="#000000">
                <v:path arrowok="t"/>
              </v:shape>
              <v:shape style="position:absolute;left:2775;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500;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32;top:42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782;top:42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1533;top:6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账面金额</w:t>
                      </w:r>
                    </w:p>
                  </w:txbxContent>
                </v:textbox>
                <w10:wrap type="none"/>
              </v:shape>
              <v:shape style="position:absolute;left:2779;top:6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跌价准备</w:t>
                      </w:r>
                    </w:p>
                  </w:txbxContent>
                </v:textbox>
                <w10:wrap type="none"/>
              </v:shape>
              <v:shape style="position:absolute;left:4019;top:6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5263;top:6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账面金额</w:t>
                      </w:r>
                    </w:p>
                  </w:txbxContent>
                </v:textbox>
                <w10:wrap type="none"/>
              </v:shape>
              <v:shape style="position:absolute;left:6413;top:6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跌价准备</w:t>
                      </w:r>
                    </w:p>
                  </w:txbxContent>
                </v:textbox>
                <w10:wrap type="none"/>
              </v:shape>
              <v:shape style="position:absolute;left:7651;top:6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85;top:10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原材料</w:t>
                      </w:r>
                    </w:p>
                  </w:txbxContent>
                </v:textbox>
                <w10:wrap type="none"/>
              </v:shape>
              <v:shape style="position:absolute;left:1515;top:1061;width:90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174,664,750</w:t>
                      </w:r>
                    </w:p>
                  </w:txbxContent>
                </v:textbox>
                <w10:wrap type="none"/>
              </v:shape>
              <v:shape style="position:absolute;left:2836;top:1061;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10,058,024</w:t>
                      </w:r>
                    </w:p>
                  </w:txbxContent>
                </v:textbox>
                <w10:wrap type="none"/>
              </v:shape>
              <v:shape style="position:absolute;left:3997;top:1061;width:903;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164,606,726</w:t>
                      </w:r>
                    </w:p>
                  </w:txbxContent>
                </v:textbox>
                <w10:wrap type="none"/>
              </v:shape>
              <v:shape style="position:absolute;left:5231;top:106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150,094,897</w:t>
                      </w:r>
                    </w:p>
                  </w:txbxContent>
                </v:textbox>
                <w10:wrap type="none"/>
              </v:shape>
              <v:shape style="position:absolute;left:6478;top:1061;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9,422,858</w:t>
                      </w:r>
                    </w:p>
                  </w:txbxContent>
                </v:textbox>
                <w10:wrap type="none"/>
              </v:shape>
              <v:shape style="position:absolute;left:7706;top:106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140,672,039</w:t>
                      </w:r>
                    </w:p>
                  </w:txbxContent>
                </v:textbox>
                <w10:wrap type="none"/>
              </v:shape>
              <v:shape style="position:absolute;left:85;top:14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在产品</w:t>
                      </w:r>
                    </w:p>
                  </w:txbxContent>
                </v:textbox>
                <w10:wrap type="none"/>
              </v:shape>
              <v:shape style="position:absolute;left:1522;top:1472;width:89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354,575,117</w:t>
                      </w:r>
                    </w:p>
                  </w:txbxContent>
                </v:textbox>
                <w10:wrap type="none"/>
              </v:shape>
              <v:shape style="position:absolute;left:2836;top:147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13,071,448</w:t>
                      </w:r>
                    </w:p>
                  </w:txbxContent>
                </v:textbox>
                <w10:wrap type="none"/>
              </v:shape>
              <v:shape style="position:absolute;left:3997;top:147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341,503,669</w:t>
                      </w:r>
                    </w:p>
                  </w:txbxContent>
                </v:textbox>
                <w10:wrap type="none"/>
              </v:shape>
              <v:shape style="position:absolute;left:5231;top:147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301,332,722</w:t>
                      </w:r>
                    </w:p>
                  </w:txbxContent>
                </v:textbox>
                <w10:wrap type="none"/>
              </v:shape>
              <v:shape style="position:absolute;left:6478;top:1472;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8,629,468</w:t>
                      </w:r>
                    </w:p>
                  </w:txbxContent>
                </v:textbox>
                <w10:wrap type="none"/>
              </v:shape>
              <v:shape style="position:absolute;left:7706;top:147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292,703,254</w:t>
                      </w:r>
                    </w:p>
                  </w:txbxContent>
                </v:textbox>
                <w10:wrap type="none"/>
              </v:shape>
              <v:shape style="position:absolute;left:85;top:186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产成品</w:t>
                      </w:r>
                    </w:p>
                  </w:txbxContent>
                </v:textbox>
                <w10:wrap type="none"/>
              </v:shape>
              <v:shape style="position:absolute;left:1605;top:1881;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79,252,821</w:t>
                      </w:r>
                    </w:p>
                  </w:txbxContent>
                </v:textbox>
                <w10:wrap type="none"/>
              </v:shape>
              <v:shape style="position:absolute;left:3061;top:1881;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204,348</w:t>
                      </w:r>
                    </w:p>
                  </w:txbxContent>
                </v:textbox>
                <w10:wrap type="none"/>
              </v:shape>
              <v:shape style="position:absolute;left:4087;top:188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79,048,473</w:t>
                      </w:r>
                    </w:p>
                  </w:txbxContent>
                </v:textbox>
                <w10:wrap type="none"/>
              </v:shape>
              <v:shape style="position:absolute;left:5321;top:1881;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53,652,760</w:t>
                      </w:r>
                    </w:p>
                  </w:txbxContent>
                </v:textbox>
                <w10:wrap type="none"/>
              </v:shape>
              <v:shape style="position:absolute;left:6613;top:1881;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204,348</w:t>
                      </w:r>
                    </w:p>
                  </w:txbxContent>
                </v:textbox>
                <w10:wrap type="none"/>
              </v:shape>
              <v:shape style="position:absolute;left:7796;top:188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53,448,412</w:t>
                      </w:r>
                    </w:p>
                  </w:txbxContent>
                </v:textbox>
                <w10:wrap type="none"/>
              </v:shape>
              <v:shape style="position:absolute;left:376;top:227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1515;top:2291;width:90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608,492,688</w:t>
                      </w:r>
                    </w:p>
                  </w:txbxContent>
                </v:textbox>
                <w10:wrap type="none"/>
              </v:shape>
              <v:shape style="position:absolute;left:2836;top:2291;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23,333,820</w:t>
                      </w:r>
                    </w:p>
                  </w:txbxContent>
                </v:textbox>
                <w10:wrap type="none"/>
              </v:shape>
              <v:shape style="position:absolute;left:3997;top:2291;width:903;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585,158,868</w:t>
                      </w:r>
                    </w:p>
                  </w:txbxContent>
                </v:textbox>
                <w10:wrap type="none"/>
              </v:shape>
              <v:shape style="position:absolute;left:5231;top:229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505,080,379</w:t>
                      </w:r>
                    </w:p>
                  </w:txbxContent>
                </v:textbox>
                <w10:wrap type="none"/>
              </v:shape>
              <v:shape style="position:absolute;left:6388;top:229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18,256,674</w:t>
                      </w:r>
                    </w:p>
                  </w:txbxContent>
                </v:textbox>
                <w10:wrap type="none"/>
              </v:shape>
              <v:shape style="position:absolute;left:7706;top:229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486,823,705</w:t>
                      </w:r>
                    </w:p>
                  </w:txbxContent>
                </v:textbox>
                <w10:wrap type="none"/>
              </v:shape>
            </v:group>
          </v:group>
        </w:pict>
      </w:r>
      <w:r>
        <w:rPr>
          <w:rFonts w:ascii="宋体" w:hAnsi="宋体" w:cs="宋体" w:eastAsia="宋体" w:hint="default"/>
          <w:position w:val="-49"/>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tabs>
          <w:tab w:pos="1396" w:val="left" w:leader="none"/>
        </w:tabs>
        <w:spacing w:before="35"/>
        <w:ind w:left="857" w:right="137"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存货跌价准备</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2510" w:lineRule="exact"/>
        <w:ind w:left="720"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33.3pt;height:125.55pt;mso-position-horizontal-relative:char;mso-position-vertical-relative:line" coordorigin="0,0" coordsize="8666,2511">
            <v:group style="position:absolute;left:29;top:15;width:8612;height:2" coordorigin="29,15" coordsize="8612,2">
              <v:shape style="position:absolute;left:29;top:15;width:8612;height:2" coordorigin="29,15" coordsize="8612,0" path="m29,15l8641,15e" filled="false" stroked="true" strokeweight="1.5pt" strokecolor="#000000">
                <v:path arrowok="t"/>
              </v:shape>
              <v:shape style="position:absolute;left:1484;top:7;width:5566;height:859" type="#_x0000_t75" stroked="false">
                <v:imagedata r:id="rId165" o:title=""/>
              </v:shape>
            </v:group>
            <v:group style="position:absolute;left:15;top:2495;width:1494;height:2" coordorigin="15,2495" coordsize="1494,2">
              <v:shape style="position:absolute;left:15;top:2495;width:1494;height:2" coordorigin="15,2495" coordsize="1494,0" path="m15,2495l1509,2495e" filled="false" stroked="true" strokeweight="1.5pt" strokecolor="#000000">
                <v:path arrowok="t"/>
              </v:shape>
            </v:group>
            <v:group style="position:absolute;left:1509;top:2495;width:1372;height:2" coordorigin="1509,2495" coordsize="1372,2">
              <v:shape style="position:absolute;left:1509;top:2495;width:1372;height:2" coordorigin="1509,2495" coordsize="1372,0" path="m1509,2495l2881,2495e" filled="false" stroked="true" strokeweight="1.5pt" strokecolor="#000000">
                <v:path arrowok="t"/>
              </v:shape>
            </v:group>
            <v:group style="position:absolute;left:2881;top:2495;width:1548;height:2" coordorigin="2881,2495" coordsize="1548,2">
              <v:shape style="position:absolute;left:2881;top:2495;width:1548;height:2" coordorigin="2881,2495" coordsize="1548,0" path="m2881,2495l4429,2495e" filled="false" stroked="true" strokeweight="1.5pt" strokecolor="#000000">
                <v:path arrowok="t"/>
              </v:shape>
            </v:group>
            <v:group style="position:absolute;left:4429;top:2495;width:1454;height:2" coordorigin="4429,2495" coordsize="1454,2">
              <v:shape style="position:absolute;left:4429;top:2495;width:1454;height:2" coordorigin="4429,2495" coordsize="1454,0" path="m4429,2495l5882,2495e" filled="false" stroked="true" strokeweight="1.5pt" strokecolor="#000000">
                <v:path arrowok="t"/>
              </v:shape>
            </v:group>
            <v:group style="position:absolute;left:5882;top:2495;width:1133;height:2" coordorigin="5882,2495" coordsize="1133,2">
              <v:shape style="position:absolute;left:5882;top:2495;width:1133;height:2" coordorigin="5882,2495" coordsize="1133,0" path="m5882,2495l7015,2495e" filled="false" stroked="true" strokeweight="1.5pt" strokecolor="#000000">
                <v:path arrowok="t"/>
              </v:shape>
              <v:shape style="position:absolute;left:10;top:821;width:8656;height:1660" type="#_x0000_t75" stroked="false">
                <v:imagedata r:id="rId166" o:title=""/>
              </v:shape>
            </v:group>
            <v:group style="position:absolute;left:7015;top:2495;width:1626;height:2" coordorigin="7015,2495" coordsize="1626,2">
              <v:shape style="position:absolute;left:7015;top:2495;width:1626;height:2" coordorigin="7015,2495" coordsize="1626,0" path="m7015,2495l8641,2495e" filled="false" stroked="true" strokeweight="1.5pt" strokecolor="#000000">
                <v:path arrowok="t"/>
              </v:shape>
              <v:shape style="position:absolute;left:5276;top:22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本期减少额</w:t>
                      </w:r>
                    </w:p>
                  </w:txbxContent>
                </v:textbox>
                <w10:wrap type="none"/>
              </v:shape>
              <v:shape style="position:absolute;left:411;top:4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存货种类</w:t>
                      </w:r>
                    </w:p>
                  </w:txbxContent>
                </v:textbox>
                <w10:wrap type="none"/>
              </v:shape>
              <v:shape style="position:absolute;left:1659;top:42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年初账面余额</w:t>
                      </w:r>
                    </w:p>
                  </w:txbxContent>
                </v:textbox>
                <w10:wrap type="none"/>
              </v:shape>
              <v:shape style="position:absolute;left:3208;top:42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本期计提额</w:t>
                      </w:r>
                    </w:p>
                  </w:txbxContent>
                </v:textbox>
                <w10:wrap type="none"/>
              </v:shape>
              <v:shape style="position:absolute;left:7289;top:42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期末账面余额</w:t>
                      </w:r>
                    </w:p>
                  </w:txbxContent>
                </v:textbox>
                <w10:wrap type="none"/>
              </v:shape>
              <v:shape style="position:absolute;left:4979;top:633;width:1654;height:180" type="#_x0000_t202" filled="false" stroked="false">
                <v:textbox inset="0,0,0,0">
                  <w:txbxContent>
                    <w:p>
                      <w:pPr>
                        <w:tabs>
                          <w:tab w:pos="129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转回</w:t>
                        <w:tab/>
                        <w:t>转销</w:t>
                      </w:r>
                    </w:p>
                  </w:txbxContent>
                </v:textbox>
                <w10:wrap type="none"/>
              </v:shape>
              <v:shape style="position:absolute;left:137;top:10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原材料</w:t>
                      </w:r>
                    </w:p>
                  </w:txbxContent>
                </v:textbox>
                <w10:wrap type="none"/>
              </v:shape>
              <v:shape style="position:absolute;left:2056;top:1061;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9,422,858</w:t>
                      </w:r>
                    </w:p>
                  </w:txbxContent>
                </v:textbox>
                <w10:wrap type="none"/>
              </v:shape>
              <v:shape style="position:absolute;left:3738;top:1061;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635,166</w:t>
                      </w:r>
                    </w:p>
                  </w:txbxContent>
                </v:textbox>
                <w10:wrap type="none"/>
              </v:shape>
              <v:shape style="position:absolute;left:7721;top:106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10,058,024</w:t>
                      </w:r>
                    </w:p>
                  </w:txbxContent>
                </v:textbox>
                <w10:wrap type="none"/>
              </v:shape>
              <v:shape style="position:absolute;left:137;top:14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在产品</w:t>
                      </w:r>
                    </w:p>
                  </w:txbxContent>
                </v:textbox>
                <w10:wrap type="none"/>
              </v:shape>
              <v:shape style="position:absolute;left:2056;top:147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8,629,468</w:t>
                      </w:r>
                    </w:p>
                  </w:txbxContent>
                </v:textbox>
                <w10:wrap type="none"/>
              </v:shape>
              <v:shape style="position:absolute;left:3603;top:147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4,441,980</w:t>
                      </w:r>
                    </w:p>
                  </w:txbxContent>
                </v:textbox>
                <w10:wrap type="none"/>
              </v:shape>
              <v:shape style="position:absolute;left:7721;top:147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13,071,448</w:t>
                      </w:r>
                    </w:p>
                  </w:txbxContent>
                </v:textbox>
                <w10:wrap type="none"/>
              </v:shape>
              <v:shape style="position:absolute;left:137;top:186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产成品</w:t>
                      </w:r>
                    </w:p>
                  </w:txbxContent>
                </v:textbox>
                <w10:wrap type="none"/>
              </v:shape>
              <v:shape style="position:absolute;left:2192;top:188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204,348</w:t>
                      </w:r>
                    </w:p>
                  </w:txbxContent>
                </v:textbox>
                <w10:wrap type="none"/>
              </v:shape>
              <v:shape style="position:absolute;left:7947;top:188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204,348</w:t>
                      </w:r>
                    </w:p>
                  </w:txbxContent>
                </v:textbox>
                <w10:wrap type="none"/>
              </v:shape>
              <v:shape style="position:absolute;left:501;top:227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1966;top:229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18,256,674</w:t>
                      </w:r>
                    </w:p>
                  </w:txbxContent>
                </v:textbox>
                <w10:wrap type="none"/>
              </v:shape>
              <v:shape style="position:absolute;left:3603;top:2291;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5,077,146</w:t>
                      </w:r>
                    </w:p>
                  </w:txbxContent>
                </v:textbox>
                <w10:wrap type="none"/>
              </v:shape>
              <v:shape style="position:absolute;left:7721;top:229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23,333,820</w:t>
                      </w:r>
                    </w:p>
                  </w:txbxContent>
                </v:textbox>
                <w10:wrap type="none"/>
              </v:shape>
            </v:group>
          </v:group>
        </w:pict>
      </w:r>
      <w:r>
        <w:rPr>
          <w:rFonts w:ascii="宋体" w:hAnsi="宋体" w:cs="宋体" w:eastAsia="宋体" w:hint="default"/>
          <w:position w:val="-49"/>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5" w:val="left" w:leader="none"/>
        </w:tabs>
        <w:spacing w:before="35"/>
        <w:ind w:left="857" w:right="137"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存货跌价准备情况</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3290" w:lineRule="exact"/>
        <w:ind w:left="720"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35.55pt;height:164.55pt;mso-position-horizontal-relative:char;mso-position-vertical-relative:line" coordorigin="0,0" coordsize="8711,3291">
            <v:group style="position:absolute;left:29;top:15;width:8658;height:2" coordorigin="29,15" coordsize="8658,2">
              <v:shape style="position:absolute;left:29;top:15;width:8658;height:2" coordorigin="29,15" coordsize="8658,0" path="m29,15l8687,15e" filled="false" stroked="true" strokeweight="1.5pt" strokecolor="#000000">
                <v:path arrowok="t"/>
              </v:shape>
              <v:shape style="position:absolute;left:1289;top:10;width:5195;height:840" type="#_x0000_t75" stroked="false">
                <v:imagedata r:id="rId167" o:title=""/>
              </v:shape>
            </v:group>
            <v:group style="position:absolute;left:15;top:3275;width:1294;height:2" coordorigin="15,3275" coordsize="1294,2">
              <v:shape style="position:absolute;left:15;top:3275;width:1294;height:2" coordorigin="15,3275" coordsize="1294,0" path="m15,3275l1309,3275e" filled="false" stroked="true" strokeweight="1.5pt" strokecolor="#000000">
                <v:path arrowok="t"/>
              </v:shape>
              <v:shape style="position:absolute;left:1;top:811;width:8710;height:2470" type="#_x0000_t75" stroked="false">
                <v:imagedata r:id="rId168" o:title=""/>
              </v:shape>
            </v:group>
            <v:group style="position:absolute;left:1309;top:3275;width:3161;height:2" coordorigin="1309,3275" coordsize="3161,2">
              <v:shape style="position:absolute;left:1309;top:3275;width:3161;height:2" coordorigin="1309,3275" coordsize="3161,0" path="m1309,3275l4469,3275e" filled="false" stroked="true" strokeweight="1.5pt" strokecolor="#000000">
                <v:path arrowok="t"/>
              </v:shape>
              <v:shape style="position:absolute;left:4450;top:2440;width:49;height:840" type="#_x0000_t75" stroked="false">
                <v:imagedata r:id="rId169" o:title=""/>
              </v:shape>
            </v:group>
            <v:group style="position:absolute;left:4469;top:3275;width:1985;height:2" coordorigin="4469,3275" coordsize="1985,2">
              <v:shape style="position:absolute;left:4469;top:3275;width:1985;height:2" coordorigin="4469,3275" coordsize="1985,0" path="m4469,3275l6454,3275e" filled="false" stroked="true" strokeweight="1.5pt" strokecolor="#000000">
                <v:path arrowok="t"/>
              </v:shape>
              <v:shape style="position:absolute;left:6434;top:2440;width:49;height:840" type="#_x0000_t75" stroked="false">
                <v:imagedata r:id="rId170" o:title=""/>
              </v:shape>
            </v:group>
            <v:group style="position:absolute;left:6454;top:3275;width:2234;height:2" coordorigin="6454,3275" coordsize="2234,2">
              <v:shape style="position:absolute;left:6454;top:3275;width:2234;height:2" coordorigin="6454,3275" coordsize="2234,0" path="m6454,3275l8687,3275e" filled="false" stroked="true" strokeweight="1.5pt" strokecolor="#000000">
                <v:path arrowok="t"/>
              </v:shape>
              <v:shape style="position:absolute;left:4657;top:222;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本期转回存货跌价准</w:t>
                      </w:r>
                    </w:p>
                  </w:txbxContent>
                </v:textbox>
                <w10:wrap type="none"/>
              </v:shape>
              <v:shape style="position:absolute;left:6583;top:222;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本期转回金额占该项存货</w:t>
                      </w:r>
                    </w:p>
                  </w:txbxContent>
                </v:textbox>
                <w10:wrap type="none"/>
              </v:shape>
              <v:shape style="position:absolute;left:490;top:42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1903;top:423;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计提存货跌价准备的依据</w:t>
                      </w:r>
                    </w:p>
                  </w:txbxContent>
                </v:textbox>
                <w10:wrap type="none"/>
              </v:shape>
              <v:shape style="position:absolute;left:5107;top:62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备的原因</w:t>
                      </w:r>
                    </w:p>
                  </w:txbxContent>
                </v:textbox>
                <w10:wrap type="none"/>
              </v:shape>
              <v:shape style="position:absolute;left:6943;top:62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期末余额的比例</w:t>
                      </w:r>
                    </w:p>
                  </w:txbxContent>
                </v:textbox>
                <w10:wrap type="none"/>
              </v:shape>
              <v:shape style="position:absolute;left:400;top:1032;width:5607;height:381" type="#_x0000_t202" filled="false" stroked="false">
                <v:textbox inset="0,0,0,0">
                  <w:txbxContent>
                    <w:p>
                      <w:pPr>
                        <w:spacing w:line="162" w:lineRule="exact" w:before="0"/>
                        <w:ind w:left="1020" w:right="0" w:firstLine="0"/>
                        <w:jc w:val="left"/>
                        <w:rPr>
                          <w:rFonts w:ascii="宋体" w:hAnsi="宋体" w:cs="宋体" w:eastAsia="宋体" w:hint="default"/>
                          <w:sz w:val="18"/>
                          <w:szCs w:val="18"/>
                        </w:rPr>
                      </w:pPr>
                      <w:r>
                        <w:rPr>
                          <w:rFonts w:ascii="宋体" w:hAnsi="宋体" w:cs="宋体" w:eastAsia="宋体" w:hint="default"/>
                          <w:sz w:val="18"/>
                          <w:szCs w:val="18"/>
                        </w:rPr>
                        <w:t>按照成本与可变现净值孰低提取或调</w:t>
                      </w:r>
                    </w:p>
                    <w:p>
                      <w:pPr>
                        <w:tabs>
                          <w:tab w:pos="4706" w:val="left" w:leader="none"/>
                        </w:tabs>
                        <w:spacing w:line="21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原材料</w:t>
                        <w:tab/>
                        <w:t>本期无转回</w:t>
                      </w:r>
                    </w:p>
                  </w:txbxContent>
                </v:textbox>
                <w10:wrap type="none"/>
              </v:shape>
              <v:shape style="position:absolute;left:7453;top:1252;width:24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w:t>
                      </w:r>
                    </w:p>
                  </w:txbxContent>
                </v:textbox>
                <w10:wrap type="none"/>
              </v:shape>
              <v:shape style="position:absolute;left:400;top:1433;width:7293;height:1800" type="#_x0000_t202" filled="false" stroked="false">
                <v:textbox inset="0,0,0,0">
                  <w:txbxContent>
                    <w:p>
                      <w:pPr>
                        <w:spacing w:line="180" w:lineRule="exact" w:before="0"/>
                        <w:ind w:left="1020" w:right="0" w:firstLine="0"/>
                        <w:jc w:val="left"/>
                        <w:rPr>
                          <w:rFonts w:ascii="宋体" w:hAnsi="宋体" w:cs="宋体" w:eastAsia="宋体" w:hint="default"/>
                          <w:sz w:val="18"/>
                          <w:szCs w:val="18"/>
                        </w:rPr>
                      </w:pPr>
                      <w:r>
                        <w:rPr>
                          <w:rFonts w:ascii="宋体" w:hAnsi="宋体" w:cs="宋体" w:eastAsia="宋体" w:hint="default"/>
                          <w:sz w:val="18"/>
                          <w:szCs w:val="18"/>
                        </w:rPr>
                        <w:t>整存货跌价准备</w:t>
                      </w:r>
                    </w:p>
                    <w:p>
                      <w:pPr>
                        <w:spacing w:line="240" w:lineRule="auto" w:before="4"/>
                        <w:rPr>
                          <w:rFonts w:ascii="宋体" w:hAnsi="宋体" w:cs="宋体" w:eastAsia="宋体" w:hint="default"/>
                          <w:b/>
                          <w:bCs/>
                          <w:sz w:val="13"/>
                          <w:szCs w:val="13"/>
                        </w:rPr>
                      </w:pPr>
                    </w:p>
                    <w:p>
                      <w:pPr>
                        <w:spacing w:line="218" w:lineRule="exact" w:before="0"/>
                        <w:ind w:left="1020" w:right="0" w:firstLine="0"/>
                        <w:jc w:val="left"/>
                        <w:rPr>
                          <w:rFonts w:ascii="宋体" w:hAnsi="宋体" w:cs="宋体" w:eastAsia="宋体" w:hint="default"/>
                          <w:sz w:val="18"/>
                          <w:szCs w:val="18"/>
                        </w:rPr>
                      </w:pPr>
                      <w:r>
                        <w:rPr>
                          <w:rFonts w:ascii="宋体" w:hAnsi="宋体" w:cs="宋体" w:eastAsia="宋体" w:hint="default"/>
                          <w:sz w:val="18"/>
                          <w:szCs w:val="18"/>
                        </w:rPr>
                        <w:t>按照成本与可变现净值孰低提取或调</w:t>
                      </w:r>
                    </w:p>
                    <w:p>
                      <w:pPr>
                        <w:tabs>
                          <w:tab w:pos="4706" w:val="left" w:leader="none"/>
                          <w:tab w:pos="7052" w:val="left" w:leader="none"/>
                        </w:tabs>
                        <w:spacing w:line="212"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在产品</w:t>
                        <w:tab/>
                        <w:t>本期无转回</w:t>
                        <w:tab/>
                      </w:r>
                      <w:r>
                        <w:rPr>
                          <w:rFonts w:ascii="Times New Roman" w:hAnsi="Times New Roman" w:cs="Times New Roman" w:eastAsia="Times New Roman" w:hint="default"/>
                          <w:sz w:val="18"/>
                          <w:szCs w:val="18"/>
                        </w:rPr>
                        <w:t>0%</w:t>
                      </w:r>
                    </w:p>
                    <w:p>
                      <w:pPr>
                        <w:spacing w:line="206" w:lineRule="exact" w:before="0"/>
                        <w:ind w:left="1020" w:right="0" w:firstLine="0"/>
                        <w:jc w:val="left"/>
                        <w:rPr>
                          <w:rFonts w:ascii="宋体" w:hAnsi="宋体" w:cs="宋体" w:eastAsia="宋体" w:hint="default"/>
                          <w:sz w:val="18"/>
                          <w:szCs w:val="18"/>
                        </w:rPr>
                      </w:pPr>
                      <w:r>
                        <w:rPr>
                          <w:rFonts w:ascii="宋体" w:hAnsi="宋体" w:cs="宋体" w:eastAsia="宋体" w:hint="default"/>
                          <w:sz w:val="18"/>
                          <w:szCs w:val="18"/>
                        </w:rPr>
                        <w:t>整存货跌价准备</w:t>
                      </w:r>
                    </w:p>
                    <w:p>
                      <w:pPr>
                        <w:spacing w:line="240" w:lineRule="auto" w:before="4"/>
                        <w:rPr>
                          <w:rFonts w:ascii="宋体" w:hAnsi="宋体" w:cs="宋体" w:eastAsia="宋体" w:hint="default"/>
                          <w:b/>
                          <w:bCs/>
                          <w:sz w:val="13"/>
                          <w:szCs w:val="13"/>
                        </w:rPr>
                      </w:pPr>
                    </w:p>
                    <w:p>
                      <w:pPr>
                        <w:spacing w:line="218" w:lineRule="exact" w:before="0"/>
                        <w:ind w:left="0" w:right="2190" w:firstLine="0"/>
                        <w:jc w:val="center"/>
                        <w:rPr>
                          <w:rFonts w:ascii="宋体" w:hAnsi="宋体" w:cs="宋体" w:eastAsia="宋体" w:hint="default"/>
                          <w:sz w:val="18"/>
                          <w:szCs w:val="18"/>
                        </w:rPr>
                      </w:pPr>
                      <w:r>
                        <w:rPr>
                          <w:rFonts w:ascii="宋体" w:hAnsi="宋体" w:cs="宋体" w:eastAsia="宋体" w:hint="default"/>
                          <w:sz w:val="18"/>
                          <w:szCs w:val="18"/>
                        </w:rPr>
                        <w:t>按照成本与可变现净值孰低提取或</w:t>
                      </w:r>
                    </w:p>
                    <w:p>
                      <w:pPr>
                        <w:tabs>
                          <w:tab w:pos="4706" w:val="left" w:leader="none"/>
                          <w:tab w:pos="7052" w:val="left" w:leader="none"/>
                        </w:tabs>
                        <w:spacing w:line="212"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产成品</w:t>
                        <w:tab/>
                        <w:t>本期无转回</w:t>
                        <w:tab/>
                      </w:r>
                      <w:r>
                        <w:rPr>
                          <w:rFonts w:ascii="Times New Roman" w:hAnsi="Times New Roman" w:cs="Times New Roman" w:eastAsia="Times New Roman" w:hint="default"/>
                          <w:sz w:val="18"/>
                          <w:szCs w:val="18"/>
                        </w:rPr>
                        <w:t>0%</w:t>
                      </w:r>
                    </w:p>
                    <w:p>
                      <w:pPr>
                        <w:spacing w:line="206" w:lineRule="exact" w:before="0"/>
                        <w:ind w:left="1020" w:right="0" w:firstLine="0"/>
                        <w:jc w:val="left"/>
                        <w:rPr>
                          <w:rFonts w:ascii="宋体" w:hAnsi="宋体" w:cs="宋体" w:eastAsia="宋体" w:hint="default"/>
                          <w:sz w:val="18"/>
                          <w:szCs w:val="18"/>
                        </w:rPr>
                      </w:pPr>
                      <w:r>
                        <w:rPr>
                          <w:rFonts w:ascii="宋体" w:hAnsi="宋体" w:cs="宋体" w:eastAsia="宋体" w:hint="default"/>
                          <w:sz w:val="18"/>
                          <w:szCs w:val="18"/>
                        </w:rPr>
                        <w:t>调整存货跌价准备</w:t>
                      </w:r>
                    </w:p>
                  </w:txbxContent>
                </v:textbox>
                <w10:wrap type="none"/>
              </v:shape>
            </v:group>
          </v:group>
        </w:pict>
      </w:r>
      <w:r>
        <w:rPr>
          <w:rFonts w:ascii="宋体" w:hAnsi="宋体" w:cs="宋体" w:eastAsia="宋体" w:hint="default"/>
          <w:position w:val="-65"/>
          <w:sz w:val="20"/>
          <w:szCs w:val="20"/>
        </w:rPr>
      </w:r>
    </w:p>
    <w:p>
      <w:pPr>
        <w:spacing w:after="0" w:line="3290" w:lineRule="exact"/>
        <w:rPr>
          <w:rFonts w:ascii="宋体" w:hAnsi="宋体" w:cs="宋体" w:eastAsia="宋体" w:hint="default"/>
          <w:sz w:val="20"/>
          <w:szCs w:val="20"/>
        </w:rPr>
        <w:sectPr>
          <w:pgSz w:w="11910" w:h="16840"/>
          <w:pgMar w:header="883" w:footer="1003" w:top="1540" w:bottom="1200" w:left="1300" w:right="1040"/>
        </w:sectPr>
      </w:pPr>
    </w:p>
    <w:p>
      <w:pPr>
        <w:spacing w:line="240" w:lineRule="auto" w:before="10"/>
        <w:rPr>
          <w:rFonts w:ascii="宋体" w:hAnsi="宋体" w:cs="宋体" w:eastAsia="宋体" w:hint="default"/>
          <w:b/>
          <w:bCs/>
          <w:sz w:val="8"/>
          <w:szCs w:val="8"/>
        </w:rPr>
      </w:pPr>
    </w:p>
    <w:p>
      <w:pPr>
        <w:tabs>
          <w:tab w:pos="873" w:val="left" w:leader="none"/>
        </w:tabs>
        <w:spacing w:before="35"/>
        <w:ind w:left="145" w:right="0" w:firstLine="0"/>
        <w:jc w:val="left"/>
        <w:rPr>
          <w:rFonts w:ascii="宋体" w:hAnsi="宋体" w:cs="宋体" w:eastAsia="宋体" w:hint="default"/>
          <w:sz w:val="21"/>
          <w:szCs w:val="21"/>
        </w:rPr>
      </w:pPr>
      <w:r>
        <w:rPr>
          <w:rFonts w:ascii="宋体" w:hAnsi="宋体" w:cs="宋体" w:eastAsia="宋体" w:hint="default"/>
          <w:b/>
          <w:bCs/>
          <w:w w:val="95"/>
          <w:sz w:val="21"/>
          <w:szCs w:val="21"/>
        </w:rPr>
        <w:t>(八)</w:t>
        <w:tab/>
      </w:r>
      <w:r>
        <w:rPr>
          <w:rFonts w:ascii="宋体" w:hAnsi="宋体" w:cs="宋体" w:eastAsia="宋体" w:hint="default"/>
          <w:b/>
          <w:bCs/>
          <w:sz w:val="21"/>
          <w:szCs w:val="21"/>
        </w:rPr>
        <w:t>其他流动资产</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2509" w:lineRule="exact"/>
        <w:ind w:left="740"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37.85pt;height:125.5pt;mso-position-horizontal-relative:char;mso-position-vertical-relative:line" coordorigin="0,0" coordsize="8757,2510">
            <v:group style="position:absolute;left:29;top:15;width:8700;height:2" coordorigin="29,15" coordsize="8700,2">
              <v:shape style="position:absolute;left:29;top:15;width:8700;height:2" coordorigin="29,15" coordsize="8700,0" path="m29,15l8729,15e" filled="false" stroked="true" strokeweight="1.5pt" strokecolor="#000000">
                <v:path arrowok="t"/>
              </v:shape>
              <v:shape style="position:absolute;left:3174;top:7;width:2980;height:446" type="#_x0000_t75" stroked="false">
                <v:imagedata r:id="rId171" o:title=""/>
              </v:shape>
            </v:group>
            <v:group style="position:absolute;left:15;top:2494;width:3183;height:2" coordorigin="15,2494" coordsize="3183,2">
              <v:shape style="position:absolute;left:15;top:2494;width:3183;height:2" coordorigin="15,2494" coordsize="3183,0" path="m15,2494l3197,2494e" filled="false" stroked="true" strokeweight="1.5pt" strokecolor="#000000">
                <v:path arrowok="t"/>
              </v:shape>
            </v:group>
            <v:group style="position:absolute;left:3197;top:2494;width:2924;height:2" coordorigin="3197,2494" coordsize="2924,2">
              <v:shape style="position:absolute;left:3197;top:2494;width:2924;height:2" coordorigin="3197,2494" coordsize="2924,0" path="m3197,2494l6121,2494e" filled="false" stroked="true" strokeweight="1.5pt" strokecolor="#000000">
                <v:path arrowok="t"/>
              </v:shape>
              <v:shape style="position:absolute;left:1;top:404;width:8756;height:2075" type="#_x0000_t75" stroked="false">
                <v:imagedata r:id="rId172" o:title=""/>
              </v:shape>
            </v:group>
            <v:group style="position:absolute;left:6121;top:2494;width:2609;height:2" coordorigin="6121,2494" coordsize="2609,2">
              <v:shape style="position:absolute;left:6121;top:2494;width:2609;height:2" coordorigin="6121,2494" coordsize="2609,0" path="m6121,2494l8729,2494e" filled="false" stroked="true" strokeweight="1.5pt" strokecolor="#000000">
                <v:path arrowok="t"/>
              </v:shape>
              <v:shape style="position:absolute;left:1255;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1795;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4304;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7066;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63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待摊营业税</w:t>
                      </w:r>
                    </w:p>
                  </w:txbxContent>
                </v:textbox>
                <w10:wrap type="none"/>
              </v:shape>
              <v:shape style="position:absolute;left:5296;top:65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7,293,081</w:t>
                      </w:r>
                    </w:p>
                  </w:txbxContent>
                </v:textbox>
                <w10:wrap type="none"/>
              </v:shape>
              <v:shape style="position:absolute;left:7899;top:65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4,656,766</w:t>
                      </w:r>
                    </w:p>
                  </w:txbxContent>
                </v:textbox>
                <w10:wrap type="none"/>
              </v:shape>
              <v:shape style="position:absolute;left:137;top:10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租赁费</w:t>
                      </w:r>
                    </w:p>
                  </w:txbxContent>
                </v:textbox>
                <w10:wrap type="none"/>
              </v:shape>
              <v:shape style="position:absolute;left:5432;top:1061;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337,391</w:t>
                      </w:r>
                    </w:p>
                  </w:txbxContent>
                </v:textbox>
                <w10:wrap type="none"/>
              </v:shape>
              <v:shape style="position:absolute;left:8035;top:1061;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472,575</w:t>
                      </w:r>
                    </w:p>
                  </w:txbxContent>
                </v:textbox>
                <w10:wrap type="none"/>
              </v:shape>
              <v:shape style="position:absolute;left:137;top:145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待摊房产税</w:t>
                      </w:r>
                    </w:p>
                  </w:txbxContent>
                </v:textbox>
                <w10:wrap type="none"/>
              </v:shape>
              <v:shape style="position:absolute;left:5432;top:147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289,335</w:t>
                      </w:r>
                    </w:p>
                  </w:txbxContent>
                </v:textbox>
                <w10:wrap type="none"/>
              </v:shape>
              <v:shape style="position:absolute;left:8035;top:147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264,031</w:t>
                      </w:r>
                    </w:p>
                  </w:txbxContent>
                </v:textbox>
                <w10:wrap type="none"/>
              </v:shape>
              <v:shape style="position:absolute;left:137;top:186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  他（注）</w:t>
                      </w:r>
                    </w:p>
                  </w:txbxContent>
                </v:textbox>
                <w10:wrap type="none"/>
              </v:shape>
              <v:shape style="position:absolute;left:5296;top:188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6,343,029</w:t>
                      </w:r>
                    </w:p>
                  </w:txbxContent>
                </v:textbox>
                <w10:wrap type="none"/>
              </v:shape>
              <v:shape style="position:absolute;left:7899;top:188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4,920,141</w:t>
                      </w:r>
                    </w:p>
                  </w:txbxContent>
                </v:textbox>
                <w10:wrap type="none"/>
              </v:shape>
              <v:shape style="position:absolute;left:1255;top:227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1795;top:227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5206;top:229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14,262,836</w:t>
                      </w:r>
                    </w:p>
                  </w:txbxContent>
                </v:textbox>
                <w10:wrap type="none"/>
              </v:shape>
              <v:shape style="position:absolute;left:7809;top:229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10,313,513</w:t>
                      </w:r>
                    </w:p>
                  </w:txbxContent>
                </v:textbox>
                <w10:wrap type="none"/>
              </v:shape>
            </v:group>
          </v:group>
        </w:pict>
      </w:r>
      <w:r>
        <w:rPr>
          <w:rFonts w:ascii="宋体" w:hAnsi="宋体" w:cs="宋体" w:eastAsia="宋体" w:hint="default"/>
          <w:position w:val="-49"/>
          <w:sz w:val="20"/>
          <w:szCs w:val="20"/>
        </w:rPr>
      </w:r>
    </w:p>
    <w:p>
      <w:pPr>
        <w:tabs>
          <w:tab w:pos="873" w:val="left" w:leader="none"/>
        </w:tabs>
        <w:spacing w:line="698" w:lineRule="auto" w:before="93"/>
        <w:ind w:left="145" w:right="5364" w:firstLine="732"/>
        <w:jc w:val="left"/>
        <w:rPr>
          <w:rFonts w:ascii="宋体" w:hAnsi="宋体" w:cs="宋体" w:eastAsia="宋体" w:hint="default"/>
          <w:sz w:val="21"/>
          <w:szCs w:val="21"/>
        </w:rPr>
      </w:pPr>
      <w:r>
        <w:rPr/>
        <w:pict>
          <v:group style="position:absolute;margin-left:101.010002pt;margin-top:59.993954pt;width:432.3pt;height:64.05pt;mso-position-horizontal-relative:page;mso-position-vertical-relative:paragraph;z-index:-1121200" coordorigin="2020,1200" coordsize="8646,1281">
            <v:group style="position:absolute;left:2050;top:1215;width:8588;height:2" coordorigin="2050,1215" coordsize="8588,2">
              <v:shape style="position:absolute;left:2050;top:1215;width:8588;height:2" coordorigin="2050,1215" coordsize="8588,0" path="m2050,1215l10637,1215e" filled="false" stroked="true" strokeweight="1.5pt" strokecolor="#000000">
                <v:path arrowok="t"/>
              </v:shape>
              <v:shape style="position:absolute;left:5192;top:1205;width:2941;height:451" type="#_x0000_t75" stroked="false">
                <v:imagedata r:id="rId173" o:title=""/>
              </v:shape>
            </v:group>
            <v:group style="position:absolute;left:2035;top:2465;width:3183;height:2" coordorigin="2035,2465" coordsize="3183,2">
              <v:shape style="position:absolute;left:2035;top:2465;width:3183;height:2" coordorigin="2035,2465" coordsize="3183,0" path="m2035,2465l5218,2465e" filled="false" stroked="true" strokeweight="1.5pt" strokecolor="#000000">
                <v:path arrowok="t"/>
              </v:shape>
            </v:group>
            <v:group style="position:absolute;left:5218;top:2465;width:2882;height:2" coordorigin="5218,2465" coordsize="2882,2">
              <v:shape style="position:absolute;left:5218;top:2465;width:2882;height:2" coordorigin="5218,2465" coordsize="2882,0" path="m5218,2465l8099,2465e" filled="false" stroked="true" strokeweight="1.5pt" strokecolor="#000000">
                <v:path arrowok="t"/>
              </v:shape>
              <v:shape style="position:absolute;left:2021;top:1607;width:8645;height:843" type="#_x0000_t75" stroked="false">
                <v:imagedata r:id="rId174" o:title=""/>
              </v:shape>
            </v:group>
            <v:group style="position:absolute;left:8099;top:2465;width:2538;height:2" coordorigin="8099,2465" coordsize="2538,2">
              <v:shape style="position:absolute;left:8099;top:2465;width:2538;height:2" coordorigin="8099,2465" coordsize="2538,0" path="m8099,2465l10637,2465e" filled="false" stroked="true" strokeweight="1.5pt" strokecolor="#000000">
                <v:path arrowok="t"/>
              </v:shape>
              <v:shape style="position:absolute;left:3275;top:14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3815;top:14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6304;top:14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9010;top:14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158;top:1832;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银行理财产品（注）</w:t>
                      </w:r>
                    </w:p>
                  </w:txbxContent>
                </v:textbox>
                <w10:wrap type="none"/>
              </v:shape>
              <v:shape style="position:absolute;left:7096;top:185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401,931,507</w:t>
                      </w:r>
                    </w:p>
                  </w:txbxContent>
                </v:textbox>
                <w10:wrap type="none"/>
              </v:shape>
              <v:shape style="position:absolute;left:3275;top:224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3815;top:224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7096;top:226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401,931,507</w:t>
                      </w:r>
                    </w:p>
                  </w:txbxContent>
                </v:textbox>
                <w10:wrap type="none"/>
              </v:shape>
            </v:group>
            <w10:wrap type="none"/>
          </v:group>
        </w:pict>
      </w:r>
      <w:r>
        <w:rPr>
          <w:rFonts w:ascii="宋体" w:hAnsi="宋体" w:cs="宋体" w:eastAsia="宋体" w:hint="default"/>
          <w:sz w:val="21"/>
          <w:szCs w:val="21"/>
        </w:rPr>
        <w:t>注：其他项目主要为待摊采暖费等。 </w:t>
      </w:r>
      <w:r>
        <w:rPr>
          <w:rFonts w:ascii="宋体" w:hAnsi="宋体" w:cs="宋体" w:eastAsia="宋体" w:hint="default"/>
          <w:b/>
          <w:bCs/>
          <w:w w:val="95"/>
          <w:sz w:val="21"/>
          <w:szCs w:val="21"/>
        </w:rPr>
        <w:t>(九)</w:t>
        <w:tab/>
      </w:r>
      <w:r>
        <w:rPr>
          <w:rFonts w:ascii="宋体" w:hAnsi="宋体" w:cs="宋体" w:eastAsia="宋体" w:hint="default"/>
          <w:b/>
          <w:bCs/>
          <w:sz w:val="21"/>
          <w:szCs w:val="21"/>
        </w:rPr>
        <w:t>持有至到期投资</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4"/>
          <w:szCs w:val="14"/>
        </w:rPr>
      </w:pPr>
    </w:p>
    <w:p>
      <w:pPr>
        <w:pStyle w:val="BodyText"/>
        <w:spacing w:line="240" w:lineRule="auto"/>
        <w:ind w:left="877" w:right="0"/>
        <w:jc w:val="left"/>
      </w:pPr>
      <w:r>
        <w:rPr/>
        <w:t>注：系本公司根据资金情况购买的银行理财产品，并已于</w:t>
      </w:r>
      <w:r>
        <w:rPr>
          <w:spacing w:val="-62"/>
        </w:rPr>
        <w:t> </w:t>
      </w:r>
      <w:r>
        <w:rPr/>
        <w:t>2012</w:t>
      </w:r>
      <w:r>
        <w:rPr>
          <w:spacing w:val="-62"/>
        </w:rPr>
        <w:t> </w:t>
      </w:r>
      <w:r>
        <w:rPr/>
        <w:t>年</w:t>
      </w:r>
      <w:r>
        <w:rPr>
          <w:spacing w:val="-63"/>
        </w:rPr>
        <w:t> </w:t>
      </w:r>
      <w:r>
        <w:rPr/>
        <w:t>2</w:t>
      </w:r>
      <w:r>
        <w:rPr>
          <w:spacing w:val="-62"/>
        </w:rPr>
        <w:t> </w:t>
      </w:r>
      <w:r>
        <w:rPr/>
        <w:t>月底前全部收回。</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tbl>
      <w:tblPr>
        <w:tblW w:w="0" w:type="auto"/>
        <w:jc w:val="left"/>
        <w:tblInd w:w="114" w:type="dxa"/>
        <w:tblLayout w:type="fixed"/>
        <w:tblCellMar>
          <w:top w:w="0" w:type="dxa"/>
          <w:left w:w="0" w:type="dxa"/>
          <w:bottom w:w="0" w:type="dxa"/>
          <w:right w:w="0" w:type="dxa"/>
        </w:tblCellMar>
        <w:tblLook w:val="01E0"/>
      </w:tblPr>
      <w:tblGrid>
        <w:gridCol w:w="641"/>
        <w:gridCol w:w="1522"/>
        <w:gridCol w:w="1195"/>
        <w:gridCol w:w="1445"/>
        <w:gridCol w:w="1021"/>
        <w:gridCol w:w="992"/>
        <w:gridCol w:w="2462"/>
      </w:tblGrid>
      <w:tr>
        <w:trPr>
          <w:trHeight w:val="357" w:hRule="exact"/>
        </w:trPr>
        <w:tc>
          <w:tcPr>
            <w:tcW w:w="64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(十)</w:t>
            </w:r>
            <w:r>
              <w:rPr>
                <w:rFonts w:ascii="宋体" w:hAnsi="宋体" w:cs="宋体" w:eastAsia="宋体" w:hint="default"/>
                <w:sz w:val="21"/>
                <w:szCs w:val="21"/>
              </w:rPr>
            </w:r>
          </w:p>
        </w:tc>
        <w:tc>
          <w:tcPr>
            <w:tcW w:w="1522"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18" w:right="0"/>
              <w:jc w:val="left"/>
              <w:rPr>
                <w:rFonts w:ascii="宋体" w:hAnsi="宋体" w:cs="宋体" w:eastAsia="宋体" w:hint="default"/>
                <w:sz w:val="21"/>
                <w:szCs w:val="21"/>
              </w:rPr>
            </w:pPr>
            <w:r>
              <w:rPr>
                <w:rFonts w:ascii="宋体" w:hAnsi="宋体" w:cs="宋体" w:eastAsia="宋体" w:hint="default"/>
                <w:b/>
                <w:bCs/>
                <w:sz w:val="21"/>
                <w:szCs w:val="21"/>
              </w:rPr>
              <w:t>长期应收款</w:t>
            </w:r>
            <w:r>
              <w:rPr>
                <w:rFonts w:ascii="宋体" w:hAnsi="宋体" w:cs="宋体" w:eastAsia="宋体" w:hint="default"/>
                <w:sz w:val="21"/>
                <w:szCs w:val="21"/>
              </w:rPr>
            </w:r>
          </w:p>
        </w:tc>
        <w:tc>
          <w:tcPr>
            <w:tcW w:w="7115" w:type="dxa"/>
            <w:gridSpan w:val="5"/>
            <w:tcBorders>
              <w:top w:val="nil" w:sz="6" w:space="0" w:color="auto"/>
              <w:left w:val="nil" w:sz="6" w:space="0" w:color="auto"/>
              <w:bottom w:val="single" w:sz="12" w:space="0" w:color="000000"/>
              <w:right w:val="nil" w:sz="6" w:space="0" w:color="auto"/>
            </w:tcBorders>
          </w:tcPr>
          <w:p>
            <w:pPr/>
          </w:p>
        </w:tc>
      </w:tr>
      <w:tr>
        <w:trPr>
          <w:trHeight w:val="499" w:hRule="exact"/>
        </w:trPr>
        <w:tc>
          <w:tcPr>
            <w:tcW w:w="641" w:type="dxa"/>
            <w:tcBorders>
              <w:top w:val="nil" w:sz="6" w:space="0" w:color="auto"/>
              <w:left w:val="nil" w:sz="6" w:space="0" w:color="auto"/>
              <w:bottom w:val="nil" w:sz="6" w:space="0" w:color="auto"/>
              <w:right w:val="nil" w:sz="6" w:space="0" w:color="auto"/>
            </w:tcBorders>
          </w:tcPr>
          <w:p>
            <w:pPr/>
          </w:p>
        </w:tc>
        <w:tc>
          <w:tcPr>
            <w:tcW w:w="1522" w:type="dxa"/>
            <w:tcBorders>
              <w:top w:val="single" w:sz="12" w:space="0" w:color="000000"/>
              <w:left w:val="nil" w:sz="6" w:space="0" w:color="auto"/>
              <w:bottom w:val="nil" w:sz="6" w:space="0" w:color="auto"/>
              <w:right w:val="nil" w:sz="6" w:space="0" w:color="auto"/>
            </w:tcBorders>
          </w:tcPr>
          <w:p>
            <w:pPr/>
          </w:p>
        </w:tc>
        <w:tc>
          <w:tcPr>
            <w:tcW w:w="1195" w:type="dxa"/>
            <w:tcBorders>
              <w:top w:val="single" w:sz="12" w:space="0" w:color="000000"/>
              <w:left w:val="nil" w:sz="6" w:space="0" w:color="auto"/>
              <w:bottom w:val="nil" w:sz="6" w:space="0" w:color="auto"/>
              <w:right w:val="nil" w:sz="6" w:space="0" w:color="auto"/>
            </w:tcBorders>
          </w:tcPr>
          <w:p>
            <w:pPr/>
          </w:p>
        </w:tc>
        <w:tc>
          <w:tcPr>
            <w:tcW w:w="1445"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35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21" w:type="dxa"/>
            <w:tcBorders>
              <w:top w:val="single" w:sz="12" w:space="0" w:color="000000"/>
              <w:left w:val="nil" w:sz="6" w:space="0" w:color="auto"/>
              <w:bottom w:val="nil" w:sz="6" w:space="0" w:color="auto"/>
              <w:right w:val="nil" w:sz="6" w:space="0" w:color="auto"/>
            </w:tcBorders>
          </w:tcPr>
          <w:p>
            <w:pPr/>
          </w:p>
        </w:tc>
        <w:tc>
          <w:tcPr>
            <w:tcW w:w="992" w:type="dxa"/>
            <w:tcBorders>
              <w:top w:val="single" w:sz="12" w:space="0" w:color="000000"/>
              <w:left w:val="nil" w:sz="6" w:space="0" w:color="auto"/>
              <w:bottom w:val="nil" w:sz="6" w:space="0" w:color="auto"/>
              <w:right w:val="nil" w:sz="6" w:space="0" w:color="auto"/>
            </w:tcBorders>
          </w:tcPr>
          <w:p>
            <w:pPr/>
          </w:p>
        </w:tc>
        <w:tc>
          <w:tcPr>
            <w:tcW w:w="2462"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350"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517" w:hRule="exact"/>
        </w:trPr>
        <w:tc>
          <w:tcPr>
            <w:tcW w:w="641"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6"/>
              <w:ind w:left="575"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left="404"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445" w:type="dxa"/>
            <w:tcBorders>
              <w:top w:val="nil" w:sz="6" w:space="0" w:color="auto"/>
              <w:left w:val="nil" w:sz="6" w:space="0" w:color="auto"/>
              <w:bottom w:val="nil" w:sz="6" w:space="0" w:color="auto"/>
              <w:right w:val="nil" w:sz="6" w:space="0" w:color="auto"/>
            </w:tcBorders>
          </w:tcPr>
          <w:p>
            <w:pPr>
              <w:pStyle w:val="TableParagraph"/>
              <w:spacing w:line="217" w:lineRule="exact" w:before="62"/>
              <w:ind w:left="88"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17" w:lineRule="exact"/>
              <w:ind w:left="61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净  值</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2462" w:type="dxa"/>
            <w:tcBorders>
              <w:top w:val="nil" w:sz="6" w:space="0" w:color="auto"/>
              <w:left w:val="nil" w:sz="6" w:space="0" w:color="auto"/>
              <w:bottom w:val="nil" w:sz="6" w:space="0" w:color="auto"/>
              <w:right w:val="nil" w:sz="6" w:space="0" w:color="auto"/>
            </w:tcBorders>
          </w:tcPr>
          <w:p>
            <w:pPr>
              <w:pStyle w:val="TableParagraph"/>
              <w:spacing w:line="217" w:lineRule="exact" w:before="62"/>
              <w:ind w:left="88"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tabs>
                <w:tab w:pos="1697" w:val="left" w:leader="none"/>
              </w:tabs>
              <w:spacing w:line="217" w:lineRule="exact"/>
              <w:ind w:left="667" w:right="0"/>
              <w:jc w:val="left"/>
              <w:rPr>
                <w:rFonts w:ascii="宋体" w:hAnsi="宋体" w:cs="宋体" w:eastAsia="宋体" w:hint="default"/>
                <w:sz w:val="18"/>
                <w:szCs w:val="18"/>
              </w:rPr>
            </w:pPr>
            <w:r>
              <w:rPr>
                <w:rFonts w:ascii="宋体" w:hAnsi="宋体" w:cs="宋体" w:eastAsia="宋体" w:hint="default"/>
                <w:sz w:val="18"/>
                <w:szCs w:val="18"/>
              </w:rPr>
              <w:t>坏账准备</w:t>
              <w:tab/>
              <w:t>净  值</w:t>
            </w:r>
          </w:p>
        </w:tc>
      </w:tr>
      <w:tr>
        <w:trPr>
          <w:trHeight w:val="305" w:hRule="exact"/>
        </w:trPr>
        <w:tc>
          <w:tcPr>
            <w:tcW w:w="641"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445" w:type="dxa"/>
            <w:tcBorders>
              <w:top w:val="nil" w:sz="6" w:space="0" w:color="auto"/>
              <w:left w:val="nil" w:sz="6" w:space="0" w:color="auto"/>
              <w:bottom w:val="nil" w:sz="6" w:space="0" w:color="auto"/>
              <w:right w:val="nil" w:sz="6" w:space="0" w:color="auto"/>
            </w:tcBorders>
          </w:tcPr>
          <w:p>
            <w:pPr>
              <w:pStyle w:val="TableParagraph"/>
              <w:spacing w:line="204" w:lineRule="exact"/>
              <w:ind w:left="157" w:right="0"/>
              <w:jc w:val="left"/>
              <w:rPr>
                <w:rFonts w:ascii="Times New Roman" w:hAnsi="Times New Roman" w:cs="Times New Roman" w:eastAsia="Times New Roman" w:hint="default"/>
                <w:sz w:val="18"/>
                <w:szCs w:val="18"/>
              </w:rPr>
            </w:pPr>
            <w:r>
              <w:rPr>
                <w:rFonts w:ascii="Times New Roman"/>
                <w:sz w:val="18"/>
              </w:rPr>
              <w:t>(%)</w:t>
            </w:r>
          </w:p>
        </w:tc>
        <w:tc>
          <w:tcPr>
            <w:tcW w:w="1021"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2462" w:type="dxa"/>
            <w:tcBorders>
              <w:top w:val="nil" w:sz="6" w:space="0" w:color="auto"/>
              <w:left w:val="nil" w:sz="6" w:space="0" w:color="auto"/>
              <w:bottom w:val="nil" w:sz="6" w:space="0" w:color="auto"/>
              <w:right w:val="nil" w:sz="6" w:space="0" w:color="auto"/>
            </w:tcBorders>
          </w:tcPr>
          <w:p>
            <w:pPr>
              <w:pStyle w:val="TableParagraph"/>
              <w:spacing w:line="204" w:lineRule="exact"/>
              <w:ind w:left="157" w:right="0"/>
              <w:jc w:val="left"/>
              <w:rPr>
                <w:rFonts w:ascii="Times New Roman" w:hAnsi="Times New Roman" w:cs="Times New Roman" w:eastAsia="Times New Roman" w:hint="default"/>
                <w:sz w:val="18"/>
                <w:szCs w:val="18"/>
              </w:rPr>
            </w:pPr>
            <w:r>
              <w:rPr>
                <w:rFonts w:ascii="Times New Roman"/>
                <w:sz w:val="18"/>
              </w:rPr>
              <w:t>(%)</w:t>
            </w:r>
          </w:p>
        </w:tc>
      </w:tr>
      <w:tr>
        <w:trPr>
          <w:trHeight w:val="410" w:hRule="exact"/>
        </w:trPr>
        <w:tc>
          <w:tcPr>
            <w:tcW w:w="641"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3" w:right="0"/>
              <w:jc w:val="left"/>
              <w:rPr>
                <w:rFonts w:ascii="宋体" w:hAnsi="宋体" w:cs="宋体" w:eastAsia="宋体" w:hint="default"/>
                <w:sz w:val="18"/>
                <w:szCs w:val="18"/>
              </w:rPr>
            </w:pPr>
            <w:r>
              <w:rPr>
                <w:rFonts w:ascii="宋体" w:hAnsi="宋体" w:cs="宋体" w:eastAsia="宋体" w:hint="default"/>
                <w:spacing w:val="-7"/>
                <w:sz w:val="18"/>
                <w:szCs w:val="18"/>
              </w:rPr>
              <w:t>房租押金（注</w:t>
            </w:r>
            <w:r>
              <w:rPr>
                <w:rFonts w:ascii="Times New Roman" w:hAnsi="Times New Roman" w:cs="Times New Roman" w:eastAsia="Times New Roman" w:hint="default"/>
                <w:spacing w:val="-7"/>
                <w:sz w:val="18"/>
                <w:szCs w:val="18"/>
              </w:rPr>
              <w:t>1</w:t>
            </w:r>
            <w:r>
              <w:rPr>
                <w:rFonts w:ascii="宋体" w:hAnsi="宋体" w:cs="宋体" w:eastAsia="宋体" w:hint="default"/>
                <w:spacing w:val="-7"/>
                <w:sz w:val="18"/>
                <w:szCs w:val="18"/>
              </w:rPr>
              <w:t>）</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4"/>
              <w:jc w:val="right"/>
              <w:rPr>
                <w:rFonts w:ascii="Times New Roman" w:hAnsi="Times New Roman" w:cs="Times New Roman" w:eastAsia="Times New Roman" w:hint="default"/>
                <w:sz w:val="18"/>
                <w:szCs w:val="18"/>
              </w:rPr>
            </w:pPr>
            <w:r>
              <w:rPr>
                <w:rFonts w:ascii="Times New Roman"/>
                <w:sz w:val="18"/>
              </w:rPr>
              <w:t>5,075,500</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225" w:right="0"/>
              <w:jc w:val="left"/>
              <w:rPr>
                <w:rFonts w:ascii="Times New Roman" w:hAnsi="Times New Roman" w:cs="Times New Roman" w:eastAsia="Times New Roman" w:hint="default"/>
                <w:sz w:val="18"/>
                <w:szCs w:val="18"/>
              </w:rPr>
            </w:pPr>
            <w:r>
              <w:rPr>
                <w:rFonts w:ascii="Times New Roman"/>
                <w:sz w:val="18"/>
              </w:rPr>
              <w:t>3.30</w:t>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3"/>
              <w:jc w:val="right"/>
              <w:rPr>
                <w:rFonts w:ascii="Times New Roman" w:hAnsi="Times New Roman" w:cs="Times New Roman" w:eastAsia="Times New Roman" w:hint="default"/>
                <w:sz w:val="18"/>
                <w:szCs w:val="18"/>
              </w:rPr>
            </w:pPr>
            <w:r>
              <w:rPr>
                <w:rFonts w:ascii="Times New Roman"/>
                <w:sz w:val="18"/>
              </w:rPr>
              <w:t>5,075,500</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4"/>
              <w:jc w:val="right"/>
              <w:rPr>
                <w:rFonts w:ascii="Times New Roman" w:hAnsi="Times New Roman" w:cs="Times New Roman" w:eastAsia="Times New Roman" w:hint="default"/>
                <w:sz w:val="18"/>
                <w:szCs w:val="18"/>
              </w:rPr>
            </w:pPr>
            <w:r>
              <w:rPr>
                <w:rFonts w:ascii="Times New Roman"/>
                <w:sz w:val="18"/>
              </w:rPr>
              <w:t>5,234,855</w:t>
            </w:r>
          </w:p>
        </w:tc>
        <w:tc>
          <w:tcPr>
            <w:tcW w:w="2462" w:type="dxa"/>
            <w:tcBorders>
              <w:top w:val="nil" w:sz="6" w:space="0" w:color="auto"/>
              <w:left w:val="nil" w:sz="6" w:space="0" w:color="auto"/>
              <w:bottom w:val="nil" w:sz="6" w:space="0" w:color="auto"/>
              <w:right w:val="nil" w:sz="6" w:space="0" w:color="auto"/>
            </w:tcBorders>
          </w:tcPr>
          <w:p>
            <w:pPr>
              <w:pStyle w:val="TableParagraph"/>
              <w:tabs>
                <w:tab w:pos="1469" w:val="left" w:leader="none"/>
              </w:tabs>
              <w:spacing w:line="240" w:lineRule="auto" w:before="101"/>
              <w:ind w:right="42"/>
              <w:jc w:val="right"/>
              <w:rPr>
                <w:rFonts w:ascii="Times New Roman" w:hAnsi="Times New Roman" w:cs="Times New Roman" w:eastAsia="Times New Roman" w:hint="default"/>
                <w:sz w:val="18"/>
                <w:szCs w:val="18"/>
              </w:rPr>
            </w:pPr>
            <w:r>
              <w:rPr>
                <w:rFonts w:ascii="Times New Roman"/>
                <w:sz w:val="18"/>
              </w:rPr>
              <w:t>1.83</w:t>
              <w:tab/>
              <w:t>5,234,855</w:t>
            </w:r>
          </w:p>
        </w:tc>
      </w:tr>
      <w:tr>
        <w:trPr>
          <w:trHeight w:val="410" w:hRule="exact"/>
        </w:trPr>
        <w:tc>
          <w:tcPr>
            <w:tcW w:w="641"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3" w:right="0"/>
              <w:jc w:val="left"/>
              <w:rPr>
                <w:rFonts w:ascii="宋体" w:hAnsi="宋体" w:cs="宋体" w:eastAsia="宋体" w:hint="default"/>
                <w:sz w:val="18"/>
                <w:szCs w:val="18"/>
              </w:rPr>
            </w:pPr>
            <w:r>
              <w:rPr>
                <w:rFonts w:ascii="宋体" w:hAnsi="宋体" w:cs="宋体" w:eastAsia="宋体" w:hint="default"/>
                <w:spacing w:val="-7"/>
                <w:sz w:val="18"/>
                <w:szCs w:val="18"/>
              </w:rPr>
              <w:t>分期收款（注</w:t>
            </w:r>
            <w:r>
              <w:rPr>
                <w:rFonts w:ascii="Times New Roman" w:hAnsi="Times New Roman" w:cs="Times New Roman" w:eastAsia="Times New Roman" w:hint="default"/>
                <w:spacing w:val="-7"/>
                <w:sz w:val="18"/>
                <w:szCs w:val="18"/>
              </w:rPr>
              <w:t>2</w:t>
            </w:r>
            <w:r>
              <w:rPr>
                <w:rFonts w:ascii="宋体" w:hAnsi="宋体" w:cs="宋体" w:eastAsia="宋体" w:hint="default"/>
                <w:spacing w:val="-7"/>
                <w:sz w:val="18"/>
                <w:szCs w:val="18"/>
              </w:rPr>
              <w:t>）</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4"/>
              <w:jc w:val="right"/>
              <w:rPr>
                <w:rFonts w:ascii="Times New Roman" w:hAnsi="Times New Roman" w:cs="Times New Roman" w:eastAsia="Times New Roman" w:hint="default"/>
                <w:sz w:val="18"/>
                <w:szCs w:val="18"/>
              </w:rPr>
            </w:pPr>
            <w:r>
              <w:rPr>
                <w:rFonts w:ascii="Times New Roman"/>
                <w:sz w:val="18"/>
              </w:rPr>
              <w:t>42,830,601</w:t>
            </w:r>
          </w:p>
        </w:tc>
        <w:tc>
          <w:tcPr>
            <w:tcW w:w="1445" w:type="dxa"/>
            <w:tcBorders>
              <w:top w:val="nil" w:sz="6" w:space="0" w:color="auto"/>
              <w:left w:val="nil" w:sz="6" w:space="0" w:color="auto"/>
              <w:bottom w:val="nil" w:sz="6" w:space="0" w:color="auto"/>
              <w:right w:val="nil" w:sz="6" w:space="0" w:color="auto"/>
            </w:tcBorders>
          </w:tcPr>
          <w:p>
            <w:pPr>
              <w:pStyle w:val="TableParagraph"/>
              <w:tabs>
                <w:tab w:pos="647" w:val="left" w:leader="none"/>
              </w:tabs>
              <w:spacing w:line="240" w:lineRule="auto" w:before="101"/>
              <w:ind w:right="73"/>
              <w:jc w:val="right"/>
              <w:rPr>
                <w:rFonts w:ascii="Times New Roman" w:hAnsi="Times New Roman" w:cs="Times New Roman" w:eastAsia="Times New Roman" w:hint="default"/>
                <w:sz w:val="18"/>
                <w:szCs w:val="18"/>
              </w:rPr>
            </w:pPr>
            <w:r>
              <w:rPr>
                <w:rFonts w:ascii="Times New Roman"/>
                <w:sz w:val="18"/>
              </w:rPr>
              <w:t>27.88</w:t>
              <w:tab/>
              <w:t>826,061</w:t>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2"/>
              <w:jc w:val="right"/>
              <w:rPr>
                <w:rFonts w:ascii="Times New Roman" w:hAnsi="Times New Roman" w:cs="Times New Roman" w:eastAsia="Times New Roman" w:hint="default"/>
                <w:sz w:val="18"/>
                <w:szCs w:val="18"/>
              </w:rPr>
            </w:pPr>
            <w:r>
              <w:rPr>
                <w:rFonts w:ascii="Times New Roman"/>
                <w:sz w:val="18"/>
              </w:rPr>
              <w:t>42,004,540</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4"/>
              <w:jc w:val="right"/>
              <w:rPr>
                <w:rFonts w:ascii="Times New Roman" w:hAnsi="Times New Roman" w:cs="Times New Roman" w:eastAsia="Times New Roman" w:hint="default"/>
                <w:sz w:val="18"/>
                <w:szCs w:val="18"/>
              </w:rPr>
            </w:pPr>
            <w:r>
              <w:rPr>
                <w:rFonts w:ascii="Times New Roman"/>
                <w:sz w:val="18"/>
              </w:rPr>
              <w:t>67,825,066</w:t>
            </w:r>
          </w:p>
        </w:tc>
        <w:tc>
          <w:tcPr>
            <w:tcW w:w="2462" w:type="dxa"/>
            <w:tcBorders>
              <w:top w:val="nil" w:sz="6" w:space="0" w:color="auto"/>
              <w:left w:val="nil" w:sz="6" w:space="0" w:color="auto"/>
              <w:bottom w:val="nil" w:sz="6" w:space="0" w:color="auto"/>
              <w:right w:val="nil" w:sz="6" w:space="0" w:color="auto"/>
            </w:tcBorders>
          </w:tcPr>
          <w:p>
            <w:pPr>
              <w:pStyle w:val="TableParagraph"/>
              <w:tabs>
                <w:tab w:pos="624" w:val="left" w:leader="none"/>
              </w:tabs>
              <w:spacing w:line="240" w:lineRule="auto" w:before="101"/>
              <w:ind w:right="42"/>
              <w:jc w:val="right"/>
              <w:rPr>
                <w:rFonts w:ascii="Times New Roman" w:hAnsi="Times New Roman" w:cs="Times New Roman" w:eastAsia="Times New Roman" w:hint="default"/>
                <w:sz w:val="18"/>
                <w:szCs w:val="18"/>
              </w:rPr>
            </w:pPr>
            <w:r>
              <w:rPr>
                <w:rFonts w:ascii="Times New Roman"/>
                <w:sz w:val="18"/>
              </w:rPr>
              <w:t>23.67</w:t>
              <w:tab/>
              <w:t>1,011,857 </w:t>
            </w:r>
            <w:r>
              <w:rPr>
                <w:rFonts w:ascii="Times New Roman"/>
                <w:spacing w:val="32"/>
                <w:sz w:val="18"/>
              </w:rPr>
              <w:t> </w:t>
            </w:r>
            <w:r>
              <w:rPr>
                <w:rFonts w:ascii="Times New Roman"/>
                <w:sz w:val="18"/>
              </w:rPr>
              <w:t>66,813,209</w:t>
            </w:r>
          </w:p>
        </w:tc>
      </w:tr>
      <w:tr>
        <w:trPr>
          <w:trHeight w:val="410" w:hRule="exact"/>
        </w:trPr>
        <w:tc>
          <w:tcPr>
            <w:tcW w:w="641"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3" w:right="0"/>
              <w:jc w:val="left"/>
              <w:rPr>
                <w:rFonts w:ascii="宋体" w:hAnsi="宋体" w:cs="宋体" w:eastAsia="宋体" w:hint="default"/>
                <w:sz w:val="18"/>
                <w:szCs w:val="18"/>
              </w:rPr>
            </w:pPr>
            <w:r>
              <w:rPr>
                <w:rFonts w:ascii="宋体" w:hAnsi="宋体" w:cs="宋体" w:eastAsia="宋体" w:hint="default"/>
                <w:spacing w:val="-15"/>
                <w:sz w:val="18"/>
                <w:szCs w:val="18"/>
              </w:rPr>
              <w:t>转让资产应收款（注</w:t>
            </w:r>
            <w:r>
              <w:rPr>
                <w:rFonts w:ascii="宋体" w:hAnsi="宋体" w:cs="宋体" w:eastAsia="宋体" w:hint="default"/>
                <w:sz w:val="18"/>
                <w:szCs w:val="18"/>
              </w:rPr>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44"/>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position w:val="1"/>
                <w:sz w:val="18"/>
                <w:szCs w:val="18"/>
              </w:rPr>
              <w:t>3</w:t>
            </w:r>
            <w:r>
              <w:rPr>
                <w:rFonts w:ascii="宋体" w:hAnsi="宋体" w:cs="宋体" w:eastAsia="宋体" w:hint="default"/>
                <w:spacing w:val="-4"/>
                <w:position w:val="1"/>
                <w:sz w:val="18"/>
                <w:szCs w:val="18"/>
              </w:rPr>
              <w:t>）</w:t>
            </w:r>
            <w:r>
              <w:rPr>
                <w:rFonts w:ascii="Times New Roman" w:hAnsi="Times New Roman" w:cs="Times New Roman" w:eastAsia="Times New Roman" w:hint="default"/>
                <w:spacing w:val="-4"/>
                <w:sz w:val="18"/>
                <w:szCs w:val="18"/>
              </w:rPr>
              <w:t>105,745,047</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73"/>
              <w:jc w:val="right"/>
              <w:rPr>
                <w:rFonts w:ascii="Times New Roman" w:hAnsi="Times New Roman" w:cs="Times New Roman" w:eastAsia="Times New Roman" w:hint="default"/>
                <w:sz w:val="18"/>
                <w:szCs w:val="18"/>
              </w:rPr>
            </w:pPr>
            <w:r>
              <w:rPr>
                <w:rFonts w:ascii="Times New Roman"/>
                <w:sz w:val="18"/>
              </w:rPr>
              <w:t>68.82 </w:t>
            </w:r>
            <w:r>
              <w:rPr>
                <w:rFonts w:ascii="Times New Roman"/>
                <w:spacing w:val="16"/>
                <w:sz w:val="18"/>
              </w:rPr>
              <w:t> </w:t>
            </w:r>
            <w:r>
              <w:rPr>
                <w:rFonts w:ascii="Times New Roman"/>
                <w:sz w:val="18"/>
              </w:rPr>
              <w:t>2,114,900</w:t>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2"/>
              <w:jc w:val="right"/>
              <w:rPr>
                <w:rFonts w:ascii="Times New Roman" w:hAnsi="Times New Roman" w:cs="Times New Roman" w:eastAsia="Times New Roman" w:hint="default"/>
                <w:sz w:val="18"/>
                <w:szCs w:val="18"/>
              </w:rPr>
            </w:pPr>
            <w:r>
              <w:rPr>
                <w:rFonts w:ascii="Times New Roman"/>
                <w:sz w:val="18"/>
              </w:rPr>
              <w:t>103,630,147</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4"/>
              <w:jc w:val="right"/>
              <w:rPr>
                <w:rFonts w:ascii="Times New Roman" w:hAnsi="Times New Roman" w:cs="Times New Roman" w:eastAsia="Times New Roman" w:hint="default"/>
                <w:sz w:val="18"/>
                <w:szCs w:val="18"/>
              </w:rPr>
            </w:pPr>
            <w:r>
              <w:rPr>
                <w:rFonts w:ascii="Times New Roman"/>
                <w:sz w:val="18"/>
              </w:rPr>
              <w:t>213,493,174</w:t>
            </w:r>
          </w:p>
        </w:tc>
        <w:tc>
          <w:tcPr>
            <w:tcW w:w="2462" w:type="dxa"/>
            <w:tcBorders>
              <w:top w:val="nil" w:sz="6" w:space="0" w:color="auto"/>
              <w:left w:val="nil" w:sz="6" w:space="0" w:color="auto"/>
              <w:bottom w:val="nil" w:sz="6" w:space="0" w:color="auto"/>
              <w:right w:val="nil" w:sz="6" w:space="0" w:color="auto"/>
            </w:tcBorders>
          </w:tcPr>
          <w:p>
            <w:pPr>
              <w:pStyle w:val="TableParagraph"/>
              <w:tabs>
                <w:tab w:pos="617" w:val="left" w:leader="none"/>
              </w:tabs>
              <w:spacing w:line="240" w:lineRule="auto" w:before="101"/>
              <w:ind w:right="42"/>
              <w:jc w:val="right"/>
              <w:rPr>
                <w:rFonts w:ascii="Times New Roman" w:hAnsi="Times New Roman" w:cs="Times New Roman" w:eastAsia="Times New Roman" w:hint="default"/>
                <w:sz w:val="18"/>
                <w:szCs w:val="18"/>
              </w:rPr>
            </w:pPr>
            <w:r>
              <w:rPr>
                <w:rFonts w:ascii="Times New Roman"/>
                <w:sz w:val="18"/>
              </w:rPr>
              <w:t>74.50</w:t>
              <w:tab/>
              <w:t>2,134,932</w:t>
            </w:r>
            <w:r>
              <w:rPr>
                <w:rFonts w:ascii="Times New Roman"/>
                <w:spacing w:val="-5"/>
                <w:sz w:val="18"/>
              </w:rPr>
              <w:t> </w:t>
            </w:r>
            <w:r>
              <w:rPr>
                <w:rFonts w:ascii="Times New Roman"/>
                <w:sz w:val="18"/>
              </w:rPr>
              <w:t>211,358,242</w:t>
            </w:r>
          </w:p>
        </w:tc>
      </w:tr>
      <w:tr>
        <w:trPr>
          <w:trHeight w:val="328" w:hRule="exact"/>
        </w:trPr>
        <w:tc>
          <w:tcPr>
            <w:tcW w:w="641"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575"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19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44"/>
              <w:jc w:val="right"/>
              <w:rPr>
                <w:rFonts w:ascii="Times New Roman" w:hAnsi="Times New Roman" w:cs="Times New Roman" w:eastAsia="Times New Roman" w:hint="default"/>
                <w:sz w:val="18"/>
                <w:szCs w:val="18"/>
              </w:rPr>
            </w:pPr>
            <w:r>
              <w:rPr>
                <w:rFonts w:ascii="Times New Roman"/>
                <w:sz w:val="18"/>
              </w:rPr>
              <w:t>153,651,148</w:t>
            </w:r>
          </w:p>
        </w:tc>
        <w:tc>
          <w:tcPr>
            <w:tcW w:w="144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73"/>
              <w:jc w:val="right"/>
              <w:rPr>
                <w:rFonts w:ascii="Times New Roman" w:hAnsi="Times New Roman" w:cs="Times New Roman" w:eastAsia="Times New Roman" w:hint="default"/>
                <w:sz w:val="18"/>
                <w:szCs w:val="18"/>
              </w:rPr>
            </w:pPr>
            <w:r>
              <w:rPr>
                <w:rFonts w:ascii="Times New Roman"/>
                <w:sz w:val="18"/>
              </w:rPr>
              <w:t>100.00 </w:t>
            </w:r>
            <w:r>
              <w:rPr>
                <w:rFonts w:ascii="Times New Roman"/>
                <w:spacing w:val="16"/>
                <w:sz w:val="18"/>
              </w:rPr>
              <w:t> </w:t>
            </w:r>
            <w:r>
              <w:rPr>
                <w:rFonts w:ascii="Times New Roman"/>
                <w:sz w:val="18"/>
              </w:rPr>
              <w:t>2,940,961</w:t>
            </w:r>
          </w:p>
        </w:tc>
        <w:tc>
          <w:tcPr>
            <w:tcW w:w="1021"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43"/>
              <w:jc w:val="right"/>
              <w:rPr>
                <w:rFonts w:ascii="Times New Roman" w:hAnsi="Times New Roman" w:cs="Times New Roman" w:eastAsia="Times New Roman" w:hint="default"/>
                <w:sz w:val="18"/>
                <w:szCs w:val="18"/>
              </w:rPr>
            </w:pPr>
            <w:r>
              <w:rPr>
                <w:rFonts w:ascii="Times New Roman"/>
                <w:sz w:val="18"/>
              </w:rPr>
              <w:t>150,710,187</w:t>
            </w:r>
          </w:p>
        </w:tc>
        <w:tc>
          <w:tcPr>
            <w:tcW w:w="992"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44"/>
              <w:jc w:val="right"/>
              <w:rPr>
                <w:rFonts w:ascii="Times New Roman" w:hAnsi="Times New Roman" w:cs="Times New Roman" w:eastAsia="Times New Roman" w:hint="default"/>
                <w:sz w:val="18"/>
                <w:szCs w:val="18"/>
              </w:rPr>
            </w:pPr>
            <w:r>
              <w:rPr>
                <w:rFonts w:ascii="Times New Roman"/>
                <w:sz w:val="18"/>
              </w:rPr>
              <w:t>286,553,095</w:t>
            </w:r>
          </w:p>
        </w:tc>
        <w:tc>
          <w:tcPr>
            <w:tcW w:w="2462" w:type="dxa"/>
            <w:tcBorders>
              <w:top w:val="nil" w:sz="6" w:space="0" w:color="auto"/>
              <w:left w:val="nil" w:sz="6" w:space="0" w:color="auto"/>
              <w:bottom w:val="single" w:sz="12" w:space="0" w:color="000000"/>
              <w:right w:val="nil" w:sz="6" w:space="0" w:color="auto"/>
            </w:tcBorders>
          </w:tcPr>
          <w:p>
            <w:pPr>
              <w:pStyle w:val="TableParagraph"/>
              <w:tabs>
                <w:tab w:pos="753" w:val="left" w:leader="none"/>
              </w:tabs>
              <w:spacing w:line="240" w:lineRule="auto" w:before="101"/>
              <w:ind w:left="46" w:right="0"/>
              <w:jc w:val="left"/>
              <w:rPr>
                <w:rFonts w:ascii="Times New Roman" w:hAnsi="Times New Roman" w:cs="Times New Roman" w:eastAsia="Times New Roman" w:hint="default"/>
                <w:sz w:val="18"/>
                <w:szCs w:val="18"/>
              </w:rPr>
            </w:pPr>
            <w:r>
              <w:rPr>
                <w:rFonts w:ascii="Times New Roman"/>
                <w:sz w:val="18"/>
              </w:rPr>
              <w:t>100.00</w:t>
              <w:tab/>
              <w:t>3,146,789</w:t>
            </w:r>
            <w:r>
              <w:rPr>
                <w:rFonts w:ascii="Times New Roman"/>
                <w:spacing w:val="-3"/>
                <w:sz w:val="18"/>
              </w:rPr>
              <w:t> </w:t>
            </w:r>
            <w:r>
              <w:rPr>
                <w:rFonts w:ascii="Times New Roman"/>
                <w:sz w:val="18"/>
              </w:rPr>
              <w:t>283,406,306</w:t>
            </w:r>
          </w:p>
        </w:tc>
      </w:tr>
    </w:tbl>
    <w:p>
      <w:pPr>
        <w:pStyle w:val="BodyText"/>
        <w:spacing w:line="350" w:lineRule="auto" w:before="78"/>
        <w:ind w:left="877" w:right="172"/>
        <w:jc w:val="both"/>
      </w:pPr>
      <w:r>
        <w:rPr/>
        <w:pict>
          <v:group style="position:absolute;margin-left:101.519997pt;margin-top:-145.926041pt;width:433.2pt;height:143.7pt;mso-position-horizontal-relative:page;mso-position-vertical-relative:paragraph;z-index:-1121176" coordorigin="2030,-2919" coordsize="8664,2874">
            <v:shape style="position:absolute;left:3731;top:-2919;width:3512;height:446" type="#_x0000_t75" stroked="false">
              <v:imagedata r:id="rId175" o:title=""/>
            </v:shape>
            <v:shape style="position:absolute;left:3736;top:-2515;width:6959;height:848" type="#_x0000_t75" stroked="false">
              <v:imagedata r:id="rId176" o:title=""/>
            </v:shape>
            <v:shape style="position:absolute;left:2030;top:-1705;width:8664;height:1660" type="#_x0000_t75" stroked="false">
              <v:imagedata r:id="rId177" o:title=""/>
            </v:shape>
            <w10:wrap type="none"/>
          </v:group>
        </w:pict>
      </w:r>
      <w:r>
        <w:rPr/>
        <w:t>注</w:t>
      </w:r>
      <w:r>
        <w:rPr>
          <w:spacing w:val="-61"/>
        </w:rPr>
        <w:t> </w:t>
      </w:r>
      <w:r>
        <w:rPr/>
        <w:t>1：房屋押金为本公司之子公司东软（日本）有限公司所支付的房租押金，该房租押金仅当</w:t>
      </w:r>
      <w:r>
        <w:rPr/>
        <w:t> </w:t>
      </w:r>
      <w:r>
        <w:rPr>
          <w:spacing w:val="-2"/>
        </w:rPr>
        <w:t>该公司解除房屋租约时方可收回，根据该公司的经营情况，该公司暂无解除房屋租约的明确预</w:t>
      </w:r>
      <w:r>
        <w:rPr>
          <w:spacing w:val="-81"/>
        </w:rPr>
        <w:t> </w:t>
      </w:r>
      <w:r>
        <w:rPr>
          <w:spacing w:val="-81"/>
        </w:rPr>
      </w:r>
      <w:r>
        <w:rPr/>
        <w:t>期；</w:t>
      </w:r>
    </w:p>
    <w:p>
      <w:pPr>
        <w:pStyle w:val="BodyText"/>
        <w:spacing w:line="328" w:lineRule="auto" w:before="28"/>
        <w:ind w:left="877" w:right="172"/>
        <w:jc w:val="both"/>
      </w:pPr>
      <w:r>
        <w:rPr/>
        <w:t>注</w:t>
      </w:r>
      <w:r>
        <w:rPr>
          <w:spacing w:val="-60"/>
        </w:rPr>
        <w:t> </w:t>
      </w:r>
      <w:r>
        <w:rPr>
          <w:rFonts w:ascii="Times New Roman" w:hAnsi="Times New Roman" w:cs="Times New Roman" w:eastAsia="Times New Roman" w:hint="default"/>
        </w:rPr>
        <w:t>2</w:t>
      </w:r>
      <w:r>
        <w:rPr/>
        <w:t>：分期收款为本公司之子公司沈阳东软医疗系统有限公司执行企业会计准则，分期收款销 售产品产生的应收款项，并参照应收款项的账龄计提坏账准备；</w:t>
      </w:r>
    </w:p>
    <w:p>
      <w:pPr>
        <w:pStyle w:val="BodyText"/>
        <w:spacing w:line="328" w:lineRule="auto" w:before="48"/>
        <w:ind w:left="877" w:right="171"/>
        <w:jc w:val="both"/>
      </w:pPr>
      <w:r>
        <w:rPr/>
        <w:t>注 </w:t>
      </w:r>
      <w:r>
        <w:rPr>
          <w:rFonts w:ascii="Times New Roman" w:hAnsi="Times New Roman" w:cs="Times New Roman" w:eastAsia="Times New Roman" w:hint="default"/>
        </w:rPr>
        <w:t>3</w:t>
      </w:r>
      <w:r>
        <w:rPr/>
        <w:t>：转让资产应收款，为本集团之子公司成都东软信息技术发展有限公司在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年向成都 东软信息技术职业学院的资产转让款，至本年末，该笔长期应收款期末余额 </w:t>
      </w:r>
      <w:r>
        <w:rPr>
          <w:rFonts w:ascii="Times New Roman" w:hAnsi="Times New Roman" w:cs="Times New Roman" w:eastAsia="Times New Roman" w:hint="default"/>
        </w:rPr>
        <w:t>105,745,047</w:t>
      </w:r>
      <w:r>
        <w:rPr>
          <w:rFonts w:ascii="Times New Roman" w:hAnsi="Times New Roman" w:cs="Times New Roman" w:eastAsia="Times New Roman" w:hint="default"/>
          <w:spacing w:val="-10"/>
        </w:rPr>
        <w:t> </w:t>
      </w:r>
      <w:r>
        <w:rPr/>
        <w:t>元，</w:t>
      </w:r>
    </w:p>
    <w:p>
      <w:pPr>
        <w:pStyle w:val="BodyText"/>
        <w:spacing w:line="240" w:lineRule="auto" w:before="23"/>
        <w:ind w:left="877" w:right="0"/>
        <w:jc w:val="both"/>
      </w:pPr>
      <w:r>
        <w:rPr/>
        <w:t>计提一般坏账准备金</w:t>
      </w:r>
      <w:r>
        <w:rPr>
          <w:spacing w:val="-59"/>
        </w:rPr>
        <w:t> </w:t>
      </w:r>
      <w:r>
        <w:rPr>
          <w:rFonts w:ascii="Times New Roman" w:hAnsi="Times New Roman" w:cs="Times New Roman" w:eastAsia="Times New Roman" w:hint="default"/>
        </w:rPr>
        <w:t>2,114,900</w:t>
      </w:r>
      <w:r>
        <w:rPr>
          <w:rFonts w:ascii="Times New Roman" w:hAnsi="Times New Roman" w:cs="Times New Roman" w:eastAsia="Times New Roman" w:hint="default"/>
          <w:spacing w:val="-6"/>
        </w:rPr>
        <w:t> </w:t>
      </w:r>
      <w:r>
        <w:rPr/>
        <w:t>元。</w:t>
      </w:r>
    </w:p>
    <w:p>
      <w:pPr>
        <w:spacing w:after="0" w:line="240" w:lineRule="auto"/>
        <w:jc w:val="both"/>
        <w:sectPr>
          <w:pgSz w:w="11910" w:h="16840"/>
          <w:pgMar w:header="883" w:footer="1003" w:top="1540" w:bottom="1200" w:left="1280" w:right="1020"/>
        </w:sectPr>
      </w:pPr>
    </w:p>
    <w:p>
      <w:pPr>
        <w:spacing w:line="240" w:lineRule="auto" w:before="6"/>
        <w:rPr>
          <w:rFonts w:ascii="宋体" w:hAnsi="宋体" w:cs="宋体" w:eastAsia="宋体" w:hint="default"/>
          <w:sz w:val="16"/>
          <w:szCs w:val="16"/>
        </w:rPr>
      </w:pPr>
    </w:p>
    <w:p>
      <w:pPr>
        <w:pStyle w:val="Heading6"/>
        <w:spacing w:line="240" w:lineRule="auto"/>
        <w:ind w:left="125" w:right="294"/>
        <w:jc w:val="left"/>
        <w:rPr>
          <w:b w:val="0"/>
          <w:bCs w:val="0"/>
        </w:rPr>
      </w:pPr>
      <w:r>
        <w:rPr/>
        <w:pict>
          <v:group style="position:absolute;margin-left:101.030998pt;margin-top:17.073664pt;width:703.2pt;height:204pt;mso-position-horizontal-relative:page;mso-position-vertical-relative:paragraph;z-index:-1121152" coordorigin="2021,341" coordsize="14064,4080">
            <v:group style="position:absolute;left:2049;top:356;width:7887;height:2" coordorigin="2049,356" coordsize="7887,2">
              <v:shape style="position:absolute;left:2049;top:356;width:7887;height:2" coordorigin="2049,356" coordsize="7887,0" path="m2049,356l9936,356e" filled="false" stroked="true" strokeweight="1.5pt" strokecolor="#000000">
                <v:path arrowok="t"/>
              </v:shape>
            </v:group>
            <v:group style="position:absolute;left:9936;top:356;width:1397;height:2" coordorigin="9936,356" coordsize="1397,2">
              <v:shape style="position:absolute;left:9936;top:356;width:1397;height:2" coordorigin="9936,356" coordsize="1397,0" path="m9936,356l11333,356e" filled="false" stroked="true" strokeweight="1.5pt" strokecolor="#000000">
                <v:path arrowok="t"/>
              </v:shape>
            </v:group>
            <v:group style="position:absolute;left:11333;top:356;width:4721;height:2" coordorigin="11333,356" coordsize="4721,2">
              <v:shape style="position:absolute;left:11333;top:356;width:4721;height:2" coordorigin="11333,356" coordsize="4721,0" path="m11333,356l16053,356e" filled="false" stroked="true" strokeweight="1.5pt" strokecolor="#000000">
                <v:path arrowok="t"/>
              </v:shape>
              <v:shape style="position:absolute;left:5660;top:343;width:8816;height:778" type="#_x0000_t75" stroked="false">
                <v:imagedata r:id="rId180" o:title=""/>
              </v:shape>
              <v:shape style="position:absolute;left:2021;top:1070;width:14063;height:3352" type="#_x0000_t75" stroked="false">
                <v:imagedata r:id="rId181" o:title=""/>
              </v:shape>
            </v:group>
            <w10:wrap type="none"/>
          </v:group>
        </w:pict>
      </w:r>
      <w:r>
        <w:rPr/>
        <w:t>(十一)</w:t>
      </w:r>
      <w:r>
        <w:rPr>
          <w:spacing w:val="-14"/>
        </w:rPr>
        <w:t> </w:t>
      </w:r>
      <w:r>
        <w:rPr/>
        <w:t>对合营企业投资和联营企业投资</w:t>
      </w:r>
      <w:r>
        <w:rPr>
          <w:b w:val="0"/>
          <w:bCs w:val="0"/>
        </w:rPr>
      </w:r>
    </w:p>
    <w:p>
      <w:pPr>
        <w:spacing w:line="240" w:lineRule="auto" w:before="9"/>
        <w:rPr>
          <w:rFonts w:ascii="宋体" w:hAnsi="宋体" w:cs="宋体" w:eastAsia="宋体" w:hint="default"/>
          <w:b/>
          <w:bCs/>
          <w:sz w:val="8"/>
          <w:szCs w:val="8"/>
        </w:rPr>
      </w:pPr>
    </w:p>
    <w:tbl>
      <w:tblPr>
        <w:tblW w:w="0" w:type="auto"/>
        <w:jc w:val="left"/>
        <w:tblInd w:w="735" w:type="dxa"/>
        <w:tblLayout w:type="fixed"/>
        <w:tblCellMar>
          <w:top w:w="0" w:type="dxa"/>
          <w:left w:w="0" w:type="dxa"/>
          <w:bottom w:w="0" w:type="dxa"/>
          <w:right w:w="0" w:type="dxa"/>
        </w:tblCellMar>
        <w:tblLook w:val="01E0"/>
      </w:tblPr>
      <w:tblGrid>
        <w:gridCol w:w="3454"/>
        <w:gridCol w:w="1381"/>
        <w:gridCol w:w="1669"/>
        <w:gridCol w:w="1438"/>
        <w:gridCol w:w="1465"/>
        <w:gridCol w:w="1342"/>
        <w:gridCol w:w="1817"/>
        <w:gridCol w:w="1454"/>
      </w:tblGrid>
      <w:tr>
        <w:trPr>
          <w:trHeight w:val="740"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1205"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381" w:type="dxa"/>
            <w:tcBorders>
              <w:top w:val="nil" w:sz="6" w:space="0" w:color="auto"/>
              <w:left w:val="nil" w:sz="6" w:space="0" w:color="auto"/>
              <w:bottom w:val="nil" w:sz="6" w:space="0" w:color="auto"/>
              <w:right w:val="nil" w:sz="6" w:space="0" w:color="auto"/>
            </w:tcBorders>
          </w:tcPr>
          <w:p>
            <w:pPr>
              <w:pStyle w:val="TableParagraph"/>
              <w:spacing w:line="367" w:lineRule="auto" w:before="44"/>
              <w:ind w:left="465" w:right="148" w:hanging="136"/>
              <w:jc w:val="left"/>
              <w:rPr>
                <w:rFonts w:ascii="Times New Roman" w:hAnsi="Times New Roman" w:cs="Times New Roman" w:eastAsia="Times New Roman" w:hint="default"/>
                <w:sz w:val="18"/>
                <w:szCs w:val="18"/>
              </w:rPr>
            </w:pPr>
            <w:r>
              <w:rPr>
                <w:rFonts w:ascii="宋体" w:hAnsi="宋体" w:cs="宋体" w:eastAsia="宋体" w:hint="default"/>
                <w:sz w:val="18"/>
                <w:szCs w:val="18"/>
              </w:rPr>
              <w:t>本企业持股 比例</w:t>
            </w:r>
            <w:r>
              <w:rPr>
                <w:rFonts w:ascii="Times New Roman" w:hAnsi="Times New Roman" w:cs="Times New Roman" w:eastAsia="Times New Roman" w:hint="default"/>
                <w:sz w:val="18"/>
                <w:szCs w:val="18"/>
              </w:rPr>
              <w:t>(%)</w:t>
            </w:r>
          </w:p>
        </w:tc>
        <w:tc>
          <w:tcPr>
            <w:tcW w:w="1669" w:type="dxa"/>
            <w:tcBorders>
              <w:top w:val="nil" w:sz="6" w:space="0" w:color="auto"/>
              <w:left w:val="nil" w:sz="6" w:space="0" w:color="auto"/>
              <w:bottom w:val="nil" w:sz="6" w:space="0" w:color="auto"/>
              <w:right w:val="nil" w:sz="6" w:space="0" w:color="auto"/>
            </w:tcBorders>
          </w:tcPr>
          <w:p>
            <w:pPr>
              <w:pStyle w:val="TableParagraph"/>
              <w:spacing w:line="367" w:lineRule="auto" w:before="44"/>
              <w:ind w:left="112" w:right="159" w:hanging="46"/>
              <w:jc w:val="left"/>
              <w:rPr>
                <w:rFonts w:ascii="Times New Roman" w:hAnsi="Times New Roman" w:cs="Times New Roman" w:eastAsia="Times New Roman" w:hint="default"/>
                <w:sz w:val="18"/>
                <w:szCs w:val="18"/>
              </w:rPr>
            </w:pPr>
            <w:r>
              <w:rPr>
                <w:rFonts w:ascii="宋体" w:hAnsi="宋体" w:cs="宋体" w:eastAsia="宋体" w:hint="default"/>
                <w:sz w:val="18"/>
                <w:szCs w:val="18"/>
              </w:rPr>
              <w:t>本企业在被投资单 位表决权比例</w:t>
            </w:r>
            <w:r>
              <w:rPr>
                <w:rFonts w:ascii="Times New Roman" w:hAnsi="Times New Roman" w:cs="Times New Roman" w:eastAsia="Times New Roman" w:hint="default"/>
                <w:sz w:val="18"/>
                <w:szCs w:val="18"/>
              </w:rPr>
              <w:t>(%)</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111" w:right="0"/>
              <w:jc w:val="left"/>
              <w:rPr>
                <w:rFonts w:ascii="宋体" w:hAnsi="宋体" w:cs="宋体" w:eastAsia="宋体" w:hint="default"/>
                <w:sz w:val="18"/>
                <w:szCs w:val="18"/>
              </w:rPr>
            </w:pPr>
            <w:r>
              <w:rPr>
                <w:rFonts w:ascii="宋体" w:hAnsi="宋体" w:cs="宋体" w:eastAsia="宋体" w:hint="default"/>
                <w:sz w:val="18"/>
                <w:szCs w:val="18"/>
              </w:rPr>
              <w:t>期末资产总额</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期末负债总额</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145" w:right="0"/>
              <w:jc w:val="left"/>
              <w:rPr>
                <w:rFonts w:ascii="宋体" w:hAnsi="宋体" w:cs="宋体" w:eastAsia="宋体" w:hint="default"/>
                <w:sz w:val="18"/>
                <w:szCs w:val="18"/>
              </w:rPr>
            </w:pPr>
            <w:r>
              <w:rPr>
                <w:rFonts w:ascii="宋体" w:hAnsi="宋体" w:cs="宋体" w:eastAsia="宋体" w:hint="default"/>
                <w:sz w:val="18"/>
                <w:szCs w:val="18"/>
              </w:rPr>
              <w:t>期末净资产</w:t>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86" w:right="0"/>
              <w:jc w:val="left"/>
              <w:rPr>
                <w:rFonts w:ascii="宋体" w:hAnsi="宋体" w:cs="宋体" w:eastAsia="宋体" w:hint="default"/>
                <w:sz w:val="18"/>
                <w:szCs w:val="18"/>
              </w:rPr>
            </w:pPr>
            <w:r>
              <w:rPr>
                <w:rFonts w:ascii="宋体" w:hAnsi="宋体" w:cs="宋体" w:eastAsia="宋体" w:hint="default"/>
                <w:sz w:val="18"/>
                <w:szCs w:val="18"/>
              </w:rPr>
              <w:t>本期营业收入总额</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198" w:right="0"/>
              <w:jc w:val="left"/>
              <w:rPr>
                <w:rFonts w:ascii="宋体" w:hAnsi="宋体" w:cs="宋体" w:eastAsia="宋体" w:hint="default"/>
                <w:sz w:val="18"/>
                <w:szCs w:val="18"/>
              </w:rPr>
            </w:pPr>
            <w:r>
              <w:rPr>
                <w:rFonts w:ascii="宋体" w:hAnsi="宋体" w:cs="宋体" w:eastAsia="宋体" w:hint="default"/>
                <w:sz w:val="18"/>
                <w:szCs w:val="18"/>
              </w:rPr>
              <w:t>本期净利润</w:t>
            </w:r>
          </w:p>
        </w:tc>
      </w:tr>
      <w:tr>
        <w:trPr>
          <w:trHeight w:val="365"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34"/>
              <w:ind w:left="218" w:right="0"/>
              <w:jc w:val="center"/>
              <w:rPr>
                <w:rFonts w:ascii="宋体" w:hAnsi="宋体" w:cs="宋体" w:eastAsia="宋体" w:hint="default"/>
                <w:sz w:val="18"/>
                <w:szCs w:val="18"/>
              </w:rPr>
            </w:pPr>
            <w:r>
              <w:rPr>
                <w:rFonts w:ascii="宋体" w:hAnsi="宋体" w:cs="宋体" w:eastAsia="宋体" w:hint="default"/>
                <w:sz w:val="18"/>
                <w:szCs w:val="18"/>
              </w:rPr>
              <w:t>联营企业</w:t>
            </w:r>
          </w:p>
        </w:tc>
        <w:tc>
          <w:tcPr>
            <w:tcW w:w="1381"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
        </w:tc>
        <w:tc>
          <w:tcPr>
            <w:tcW w:w="1465"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
        </w:tc>
        <w:tc>
          <w:tcPr>
            <w:tcW w:w="1817" w:type="dxa"/>
            <w:tcBorders>
              <w:top w:val="nil" w:sz="6" w:space="0" w:color="auto"/>
              <w:left w:val="nil" w:sz="6" w:space="0" w:color="auto"/>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nil" w:sz="6" w:space="0" w:color="auto"/>
            </w:tcBorders>
          </w:tcPr>
          <w:p>
            <w:pPr/>
          </w:p>
        </w:tc>
      </w:tr>
      <w:tr>
        <w:trPr>
          <w:trHeight w:val="380"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3" w:right="0"/>
              <w:jc w:val="left"/>
              <w:rPr>
                <w:rFonts w:ascii="宋体" w:hAnsi="宋体" w:cs="宋体" w:eastAsia="宋体" w:hint="default"/>
                <w:sz w:val="18"/>
                <w:szCs w:val="18"/>
              </w:rPr>
            </w:pPr>
            <w:r>
              <w:rPr>
                <w:rFonts w:ascii="宋体" w:hAnsi="宋体" w:cs="宋体" w:eastAsia="宋体" w:hint="default"/>
                <w:sz w:val="18"/>
                <w:szCs w:val="18"/>
              </w:rPr>
              <w:t>诺基亚西门子东软通信技术有限公司</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64"/>
              <w:jc w:val="right"/>
              <w:rPr>
                <w:rFonts w:ascii="Times New Roman" w:hAnsi="Times New Roman" w:cs="Times New Roman" w:eastAsia="Times New Roman" w:hint="default"/>
                <w:sz w:val="18"/>
                <w:szCs w:val="18"/>
              </w:rPr>
            </w:pPr>
            <w:r>
              <w:rPr>
                <w:rFonts w:ascii="Times New Roman"/>
                <w:sz w:val="18"/>
              </w:rPr>
              <w:t>46.00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9"/>
              <w:jc w:val="right"/>
              <w:rPr>
                <w:rFonts w:ascii="Times New Roman" w:hAnsi="Times New Roman" w:cs="Times New Roman" w:eastAsia="Times New Roman" w:hint="default"/>
                <w:sz w:val="18"/>
                <w:szCs w:val="18"/>
              </w:rPr>
            </w:pPr>
            <w:r>
              <w:rPr>
                <w:rFonts w:ascii="Times New Roman"/>
                <w:sz w:val="18"/>
              </w:rPr>
              <w:t>46.00</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z w:val="18"/>
              </w:rPr>
              <w:t>513,658,789</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44"/>
              <w:jc w:val="right"/>
              <w:rPr>
                <w:rFonts w:ascii="Times New Roman" w:hAnsi="Times New Roman" w:cs="Times New Roman" w:eastAsia="Times New Roman" w:hint="default"/>
                <w:sz w:val="18"/>
                <w:szCs w:val="18"/>
              </w:rPr>
            </w:pPr>
            <w:r>
              <w:rPr>
                <w:rFonts w:ascii="Times New Roman"/>
                <w:sz w:val="18"/>
              </w:rPr>
              <w:t>402,984,686</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85"/>
              <w:jc w:val="right"/>
              <w:rPr>
                <w:rFonts w:ascii="Times New Roman" w:hAnsi="Times New Roman" w:cs="Times New Roman" w:eastAsia="Times New Roman" w:hint="default"/>
                <w:sz w:val="18"/>
                <w:szCs w:val="18"/>
              </w:rPr>
            </w:pPr>
            <w:r>
              <w:rPr>
                <w:rFonts w:ascii="Times New Roman"/>
                <w:spacing w:val="-1"/>
                <w:sz w:val="18"/>
              </w:rPr>
              <w:t>110,674,103</w:t>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96"/>
              <w:jc w:val="right"/>
              <w:rPr>
                <w:rFonts w:ascii="Times New Roman" w:hAnsi="Times New Roman" w:cs="Times New Roman" w:eastAsia="Times New Roman" w:hint="default"/>
                <w:sz w:val="18"/>
                <w:szCs w:val="18"/>
              </w:rPr>
            </w:pPr>
            <w:r>
              <w:rPr>
                <w:rFonts w:ascii="Times New Roman"/>
                <w:sz w:val="18"/>
              </w:rPr>
              <w:t>465,910,571</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40"/>
              <w:jc w:val="right"/>
              <w:rPr>
                <w:rFonts w:ascii="Times New Roman" w:hAnsi="Times New Roman" w:cs="Times New Roman" w:eastAsia="Times New Roman" w:hint="default"/>
                <w:sz w:val="18"/>
                <w:szCs w:val="18"/>
              </w:rPr>
            </w:pPr>
            <w:r>
              <w:rPr>
                <w:rFonts w:ascii="Times New Roman"/>
                <w:sz w:val="18"/>
              </w:rPr>
              <w:t>17,894,061</w:t>
            </w:r>
          </w:p>
        </w:tc>
      </w:tr>
      <w:tr>
        <w:trPr>
          <w:trHeight w:val="370"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30"/>
              <w:ind w:left="63" w:right="0"/>
              <w:jc w:val="left"/>
              <w:rPr>
                <w:rFonts w:ascii="宋体" w:hAnsi="宋体" w:cs="宋体" w:eastAsia="宋体" w:hint="default"/>
                <w:sz w:val="18"/>
                <w:szCs w:val="18"/>
              </w:rPr>
            </w:pPr>
            <w:r>
              <w:rPr>
                <w:rFonts w:ascii="宋体" w:hAnsi="宋体" w:cs="宋体" w:eastAsia="宋体" w:hint="default"/>
                <w:sz w:val="18"/>
                <w:szCs w:val="18"/>
              </w:rPr>
              <w:t>沈阳凯塔数据科技有限公司</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4"/>
              <w:jc w:val="right"/>
              <w:rPr>
                <w:rFonts w:ascii="Times New Roman" w:hAnsi="Times New Roman" w:cs="Times New Roman" w:eastAsia="Times New Roman" w:hint="default"/>
                <w:sz w:val="18"/>
                <w:szCs w:val="18"/>
              </w:rPr>
            </w:pPr>
            <w:r>
              <w:rPr>
                <w:rFonts w:ascii="Times New Roman"/>
                <w:sz w:val="18"/>
              </w:rPr>
              <w:t>16.67</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9"/>
              <w:jc w:val="right"/>
              <w:rPr>
                <w:rFonts w:ascii="Times New Roman" w:hAnsi="Times New Roman" w:cs="Times New Roman" w:eastAsia="Times New Roman" w:hint="default"/>
                <w:sz w:val="18"/>
                <w:szCs w:val="18"/>
              </w:rPr>
            </w:pPr>
            <w:r>
              <w:rPr>
                <w:rFonts w:ascii="Times New Roman"/>
                <w:sz w:val="18"/>
              </w:rPr>
              <w:t>16.67</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8"/>
              <w:jc w:val="right"/>
              <w:rPr>
                <w:rFonts w:ascii="Times New Roman" w:hAnsi="Times New Roman" w:cs="Times New Roman" w:eastAsia="Times New Roman" w:hint="default"/>
                <w:sz w:val="18"/>
                <w:szCs w:val="18"/>
              </w:rPr>
            </w:pPr>
            <w:r>
              <w:rPr>
                <w:rFonts w:ascii="Times New Roman"/>
                <w:sz w:val="18"/>
              </w:rPr>
              <w:t>18,155,172</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5"/>
              <w:jc w:val="right"/>
              <w:rPr>
                <w:rFonts w:ascii="Times New Roman" w:hAnsi="Times New Roman" w:cs="Times New Roman" w:eastAsia="Times New Roman" w:hint="default"/>
                <w:sz w:val="18"/>
                <w:szCs w:val="18"/>
              </w:rPr>
            </w:pPr>
            <w:r>
              <w:rPr>
                <w:rFonts w:ascii="Times New Roman"/>
                <w:spacing w:val="-2"/>
                <w:sz w:val="18"/>
              </w:rPr>
              <w:t>11,208</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86"/>
              <w:jc w:val="right"/>
              <w:rPr>
                <w:rFonts w:ascii="Times New Roman" w:hAnsi="Times New Roman" w:cs="Times New Roman" w:eastAsia="Times New Roman" w:hint="default"/>
                <w:sz w:val="18"/>
                <w:szCs w:val="18"/>
              </w:rPr>
            </w:pPr>
            <w:r>
              <w:rPr>
                <w:rFonts w:ascii="Times New Roman"/>
                <w:sz w:val="18"/>
              </w:rPr>
              <w:t>18,143,964</w:t>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97"/>
              <w:jc w:val="right"/>
              <w:rPr>
                <w:rFonts w:ascii="Times New Roman" w:hAnsi="Times New Roman" w:cs="Times New Roman" w:eastAsia="Times New Roman" w:hint="default"/>
                <w:sz w:val="18"/>
                <w:szCs w:val="18"/>
              </w:rPr>
            </w:pPr>
            <w:r>
              <w:rPr>
                <w:rFonts w:ascii="Times New Roman"/>
                <w:sz w:val="18"/>
              </w:rPr>
              <w:t>151,293</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1"/>
              <w:jc w:val="right"/>
              <w:rPr>
                <w:rFonts w:ascii="Times New Roman" w:hAnsi="Times New Roman" w:cs="Times New Roman" w:eastAsia="Times New Roman" w:hint="default"/>
                <w:sz w:val="18"/>
                <w:szCs w:val="18"/>
              </w:rPr>
            </w:pPr>
            <w:r>
              <w:rPr>
                <w:rFonts w:ascii="Times New Roman"/>
                <w:w w:val="95"/>
                <w:sz w:val="18"/>
              </w:rPr>
              <w:t>-5,037,182</w:t>
            </w:r>
            <w:r>
              <w:rPr>
                <w:rFonts w:ascii="Times New Roman"/>
                <w:sz w:val="18"/>
              </w:rPr>
            </w:r>
          </w:p>
        </w:tc>
      </w:tr>
      <w:tr>
        <w:trPr>
          <w:trHeight w:val="370"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63" w:right="0"/>
              <w:jc w:val="left"/>
              <w:rPr>
                <w:rFonts w:ascii="宋体" w:hAnsi="宋体" w:cs="宋体" w:eastAsia="宋体" w:hint="default"/>
                <w:sz w:val="18"/>
                <w:szCs w:val="18"/>
              </w:rPr>
            </w:pPr>
            <w:r>
              <w:rPr>
                <w:rFonts w:ascii="宋体" w:hAnsi="宋体" w:cs="宋体" w:eastAsia="宋体" w:hint="default"/>
                <w:sz w:val="18"/>
                <w:szCs w:val="18"/>
              </w:rPr>
              <w:t>东软飞利浦医疗设备系统有限责任公司</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4"/>
              <w:jc w:val="right"/>
              <w:rPr>
                <w:rFonts w:ascii="Times New Roman" w:hAnsi="Times New Roman" w:cs="Times New Roman" w:eastAsia="Times New Roman" w:hint="default"/>
                <w:sz w:val="18"/>
                <w:szCs w:val="18"/>
              </w:rPr>
            </w:pPr>
            <w:r>
              <w:rPr>
                <w:rFonts w:ascii="Times New Roman"/>
                <w:sz w:val="18"/>
              </w:rPr>
              <w:t>49.00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9"/>
              <w:jc w:val="right"/>
              <w:rPr>
                <w:rFonts w:ascii="Times New Roman" w:hAnsi="Times New Roman" w:cs="Times New Roman" w:eastAsia="Times New Roman" w:hint="default"/>
                <w:sz w:val="18"/>
                <w:szCs w:val="18"/>
              </w:rPr>
            </w:pPr>
            <w:r>
              <w:rPr>
                <w:rFonts w:ascii="Times New Roman"/>
                <w:sz w:val="18"/>
              </w:rPr>
              <w:t>49.00</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z w:val="18"/>
              </w:rPr>
              <w:t>540,092,308</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4"/>
              <w:jc w:val="right"/>
              <w:rPr>
                <w:rFonts w:ascii="Times New Roman" w:hAnsi="Times New Roman" w:cs="Times New Roman" w:eastAsia="Times New Roman" w:hint="default"/>
                <w:sz w:val="18"/>
                <w:szCs w:val="18"/>
              </w:rPr>
            </w:pPr>
            <w:r>
              <w:rPr>
                <w:rFonts w:ascii="Times New Roman"/>
                <w:sz w:val="18"/>
              </w:rPr>
              <w:t>149,404,722</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84"/>
              <w:jc w:val="right"/>
              <w:rPr>
                <w:rFonts w:ascii="Times New Roman" w:hAnsi="Times New Roman" w:cs="Times New Roman" w:eastAsia="Times New Roman" w:hint="default"/>
                <w:sz w:val="18"/>
                <w:szCs w:val="18"/>
              </w:rPr>
            </w:pPr>
            <w:r>
              <w:rPr>
                <w:rFonts w:ascii="Times New Roman"/>
                <w:sz w:val="18"/>
              </w:rPr>
              <w:t>390,687,586</w:t>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7"/>
              <w:jc w:val="right"/>
              <w:rPr>
                <w:rFonts w:ascii="Times New Roman" w:hAnsi="Times New Roman" w:cs="Times New Roman" w:eastAsia="Times New Roman" w:hint="default"/>
                <w:sz w:val="18"/>
                <w:szCs w:val="18"/>
              </w:rPr>
            </w:pPr>
            <w:r>
              <w:rPr>
                <w:rFonts w:ascii="Times New Roman"/>
                <w:spacing w:val="-1"/>
                <w:sz w:val="18"/>
              </w:rPr>
              <w:t>1,062,264,293</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0"/>
              <w:jc w:val="right"/>
              <w:rPr>
                <w:rFonts w:ascii="Times New Roman" w:hAnsi="Times New Roman" w:cs="Times New Roman" w:eastAsia="Times New Roman" w:hint="default"/>
                <w:sz w:val="18"/>
                <w:szCs w:val="18"/>
              </w:rPr>
            </w:pPr>
            <w:r>
              <w:rPr>
                <w:rFonts w:ascii="Times New Roman"/>
                <w:sz w:val="18"/>
              </w:rPr>
              <w:t>70,916,509</w:t>
            </w:r>
          </w:p>
        </w:tc>
      </w:tr>
      <w:tr>
        <w:trPr>
          <w:trHeight w:val="370"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63" w:right="0"/>
              <w:jc w:val="left"/>
              <w:rPr>
                <w:rFonts w:ascii="宋体" w:hAnsi="宋体" w:cs="宋体" w:eastAsia="宋体" w:hint="default"/>
                <w:sz w:val="18"/>
                <w:szCs w:val="18"/>
              </w:rPr>
            </w:pPr>
            <w:r>
              <w:rPr>
                <w:rFonts w:ascii="宋体" w:hAnsi="宋体" w:cs="宋体" w:eastAsia="宋体" w:hint="default"/>
                <w:sz w:val="18"/>
                <w:szCs w:val="18"/>
              </w:rPr>
              <w:t>辽宁盛京熙康健康管理有限公司</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4"/>
              <w:jc w:val="right"/>
              <w:rPr>
                <w:rFonts w:ascii="Times New Roman" w:hAnsi="Times New Roman" w:cs="Times New Roman" w:eastAsia="Times New Roman" w:hint="default"/>
                <w:sz w:val="18"/>
                <w:szCs w:val="18"/>
              </w:rPr>
            </w:pPr>
            <w:r>
              <w:rPr>
                <w:rFonts w:ascii="Times New Roman"/>
                <w:sz w:val="18"/>
              </w:rPr>
              <w:t>49.00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9"/>
              <w:jc w:val="right"/>
              <w:rPr>
                <w:rFonts w:ascii="Times New Roman" w:hAnsi="Times New Roman" w:cs="Times New Roman" w:eastAsia="Times New Roman" w:hint="default"/>
                <w:sz w:val="18"/>
                <w:szCs w:val="18"/>
              </w:rPr>
            </w:pPr>
            <w:r>
              <w:rPr>
                <w:rFonts w:ascii="Times New Roman"/>
                <w:sz w:val="18"/>
              </w:rPr>
              <w:t>49.00</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z w:val="18"/>
              </w:rPr>
              <w:t>239,884</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4"/>
              <w:jc w:val="right"/>
              <w:rPr>
                <w:rFonts w:ascii="Times New Roman" w:hAnsi="Times New Roman" w:cs="Times New Roman" w:eastAsia="Times New Roman" w:hint="default"/>
                <w:sz w:val="18"/>
                <w:szCs w:val="18"/>
              </w:rPr>
            </w:pPr>
            <w:r>
              <w:rPr>
                <w:rFonts w:ascii="Times New Roman"/>
                <w:sz w:val="18"/>
              </w:rPr>
              <w:t>3,337</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85"/>
              <w:jc w:val="right"/>
              <w:rPr>
                <w:rFonts w:ascii="Times New Roman" w:hAnsi="Times New Roman" w:cs="Times New Roman" w:eastAsia="Times New Roman" w:hint="default"/>
                <w:sz w:val="18"/>
                <w:szCs w:val="18"/>
              </w:rPr>
            </w:pPr>
            <w:r>
              <w:rPr>
                <w:rFonts w:ascii="Times New Roman"/>
                <w:sz w:val="18"/>
              </w:rPr>
              <w:t>236,547</w:t>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7"/>
              <w:jc w:val="right"/>
              <w:rPr>
                <w:rFonts w:ascii="Times New Roman" w:hAnsi="Times New Roman" w:cs="Times New Roman" w:eastAsia="Times New Roman" w:hint="default"/>
                <w:sz w:val="18"/>
                <w:szCs w:val="18"/>
              </w:rPr>
            </w:pPr>
            <w:r>
              <w:rPr>
                <w:rFonts w:ascii="Times New Roman"/>
                <w:sz w:val="18"/>
              </w:rPr>
              <w:t>45,290</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0"/>
              <w:jc w:val="right"/>
              <w:rPr>
                <w:rFonts w:ascii="Times New Roman" w:hAnsi="Times New Roman" w:cs="Times New Roman" w:eastAsia="Times New Roman" w:hint="default"/>
                <w:sz w:val="18"/>
                <w:szCs w:val="18"/>
              </w:rPr>
            </w:pPr>
            <w:r>
              <w:rPr>
                <w:rFonts w:ascii="Times New Roman"/>
                <w:w w:val="95"/>
                <w:sz w:val="18"/>
              </w:rPr>
              <w:t>-332,420</w:t>
            </w:r>
            <w:r>
              <w:rPr>
                <w:rFonts w:ascii="Times New Roman"/>
                <w:sz w:val="18"/>
              </w:rPr>
            </w:r>
          </w:p>
        </w:tc>
      </w:tr>
      <w:tr>
        <w:trPr>
          <w:trHeight w:val="370"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30"/>
              <w:ind w:left="63" w:right="0"/>
              <w:jc w:val="left"/>
              <w:rPr>
                <w:rFonts w:ascii="宋体" w:hAnsi="宋体" w:cs="宋体" w:eastAsia="宋体" w:hint="default"/>
                <w:sz w:val="18"/>
                <w:szCs w:val="18"/>
              </w:rPr>
            </w:pPr>
            <w:r>
              <w:rPr>
                <w:rFonts w:ascii="宋体" w:hAnsi="宋体" w:cs="宋体" w:eastAsia="宋体" w:hint="default"/>
                <w:sz w:val="18"/>
                <w:szCs w:val="18"/>
              </w:rPr>
              <w:t>重庆国奥百年熙康健康管理有限公司</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4"/>
              <w:jc w:val="right"/>
              <w:rPr>
                <w:rFonts w:ascii="Times New Roman" w:hAnsi="Times New Roman" w:cs="Times New Roman" w:eastAsia="Times New Roman" w:hint="default"/>
                <w:sz w:val="18"/>
                <w:szCs w:val="18"/>
              </w:rPr>
            </w:pPr>
            <w:r>
              <w:rPr>
                <w:rFonts w:ascii="Times New Roman"/>
                <w:sz w:val="18"/>
              </w:rPr>
              <w:t>20.00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9"/>
              <w:jc w:val="right"/>
              <w:rPr>
                <w:rFonts w:ascii="Times New Roman" w:hAnsi="Times New Roman" w:cs="Times New Roman" w:eastAsia="Times New Roman" w:hint="default"/>
                <w:sz w:val="18"/>
                <w:szCs w:val="18"/>
              </w:rPr>
            </w:pPr>
            <w:r>
              <w:rPr>
                <w:rFonts w:ascii="Times New Roman"/>
                <w:sz w:val="18"/>
              </w:rPr>
              <w:t>20.00</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8"/>
                <w:szCs w:val="18"/>
              </w:rPr>
            </w:pPr>
            <w:r>
              <w:rPr>
                <w:rFonts w:ascii="Times New Roman"/>
                <w:sz w:val="18"/>
              </w:rPr>
              <w:t>1,694,253</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4"/>
              <w:jc w:val="right"/>
              <w:rPr>
                <w:rFonts w:ascii="Times New Roman" w:hAnsi="Times New Roman" w:cs="Times New Roman" w:eastAsia="Times New Roman" w:hint="default"/>
                <w:sz w:val="18"/>
                <w:szCs w:val="18"/>
              </w:rPr>
            </w:pPr>
            <w:r>
              <w:rPr>
                <w:rFonts w:ascii="Times New Roman"/>
                <w:sz w:val="18"/>
              </w:rPr>
              <w:t>292,765</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84"/>
              <w:jc w:val="right"/>
              <w:rPr>
                <w:rFonts w:ascii="Times New Roman" w:hAnsi="Times New Roman" w:cs="Times New Roman" w:eastAsia="Times New Roman" w:hint="default"/>
                <w:sz w:val="18"/>
                <w:szCs w:val="18"/>
              </w:rPr>
            </w:pPr>
            <w:r>
              <w:rPr>
                <w:rFonts w:ascii="Times New Roman"/>
                <w:sz w:val="18"/>
              </w:rPr>
              <w:t>1,401,488</w:t>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96"/>
              <w:jc w:val="right"/>
              <w:rPr>
                <w:rFonts w:ascii="Times New Roman" w:hAnsi="Times New Roman" w:cs="Times New Roman" w:eastAsia="Times New Roman" w:hint="default"/>
                <w:sz w:val="18"/>
                <w:szCs w:val="18"/>
              </w:rPr>
            </w:pPr>
            <w:r>
              <w:rPr>
                <w:rFonts w:ascii="Times New Roman"/>
                <w:sz w:val="18"/>
              </w:rPr>
              <w:t>3,397,864</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
              <w:jc w:val="right"/>
              <w:rPr>
                <w:rFonts w:ascii="Times New Roman" w:hAnsi="Times New Roman" w:cs="Times New Roman" w:eastAsia="Times New Roman" w:hint="default"/>
                <w:sz w:val="18"/>
                <w:szCs w:val="18"/>
              </w:rPr>
            </w:pPr>
            <w:r>
              <w:rPr>
                <w:rFonts w:ascii="Times New Roman"/>
                <w:w w:val="95"/>
                <w:sz w:val="18"/>
              </w:rPr>
              <w:t>-598,512</w:t>
            </w:r>
            <w:r>
              <w:rPr>
                <w:rFonts w:ascii="Times New Roman"/>
                <w:sz w:val="18"/>
              </w:rPr>
            </w:r>
          </w:p>
        </w:tc>
      </w:tr>
      <w:tr>
        <w:trPr>
          <w:trHeight w:val="370"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63" w:right="0"/>
              <w:jc w:val="left"/>
              <w:rPr>
                <w:rFonts w:ascii="宋体" w:hAnsi="宋体" w:cs="宋体" w:eastAsia="宋体" w:hint="default"/>
                <w:sz w:val="18"/>
                <w:szCs w:val="18"/>
              </w:rPr>
            </w:pPr>
            <w:r>
              <w:rPr>
                <w:rFonts w:ascii="宋体" w:hAnsi="宋体" w:cs="宋体" w:eastAsia="宋体" w:hint="default"/>
                <w:sz w:val="18"/>
                <w:szCs w:val="18"/>
              </w:rPr>
              <w:t>日电东软信息技术有限公司</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4"/>
              <w:jc w:val="right"/>
              <w:rPr>
                <w:rFonts w:ascii="Times New Roman" w:hAnsi="Times New Roman" w:cs="Times New Roman" w:eastAsia="Times New Roman" w:hint="default"/>
                <w:sz w:val="18"/>
                <w:szCs w:val="18"/>
              </w:rPr>
            </w:pPr>
            <w:r>
              <w:rPr>
                <w:rFonts w:ascii="Times New Roman"/>
                <w:sz w:val="18"/>
              </w:rPr>
              <w:t>30.00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9"/>
              <w:jc w:val="right"/>
              <w:rPr>
                <w:rFonts w:ascii="Times New Roman" w:hAnsi="Times New Roman" w:cs="Times New Roman" w:eastAsia="Times New Roman" w:hint="default"/>
                <w:sz w:val="18"/>
                <w:szCs w:val="18"/>
              </w:rPr>
            </w:pPr>
            <w:r>
              <w:rPr>
                <w:rFonts w:ascii="Times New Roman"/>
                <w:sz w:val="18"/>
              </w:rPr>
              <w:t>30.00</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8"/>
              <w:jc w:val="right"/>
              <w:rPr>
                <w:rFonts w:ascii="Times New Roman" w:hAnsi="Times New Roman" w:cs="Times New Roman" w:eastAsia="Times New Roman" w:hint="default"/>
                <w:sz w:val="18"/>
                <w:szCs w:val="18"/>
              </w:rPr>
            </w:pPr>
            <w:r>
              <w:rPr>
                <w:rFonts w:ascii="Times New Roman"/>
                <w:sz w:val="18"/>
              </w:rPr>
              <w:t>19,086,153</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5"/>
              <w:jc w:val="right"/>
              <w:rPr>
                <w:rFonts w:ascii="Times New Roman" w:hAnsi="Times New Roman" w:cs="Times New Roman" w:eastAsia="Times New Roman" w:hint="default"/>
                <w:sz w:val="18"/>
                <w:szCs w:val="18"/>
              </w:rPr>
            </w:pPr>
            <w:r>
              <w:rPr>
                <w:rFonts w:ascii="Times New Roman"/>
                <w:sz w:val="18"/>
              </w:rPr>
              <w:t>8,292,517</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86"/>
              <w:jc w:val="right"/>
              <w:rPr>
                <w:rFonts w:ascii="Times New Roman" w:hAnsi="Times New Roman" w:cs="Times New Roman" w:eastAsia="Times New Roman" w:hint="default"/>
                <w:sz w:val="18"/>
                <w:szCs w:val="18"/>
              </w:rPr>
            </w:pPr>
            <w:r>
              <w:rPr>
                <w:rFonts w:ascii="Times New Roman"/>
                <w:sz w:val="18"/>
              </w:rPr>
              <w:t>10,793,636</w:t>
            </w:r>
          </w:p>
        </w:tc>
        <w:tc>
          <w:tcPr>
            <w:tcW w:w="1817" w:type="dxa"/>
            <w:tcBorders>
              <w:top w:val="nil" w:sz="6" w:space="0" w:color="auto"/>
              <w:left w:val="nil" w:sz="6" w:space="0" w:color="auto"/>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0"/>
              <w:jc w:val="right"/>
              <w:rPr>
                <w:rFonts w:ascii="Times New Roman" w:hAnsi="Times New Roman" w:cs="Times New Roman" w:eastAsia="Times New Roman" w:hint="default"/>
                <w:sz w:val="18"/>
                <w:szCs w:val="18"/>
              </w:rPr>
            </w:pPr>
            <w:r>
              <w:rPr>
                <w:rFonts w:ascii="Times New Roman"/>
                <w:w w:val="95"/>
                <w:sz w:val="18"/>
              </w:rPr>
              <w:t>-4,206,364</w:t>
            </w:r>
            <w:r>
              <w:rPr>
                <w:rFonts w:ascii="Times New Roman"/>
                <w:sz w:val="18"/>
              </w:rPr>
            </w:r>
          </w:p>
        </w:tc>
      </w:tr>
      <w:tr>
        <w:trPr>
          <w:trHeight w:val="380" w:hRule="exact"/>
        </w:trPr>
        <w:tc>
          <w:tcPr>
            <w:tcW w:w="345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63" w:right="0"/>
              <w:jc w:val="left"/>
              <w:rPr>
                <w:rFonts w:ascii="宋体" w:hAnsi="宋体" w:cs="宋体" w:eastAsia="宋体" w:hint="default"/>
                <w:sz w:val="18"/>
                <w:szCs w:val="18"/>
              </w:rPr>
            </w:pPr>
            <w:r>
              <w:rPr>
                <w:rFonts w:ascii="宋体" w:hAnsi="宋体" w:cs="宋体" w:eastAsia="宋体" w:hint="default"/>
                <w:sz w:val="18"/>
                <w:szCs w:val="18"/>
              </w:rPr>
              <w:t>沈阳东芝东软信息系统有限公司</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4"/>
              <w:jc w:val="right"/>
              <w:rPr>
                <w:rFonts w:ascii="Times New Roman" w:hAnsi="Times New Roman" w:cs="Times New Roman" w:eastAsia="Times New Roman" w:hint="default"/>
                <w:sz w:val="18"/>
                <w:szCs w:val="18"/>
              </w:rPr>
            </w:pPr>
            <w:r>
              <w:rPr>
                <w:rFonts w:ascii="Times New Roman"/>
                <w:sz w:val="18"/>
              </w:rPr>
              <w:t>40.00</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9"/>
              <w:jc w:val="right"/>
              <w:rPr>
                <w:rFonts w:ascii="Times New Roman" w:hAnsi="Times New Roman" w:cs="Times New Roman" w:eastAsia="Times New Roman" w:hint="default"/>
                <w:sz w:val="18"/>
                <w:szCs w:val="18"/>
              </w:rPr>
            </w:pPr>
            <w:r>
              <w:rPr>
                <w:rFonts w:ascii="Times New Roman"/>
                <w:sz w:val="18"/>
              </w:rPr>
              <w:t>40.00</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8"/>
              <w:jc w:val="right"/>
              <w:rPr>
                <w:rFonts w:ascii="Times New Roman" w:hAnsi="Times New Roman" w:cs="Times New Roman" w:eastAsia="Times New Roman" w:hint="default"/>
                <w:sz w:val="18"/>
                <w:szCs w:val="18"/>
              </w:rPr>
            </w:pPr>
            <w:r>
              <w:rPr>
                <w:rFonts w:ascii="Times New Roman"/>
                <w:sz w:val="18"/>
              </w:rPr>
              <w:t>21,221,510</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3"/>
              <w:jc w:val="right"/>
              <w:rPr>
                <w:rFonts w:ascii="Times New Roman" w:hAnsi="Times New Roman" w:cs="Times New Roman" w:eastAsia="Times New Roman" w:hint="default"/>
                <w:sz w:val="18"/>
                <w:szCs w:val="18"/>
              </w:rPr>
            </w:pPr>
            <w:r>
              <w:rPr>
                <w:rFonts w:ascii="Times New Roman"/>
                <w:sz w:val="18"/>
              </w:rPr>
              <w:t>834,640</w:t>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85"/>
              <w:jc w:val="right"/>
              <w:rPr>
                <w:rFonts w:ascii="Times New Roman" w:hAnsi="Times New Roman" w:cs="Times New Roman" w:eastAsia="Times New Roman" w:hint="default"/>
                <w:sz w:val="18"/>
                <w:szCs w:val="18"/>
              </w:rPr>
            </w:pPr>
            <w:r>
              <w:rPr>
                <w:rFonts w:ascii="Times New Roman"/>
                <w:sz w:val="18"/>
              </w:rPr>
              <w:t>20,386,870</w:t>
            </w:r>
          </w:p>
        </w:tc>
        <w:tc>
          <w:tcPr>
            <w:tcW w:w="18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6"/>
              <w:jc w:val="right"/>
              <w:rPr>
                <w:rFonts w:ascii="Times New Roman" w:hAnsi="Times New Roman" w:cs="Times New Roman" w:eastAsia="Times New Roman" w:hint="default"/>
                <w:sz w:val="18"/>
                <w:szCs w:val="18"/>
              </w:rPr>
            </w:pPr>
            <w:r>
              <w:rPr>
                <w:rFonts w:ascii="Times New Roman"/>
                <w:sz w:val="18"/>
              </w:rPr>
              <w:t>840,418</w:t>
            </w:r>
          </w:p>
        </w:tc>
        <w:tc>
          <w:tcPr>
            <w:tcW w:w="145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0"/>
              <w:jc w:val="right"/>
              <w:rPr>
                <w:rFonts w:ascii="Times New Roman" w:hAnsi="Times New Roman" w:cs="Times New Roman" w:eastAsia="Times New Roman" w:hint="default"/>
                <w:sz w:val="18"/>
                <w:szCs w:val="18"/>
              </w:rPr>
            </w:pPr>
            <w:r>
              <w:rPr>
                <w:rFonts w:ascii="Times New Roman"/>
                <w:w w:val="95"/>
                <w:sz w:val="18"/>
              </w:rPr>
              <w:t>-2,240,630</w:t>
            </w:r>
            <w:r>
              <w:rPr>
                <w:rFonts w:ascii="Times New Roman"/>
                <w:sz w:val="18"/>
              </w:rPr>
            </w:r>
          </w:p>
        </w:tc>
      </w:tr>
      <w:tr>
        <w:trPr>
          <w:trHeight w:val="298" w:hRule="exact"/>
        </w:trPr>
        <w:tc>
          <w:tcPr>
            <w:tcW w:w="3454"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left="63" w:right="0"/>
              <w:jc w:val="left"/>
              <w:rPr>
                <w:rFonts w:ascii="Times New Roman" w:hAnsi="Times New Roman" w:cs="Times New Roman" w:eastAsia="Times New Roman" w:hint="default"/>
                <w:sz w:val="18"/>
                <w:szCs w:val="18"/>
              </w:rPr>
            </w:pPr>
            <w:r>
              <w:rPr>
                <w:rFonts w:ascii="Times New Roman"/>
                <w:sz w:val="18"/>
              </w:rPr>
              <w:t>Aerotel Medical</w:t>
            </w:r>
            <w:r>
              <w:rPr>
                <w:rFonts w:ascii="Times New Roman"/>
                <w:spacing w:val="-28"/>
                <w:sz w:val="18"/>
              </w:rPr>
              <w:t> </w:t>
            </w:r>
            <w:r>
              <w:rPr>
                <w:rFonts w:ascii="Times New Roman"/>
                <w:sz w:val="18"/>
              </w:rPr>
              <w:t>Systems(1998)Ltd.</w:t>
            </w:r>
          </w:p>
        </w:tc>
        <w:tc>
          <w:tcPr>
            <w:tcW w:w="1381"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right="64"/>
              <w:jc w:val="right"/>
              <w:rPr>
                <w:rFonts w:ascii="Times New Roman" w:hAnsi="Times New Roman" w:cs="Times New Roman" w:eastAsia="Times New Roman" w:hint="default"/>
                <w:sz w:val="18"/>
                <w:szCs w:val="18"/>
              </w:rPr>
            </w:pPr>
            <w:r>
              <w:rPr>
                <w:rFonts w:ascii="Times New Roman"/>
                <w:sz w:val="18"/>
              </w:rPr>
              <w:t>30.76</w:t>
            </w:r>
          </w:p>
        </w:tc>
        <w:tc>
          <w:tcPr>
            <w:tcW w:w="1669"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right="109"/>
              <w:jc w:val="right"/>
              <w:rPr>
                <w:rFonts w:ascii="Times New Roman" w:hAnsi="Times New Roman" w:cs="Times New Roman" w:eastAsia="Times New Roman" w:hint="default"/>
                <w:sz w:val="18"/>
                <w:szCs w:val="18"/>
              </w:rPr>
            </w:pPr>
            <w:r>
              <w:rPr>
                <w:rFonts w:ascii="Times New Roman"/>
                <w:sz w:val="18"/>
              </w:rPr>
              <w:t>30.76</w:t>
            </w:r>
          </w:p>
        </w:tc>
        <w:tc>
          <w:tcPr>
            <w:tcW w:w="1438"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z w:val="18"/>
              </w:rPr>
              <w:t>18,906,472</w:t>
            </w:r>
          </w:p>
        </w:tc>
        <w:tc>
          <w:tcPr>
            <w:tcW w:w="1465"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right="143"/>
              <w:jc w:val="right"/>
              <w:rPr>
                <w:rFonts w:ascii="Times New Roman" w:hAnsi="Times New Roman" w:cs="Times New Roman" w:eastAsia="Times New Roman" w:hint="default"/>
                <w:sz w:val="18"/>
                <w:szCs w:val="18"/>
              </w:rPr>
            </w:pPr>
            <w:r>
              <w:rPr>
                <w:rFonts w:ascii="Times New Roman"/>
                <w:sz w:val="18"/>
              </w:rPr>
              <w:t>7,351,046</w:t>
            </w:r>
          </w:p>
        </w:tc>
        <w:tc>
          <w:tcPr>
            <w:tcW w:w="1342"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right="85"/>
              <w:jc w:val="right"/>
              <w:rPr>
                <w:rFonts w:ascii="Times New Roman" w:hAnsi="Times New Roman" w:cs="Times New Roman" w:eastAsia="Times New Roman" w:hint="default"/>
                <w:sz w:val="18"/>
                <w:szCs w:val="18"/>
              </w:rPr>
            </w:pPr>
            <w:r>
              <w:rPr>
                <w:rFonts w:ascii="Times New Roman"/>
                <w:spacing w:val="-1"/>
                <w:sz w:val="18"/>
              </w:rPr>
              <w:t>11,555,426</w:t>
            </w:r>
          </w:p>
        </w:tc>
        <w:tc>
          <w:tcPr>
            <w:tcW w:w="1817"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right="196"/>
              <w:jc w:val="right"/>
              <w:rPr>
                <w:rFonts w:ascii="Times New Roman" w:hAnsi="Times New Roman" w:cs="Times New Roman" w:eastAsia="Times New Roman" w:hint="default"/>
                <w:sz w:val="18"/>
                <w:szCs w:val="18"/>
              </w:rPr>
            </w:pPr>
            <w:r>
              <w:rPr>
                <w:rFonts w:ascii="Times New Roman"/>
                <w:sz w:val="18"/>
              </w:rPr>
              <w:t>17,430,591</w:t>
            </w:r>
          </w:p>
        </w:tc>
        <w:tc>
          <w:tcPr>
            <w:tcW w:w="1454"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right="40"/>
              <w:jc w:val="right"/>
              <w:rPr>
                <w:rFonts w:ascii="Times New Roman" w:hAnsi="Times New Roman" w:cs="Times New Roman" w:eastAsia="Times New Roman" w:hint="default"/>
                <w:sz w:val="18"/>
                <w:szCs w:val="18"/>
              </w:rPr>
            </w:pPr>
            <w:r>
              <w:rPr>
                <w:rFonts w:ascii="Times New Roman"/>
                <w:sz w:val="18"/>
              </w:rPr>
              <w:t>775,418</w:t>
            </w:r>
          </w:p>
        </w:tc>
      </w:tr>
    </w:tbl>
    <w:p>
      <w:pPr>
        <w:spacing w:line="240" w:lineRule="auto" w:before="10"/>
        <w:rPr>
          <w:rFonts w:ascii="宋体" w:hAnsi="宋体" w:cs="宋体" w:eastAsia="宋体" w:hint="default"/>
          <w:b/>
          <w:bCs/>
          <w:sz w:val="27"/>
          <w:szCs w:val="27"/>
        </w:rPr>
      </w:pPr>
    </w:p>
    <w:p>
      <w:pPr>
        <w:spacing w:before="35"/>
        <w:ind w:left="125" w:right="294" w:firstLine="0"/>
        <w:jc w:val="left"/>
        <w:rPr>
          <w:rFonts w:ascii="宋体" w:hAnsi="宋体" w:cs="宋体" w:eastAsia="宋体" w:hint="default"/>
          <w:sz w:val="21"/>
          <w:szCs w:val="21"/>
        </w:rPr>
      </w:pPr>
      <w:r>
        <w:rPr>
          <w:rFonts w:ascii="宋体" w:hAnsi="宋体" w:cs="宋体" w:eastAsia="宋体" w:hint="default"/>
          <w:b/>
          <w:bCs/>
          <w:sz w:val="21"/>
          <w:szCs w:val="21"/>
        </w:rPr>
        <w:t>(十二)</w:t>
      </w:r>
      <w:r>
        <w:rPr>
          <w:rFonts w:ascii="宋体" w:hAnsi="宋体" w:cs="宋体" w:eastAsia="宋体" w:hint="default"/>
          <w:b/>
          <w:bCs/>
          <w:spacing w:val="-15"/>
          <w:sz w:val="21"/>
          <w:szCs w:val="21"/>
        </w:rPr>
        <w:t> </w:t>
      </w:r>
      <w:r>
        <w:rPr>
          <w:rFonts w:ascii="宋体" w:hAnsi="宋体" w:cs="宋体" w:eastAsia="宋体" w:hint="default"/>
          <w:b/>
          <w:bCs/>
          <w:sz w:val="21"/>
          <w:szCs w:val="21"/>
        </w:rPr>
        <w:t>长期股权投资</w:t>
      </w:r>
      <w:r>
        <w:rPr>
          <w:rFonts w:ascii="宋体" w:hAnsi="宋体" w:cs="宋体" w:eastAsia="宋体" w:hint="default"/>
          <w:sz w:val="21"/>
          <w:szCs w:val="21"/>
        </w:rPr>
      </w:r>
    </w:p>
    <w:p>
      <w:pPr>
        <w:tabs>
          <w:tab w:pos="1396" w:val="left" w:leader="none"/>
        </w:tabs>
        <w:spacing w:before="85"/>
        <w:ind w:left="857" w:right="294" w:firstLine="0"/>
        <w:jc w:val="left"/>
        <w:rPr>
          <w:rFonts w:ascii="宋体" w:hAnsi="宋体" w:cs="宋体" w:eastAsia="宋体" w:hint="default"/>
          <w:sz w:val="21"/>
          <w:szCs w:val="21"/>
        </w:rPr>
      </w:pPr>
      <w:r>
        <w:rPr/>
        <w:pict>
          <v:group style="position:absolute;margin-left:102.051003pt;margin-top:19.573374pt;width:708.35pt;height:147.5pt;mso-position-horizontal-relative:page;mso-position-vertical-relative:paragraph;z-index:-1120816" coordorigin="2041,391" coordsize="14167,2950">
            <v:group style="position:absolute;left:2070;top:406;width:14112;height:2" coordorigin="2070,406" coordsize="14112,2">
              <v:shape style="position:absolute;left:2070;top:406;width:14112;height:2" coordorigin="2070,406" coordsize="14112,0" path="m2070,406l16182,406e" filled="false" stroked="true" strokeweight="1.5pt" strokecolor="#000000">
                <v:path arrowok="t"/>
              </v:shape>
              <v:shape style="position:absolute;left:5093;top:393;width:9988;height:1498" type="#_x0000_t75" stroked="false">
                <v:imagedata r:id="rId182" o:title=""/>
              </v:shape>
              <v:shape style="position:absolute;left:2041;top:1840;width:14167;height:1501" type="#_x0000_t75" stroked="false">
                <v:imagedata r:id="rId183" o:title=""/>
              </v:shape>
              <v:shape style="position:absolute;left:12155;top:586;width:102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pacing w:val="-1"/>
                          <w:sz w:val="17"/>
                          <w:szCs w:val="17"/>
                        </w:rPr>
                        <w:t>在被投资单位</w:t>
                      </w:r>
                    </w:p>
                  </w:txbxContent>
                </v:textbox>
                <w10:wrap type="none"/>
              </v:shape>
              <v:shape style="position:absolute;left:10158;top:766;width:184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在被投资单</w:t>
                      </w:r>
                      <w:r>
                        <w:rPr>
                          <w:rFonts w:ascii="宋体" w:hAnsi="宋体" w:cs="宋体" w:eastAsia="宋体" w:hint="default"/>
                          <w:spacing w:val="55"/>
                          <w:sz w:val="17"/>
                          <w:szCs w:val="17"/>
                        </w:rPr>
                        <w:t> </w:t>
                      </w:r>
                      <w:r>
                        <w:rPr>
                          <w:rFonts w:ascii="宋体" w:hAnsi="宋体" w:cs="宋体" w:eastAsia="宋体" w:hint="default"/>
                          <w:sz w:val="17"/>
                          <w:szCs w:val="17"/>
                        </w:rPr>
                        <w:t>在被投资单</w:t>
                      </w:r>
                    </w:p>
                  </w:txbxContent>
                </v:textbox>
                <w10:wrap type="none"/>
              </v:shape>
              <v:shape style="position:absolute;left:5226;top:946;width:51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核算方</w:t>
                      </w:r>
                    </w:p>
                  </w:txbxContent>
                </v:textbox>
                <w10:wrap type="none"/>
              </v:shape>
              <v:shape style="position:absolute;left:12155;top:946;width:185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持股比例与表</w:t>
                      </w:r>
                      <w:r>
                        <w:rPr>
                          <w:rFonts w:ascii="宋体" w:hAnsi="宋体" w:cs="宋体" w:eastAsia="宋体" w:hint="default"/>
                          <w:spacing w:val="65"/>
                          <w:sz w:val="17"/>
                          <w:szCs w:val="17"/>
                        </w:rPr>
                        <w:t> </w:t>
                      </w:r>
                      <w:r>
                        <w:rPr>
                          <w:rFonts w:ascii="宋体" w:hAnsi="宋体" w:cs="宋体" w:eastAsia="宋体" w:hint="default"/>
                          <w:sz w:val="17"/>
                          <w:szCs w:val="17"/>
                        </w:rPr>
                        <w:t>累计减值</w:t>
                      </w:r>
                    </w:p>
                  </w:txbxContent>
                </v:textbox>
                <w10:wrap type="none"/>
              </v:shape>
              <v:shape style="position:absolute;left:14246;top:946;width:68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本期计提</w:t>
                      </w:r>
                    </w:p>
                  </w:txbxContent>
                </v:textbox>
                <w10:wrap type="none"/>
              </v:shape>
              <v:shape style="position:absolute;left:3173;top:1126;width:851;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pacing w:val="-1"/>
                          <w:sz w:val="17"/>
                          <w:szCs w:val="17"/>
                        </w:rPr>
                        <w:t>被投资单位</w:t>
                      </w:r>
                    </w:p>
                  </w:txbxContent>
                </v:textbox>
                <w10:wrap type="none"/>
              </v:shape>
              <v:shape style="position:absolute;left:5891;top:1126;width:102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pacing w:val="-1"/>
                          <w:sz w:val="17"/>
                          <w:szCs w:val="17"/>
                        </w:rPr>
                        <w:t>初始投资成本</w:t>
                      </w:r>
                    </w:p>
                  </w:txbxContent>
                </v:textbox>
                <w10:wrap type="none"/>
              </v:shape>
              <v:shape style="position:absolute;left:7195;top:1126;width:68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年初余额</w:t>
                      </w:r>
                    </w:p>
                  </w:txbxContent>
                </v:textbox>
                <w10:wrap type="none"/>
              </v:shape>
              <v:shape style="position:absolute;left:8233;top:1126;width:68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增减变动</w:t>
                      </w:r>
                    </w:p>
                  </w:txbxContent>
                </v:textbox>
                <w10:wrap type="none"/>
              </v:shape>
              <v:shape style="position:absolute;left:9225;top:1126;width:68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期末余额</w:t>
                      </w:r>
                    </w:p>
                  </w:txbxContent>
                </v:textbox>
                <w10:wrap type="none"/>
              </v:shape>
              <v:shape style="position:absolute;left:10158;top:1126;width:184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位持股比例</w:t>
                      </w:r>
                      <w:r>
                        <w:rPr>
                          <w:rFonts w:ascii="宋体" w:hAnsi="宋体" w:cs="宋体" w:eastAsia="宋体" w:hint="default"/>
                          <w:spacing w:val="55"/>
                          <w:sz w:val="17"/>
                          <w:szCs w:val="17"/>
                        </w:rPr>
                        <w:t> </w:t>
                      </w:r>
                      <w:r>
                        <w:rPr>
                          <w:rFonts w:ascii="宋体" w:hAnsi="宋体" w:cs="宋体" w:eastAsia="宋体" w:hint="default"/>
                          <w:sz w:val="17"/>
                          <w:szCs w:val="17"/>
                        </w:rPr>
                        <w:t>位表决权比</w:t>
                      </w:r>
                    </w:p>
                  </w:txbxContent>
                </v:textbox>
                <w10:wrap type="none"/>
              </v:shape>
              <v:shape style="position:absolute;left:15104;top:1126;width:102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pacing w:val="-1"/>
                          <w:sz w:val="17"/>
                          <w:szCs w:val="17"/>
                        </w:rPr>
                        <w:t>本期现金红利</w:t>
                      </w:r>
                    </w:p>
                  </w:txbxContent>
                </v:textbox>
                <w10:wrap type="none"/>
              </v:shape>
              <v:shape style="position:absolute;left:5395;top:1306;width:9533;height:369" type="#_x0000_t202" filled="false" stroked="false">
                <v:textbox inset="0,0,0,0">
                  <w:txbxContent>
                    <w:p>
                      <w:pPr>
                        <w:tabs>
                          <w:tab w:pos="6759" w:val="left" w:leader="none"/>
                          <w:tab w:pos="8099" w:val="left" w:leader="none"/>
                          <w:tab w:pos="8851" w:val="left" w:leader="none"/>
                        </w:tabs>
                        <w:spacing w:line="148"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法</w:t>
                        <w:tab/>
                      </w:r>
                      <w:r>
                        <w:rPr>
                          <w:rFonts w:ascii="宋体" w:hAnsi="宋体" w:cs="宋体" w:eastAsia="宋体" w:hint="default"/>
                          <w:spacing w:val="-1"/>
                          <w:sz w:val="17"/>
                          <w:szCs w:val="17"/>
                        </w:rPr>
                        <w:t>决权比例不一</w:t>
                        <w:tab/>
                      </w:r>
                      <w:r>
                        <w:rPr>
                          <w:rFonts w:ascii="宋体" w:hAnsi="宋体" w:cs="宋体" w:eastAsia="宋体" w:hint="default"/>
                          <w:sz w:val="17"/>
                          <w:szCs w:val="17"/>
                        </w:rPr>
                        <w:t>准备</w:t>
                        <w:tab/>
                        <w:t>减值准备</w:t>
                      </w:r>
                    </w:p>
                    <w:p>
                      <w:pPr>
                        <w:tabs>
                          <w:tab w:pos="5966" w:val="left" w:leader="none"/>
                        </w:tabs>
                        <w:spacing w:line="220" w:lineRule="exact" w:before="0"/>
                        <w:ind w:left="5060" w:right="0" w:firstLine="0"/>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spacing w:val="-1"/>
                          <w:sz w:val="17"/>
                          <w:szCs w:val="17"/>
                        </w:rPr>
                        <w:t>(%)</w:t>
                        <w:tab/>
                      </w:r>
                      <w:r>
                        <w:rPr>
                          <w:rFonts w:ascii="宋体" w:hAnsi="宋体" w:cs="宋体" w:eastAsia="宋体" w:hint="default"/>
                          <w:spacing w:val="-1"/>
                          <w:position w:val="1"/>
                          <w:sz w:val="17"/>
                          <w:szCs w:val="17"/>
                        </w:rPr>
                        <w:t>例</w:t>
                      </w:r>
                      <w:r>
                        <w:rPr>
                          <w:rFonts w:ascii="Times New Roman" w:hAnsi="Times New Roman" w:cs="Times New Roman" w:eastAsia="Times New Roman" w:hint="default"/>
                          <w:spacing w:val="-1"/>
                          <w:position w:val="1"/>
                          <w:sz w:val="17"/>
                          <w:szCs w:val="17"/>
                        </w:rPr>
                        <w:t>(%)</w:t>
                      </w:r>
                      <w:r>
                        <w:rPr>
                          <w:rFonts w:ascii="Times New Roman" w:hAnsi="Times New Roman" w:cs="Times New Roman" w:eastAsia="Times New Roman" w:hint="default"/>
                          <w:sz w:val="17"/>
                          <w:szCs w:val="17"/>
                        </w:rPr>
                      </w:r>
                    </w:p>
                  </w:txbxContent>
                </v:textbox>
                <w10:wrap type="none"/>
              </v:shape>
            </v:group>
            <w10:wrap type="none"/>
          </v:group>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长期股权投资明细情况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8"/>
          <w:szCs w:val="18"/>
        </w:rPr>
      </w:pPr>
    </w:p>
    <w:tbl>
      <w:tblPr>
        <w:tblW w:w="0" w:type="auto"/>
        <w:jc w:val="left"/>
        <w:tblInd w:w="755" w:type="dxa"/>
        <w:tblLayout w:type="fixed"/>
        <w:tblCellMar>
          <w:top w:w="0" w:type="dxa"/>
          <w:left w:w="0" w:type="dxa"/>
          <w:bottom w:w="0" w:type="dxa"/>
          <w:right w:w="0" w:type="dxa"/>
        </w:tblCellMar>
        <w:tblLook w:val="01E0"/>
      </w:tblPr>
      <w:tblGrid>
        <w:gridCol w:w="3072"/>
        <w:gridCol w:w="741"/>
        <w:gridCol w:w="1168"/>
        <w:gridCol w:w="1081"/>
        <w:gridCol w:w="950"/>
        <w:gridCol w:w="1250"/>
        <w:gridCol w:w="992"/>
        <w:gridCol w:w="851"/>
        <w:gridCol w:w="4021"/>
      </w:tblGrid>
      <w:tr>
        <w:trPr>
          <w:trHeight w:val="648"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08"/>
              <w:ind w:left="67" w:right="0"/>
              <w:jc w:val="left"/>
              <w:rPr>
                <w:rFonts w:ascii="宋体" w:hAnsi="宋体" w:cs="宋体" w:eastAsia="宋体" w:hint="default"/>
                <w:sz w:val="17"/>
                <w:szCs w:val="17"/>
              </w:rPr>
            </w:pPr>
            <w:r>
              <w:rPr>
                <w:rFonts w:ascii="宋体" w:hAnsi="宋体" w:cs="宋体" w:eastAsia="宋体" w:hint="default"/>
                <w:sz w:val="17"/>
                <w:szCs w:val="17"/>
              </w:rPr>
              <w:t>诺基亚西门子东软通信技术有限公司</w:t>
            </w:r>
          </w:p>
        </w:tc>
        <w:tc>
          <w:tcPr>
            <w:tcW w:w="7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08"/>
              <w:ind w:right="52"/>
              <w:jc w:val="center"/>
              <w:rPr>
                <w:rFonts w:ascii="宋体" w:hAnsi="宋体" w:cs="宋体" w:eastAsia="宋体" w:hint="default"/>
                <w:sz w:val="17"/>
                <w:szCs w:val="17"/>
              </w:rPr>
            </w:pPr>
            <w:r>
              <w:rPr>
                <w:rFonts w:ascii="宋体" w:hAnsi="宋体" w:cs="宋体" w:eastAsia="宋体" w:hint="default"/>
                <w:sz w:val="17"/>
                <w:szCs w:val="17"/>
              </w:rPr>
              <w:t>权益法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139"/>
              <w:jc w:val="right"/>
              <w:rPr>
                <w:rFonts w:ascii="Times New Roman" w:hAnsi="Times New Roman" w:cs="Times New Roman" w:eastAsia="Times New Roman" w:hint="default"/>
                <w:sz w:val="17"/>
                <w:szCs w:val="17"/>
              </w:rPr>
            </w:pPr>
            <w:r>
              <w:rPr>
                <w:rFonts w:ascii="Times New Roman"/>
                <w:spacing w:val="-1"/>
                <w:sz w:val="17"/>
              </w:rPr>
              <w:t>26,713,621</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87"/>
              <w:jc w:val="right"/>
              <w:rPr>
                <w:rFonts w:ascii="Times New Roman" w:hAnsi="Times New Roman" w:cs="Times New Roman" w:eastAsia="Times New Roman" w:hint="default"/>
                <w:sz w:val="17"/>
                <w:szCs w:val="17"/>
              </w:rPr>
            </w:pPr>
            <w:r>
              <w:rPr>
                <w:rFonts w:ascii="Times New Roman"/>
                <w:spacing w:val="-1"/>
                <w:sz w:val="17"/>
              </w:rPr>
              <w:t>42,678,819</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93"/>
              <w:jc w:val="right"/>
              <w:rPr>
                <w:rFonts w:ascii="Times New Roman" w:hAnsi="Times New Roman" w:cs="Times New Roman" w:eastAsia="Times New Roman" w:hint="default"/>
                <w:sz w:val="17"/>
                <w:szCs w:val="17"/>
              </w:rPr>
            </w:pPr>
            <w:r>
              <w:rPr>
                <w:rFonts w:ascii="Times New Roman"/>
                <w:spacing w:val="-1"/>
                <w:sz w:val="17"/>
              </w:rPr>
              <w:t>8,231,268</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302"/>
              <w:jc w:val="right"/>
              <w:rPr>
                <w:rFonts w:ascii="Times New Roman" w:hAnsi="Times New Roman" w:cs="Times New Roman" w:eastAsia="Times New Roman" w:hint="default"/>
                <w:sz w:val="17"/>
                <w:szCs w:val="17"/>
              </w:rPr>
            </w:pPr>
            <w:r>
              <w:rPr>
                <w:rFonts w:ascii="Times New Roman"/>
                <w:spacing w:val="-1"/>
                <w:sz w:val="17"/>
              </w:rPr>
              <w:t>50,910,087</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301"/>
              <w:jc w:val="right"/>
              <w:rPr>
                <w:rFonts w:ascii="Times New Roman" w:hAnsi="Times New Roman" w:cs="Times New Roman" w:eastAsia="Times New Roman" w:hint="default"/>
                <w:sz w:val="17"/>
                <w:szCs w:val="17"/>
              </w:rPr>
            </w:pPr>
            <w:r>
              <w:rPr>
                <w:rFonts w:ascii="Times New Roman"/>
                <w:sz w:val="17"/>
              </w:rPr>
              <w:t>46.00</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162"/>
              <w:jc w:val="right"/>
              <w:rPr>
                <w:rFonts w:ascii="Times New Roman" w:hAnsi="Times New Roman" w:cs="Times New Roman" w:eastAsia="Times New Roman" w:hint="default"/>
                <w:sz w:val="17"/>
                <w:szCs w:val="17"/>
              </w:rPr>
            </w:pPr>
            <w:r>
              <w:rPr>
                <w:rFonts w:ascii="Times New Roman"/>
                <w:sz w:val="17"/>
              </w:rPr>
              <w:t>46.00</w:t>
            </w:r>
          </w:p>
        </w:tc>
        <w:tc>
          <w:tcPr>
            <w:tcW w:w="4021" w:type="dxa"/>
            <w:tcBorders>
              <w:top w:val="nil" w:sz="6" w:space="0" w:color="auto"/>
              <w:left w:val="nil" w:sz="6" w:space="0" w:color="auto"/>
              <w:bottom w:val="nil" w:sz="6" w:space="0" w:color="auto"/>
              <w:right w:val="nil" w:sz="6" w:space="0" w:color="auto"/>
            </w:tcBorders>
          </w:tcPr>
          <w:p>
            <w:pPr>
              <w:pStyle w:val="TableParagraph"/>
              <w:spacing w:line="170" w:lineRule="exact"/>
              <w:ind w:left="163" w:right="0"/>
              <w:jc w:val="left"/>
              <w:rPr>
                <w:rFonts w:ascii="宋体" w:hAnsi="宋体" w:cs="宋体" w:eastAsia="宋体" w:hint="default"/>
                <w:sz w:val="17"/>
                <w:szCs w:val="17"/>
              </w:rPr>
            </w:pPr>
            <w:r>
              <w:rPr>
                <w:rFonts w:ascii="宋体" w:hAnsi="宋体" w:cs="宋体" w:eastAsia="宋体" w:hint="default"/>
                <w:sz w:val="17"/>
                <w:szCs w:val="17"/>
              </w:rPr>
              <w:t>致的说明</w:t>
            </w:r>
          </w:p>
        </w:tc>
      </w:tr>
      <w:tr>
        <w:trPr>
          <w:trHeight w:val="370"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7" w:right="0"/>
              <w:jc w:val="left"/>
              <w:rPr>
                <w:rFonts w:ascii="宋体" w:hAnsi="宋体" w:cs="宋体" w:eastAsia="宋体" w:hint="default"/>
                <w:sz w:val="17"/>
                <w:szCs w:val="17"/>
              </w:rPr>
            </w:pPr>
            <w:r>
              <w:rPr>
                <w:rFonts w:ascii="宋体" w:hAnsi="宋体" w:cs="宋体" w:eastAsia="宋体" w:hint="default"/>
                <w:sz w:val="17"/>
                <w:szCs w:val="17"/>
              </w:rPr>
              <w:t>沈阳凯塔数据科技有限公司</w:t>
            </w:r>
          </w:p>
        </w:tc>
        <w:tc>
          <w:tcPr>
            <w:tcW w:w="74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2"/>
              <w:jc w:val="center"/>
              <w:rPr>
                <w:rFonts w:ascii="宋体" w:hAnsi="宋体" w:cs="宋体" w:eastAsia="宋体" w:hint="default"/>
                <w:sz w:val="17"/>
                <w:szCs w:val="17"/>
              </w:rPr>
            </w:pPr>
            <w:r>
              <w:rPr>
                <w:rFonts w:ascii="宋体" w:hAnsi="宋体" w:cs="宋体" w:eastAsia="宋体" w:hint="default"/>
                <w:sz w:val="17"/>
                <w:szCs w:val="17"/>
              </w:rPr>
              <w:t>权益法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39"/>
              <w:jc w:val="right"/>
              <w:rPr>
                <w:rFonts w:ascii="Times New Roman" w:hAnsi="Times New Roman" w:cs="Times New Roman" w:eastAsia="Times New Roman" w:hint="default"/>
                <w:sz w:val="17"/>
                <w:szCs w:val="17"/>
              </w:rPr>
            </w:pPr>
            <w:r>
              <w:rPr>
                <w:rFonts w:ascii="Times New Roman"/>
                <w:spacing w:val="-1"/>
                <w:sz w:val="17"/>
              </w:rPr>
              <w:t>15,000,000</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87"/>
              <w:jc w:val="right"/>
              <w:rPr>
                <w:rFonts w:ascii="Times New Roman" w:hAnsi="Times New Roman" w:cs="Times New Roman" w:eastAsia="Times New Roman" w:hint="default"/>
                <w:sz w:val="17"/>
                <w:szCs w:val="17"/>
              </w:rPr>
            </w:pPr>
            <w:r>
              <w:rPr>
                <w:rFonts w:ascii="Times New Roman"/>
                <w:spacing w:val="-1"/>
                <w:sz w:val="17"/>
              </w:rPr>
              <w:t>14,675,191</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3"/>
              <w:jc w:val="right"/>
              <w:rPr>
                <w:rFonts w:ascii="Times New Roman" w:hAnsi="Times New Roman" w:cs="Times New Roman" w:eastAsia="Times New Roman" w:hint="default"/>
                <w:sz w:val="17"/>
                <w:szCs w:val="17"/>
              </w:rPr>
            </w:pPr>
            <w:r>
              <w:rPr>
                <w:rFonts w:ascii="Times New Roman"/>
                <w:sz w:val="17"/>
              </w:rPr>
              <w:t>-839,530</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02"/>
              <w:jc w:val="right"/>
              <w:rPr>
                <w:rFonts w:ascii="Times New Roman" w:hAnsi="Times New Roman" w:cs="Times New Roman" w:eastAsia="Times New Roman" w:hint="default"/>
                <w:sz w:val="17"/>
                <w:szCs w:val="17"/>
              </w:rPr>
            </w:pPr>
            <w:r>
              <w:rPr>
                <w:rFonts w:ascii="Times New Roman"/>
                <w:spacing w:val="-1"/>
                <w:sz w:val="17"/>
              </w:rPr>
              <w:t>13,835,661</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01"/>
              <w:jc w:val="right"/>
              <w:rPr>
                <w:rFonts w:ascii="Times New Roman" w:hAnsi="Times New Roman" w:cs="Times New Roman" w:eastAsia="Times New Roman" w:hint="default"/>
                <w:sz w:val="17"/>
                <w:szCs w:val="17"/>
              </w:rPr>
            </w:pPr>
            <w:r>
              <w:rPr>
                <w:rFonts w:ascii="Times New Roman"/>
                <w:sz w:val="17"/>
              </w:rPr>
              <w:t>16.67</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1"/>
              <w:jc w:val="right"/>
              <w:rPr>
                <w:rFonts w:ascii="Times New Roman" w:hAnsi="Times New Roman" w:cs="Times New Roman" w:eastAsia="Times New Roman" w:hint="default"/>
                <w:sz w:val="17"/>
                <w:szCs w:val="17"/>
              </w:rPr>
            </w:pPr>
            <w:r>
              <w:rPr>
                <w:rFonts w:ascii="Times New Roman"/>
                <w:sz w:val="17"/>
              </w:rPr>
              <w:t>16.67</w:t>
            </w:r>
          </w:p>
        </w:tc>
        <w:tc>
          <w:tcPr>
            <w:tcW w:w="4021" w:type="dxa"/>
            <w:tcBorders>
              <w:top w:val="nil" w:sz="6" w:space="0" w:color="auto"/>
              <w:left w:val="nil" w:sz="6" w:space="0" w:color="auto"/>
              <w:bottom w:val="nil" w:sz="6" w:space="0" w:color="auto"/>
              <w:right w:val="nil" w:sz="6" w:space="0" w:color="auto"/>
            </w:tcBorders>
          </w:tcPr>
          <w:p>
            <w:pPr/>
          </w:p>
        </w:tc>
      </w:tr>
      <w:tr>
        <w:trPr>
          <w:trHeight w:val="370" w:hRule="exact"/>
        </w:trPr>
        <w:tc>
          <w:tcPr>
            <w:tcW w:w="307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2" w:right="0"/>
              <w:jc w:val="left"/>
              <w:rPr>
                <w:rFonts w:ascii="宋体" w:hAnsi="宋体" w:cs="宋体" w:eastAsia="宋体" w:hint="default"/>
                <w:sz w:val="17"/>
                <w:szCs w:val="17"/>
              </w:rPr>
            </w:pPr>
            <w:r>
              <w:rPr>
                <w:rFonts w:ascii="宋体" w:hAnsi="宋体" w:cs="宋体" w:eastAsia="宋体" w:hint="default"/>
                <w:sz w:val="17"/>
                <w:szCs w:val="17"/>
              </w:rPr>
              <w:t>东软飞利浦医疗设备系统有限责任公司</w:t>
            </w:r>
          </w:p>
        </w:tc>
        <w:tc>
          <w:tcPr>
            <w:tcW w:w="74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2"/>
              <w:jc w:val="center"/>
              <w:rPr>
                <w:rFonts w:ascii="宋体" w:hAnsi="宋体" w:cs="宋体" w:eastAsia="宋体" w:hint="default"/>
                <w:sz w:val="17"/>
                <w:szCs w:val="17"/>
              </w:rPr>
            </w:pPr>
            <w:r>
              <w:rPr>
                <w:rFonts w:ascii="宋体" w:hAnsi="宋体" w:cs="宋体" w:eastAsia="宋体" w:hint="default"/>
                <w:sz w:val="17"/>
                <w:szCs w:val="17"/>
              </w:rPr>
              <w:t>权益法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73"/>
              <w:jc w:val="right"/>
              <w:rPr>
                <w:rFonts w:ascii="Times New Roman" w:hAnsi="Times New Roman" w:cs="Times New Roman" w:eastAsia="Times New Roman" w:hint="default"/>
                <w:sz w:val="17"/>
                <w:szCs w:val="17"/>
              </w:rPr>
            </w:pPr>
            <w:r>
              <w:rPr>
                <w:rFonts w:ascii="Times New Roman"/>
                <w:spacing w:val="-1"/>
                <w:sz w:val="17"/>
              </w:rPr>
              <w:t>120,050,000</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86"/>
              <w:jc w:val="right"/>
              <w:rPr>
                <w:rFonts w:ascii="Times New Roman" w:hAnsi="Times New Roman" w:cs="Times New Roman" w:eastAsia="Times New Roman" w:hint="default"/>
                <w:sz w:val="17"/>
                <w:szCs w:val="17"/>
              </w:rPr>
            </w:pPr>
            <w:r>
              <w:rPr>
                <w:rFonts w:ascii="Times New Roman"/>
                <w:spacing w:val="-1"/>
                <w:sz w:val="17"/>
              </w:rPr>
              <w:t>171,925,837</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3"/>
              <w:jc w:val="right"/>
              <w:rPr>
                <w:rFonts w:ascii="Times New Roman" w:hAnsi="Times New Roman" w:cs="Times New Roman" w:eastAsia="Times New Roman" w:hint="default"/>
                <w:sz w:val="17"/>
                <w:szCs w:val="17"/>
              </w:rPr>
            </w:pPr>
            <w:r>
              <w:rPr>
                <w:rFonts w:ascii="Times New Roman"/>
                <w:spacing w:val="-1"/>
                <w:sz w:val="17"/>
              </w:rPr>
              <w:t>10,739,089</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02"/>
              <w:jc w:val="right"/>
              <w:rPr>
                <w:rFonts w:ascii="Times New Roman" w:hAnsi="Times New Roman" w:cs="Times New Roman" w:eastAsia="Times New Roman" w:hint="default"/>
                <w:sz w:val="17"/>
                <w:szCs w:val="17"/>
              </w:rPr>
            </w:pPr>
            <w:r>
              <w:rPr>
                <w:rFonts w:ascii="Times New Roman"/>
                <w:spacing w:val="-1"/>
                <w:sz w:val="17"/>
              </w:rPr>
              <w:t>182,664,926</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01"/>
              <w:jc w:val="right"/>
              <w:rPr>
                <w:rFonts w:ascii="Times New Roman" w:hAnsi="Times New Roman" w:cs="Times New Roman" w:eastAsia="Times New Roman" w:hint="default"/>
                <w:sz w:val="17"/>
                <w:szCs w:val="17"/>
              </w:rPr>
            </w:pPr>
            <w:r>
              <w:rPr>
                <w:rFonts w:ascii="Times New Roman"/>
                <w:sz w:val="17"/>
              </w:rPr>
              <w:t>49.00</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1"/>
              <w:jc w:val="right"/>
              <w:rPr>
                <w:rFonts w:ascii="Times New Roman" w:hAnsi="Times New Roman" w:cs="Times New Roman" w:eastAsia="Times New Roman" w:hint="default"/>
                <w:sz w:val="17"/>
                <w:szCs w:val="17"/>
              </w:rPr>
            </w:pPr>
            <w:r>
              <w:rPr>
                <w:rFonts w:ascii="Times New Roman"/>
                <w:sz w:val="17"/>
              </w:rPr>
              <w:t>49.00</w:t>
            </w:r>
          </w:p>
        </w:tc>
        <w:tc>
          <w:tcPr>
            <w:tcW w:w="402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71"/>
              <w:jc w:val="right"/>
              <w:rPr>
                <w:rFonts w:ascii="Times New Roman" w:hAnsi="Times New Roman" w:cs="Times New Roman" w:eastAsia="Times New Roman" w:hint="default"/>
                <w:sz w:val="17"/>
                <w:szCs w:val="17"/>
              </w:rPr>
            </w:pPr>
            <w:r>
              <w:rPr>
                <w:rFonts w:ascii="Times New Roman"/>
                <w:spacing w:val="-1"/>
                <w:sz w:val="17"/>
              </w:rPr>
              <w:t>24,010,000</w:t>
            </w:r>
          </w:p>
        </w:tc>
      </w:tr>
      <w:tr>
        <w:trPr>
          <w:trHeight w:val="301" w:hRule="exact"/>
        </w:trPr>
        <w:tc>
          <w:tcPr>
            <w:tcW w:w="3072"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left="67" w:right="0"/>
              <w:jc w:val="left"/>
              <w:rPr>
                <w:rFonts w:ascii="宋体" w:hAnsi="宋体" w:cs="宋体" w:eastAsia="宋体" w:hint="default"/>
                <w:sz w:val="17"/>
                <w:szCs w:val="17"/>
              </w:rPr>
            </w:pPr>
            <w:r>
              <w:rPr>
                <w:rFonts w:ascii="宋体" w:hAnsi="宋体" w:cs="宋体" w:eastAsia="宋体" w:hint="default"/>
                <w:sz w:val="17"/>
                <w:szCs w:val="17"/>
              </w:rPr>
              <w:t>辽宁盛京熙康健康管理有限公司</w:t>
            </w:r>
          </w:p>
        </w:tc>
        <w:tc>
          <w:tcPr>
            <w:tcW w:w="741"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right="52"/>
              <w:jc w:val="center"/>
              <w:rPr>
                <w:rFonts w:ascii="宋体" w:hAnsi="宋体" w:cs="宋体" w:eastAsia="宋体" w:hint="default"/>
                <w:sz w:val="17"/>
                <w:szCs w:val="17"/>
              </w:rPr>
            </w:pPr>
            <w:r>
              <w:rPr>
                <w:rFonts w:ascii="宋体" w:hAnsi="宋体" w:cs="宋体" w:eastAsia="宋体" w:hint="default"/>
                <w:sz w:val="17"/>
                <w:szCs w:val="17"/>
              </w:rPr>
              <w:t>权益法</w:t>
            </w:r>
          </w:p>
        </w:tc>
        <w:tc>
          <w:tcPr>
            <w:tcW w:w="1168"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139"/>
              <w:jc w:val="right"/>
              <w:rPr>
                <w:rFonts w:ascii="Times New Roman" w:hAnsi="Times New Roman" w:cs="Times New Roman" w:eastAsia="Times New Roman" w:hint="default"/>
                <w:sz w:val="17"/>
                <w:szCs w:val="17"/>
              </w:rPr>
            </w:pPr>
            <w:r>
              <w:rPr>
                <w:rFonts w:ascii="Times New Roman"/>
                <w:spacing w:val="-1"/>
                <w:sz w:val="17"/>
              </w:rPr>
              <w:t>490,000</w:t>
            </w:r>
          </w:p>
        </w:tc>
        <w:tc>
          <w:tcPr>
            <w:tcW w:w="1081"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87"/>
              <w:jc w:val="right"/>
              <w:rPr>
                <w:rFonts w:ascii="Times New Roman" w:hAnsi="Times New Roman" w:cs="Times New Roman" w:eastAsia="Times New Roman" w:hint="default"/>
                <w:sz w:val="17"/>
                <w:szCs w:val="17"/>
              </w:rPr>
            </w:pPr>
            <w:r>
              <w:rPr>
                <w:rFonts w:ascii="Times New Roman"/>
                <w:spacing w:val="-1"/>
                <w:sz w:val="17"/>
              </w:rPr>
              <w:t>278,794</w:t>
            </w:r>
          </w:p>
        </w:tc>
        <w:tc>
          <w:tcPr>
            <w:tcW w:w="950"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94"/>
              <w:jc w:val="right"/>
              <w:rPr>
                <w:rFonts w:ascii="Times New Roman" w:hAnsi="Times New Roman" w:cs="Times New Roman" w:eastAsia="Times New Roman" w:hint="default"/>
                <w:sz w:val="17"/>
                <w:szCs w:val="17"/>
              </w:rPr>
            </w:pPr>
            <w:r>
              <w:rPr>
                <w:rFonts w:ascii="Times New Roman"/>
                <w:spacing w:val="-1"/>
                <w:sz w:val="17"/>
              </w:rPr>
              <w:t>-162,886</w:t>
            </w:r>
          </w:p>
        </w:tc>
        <w:tc>
          <w:tcPr>
            <w:tcW w:w="1250"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301"/>
              <w:jc w:val="right"/>
              <w:rPr>
                <w:rFonts w:ascii="Times New Roman" w:hAnsi="Times New Roman" w:cs="Times New Roman" w:eastAsia="Times New Roman" w:hint="default"/>
                <w:sz w:val="17"/>
                <w:szCs w:val="17"/>
              </w:rPr>
            </w:pPr>
            <w:r>
              <w:rPr>
                <w:rFonts w:ascii="Times New Roman"/>
                <w:spacing w:val="-1"/>
                <w:sz w:val="17"/>
              </w:rPr>
              <w:t>115,908</w:t>
            </w:r>
          </w:p>
        </w:tc>
        <w:tc>
          <w:tcPr>
            <w:tcW w:w="992"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301"/>
              <w:jc w:val="right"/>
              <w:rPr>
                <w:rFonts w:ascii="Times New Roman" w:hAnsi="Times New Roman" w:cs="Times New Roman" w:eastAsia="Times New Roman" w:hint="default"/>
                <w:sz w:val="17"/>
                <w:szCs w:val="17"/>
              </w:rPr>
            </w:pPr>
            <w:r>
              <w:rPr>
                <w:rFonts w:ascii="Times New Roman"/>
                <w:sz w:val="17"/>
              </w:rPr>
              <w:t>49.00</w:t>
            </w:r>
          </w:p>
        </w:tc>
        <w:tc>
          <w:tcPr>
            <w:tcW w:w="851"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161"/>
              <w:jc w:val="right"/>
              <w:rPr>
                <w:rFonts w:ascii="Times New Roman" w:hAnsi="Times New Roman" w:cs="Times New Roman" w:eastAsia="Times New Roman" w:hint="default"/>
                <w:sz w:val="17"/>
                <w:szCs w:val="17"/>
              </w:rPr>
            </w:pPr>
            <w:r>
              <w:rPr>
                <w:rFonts w:ascii="Times New Roman"/>
                <w:sz w:val="17"/>
              </w:rPr>
              <w:t>49.00</w:t>
            </w:r>
          </w:p>
        </w:tc>
        <w:tc>
          <w:tcPr>
            <w:tcW w:w="4021" w:type="dxa"/>
            <w:tcBorders>
              <w:top w:val="nil" w:sz="6" w:space="0" w:color="auto"/>
              <w:left w:val="nil" w:sz="6" w:space="0" w:color="auto"/>
              <w:bottom w:val="single" w:sz="12" w:space="0" w:color="000000"/>
              <w:right w:val="nil" w:sz="6" w:space="0" w:color="auto"/>
            </w:tcBorders>
          </w:tcPr>
          <w:p>
            <w:pPr/>
          </w:p>
        </w:tc>
      </w:tr>
    </w:tbl>
    <w:p>
      <w:pPr>
        <w:spacing w:after="0"/>
        <w:sectPr>
          <w:headerReference w:type="default" r:id="rId178"/>
          <w:footerReference w:type="default" r:id="rId179"/>
          <w:pgSz w:w="16840" w:h="11910" w:orient="landscape"/>
          <w:pgMar w:header="883" w:footer="999" w:top="1600" w:bottom="1180" w:left="1300" w:right="520"/>
          <w:pgNumType w:start="50"/>
        </w:sectPr>
      </w:pPr>
    </w:p>
    <w:p>
      <w:pPr>
        <w:spacing w:line="240" w:lineRule="auto" w:before="3"/>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6840" w:h="11910" w:orient="landscape"/>
          <w:pgMar w:header="883" w:footer="999" w:top="1600" w:bottom="1180" w:left="1300" w:right="520"/>
        </w:sectPr>
      </w:pPr>
    </w:p>
    <w:p>
      <w:pPr>
        <w:spacing w:line="240" w:lineRule="auto" w:before="0"/>
        <w:rPr>
          <w:rFonts w:ascii="宋体" w:hAnsi="宋体" w:cs="宋体" w:eastAsia="宋体" w:hint="default"/>
          <w:b/>
          <w:bCs/>
          <w:sz w:val="16"/>
          <w:szCs w:val="16"/>
        </w:rPr>
      </w:pPr>
      <w:r>
        <w:rPr/>
        <w:pict>
          <v:group style="position:absolute;margin-left:102.051003pt;margin-top:89.879997pt;width:708.6pt;height:423.5pt;mso-position-horizontal-relative:page;mso-position-vertical-relative:page;z-index:-1120792" coordorigin="2041,1798" coordsize="14172,8470">
            <v:group style="position:absolute;left:2070;top:1813;width:14112;height:2" coordorigin="2070,1813" coordsize="14112,2">
              <v:shape style="position:absolute;left:2070;top:1813;width:14112;height:2" coordorigin="2070,1813" coordsize="14112,0" path="m2070,1813l16182,1813e" filled="false" stroked="true" strokeweight="1.5pt" strokecolor="#000000">
                <v:path arrowok="t"/>
              </v:shape>
              <v:shape style="position:absolute;left:5093;top:1799;width:9988;height:1498" type="#_x0000_t75" stroked="false">
                <v:imagedata r:id="rId184" o:title=""/>
              </v:shape>
              <v:shape style="position:absolute;left:2041;top:3246;width:14172;height:7021" type="#_x0000_t75" stroked="false">
                <v:imagedata r:id="rId185" o:title=""/>
              </v:shape>
            </v:group>
            <w10:wrap type="none"/>
          </v:group>
        </w:pict>
      </w:r>
    </w:p>
    <w:p>
      <w:pPr>
        <w:spacing w:line="240" w:lineRule="auto" w:before="0"/>
        <w:rPr>
          <w:rFonts w:ascii="宋体" w:hAnsi="宋体" w:cs="宋体" w:eastAsia="宋体" w:hint="default"/>
          <w:b/>
          <w:bCs/>
          <w:sz w:val="16"/>
          <w:szCs w:val="16"/>
        </w:rPr>
      </w:pPr>
    </w:p>
    <w:p>
      <w:pPr>
        <w:spacing w:line="240" w:lineRule="auto" w:before="12"/>
        <w:rPr>
          <w:rFonts w:ascii="宋体" w:hAnsi="宋体" w:cs="宋体" w:eastAsia="宋体" w:hint="default"/>
          <w:b/>
          <w:bCs/>
          <w:sz w:val="12"/>
          <w:szCs w:val="12"/>
        </w:rPr>
      </w:pPr>
    </w:p>
    <w:p>
      <w:pPr>
        <w:spacing w:before="0"/>
        <w:ind w:left="0" w:right="0" w:firstLine="0"/>
        <w:jc w:val="right"/>
        <w:rPr>
          <w:rFonts w:ascii="宋体" w:hAnsi="宋体" w:cs="宋体" w:eastAsia="宋体" w:hint="default"/>
          <w:sz w:val="17"/>
          <w:szCs w:val="17"/>
        </w:rPr>
      </w:pPr>
      <w:r>
        <w:rPr>
          <w:rFonts w:ascii="宋体" w:hAnsi="宋体" w:cs="宋体" w:eastAsia="宋体" w:hint="default"/>
          <w:spacing w:val="-1"/>
          <w:sz w:val="17"/>
          <w:szCs w:val="17"/>
        </w:rPr>
        <w:t>被投资单位</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2"/>
        <w:rPr>
          <w:rFonts w:ascii="宋体" w:hAnsi="宋体" w:cs="宋体" w:eastAsia="宋体" w:hint="default"/>
          <w:sz w:val="15"/>
          <w:szCs w:val="15"/>
        </w:rPr>
      </w:pPr>
    </w:p>
    <w:p>
      <w:pPr>
        <w:spacing w:line="388" w:lineRule="auto" w:before="0"/>
        <w:ind w:left="1331" w:right="-18" w:hanging="170"/>
        <w:jc w:val="left"/>
        <w:rPr>
          <w:rFonts w:ascii="宋体" w:hAnsi="宋体" w:cs="宋体" w:eastAsia="宋体" w:hint="default"/>
          <w:sz w:val="17"/>
          <w:szCs w:val="17"/>
        </w:rPr>
      </w:pPr>
      <w:r>
        <w:rPr>
          <w:rFonts w:ascii="宋体" w:hAnsi="宋体" w:cs="宋体" w:eastAsia="宋体" w:hint="default"/>
          <w:sz w:val="17"/>
          <w:szCs w:val="17"/>
        </w:rPr>
        <w:t>核算方</w:t>
      </w:r>
      <w:r>
        <w:rPr>
          <w:rFonts w:ascii="宋体" w:hAnsi="宋体" w:cs="宋体" w:eastAsia="宋体" w:hint="default"/>
          <w:w w:val="100"/>
          <w:sz w:val="17"/>
          <w:szCs w:val="17"/>
        </w:rPr>
        <w:t> </w:t>
      </w:r>
      <w:r>
        <w:rPr>
          <w:rFonts w:ascii="宋体" w:hAnsi="宋体" w:cs="宋体" w:eastAsia="宋体" w:hint="default"/>
          <w:sz w:val="17"/>
          <w:szCs w:val="17"/>
        </w:rPr>
        <w:t>法</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0"/>
        <w:rPr>
          <w:rFonts w:ascii="宋体" w:hAnsi="宋体" w:cs="宋体" w:eastAsia="宋体" w:hint="default"/>
          <w:sz w:val="16"/>
          <w:szCs w:val="16"/>
        </w:rPr>
      </w:pPr>
    </w:p>
    <w:p>
      <w:pPr>
        <w:spacing w:line="240" w:lineRule="auto" w:before="12"/>
        <w:rPr>
          <w:rFonts w:ascii="宋体" w:hAnsi="宋体" w:cs="宋体" w:eastAsia="宋体" w:hint="default"/>
          <w:sz w:val="12"/>
          <w:szCs w:val="12"/>
        </w:rPr>
      </w:pPr>
    </w:p>
    <w:p>
      <w:pPr>
        <w:tabs>
          <w:tab w:pos="1417" w:val="left" w:leader="none"/>
          <w:tab w:pos="2455" w:val="left" w:leader="none"/>
          <w:tab w:pos="3448" w:val="left" w:leader="none"/>
        </w:tabs>
        <w:spacing w:before="0"/>
        <w:ind w:left="113" w:right="-18" w:firstLine="0"/>
        <w:jc w:val="left"/>
        <w:rPr>
          <w:rFonts w:ascii="宋体" w:hAnsi="宋体" w:cs="宋体" w:eastAsia="宋体" w:hint="default"/>
          <w:sz w:val="17"/>
          <w:szCs w:val="17"/>
        </w:rPr>
      </w:pPr>
      <w:r>
        <w:rPr>
          <w:rFonts w:ascii="宋体" w:hAnsi="宋体" w:cs="宋体" w:eastAsia="宋体" w:hint="default"/>
          <w:spacing w:val="-1"/>
          <w:sz w:val="17"/>
          <w:szCs w:val="17"/>
        </w:rPr>
        <w:t>初始投资成本</w:t>
        <w:tab/>
      </w:r>
      <w:r>
        <w:rPr>
          <w:rFonts w:ascii="宋体" w:hAnsi="宋体" w:cs="宋体" w:eastAsia="宋体" w:hint="default"/>
          <w:sz w:val="17"/>
          <w:szCs w:val="17"/>
        </w:rPr>
        <w:t>年初余额</w:t>
        <w:tab/>
        <w:t>增减变动</w:t>
        <w:tab/>
        <w:t>期末余额</w:t>
      </w:r>
    </w:p>
    <w:p>
      <w:pPr>
        <w:spacing w:line="240" w:lineRule="auto" w:before="5"/>
        <w:rPr>
          <w:rFonts w:ascii="宋体" w:hAnsi="宋体" w:cs="宋体" w:eastAsia="宋体" w:hint="default"/>
          <w:sz w:val="17"/>
          <w:szCs w:val="17"/>
        </w:rPr>
      </w:pPr>
      <w:r>
        <w:rPr/>
        <w:br w:type="column"/>
      </w:r>
      <w:r>
        <w:rPr>
          <w:rFonts w:ascii="宋体"/>
          <w:sz w:val="17"/>
        </w:rPr>
      </w:r>
    </w:p>
    <w:p>
      <w:pPr>
        <w:spacing w:line="388" w:lineRule="auto" w:before="0"/>
        <w:ind w:left="210" w:right="0" w:firstLine="0"/>
        <w:jc w:val="center"/>
        <w:rPr>
          <w:rFonts w:ascii="宋体" w:hAnsi="宋体" w:cs="宋体" w:eastAsia="宋体" w:hint="default"/>
          <w:sz w:val="17"/>
          <w:szCs w:val="17"/>
        </w:rPr>
      </w:pPr>
      <w:r>
        <w:rPr>
          <w:rFonts w:ascii="宋体" w:hAnsi="宋体" w:cs="宋体" w:eastAsia="宋体" w:hint="default"/>
          <w:spacing w:val="-1"/>
          <w:sz w:val="17"/>
          <w:szCs w:val="17"/>
        </w:rPr>
        <w:t>在被投资单</w:t>
      </w:r>
      <w:r>
        <w:rPr>
          <w:rFonts w:ascii="宋体" w:hAnsi="宋体" w:cs="宋体" w:eastAsia="宋体" w:hint="default"/>
          <w:spacing w:val="-81"/>
          <w:sz w:val="17"/>
          <w:szCs w:val="17"/>
        </w:rPr>
        <w:t> </w:t>
      </w:r>
      <w:r>
        <w:rPr>
          <w:rFonts w:ascii="宋体" w:hAnsi="宋体" w:cs="宋体" w:eastAsia="宋体" w:hint="default"/>
          <w:spacing w:val="-81"/>
          <w:sz w:val="17"/>
          <w:szCs w:val="17"/>
        </w:rPr>
      </w:r>
      <w:r>
        <w:rPr>
          <w:rFonts w:ascii="宋体" w:hAnsi="宋体" w:cs="宋体" w:eastAsia="宋体" w:hint="default"/>
          <w:spacing w:val="-1"/>
          <w:sz w:val="17"/>
          <w:szCs w:val="17"/>
        </w:rPr>
        <w:t>位持股比例</w:t>
      </w:r>
    </w:p>
    <w:p>
      <w:pPr>
        <w:spacing w:before="80"/>
        <w:ind w:left="209" w:right="0" w:firstLine="0"/>
        <w:jc w:val="center"/>
        <w:rPr>
          <w:rFonts w:ascii="Times New Roman" w:hAnsi="Times New Roman" w:cs="Times New Roman" w:eastAsia="Times New Roman" w:hint="default"/>
          <w:sz w:val="17"/>
          <w:szCs w:val="17"/>
        </w:rPr>
      </w:pPr>
      <w:r>
        <w:rPr/>
        <w:pict>
          <v:shape style="position:absolute;margin-left:102.771004pt;margin-top:13.195012pt;width:706.35pt;height:362.05pt;mso-position-horizontal-relative:page;mso-position-vertical-relative:paragraph;z-index:138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094"/>
                    <w:gridCol w:w="719"/>
                    <w:gridCol w:w="1168"/>
                    <w:gridCol w:w="1081"/>
                    <w:gridCol w:w="950"/>
                    <w:gridCol w:w="1060"/>
                    <w:gridCol w:w="1219"/>
                    <w:gridCol w:w="815"/>
                    <w:gridCol w:w="1028"/>
                    <w:gridCol w:w="1510"/>
                    <w:gridCol w:w="1484"/>
                  </w:tblGrid>
                  <w:tr>
                    <w:trPr>
                      <w:trHeight w:val="648" w:hRule="exact"/>
                    </w:trPr>
                    <w:tc>
                      <w:tcPr>
                        <w:tcW w:w="30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8"/>
                          <w:ind w:left="67" w:right="0"/>
                          <w:jc w:val="left"/>
                          <w:rPr>
                            <w:rFonts w:ascii="宋体" w:hAnsi="宋体" w:cs="宋体" w:eastAsia="宋体" w:hint="default"/>
                            <w:sz w:val="17"/>
                            <w:szCs w:val="17"/>
                          </w:rPr>
                        </w:pPr>
                        <w:r>
                          <w:rPr>
                            <w:rFonts w:ascii="宋体" w:hAnsi="宋体" w:cs="宋体" w:eastAsia="宋体" w:hint="default"/>
                            <w:sz w:val="17"/>
                            <w:szCs w:val="17"/>
                          </w:rPr>
                          <w:t>重庆国奥百年熙康健康管理有限公司</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8"/>
                          <w:ind w:right="74"/>
                          <w:jc w:val="center"/>
                          <w:rPr>
                            <w:rFonts w:ascii="宋体" w:hAnsi="宋体" w:cs="宋体" w:eastAsia="宋体" w:hint="default"/>
                            <w:sz w:val="17"/>
                            <w:szCs w:val="17"/>
                          </w:rPr>
                        </w:pPr>
                        <w:r>
                          <w:rPr>
                            <w:rFonts w:ascii="宋体" w:hAnsi="宋体" w:cs="宋体" w:eastAsia="宋体" w:hint="default"/>
                            <w:sz w:val="17"/>
                            <w:szCs w:val="17"/>
                          </w:rPr>
                          <w:t>权益法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39"/>
                          <w:jc w:val="right"/>
                          <w:rPr>
                            <w:rFonts w:ascii="Times New Roman" w:hAnsi="Times New Roman" w:cs="Times New Roman" w:eastAsia="Times New Roman" w:hint="default"/>
                            <w:sz w:val="17"/>
                            <w:szCs w:val="17"/>
                          </w:rPr>
                        </w:pPr>
                        <w:r>
                          <w:rPr>
                            <w:rFonts w:ascii="Times New Roman"/>
                            <w:spacing w:val="-1"/>
                            <w:sz w:val="17"/>
                          </w:rPr>
                          <w:t>400,000</w:t>
                        </w:r>
                      </w:p>
                    </w:tc>
                    <w:tc>
                      <w:tcPr>
                        <w:tcW w:w="1081"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93"/>
                          <w:jc w:val="right"/>
                          <w:rPr>
                            <w:rFonts w:ascii="Times New Roman" w:hAnsi="Times New Roman" w:cs="Times New Roman" w:eastAsia="Times New Roman" w:hint="default"/>
                            <w:sz w:val="17"/>
                            <w:szCs w:val="17"/>
                          </w:rPr>
                        </w:pPr>
                        <w:r>
                          <w:rPr>
                            <w:rFonts w:ascii="Times New Roman"/>
                            <w:spacing w:val="-1"/>
                            <w:sz w:val="17"/>
                          </w:rPr>
                          <w:t>212,290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11"/>
                          <w:jc w:val="right"/>
                          <w:rPr>
                            <w:rFonts w:ascii="Times New Roman" w:hAnsi="Times New Roman" w:cs="Times New Roman" w:eastAsia="Times New Roman" w:hint="default"/>
                            <w:sz w:val="17"/>
                            <w:szCs w:val="17"/>
                          </w:rPr>
                        </w:pPr>
                        <w:r>
                          <w:rPr>
                            <w:rFonts w:ascii="Times New Roman"/>
                            <w:spacing w:val="-1"/>
                            <w:sz w:val="17"/>
                          </w:rPr>
                          <w:t>212,290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338"/>
                          <w:jc w:val="right"/>
                          <w:rPr>
                            <w:rFonts w:ascii="Times New Roman" w:hAnsi="Times New Roman" w:cs="Times New Roman" w:eastAsia="Times New Roman" w:hint="default"/>
                            <w:sz w:val="17"/>
                            <w:szCs w:val="17"/>
                          </w:rPr>
                        </w:pPr>
                        <w:r>
                          <w:rPr>
                            <w:rFonts w:ascii="Times New Roman"/>
                            <w:sz w:val="17"/>
                          </w:rPr>
                          <w:t>20.00</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61"/>
                          <w:jc w:val="right"/>
                          <w:rPr>
                            <w:rFonts w:ascii="Times New Roman" w:hAnsi="Times New Roman" w:cs="Times New Roman" w:eastAsia="Times New Roman" w:hint="default"/>
                            <w:sz w:val="17"/>
                            <w:szCs w:val="17"/>
                          </w:rPr>
                        </w:pPr>
                        <w:r>
                          <w:rPr>
                            <w:rFonts w:ascii="Times New Roman"/>
                            <w:sz w:val="17"/>
                          </w:rPr>
                          <w:t>20.00</w:t>
                        </w:r>
                      </w:p>
                    </w:tc>
                    <w:tc>
                      <w:tcPr>
                        <w:tcW w:w="1028" w:type="dxa"/>
                        <w:tcBorders>
                          <w:top w:val="nil" w:sz="6" w:space="0" w:color="auto"/>
                          <w:left w:val="nil" w:sz="6" w:space="0" w:color="auto"/>
                          <w:bottom w:val="nil" w:sz="6" w:space="0" w:color="auto"/>
                          <w:right w:val="nil" w:sz="6" w:space="0" w:color="auto"/>
                        </w:tcBorders>
                      </w:tcPr>
                      <w:p>
                        <w:pPr>
                          <w:pStyle w:val="TableParagraph"/>
                          <w:spacing w:line="170" w:lineRule="exact"/>
                          <w:ind w:left="163" w:right="0"/>
                          <w:jc w:val="left"/>
                          <w:rPr>
                            <w:rFonts w:ascii="宋体" w:hAnsi="宋体" w:cs="宋体" w:eastAsia="宋体" w:hint="default"/>
                            <w:sz w:val="17"/>
                            <w:szCs w:val="17"/>
                          </w:rPr>
                        </w:pPr>
                        <w:r>
                          <w:rPr>
                            <w:rFonts w:ascii="宋体" w:hAnsi="宋体" w:cs="宋体" w:eastAsia="宋体" w:hint="default"/>
                            <w:sz w:val="17"/>
                            <w:szCs w:val="17"/>
                          </w:rPr>
                          <w:t>致的说明</w:t>
                        </w:r>
                      </w:p>
                    </w:tc>
                    <w:tc>
                      <w:tcPr>
                        <w:tcW w:w="2993" w:type="dxa"/>
                        <w:gridSpan w:val="2"/>
                        <w:vMerge w:val="restart"/>
                        <w:tcBorders>
                          <w:top w:val="nil" w:sz="6" w:space="0" w:color="auto"/>
                          <w:left w:val="nil" w:sz="6" w:space="0" w:color="auto"/>
                          <w:right w:val="nil" w:sz="6" w:space="0" w:color="auto"/>
                        </w:tcBorders>
                      </w:tcPr>
                      <w:p>
                        <w:pPr/>
                      </w:p>
                    </w:tc>
                  </w:tr>
                  <w:tr>
                    <w:trPr>
                      <w:trHeight w:val="370" w:hRule="exact"/>
                    </w:trPr>
                    <w:tc>
                      <w:tcPr>
                        <w:tcW w:w="309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7" w:right="0"/>
                          <w:jc w:val="left"/>
                          <w:rPr>
                            <w:rFonts w:ascii="宋体" w:hAnsi="宋体" w:cs="宋体" w:eastAsia="宋体" w:hint="default"/>
                            <w:sz w:val="17"/>
                            <w:szCs w:val="17"/>
                          </w:rPr>
                        </w:pPr>
                        <w:r>
                          <w:rPr>
                            <w:rFonts w:ascii="宋体" w:hAnsi="宋体" w:cs="宋体" w:eastAsia="宋体" w:hint="default"/>
                            <w:sz w:val="17"/>
                            <w:szCs w:val="17"/>
                          </w:rPr>
                          <w:t>沈阳东芝东软信息系统有限公司</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4"/>
                          <w:jc w:val="center"/>
                          <w:rPr>
                            <w:rFonts w:ascii="宋体" w:hAnsi="宋体" w:cs="宋体" w:eastAsia="宋体" w:hint="default"/>
                            <w:sz w:val="17"/>
                            <w:szCs w:val="17"/>
                          </w:rPr>
                        </w:pPr>
                        <w:r>
                          <w:rPr>
                            <w:rFonts w:ascii="宋体" w:hAnsi="宋体" w:cs="宋体" w:eastAsia="宋体" w:hint="default"/>
                            <w:sz w:val="17"/>
                            <w:szCs w:val="17"/>
                          </w:rPr>
                          <w:t>权益法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39"/>
                          <w:jc w:val="right"/>
                          <w:rPr>
                            <w:rFonts w:ascii="Times New Roman" w:hAnsi="Times New Roman" w:cs="Times New Roman" w:eastAsia="Times New Roman" w:hint="default"/>
                            <w:sz w:val="17"/>
                            <w:szCs w:val="17"/>
                          </w:rPr>
                        </w:pPr>
                        <w:r>
                          <w:rPr>
                            <w:rFonts w:ascii="Times New Roman"/>
                            <w:spacing w:val="-1"/>
                            <w:sz w:val="17"/>
                          </w:rPr>
                          <w:t>9,051,000</w:t>
                        </w:r>
                      </w:p>
                    </w:tc>
                    <w:tc>
                      <w:tcPr>
                        <w:tcW w:w="1081"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3"/>
                          <w:jc w:val="right"/>
                          <w:rPr>
                            <w:rFonts w:ascii="Times New Roman" w:hAnsi="Times New Roman" w:cs="Times New Roman" w:eastAsia="Times New Roman" w:hint="default"/>
                            <w:sz w:val="17"/>
                            <w:szCs w:val="17"/>
                          </w:rPr>
                        </w:pPr>
                        <w:r>
                          <w:rPr>
                            <w:rFonts w:ascii="Times New Roman"/>
                            <w:spacing w:val="-1"/>
                            <w:sz w:val="17"/>
                          </w:rPr>
                          <w:t>8,154,748</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11"/>
                          <w:jc w:val="right"/>
                          <w:rPr>
                            <w:rFonts w:ascii="Times New Roman" w:hAnsi="Times New Roman" w:cs="Times New Roman" w:eastAsia="Times New Roman" w:hint="default"/>
                            <w:sz w:val="17"/>
                            <w:szCs w:val="17"/>
                          </w:rPr>
                        </w:pPr>
                        <w:r>
                          <w:rPr>
                            <w:rFonts w:ascii="Times New Roman"/>
                            <w:spacing w:val="-1"/>
                            <w:sz w:val="17"/>
                          </w:rPr>
                          <w:t>8,154,748</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7"/>
                          <w:jc w:val="right"/>
                          <w:rPr>
                            <w:rFonts w:ascii="Times New Roman" w:hAnsi="Times New Roman" w:cs="Times New Roman" w:eastAsia="Times New Roman" w:hint="default"/>
                            <w:sz w:val="17"/>
                            <w:szCs w:val="17"/>
                          </w:rPr>
                        </w:pPr>
                        <w:r>
                          <w:rPr>
                            <w:rFonts w:ascii="Times New Roman"/>
                            <w:sz w:val="17"/>
                          </w:rPr>
                          <w:t>40.00</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1"/>
                          <w:jc w:val="right"/>
                          <w:rPr>
                            <w:rFonts w:ascii="Times New Roman" w:hAnsi="Times New Roman" w:cs="Times New Roman" w:eastAsia="Times New Roman" w:hint="default"/>
                            <w:sz w:val="17"/>
                            <w:szCs w:val="17"/>
                          </w:rPr>
                        </w:pPr>
                        <w:r>
                          <w:rPr>
                            <w:rFonts w:ascii="Times New Roman"/>
                            <w:sz w:val="17"/>
                          </w:rPr>
                          <w:t>40.00</w:t>
                        </w:r>
                      </w:p>
                    </w:tc>
                    <w:tc>
                      <w:tcPr>
                        <w:tcW w:w="1028" w:type="dxa"/>
                        <w:tcBorders>
                          <w:top w:val="nil" w:sz="6" w:space="0" w:color="auto"/>
                          <w:left w:val="nil" w:sz="6" w:space="0" w:color="auto"/>
                          <w:bottom w:val="nil" w:sz="6" w:space="0" w:color="auto"/>
                          <w:right w:val="nil" w:sz="6" w:space="0" w:color="auto"/>
                        </w:tcBorders>
                      </w:tcPr>
                      <w:p>
                        <w:pPr/>
                      </w:p>
                    </w:tc>
                    <w:tc>
                      <w:tcPr>
                        <w:tcW w:w="2993" w:type="dxa"/>
                        <w:gridSpan w:val="2"/>
                        <w:vMerge/>
                        <w:tcBorders>
                          <w:left w:val="nil" w:sz="6" w:space="0" w:color="auto"/>
                          <w:right w:val="nil" w:sz="6" w:space="0" w:color="auto"/>
                        </w:tcBorders>
                      </w:tcPr>
                      <w:p>
                        <w:pPr/>
                      </w:p>
                    </w:tc>
                  </w:tr>
                  <w:tr>
                    <w:trPr>
                      <w:trHeight w:val="370" w:hRule="exact"/>
                    </w:trPr>
                    <w:tc>
                      <w:tcPr>
                        <w:tcW w:w="309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7" w:right="0"/>
                          <w:jc w:val="left"/>
                          <w:rPr>
                            <w:rFonts w:ascii="宋体" w:hAnsi="宋体" w:cs="宋体" w:eastAsia="宋体" w:hint="default"/>
                            <w:sz w:val="17"/>
                            <w:szCs w:val="17"/>
                          </w:rPr>
                        </w:pPr>
                        <w:r>
                          <w:rPr>
                            <w:rFonts w:ascii="宋体" w:hAnsi="宋体" w:cs="宋体" w:eastAsia="宋体" w:hint="default"/>
                            <w:sz w:val="17"/>
                            <w:szCs w:val="17"/>
                          </w:rPr>
                          <w:t>日电东软信息技术有限公司</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4"/>
                          <w:jc w:val="center"/>
                          <w:rPr>
                            <w:rFonts w:ascii="宋体" w:hAnsi="宋体" w:cs="宋体" w:eastAsia="宋体" w:hint="default"/>
                            <w:sz w:val="17"/>
                            <w:szCs w:val="17"/>
                          </w:rPr>
                        </w:pPr>
                        <w:r>
                          <w:rPr>
                            <w:rFonts w:ascii="宋体" w:hAnsi="宋体" w:cs="宋体" w:eastAsia="宋体" w:hint="default"/>
                            <w:sz w:val="17"/>
                            <w:szCs w:val="17"/>
                          </w:rPr>
                          <w:t>权益法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39"/>
                          <w:jc w:val="right"/>
                          <w:rPr>
                            <w:rFonts w:ascii="Times New Roman" w:hAnsi="Times New Roman" w:cs="Times New Roman" w:eastAsia="Times New Roman" w:hint="default"/>
                            <w:sz w:val="17"/>
                            <w:szCs w:val="17"/>
                          </w:rPr>
                        </w:pPr>
                        <w:r>
                          <w:rPr>
                            <w:rFonts w:ascii="Times New Roman"/>
                            <w:spacing w:val="-1"/>
                            <w:sz w:val="17"/>
                          </w:rPr>
                          <w:t>4,500,000</w:t>
                        </w:r>
                      </w:p>
                    </w:tc>
                    <w:tc>
                      <w:tcPr>
                        <w:tcW w:w="1081"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3"/>
                          <w:jc w:val="right"/>
                          <w:rPr>
                            <w:rFonts w:ascii="Times New Roman" w:hAnsi="Times New Roman" w:cs="Times New Roman" w:eastAsia="Times New Roman" w:hint="default"/>
                            <w:sz w:val="17"/>
                            <w:szCs w:val="17"/>
                          </w:rPr>
                        </w:pPr>
                        <w:r>
                          <w:rPr>
                            <w:rFonts w:ascii="Times New Roman"/>
                            <w:spacing w:val="-1"/>
                            <w:sz w:val="17"/>
                          </w:rPr>
                          <w:t>3,238,091</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11"/>
                          <w:jc w:val="right"/>
                          <w:rPr>
                            <w:rFonts w:ascii="Times New Roman" w:hAnsi="Times New Roman" w:cs="Times New Roman" w:eastAsia="Times New Roman" w:hint="default"/>
                            <w:sz w:val="17"/>
                            <w:szCs w:val="17"/>
                          </w:rPr>
                        </w:pPr>
                        <w:r>
                          <w:rPr>
                            <w:rFonts w:ascii="Times New Roman"/>
                            <w:spacing w:val="-1"/>
                            <w:sz w:val="17"/>
                          </w:rPr>
                          <w:t>3,238,091</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8"/>
                          <w:jc w:val="right"/>
                          <w:rPr>
                            <w:rFonts w:ascii="Times New Roman" w:hAnsi="Times New Roman" w:cs="Times New Roman" w:eastAsia="Times New Roman" w:hint="default"/>
                            <w:sz w:val="17"/>
                            <w:szCs w:val="17"/>
                          </w:rPr>
                        </w:pPr>
                        <w:r>
                          <w:rPr>
                            <w:rFonts w:ascii="Times New Roman"/>
                            <w:sz w:val="17"/>
                          </w:rPr>
                          <w:t>30.00</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1"/>
                          <w:jc w:val="right"/>
                          <w:rPr>
                            <w:rFonts w:ascii="Times New Roman" w:hAnsi="Times New Roman" w:cs="Times New Roman" w:eastAsia="Times New Roman" w:hint="default"/>
                            <w:sz w:val="17"/>
                            <w:szCs w:val="17"/>
                          </w:rPr>
                        </w:pPr>
                        <w:r>
                          <w:rPr>
                            <w:rFonts w:ascii="Times New Roman"/>
                            <w:sz w:val="17"/>
                          </w:rPr>
                          <w:t>30.00</w:t>
                        </w:r>
                      </w:p>
                    </w:tc>
                    <w:tc>
                      <w:tcPr>
                        <w:tcW w:w="1028" w:type="dxa"/>
                        <w:tcBorders>
                          <w:top w:val="nil" w:sz="6" w:space="0" w:color="auto"/>
                          <w:left w:val="nil" w:sz="6" w:space="0" w:color="auto"/>
                          <w:bottom w:val="nil" w:sz="6" w:space="0" w:color="auto"/>
                          <w:right w:val="nil" w:sz="6" w:space="0" w:color="auto"/>
                        </w:tcBorders>
                      </w:tcPr>
                      <w:p>
                        <w:pPr/>
                      </w:p>
                    </w:tc>
                    <w:tc>
                      <w:tcPr>
                        <w:tcW w:w="2993" w:type="dxa"/>
                        <w:gridSpan w:val="2"/>
                        <w:vMerge/>
                        <w:tcBorders>
                          <w:left w:val="nil" w:sz="6" w:space="0" w:color="auto"/>
                          <w:right w:val="nil" w:sz="6" w:space="0" w:color="auto"/>
                        </w:tcBorders>
                      </w:tcPr>
                      <w:p>
                        <w:pPr/>
                      </w:p>
                    </w:tc>
                  </w:tr>
                  <w:tr>
                    <w:trPr>
                      <w:trHeight w:val="370" w:hRule="exact"/>
                    </w:trPr>
                    <w:tc>
                      <w:tcPr>
                        <w:tcW w:w="3094" w:type="dxa"/>
                        <w:tcBorders>
                          <w:top w:val="nil" w:sz="6" w:space="0" w:color="auto"/>
                          <w:left w:val="nil" w:sz="6" w:space="0" w:color="auto"/>
                          <w:bottom w:val="nil" w:sz="6" w:space="0" w:color="auto"/>
                          <w:right w:val="nil" w:sz="6" w:space="0" w:color="auto"/>
                        </w:tcBorders>
                      </w:tcPr>
                      <w:p>
                        <w:pPr>
                          <w:pStyle w:val="TableParagraph"/>
                          <w:spacing w:line="240" w:lineRule="auto" w:before="87"/>
                          <w:ind w:left="67" w:right="0"/>
                          <w:jc w:val="left"/>
                          <w:rPr>
                            <w:rFonts w:ascii="Times New Roman" w:hAnsi="Times New Roman" w:cs="Times New Roman" w:eastAsia="Times New Roman" w:hint="default"/>
                            <w:sz w:val="17"/>
                            <w:szCs w:val="17"/>
                          </w:rPr>
                        </w:pPr>
                        <w:r>
                          <w:rPr>
                            <w:rFonts w:ascii="Times New Roman"/>
                            <w:sz w:val="17"/>
                          </w:rPr>
                          <w:t>Aerotel Medical</w:t>
                        </w:r>
                        <w:r>
                          <w:rPr>
                            <w:rFonts w:ascii="Times New Roman"/>
                            <w:spacing w:val="-25"/>
                            <w:sz w:val="17"/>
                          </w:rPr>
                          <w:t> </w:t>
                        </w:r>
                        <w:r>
                          <w:rPr>
                            <w:rFonts w:ascii="Times New Roman"/>
                            <w:sz w:val="17"/>
                          </w:rPr>
                          <w:t>Systems(1998)Ltd.</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4"/>
                          <w:jc w:val="center"/>
                          <w:rPr>
                            <w:rFonts w:ascii="宋体" w:hAnsi="宋体" w:cs="宋体" w:eastAsia="宋体" w:hint="default"/>
                            <w:sz w:val="17"/>
                            <w:szCs w:val="17"/>
                          </w:rPr>
                        </w:pPr>
                        <w:r>
                          <w:rPr>
                            <w:rFonts w:ascii="宋体" w:hAnsi="宋体" w:cs="宋体" w:eastAsia="宋体" w:hint="default"/>
                            <w:sz w:val="17"/>
                            <w:szCs w:val="17"/>
                          </w:rPr>
                          <w:t>权益法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39"/>
                          <w:jc w:val="right"/>
                          <w:rPr>
                            <w:rFonts w:ascii="Times New Roman" w:hAnsi="Times New Roman" w:cs="Times New Roman" w:eastAsia="Times New Roman" w:hint="default"/>
                            <w:sz w:val="17"/>
                            <w:szCs w:val="17"/>
                          </w:rPr>
                        </w:pPr>
                        <w:r>
                          <w:rPr>
                            <w:rFonts w:ascii="Times New Roman"/>
                            <w:spacing w:val="-1"/>
                            <w:sz w:val="17"/>
                          </w:rPr>
                          <w:t>10,675,548</w:t>
                        </w:r>
                      </w:p>
                    </w:tc>
                    <w:tc>
                      <w:tcPr>
                        <w:tcW w:w="1081"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3"/>
                          <w:jc w:val="right"/>
                          <w:rPr>
                            <w:rFonts w:ascii="Times New Roman" w:hAnsi="Times New Roman" w:cs="Times New Roman" w:eastAsia="Times New Roman" w:hint="default"/>
                            <w:sz w:val="17"/>
                            <w:szCs w:val="17"/>
                          </w:rPr>
                        </w:pPr>
                        <w:r>
                          <w:rPr>
                            <w:rFonts w:ascii="Times New Roman"/>
                            <w:spacing w:val="-1"/>
                            <w:sz w:val="17"/>
                          </w:rPr>
                          <w:t>11,073,220</w:t>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12"/>
                          <w:jc w:val="right"/>
                          <w:rPr>
                            <w:rFonts w:ascii="Times New Roman" w:hAnsi="Times New Roman" w:cs="Times New Roman" w:eastAsia="Times New Roman" w:hint="default"/>
                            <w:sz w:val="17"/>
                            <w:szCs w:val="17"/>
                          </w:rPr>
                        </w:pPr>
                        <w:r>
                          <w:rPr>
                            <w:rFonts w:ascii="Times New Roman"/>
                            <w:spacing w:val="-1"/>
                            <w:sz w:val="17"/>
                          </w:rPr>
                          <w:t>11,073,220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8"/>
                          <w:jc w:val="right"/>
                          <w:rPr>
                            <w:rFonts w:ascii="Times New Roman" w:hAnsi="Times New Roman" w:cs="Times New Roman" w:eastAsia="Times New Roman" w:hint="default"/>
                            <w:sz w:val="17"/>
                            <w:szCs w:val="17"/>
                          </w:rPr>
                        </w:pPr>
                        <w:r>
                          <w:rPr>
                            <w:rFonts w:ascii="Times New Roman"/>
                            <w:sz w:val="17"/>
                          </w:rPr>
                          <w:t>30.76</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1"/>
                          <w:jc w:val="right"/>
                          <w:rPr>
                            <w:rFonts w:ascii="Times New Roman" w:hAnsi="Times New Roman" w:cs="Times New Roman" w:eastAsia="Times New Roman" w:hint="default"/>
                            <w:sz w:val="17"/>
                            <w:szCs w:val="17"/>
                          </w:rPr>
                        </w:pPr>
                        <w:r>
                          <w:rPr>
                            <w:rFonts w:ascii="Times New Roman"/>
                            <w:sz w:val="17"/>
                          </w:rPr>
                          <w:t>30.76</w:t>
                        </w:r>
                      </w:p>
                    </w:tc>
                    <w:tc>
                      <w:tcPr>
                        <w:tcW w:w="1028" w:type="dxa"/>
                        <w:tcBorders>
                          <w:top w:val="nil" w:sz="6" w:space="0" w:color="auto"/>
                          <w:left w:val="nil" w:sz="6" w:space="0" w:color="auto"/>
                          <w:bottom w:val="nil" w:sz="6" w:space="0" w:color="auto"/>
                          <w:right w:val="nil" w:sz="6" w:space="0" w:color="auto"/>
                        </w:tcBorders>
                      </w:tcPr>
                      <w:p>
                        <w:pPr/>
                      </w:p>
                    </w:tc>
                    <w:tc>
                      <w:tcPr>
                        <w:tcW w:w="2993" w:type="dxa"/>
                        <w:gridSpan w:val="2"/>
                        <w:vMerge/>
                        <w:tcBorders>
                          <w:left w:val="nil" w:sz="6" w:space="0" w:color="auto"/>
                          <w:right w:val="nil" w:sz="6" w:space="0" w:color="auto"/>
                        </w:tcBorders>
                      </w:tcPr>
                      <w:p>
                        <w:pPr/>
                      </w:p>
                    </w:tc>
                  </w:tr>
                  <w:tr>
                    <w:trPr>
                      <w:trHeight w:val="370" w:hRule="exact"/>
                    </w:trPr>
                    <w:tc>
                      <w:tcPr>
                        <w:tcW w:w="309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7" w:right="0"/>
                          <w:jc w:val="left"/>
                          <w:rPr>
                            <w:rFonts w:ascii="Times New Roman" w:hAnsi="Times New Roman" w:cs="Times New Roman" w:eastAsia="Times New Roman" w:hint="default"/>
                            <w:sz w:val="17"/>
                            <w:szCs w:val="17"/>
                          </w:rPr>
                        </w:pPr>
                        <w:r>
                          <w:rPr>
                            <w:rFonts w:ascii="宋体" w:hAnsi="宋体" w:cs="宋体" w:eastAsia="宋体" w:hint="default"/>
                            <w:sz w:val="17"/>
                            <w:szCs w:val="17"/>
                          </w:rPr>
                          <w:t>北京利博赛社保信息技术有限公司</w:t>
                        </w:r>
                        <w:r>
                          <w:rPr>
                            <w:rFonts w:ascii="Times New Roman" w:hAnsi="Times New Roman" w:cs="Times New Roman" w:eastAsia="Times New Roman" w:hint="default"/>
                            <w:sz w:val="17"/>
                            <w:szCs w:val="17"/>
                          </w:rPr>
                          <w:t>(</w:t>
                        </w:r>
                        <w:r>
                          <w:rPr>
                            <w:rFonts w:ascii="宋体" w:hAnsi="宋体" w:cs="宋体" w:eastAsia="宋体" w:hint="default"/>
                            <w:sz w:val="17"/>
                            <w:szCs w:val="17"/>
                          </w:rPr>
                          <w:t>注</w:t>
                        </w:r>
                        <w:r>
                          <w:rPr>
                            <w:rFonts w:ascii="宋体" w:hAnsi="宋体" w:cs="宋体" w:eastAsia="宋体" w:hint="default"/>
                            <w:spacing w:val="-47"/>
                            <w:sz w:val="17"/>
                            <w:szCs w:val="17"/>
                          </w:rPr>
                          <w:t> </w:t>
                        </w:r>
                        <w:r>
                          <w:rPr>
                            <w:rFonts w:ascii="Times New Roman" w:hAnsi="Times New Roman" w:cs="Times New Roman" w:eastAsia="Times New Roman" w:hint="default"/>
                            <w:sz w:val="17"/>
                            <w:szCs w:val="17"/>
                          </w:rPr>
                          <w:t>1)</w:t>
                        </w:r>
                      </w:p>
                    </w:tc>
                    <w:tc>
                      <w:tcPr>
                        <w:tcW w:w="719" w:type="dxa"/>
                        <w:tcBorders>
                          <w:top w:val="nil" w:sz="6" w:space="0" w:color="auto"/>
                          <w:left w:val="nil" w:sz="6" w:space="0" w:color="auto"/>
                          <w:bottom w:val="nil" w:sz="6" w:space="0" w:color="auto"/>
                          <w:right w:val="nil" w:sz="6" w:space="0" w:color="auto"/>
                        </w:tcBorders>
                      </w:tcPr>
                      <w:p>
                        <w:pP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39"/>
                          <w:jc w:val="right"/>
                          <w:rPr>
                            <w:rFonts w:ascii="Times New Roman" w:hAnsi="Times New Roman" w:cs="Times New Roman" w:eastAsia="Times New Roman" w:hint="default"/>
                            <w:sz w:val="17"/>
                            <w:szCs w:val="17"/>
                          </w:rPr>
                        </w:pPr>
                        <w:r>
                          <w:rPr>
                            <w:rFonts w:ascii="Times New Roman"/>
                            <w:spacing w:val="-1"/>
                            <w:sz w:val="17"/>
                          </w:rPr>
                          <w:t>10,390,275</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87"/>
                          <w:jc w:val="right"/>
                          <w:rPr>
                            <w:rFonts w:ascii="Times New Roman" w:hAnsi="Times New Roman" w:cs="Times New Roman" w:eastAsia="Times New Roman" w:hint="default"/>
                            <w:sz w:val="17"/>
                            <w:szCs w:val="17"/>
                          </w:rPr>
                        </w:pPr>
                        <w:r>
                          <w:rPr>
                            <w:rFonts w:ascii="Times New Roman"/>
                            <w:spacing w:val="-1"/>
                            <w:sz w:val="17"/>
                          </w:rPr>
                          <w:t>6,332,370</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3"/>
                          <w:jc w:val="right"/>
                          <w:rPr>
                            <w:rFonts w:ascii="Times New Roman" w:hAnsi="Times New Roman" w:cs="Times New Roman" w:eastAsia="Times New Roman" w:hint="default"/>
                            <w:sz w:val="17"/>
                            <w:szCs w:val="17"/>
                          </w:rPr>
                        </w:pPr>
                        <w:r>
                          <w:rPr>
                            <w:rFonts w:ascii="Times New Roman"/>
                            <w:spacing w:val="-1"/>
                            <w:sz w:val="17"/>
                          </w:rPr>
                          <w:t>-6,332,370</w:t>
                        </w:r>
                      </w:p>
                    </w:tc>
                    <w:tc>
                      <w:tcPr>
                        <w:tcW w:w="1060"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7"/>
                          <w:ind w:left="322" w:right="0"/>
                          <w:jc w:val="left"/>
                          <w:rPr>
                            <w:rFonts w:ascii="Times New Roman" w:hAnsi="Times New Roman" w:cs="Times New Roman" w:eastAsia="Times New Roman" w:hint="default"/>
                            <w:sz w:val="17"/>
                            <w:szCs w:val="17"/>
                          </w:rPr>
                        </w:pPr>
                        <w:r>
                          <w:rPr>
                            <w:rFonts w:ascii="Times New Roman"/>
                            <w:sz w:val="17"/>
                          </w:rPr>
                          <w:t>61.67</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3"/>
                          <w:jc w:val="right"/>
                          <w:rPr>
                            <w:rFonts w:ascii="Times New Roman" w:hAnsi="Times New Roman" w:cs="Times New Roman" w:eastAsia="Times New Roman" w:hint="default"/>
                            <w:sz w:val="17"/>
                            <w:szCs w:val="17"/>
                          </w:rPr>
                        </w:pPr>
                        <w:r>
                          <w:rPr>
                            <w:rFonts w:ascii="Times New Roman"/>
                            <w:sz w:val="17"/>
                          </w:rPr>
                          <w:t>61.67</w:t>
                        </w:r>
                      </w:p>
                    </w:tc>
                    <w:tc>
                      <w:tcPr>
                        <w:tcW w:w="1028" w:type="dxa"/>
                        <w:tcBorders>
                          <w:top w:val="nil" w:sz="6" w:space="0" w:color="auto"/>
                          <w:left w:val="nil" w:sz="6" w:space="0" w:color="auto"/>
                          <w:bottom w:val="nil" w:sz="6" w:space="0" w:color="auto"/>
                          <w:right w:val="nil" w:sz="6" w:space="0" w:color="auto"/>
                        </w:tcBorders>
                      </w:tcPr>
                      <w:p>
                        <w:pPr/>
                      </w:p>
                    </w:tc>
                    <w:tc>
                      <w:tcPr>
                        <w:tcW w:w="2993" w:type="dxa"/>
                        <w:gridSpan w:val="2"/>
                        <w:vMerge/>
                        <w:tcBorders>
                          <w:left w:val="nil" w:sz="6" w:space="0" w:color="auto"/>
                          <w:bottom w:val="nil" w:sz="6" w:space="0" w:color="auto"/>
                          <w:right w:val="nil" w:sz="6" w:space="0" w:color="auto"/>
                        </w:tcBorders>
                      </w:tcPr>
                      <w:p>
                        <w:pPr/>
                      </w:p>
                    </w:tc>
                  </w:tr>
                  <w:tr>
                    <w:trPr>
                      <w:trHeight w:val="372" w:hRule="exact"/>
                    </w:trPr>
                    <w:tc>
                      <w:tcPr>
                        <w:tcW w:w="309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7" w:right="0"/>
                          <w:jc w:val="left"/>
                          <w:rPr>
                            <w:rFonts w:ascii="宋体" w:hAnsi="宋体" w:cs="宋体" w:eastAsia="宋体" w:hint="default"/>
                            <w:sz w:val="17"/>
                            <w:szCs w:val="17"/>
                          </w:rPr>
                        </w:pPr>
                        <w:r>
                          <w:rPr>
                            <w:rFonts w:ascii="宋体" w:hAnsi="宋体" w:cs="宋体" w:eastAsia="宋体" w:hint="default"/>
                            <w:b/>
                            <w:bCs/>
                            <w:sz w:val="17"/>
                            <w:szCs w:val="17"/>
                          </w:rPr>
                          <w:t>权益法小计</w:t>
                        </w:r>
                        <w:r>
                          <w:rPr>
                            <w:rFonts w:ascii="宋体" w:hAnsi="宋体" w:cs="宋体" w:eastAsia="宋体" w:hint="default"/>
                            <w:sz w:val="17"/>
                            <w:szCs w:val="17"/>
                          </w:rPr>
                        </w:r>
                      </w:p>
                    </w:tc>
                    <w:tc>
                      <w:tcPr>
                        <w:tcW w:w="719" w:type="dxa"/>
                        <w:tcBorders>
                          <w:top w:val="nil" w:sz="6" w:space="0" w:color="auto"/>
                          <w:left w:val="nil" w:sz="6" w:space="0" w:color="auto"/>
                          <w:bottom w:val="nil" w:sz="6" w:space="0" w:color="auto"/>
                          <w:right w:val="nil" w:sz="6" w:space="0" w:color="auto"/>
                        </w:tcBorders>
                      </w:tcPr>
                      <w:p>
                        <w:pP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73"/>
                          <w:jc w:val="right"/>
                          <w:rPr>
                            <w:rFonts w:ascii="Times New Roman" w:hAnsi="Times New Roman" w:cs="Times New Roman" w:eastAsia="Times New Roman" w:hint="default"/>
                            <w:sz w:val="17"/>
                            <w:szCs w:val="17"/>
                          </w:rPr>
                        </w:pPr>
                        <w:r>
                          <w:rPr>
                            <w:rFonts w:ascii="Times New Roman"/>
                            <w:b/>
                            <w:spacing w:val="-1"/>
                            <w:sz w:val="17"/>
                          </w:rPr>
                          <w:t>197,270,444</w:t>
                        </w:r>
                        <w:r>
                          <w:rPr>
                            <w:rFonts w:ascii="Times New Roman"/>
                            <w:spacing w:val="-1"/>
                            <w:sz w:val="17"/>
                          </w:rPr>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87"/>
                          <w:jc w:val="right"/>
                          <w:rPr>
                            <w:rFonts w:ascii="Times New Roman" w:hAnsi="Times New Roman" w:cs="Times New Roman" w:eastAsia="Times New Roman" w:hint="default"/>
                            <w:sz w:val="17"/>
                            <w:szCs w:val="17"/>
                          </w:rPr>
                        </w:pPr>
                        <w:r>
                          <w:rPr>
                            <w:rFonts w:ascii="Times New Roman"/>
                            <w:b/>
                            <w:spacing w:val="-2"/>
                            <w:sz w:val="17"/>
                          </w:rPr>
                          <w:t>235,891,011</w:t>
                        </w:r>
                        <w:r>
                          <w:rPr>
                            <w:rFonts w:ascii="Times New Roman"/>
                            <w:spacing w:val="-2"/>
                            <w:sz w:val="17"/>
                          </w:rPr>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93"/>
                          <w:jc w:val="right"/>
                          <w:rPr>
                            <w:rFonts w:ascii="Times New Roman" w:hAnsi="Times New Roman" w:cs="Times New Roman" w:eastAsia="Times New Roman" w:hint="default"/>
                            <w:sz w:val="17"/>
                            <w:szCs w:val="17"/>
                          </w:rPr>
                        </w:pPr>
                        <w:r>
                          <w:rPr>
                            <w:rFonts w:ascii="Times New Roman"/>
                            <w:b/>
                            <w:spacing w:val="-1"/>
                            <w:sz w:val="17"/>
                          </w:rPr>
                          <w:t>34,313,920</w:t>
                        </w:r>
                        <w:r>
                          <w:rPr>
                            <w:rFonts w:ascii="Times New Roman"/>
                            <w:spacing w:val="-1"/>
                            <w:sz w:val="17"/>
                          </w:rPr>
                        </w: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12"/>
                          <w:jc w:val="right"/>
                          <w:rPr>
                            <w:rFonts w:ascii="Times New Roman" w:hAnsi="Times New Roman" w:cs="Times New Roman" w:eastAsia="Times New Roman" w:hint="default"/>
                            <w:sz w:val="17"/>
                            <w:szCs w:val="17"/>
                          </w:rPr>
                        </w:pPr>
                        <w:r>
                          <w:rPr>
                            <w:rFonts w:ascii="Times New Roman"/>
                            <w:b/>
                            <w:spacing w:val="-1"/>
                            <w:sz w:val="17"/>
                          </w:rPr>
                          <w:t>270,204,931</w:t>
                        </w:r>
                        <w:r>
                          <w:rPr>
                            <w:rFonts w:ascii="Times New Roman"/>
                            <w:spacing w:val="-1"/>
                            <w:sz w:val="17"/>
                          </w:rPr>
                        </w:r>
                      </w:p>
                    </w:tc>
                    <w:tc>
                      <w:tcPr>
                        <w:tcW w:w="1219" w:type="dxa"/>
                        <w:tcBorders>
                          <w:top w:val="nil" w:sz="6" w:space="0" w:color="auto"/>
                          <w:left w:val="nil" w:sz="6" w:space="0" w:color="auto"/>
                          <w:bottom w:val="nil" w:sz="6" w:space="0" w:color="auto"/>
                          <w:right w:val="nil" w:sz="6" w:space="0" w:color="auto"/>
                        </w:tcBorders>
                      </w:tcPr>
                      <w:p>
                        <w:pPr/>
                      </w:p>
                    </w:tc>
                    <w:tc>
                      <w:tcPr>
                        <w:tcW w:w="815"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91"/>
                          <w:ind w:left="645" w:right="0"/>
                          <w:jc w:val="left"/>
                          <w:rPr>
                            <w:rFonts w:ascii="Times New Roman" w:hAnsi="Times New Roman" w:cs="Times New Roman" w:eastAsia="Times New Roman" w:hint="default"/>
                            <w:sz w:val="17"/>
                            <w:szCs w:val="17"/>
                          </w:rPr>
                        </w:pPr>
                        <w:r>
                          <w:rPr>
                            <w:rFonts w:ascii="Times New Roman"/>
                            <w:b/>
                            <w:sz w:val="17"/>
                          </w:rPr>
                          <w:t>24,010,000</w:t>
                        </w:r>
                        <w:r>
                          <w:rPr>
                            <w:rFonts w:ascii="Times New Roman"/>
                            <w:sz w:val="17"/>
                          </w:rPr>
                        </w:r>
                      </w:p>
                    </w:tc>
                  </w:tr>
                  <w:tr>
                    <w:trPr>
                      <w:trHeight w:val="368" w:hRule="exact"/>
                    </w:trPr>
                    <w:tc>
                      <w:tcPr>
                        <w:tcW w:w="309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67" w:right="0"/>
                          <w:jc w:val="left"/>
                          <w:rPr>
                            <w:rFonts w:ascii="宋体" w:hAnsi="宋体" w:cs="宋体" w:eastAsia="宋体" w:hint="default"/>
                            <w:sz w:val="17"/>
                            <w:szCs w:val="17"/>
                          </w:rPr>
                        </w:pPr>
                        <w:r>
                          <w:rPr>
                            <w:rFonts w:ascii="宋体" w:hAnsi="宋体" w:cs="宋体" w:eastAsia="宋体" w:hint="default"/>
                            <w:sz w:val="17"/>
                            <w:szCs w:val="17"/>
                          </w:rPr>
                          <w:t>大连运筹科技有限公司</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74"/>
                          <w:jc w:val="center"/>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39"/>
                          <w:jc w:val="right"/>
                          <w:rPr>
                            <w:rFonts w:ascii="Times New Roman" w:hAnsi="Times New Roman" w:cs="Times New Roman" w:eastAsia="Times New Roman" w:hint="default"/>
                            <w:sz w:val="17"/>
                            <w:szCs w:val="17"/>
                          </w:rPr>
                        </w:pPr>
                        <w:r>
                          <w:rPr>
                            <w:rFonts w:ascii="Times New Roman"/>
                            <w:sz w:val="17"/>
                          </w:rPr>
                          <w:t>45,352</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86"/>
                          <w:jc w:val="right"/>
                          <w:rPr>
                            <w:rFonts w:ascii="Times New Roman" w:hAnsi="Times New Roman" w:cs="Times New Roman" w:eastAsia="Times New Roman" w:hint="default"/>
                            <w:sz w:val="17"/>
                            <w:szCs w:val="17"/>
                          </w:rPr>
                        </w:pPr>
                        <w:r>
                          <w:rPr>
                            <w:rFonts w:ascii="Times New Roman"/>
                            <w:sz w:val="17"/>
                          </w:rPr>
                          <w:t>45,352</w:t>
                        </w:r>
                      </w:p>
                    </w:tc>
                    <w:tc>
                      <w:tcPr>
                        <w:tcW w:w="950"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11"/>
                          <w:jc w:val="right"/>
                          <w:rPr>
                            <w:rFonts w:ascii="Times New Roman" w:hAnsi="Times New Roman" w:cs="Times New Roman" w:eastAsia="Times New Roman" w:hint="default"/>
                            <w:sz w:val="17"/>
                            <w:szCs w:val="17"/>
                          </w:rPr>
                        </w:pPr>
                        <w:r>
                          <w:rPr>
                            <w:rFonts w:ascii="Times New Roman"/>
                            <w:sz w:val="17"/>
                          </w:rPr>
                          <w:t>45,352</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39"/>
                          <w:jc w:val="right"/>
                          <w:rPr>
                            <w:rFonts w:ascii="Times New Roman" w:hAnsi="Times New Roman" w:cs="Times New Roman" w:eastAsia="Times New Roman" w:hint="default"/>
                            <w:sz w:val="17"/>
                            <w:szCs w:val="17"/>
                          </w:rPr>
                        </w:pPr>
                        <w:r>
                          <w:rPr>
                            <w:rFonts w:ascii="Times New Roman"/>
                            <w:sz w:val="17"/>
                          </w:rPr>
                          <w:t>5.00</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61"/>
                          <w:jc w:val="right"/>
                          <w:rPr>
                            <w:rFonts w:ascii="Times New Roman" w:hAnsi="Times New Roman" w:cs="Times New Roman" w:eastAsia="Times New Roman" w:hint="default"/>
                            <w:sz w:val="17"/>
                            <w:szCs w:val="17"/>
                          </w:rPr>
                        </w:pPr>
                        <w:r>
                          <w:rPr>
                            <w:rFonts w:ascii="Times New Roman"/>
                            <w:sz w:val="17"/>
                          </w:rPr>
                          <w:t>5.00</w:t>
                        </w:r>
                      </w:p>
                    </w:tc>
                    <w:tc>
                      <w:tcPr>
                        <w:tcW w:w="1028"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r>
                  <w:tr>
                    <w:trPr>
                      <w:trHeight w:val="455" w:hRule="exact"/>
                    </w:trPr>
                    <w:tc>
                      <w:tcPr>
                        <w:tcW w:w="309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67" w:right="0"/>
                          <w:jc w:val="left"/>
                          <w:rPr>
                            <w:rFonts w:ascii="宋体" w:hAnsi="宋体" w:cs="宋体" w:eastAsia="宋体" w:hint="default"/>
                            <w:sz w:val="17"/>
                            <w:szCs w:val="17"/>
                          </w:rPr>
                        </w:pPr>
                        <w:r>
                          <w:rPr>
                            <w:rFonts w:ascii="宋体" w:hAnsi="宋体" w:cs="宋体" w:eastAsia="宋体" w:hint="default"/>
                            <w:sz w:val="17"/>
                            <w:szCs w:val="17"/>
                          </w:rPr>
                          <w:t>大连东软信息学院</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74"/>
                          <w:jc w:val="center"/>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39"/>
                          <w:jc w:val="right"/>
                          <w:rPr>
                            <w:rFonts w:ascii="Times New Roman" w:hAnsi="Times New Roman" w:cs="Times New Roman" w:eastAsia="Times New Roman" w:hint="default"/>
                            <w:sz w:val="17"/>
                            <w:szCs w:val="17"/>
                          </w:rPr>
                        </w:pPr>
                        <w:r>
                          <w:rPr>
                            <w:rFonts w:ascii="Times New Roman"/>
                            <w:spacing w:val="-1"/>
                            <w:sz w:val="17"/>
                          </w:rPr>
                          <w:t>336,022,775</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86"/>
                          <w:jc w:val="right"/>
                          <w:rPr>
                            <w:rFonts w:ascii="Times New Roman" w:hAnsi="Times New Roman" w:cs="Times New Roman" w:eastAsia="Times New Roman" w:hint="default"/>
                            <w:sz w:val="17"/>
                            <w:szCs w:val="17"/>
                          </w:rPr>
                        </w:pPr>
                        <w:r>
                          <w:rPr>
                            <w:rFonts w:ascii="Times New Roman"/>
                            <w:spacing w:val="-1"/>
                            <w:sz w:val="17"/>
                          </w:rPr>
                          <w:t>336,022,775</w:t>
                        </w:r>
                      </w:p>
                    </w:tc>
                    <w:tc>
                      <w:tcPr>
                        <w:tcW w:w="950"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11"/>
                          <w:jc w:val="right"/>
                          <w:rPr>
                            <w:rFonts w:ascii="Times New Roman" w:hAnsi="Times New Roman" w:cs="Times New Roman" w:eastAsia="Times New Roman" w:hint="default"/>
                            <w:sz w:val="17"/>
                            <w:szCs w:val="17"/>
                          </w:rPr>
                        </w:pPr>
                        <w:r>
                          <w:rPr>
                            <w:rFonts w:ascii="Times New Roman"/>
                            <w:spacing w:val="-1"/>
                            <w:sz w:val="17"/>
                          </w:rPr>
                          <w:t>336,022,775</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7"/>
                          <w:jc w:val="right"/>
                          <w:rPr>
                            <w:rFonts w:ascii="Times New Roman" w:hAnsi="Times New Roman" w:cs="Times New Roman" w:eastAsia="Times New Roman" w:hint="default"/>
                            <w:sz w:val="17"/>
                            <w:szCs w:val="17"/>
                          </w:rPr>
                        </w:pPr>
                        <w:r>
                          <w:rPr>
                            <w:rFonts w:ascii="宋体" w:hAnsi="宋体" w:cs="宋体" w:eastAsia="宋体" w:hint="default"/>
                            <w:sz w:val="17"/>
                            <w:szCs w:val="17"/>
                          </w:rPr>
                          <w:t>直接</w:t>
                        </w:r>
                        <w:r>
                          <w:rPr>
                            <w:rFonts w:ascii="宋体" w:hAnsi="宋体" w:cs="宋体" w:eastAsia="宋体" w:hint="default"/>
                            <w:spacing w:val="-42"/>
                            <w:sz w:val="17"/>
                            <w:szCs w:val="17"/>
                          </w:rPr>
                          <w:t> </w:t>
                        </w:r>
                        <w:r>
                          <w:rPr>
                            <w:rFonts w:ascii="Times New Roman" w:hAnsi="Times New Roman" w:cs="Times New Roman" w:eastAsia="Times New Roman" w:hint="default"/>
                            <w:sz w:val="17"/>
                            <w:szCs w:val="17"/>
                          </w:rPr>
                          <w:t>1.74</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61"/>
                          <w:jc w:val="right"/>
                          <w:rPr>
                            <w:rFonts w:ascii="Times New Roman" w:hAnsi="Times New Roman" w:cs="Times New Roman" w:eastAsia="Times New Roman" w:hint="default"/>
                            <w:sz w:val="17"/>
                            <w:szCs w:val="17"/>
                          </w:rPr>
                        </w:pPr>
                        <w:r>
                          <w:rPr>
                            <w:rFonts w:ascii="Times New Roman"/>
                            <w:sz w:val="17"/>
                          </w:rPr>
                          <w:t>98.84</w:t>
                        </w:r>
                      </w:p>
                    </w:tc>
                    <w:tc>
                      <w:tcPr>
                        <w:tcW w:w="1028"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r>
                  <w:tr>
                    <w:trPr>
                      <w:trHeight w:val="271" w:hRule="exact"/>
                    </w:trPr>
                    <w:tc>
                      <w:tcPr>
                        <w:tcW w:w="3094"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1168" w:type="dxa"/>
                        <w:tcBorders>
                          <w:top w:val="nil" w:sz="6" w:space="0" w:color="auto"/>
                          <w:left w:val="nil" w:sz="6" w:space="0" w:color="auto"/>
                          <w:bottom w:val="nil" w:sz="6" w:space="0" w:color="auto"/>
                          <w:right w:val="nil" w:sz="6" w:space="0" w:color="auto"/>
                        </w:tcBorders>
                      </w:tcPr>
                      <w:p>
                        <w:pPr/>
                      </w:p>
                    </w:tc>
                    <w:tc>
                      <w:tcPr>
                        <w:tcW w:w="1081"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179" w:lineRule="exact"/>
                          <w:ind w:right="264"/>
                          <w:jc w:val="right"/>
                          <w:rPr>
                            <w:rFonts w:ascii="Times New Roman" w:hAnsi="Times New Roman" w:cs="Times New Roman" w:eastAsia="Times New Roman" w:hint="default"/>
                            <w:sz w:val="17"/>
                            <w:szCs w:val="17"/>
                          </w:rPr>
                        </w:pPr>
                        <w:r>
                          <w:rPr>
                            <w:rFonts w:ascii="宋体" w:hAnsi="宋体" w:cs="宋体" w:eastAsia="宋体" w:hint="default"/>
                            <w:sz w:val="17"/>
                            <w:szCs w:val="17"/>
                          </w:rPr>
                          <w:t>间接</w:t>
                        </w:r>
                        <w:r>
                          <w:rPr>
                            <w:rFonts w:ascii="宋体" w:hAnsi="宋体" w:cs="宋体" w:eastAsia="宋体" w:hint="default"/>
                            <w:spacing w:val="-44"/>
                            <w:sz w:val="17"/>
                            <w:szCs w:val="17"/>
                          </w:rPr>
                          <w:t> </w:t>
                        </w:r>
                        <w:r>
                          <w:rPr>
                            <w:rFonts w:ascii="Times New Roman" w:hAnsi="Times New Roman" w:cs="Times New Roman" w:eastAsia="Times New Roman" w:hint="default"/>
                            <w:sz w:val="17"/>
                            <w:szCs w:val="17"/>
                          </w:rPr>
                          <w:t>97.10</w:t>
                        </w:r>
                      </w:p>
                    </w:tc>
                    <w:tc>
                      <w:tcPr>
                        <w:tcW w:w="815"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r>
                  <w:tr>
                    <w:trPr>
                      <w:trHeight w:val="374" w:hRule="exact"/>
                    </w:trPr>
                    <w:tc>
                      <w:tcPr>
                        <w:tcW w:w="3094" w:type="dxa"/>
                        <w:tcBorders>
                          <w:top w:val="nil" w:sz="6" w:space="0" w:color="auto"/>
                          <w:left w:val="nil" w:sz="6" w:space="0" w:color="auto"/>
                          <w:bottom w:val="nil" w:sz="6" w:space="0" w:color="auto"/>
                          <w:right w:val="nil" w:sz="6" w:space="0" w:color="auto"/>
                        </w:tcBorders>
                      </w:tcPr>
                      <w:p>
                        <w:pPr>
                          <w:pStyle w:val="TableParagraph"/>
                          <w:spacing w:line="240" w:lineRule="auto" w:before="43"/>
                          <w:ind w:left="67" w:right="0"/>
                          <w:jc w:val="left"/>
                          <w:rPr>
                            <w:rFonts w:ascii="宋体" w:hAnsi="宋体" w:cs="宋体" w:eastAsia="宋体" w:hint="default"/>
                            <w:sz w:val="17"/>
                            <w:szCs w:val="17"/>
                          </w:rPr>
                        </w:pPr>
                        <w:r>
                          <w:rPr>
                            <w:rFonts w:ascii="宋体" w:hAnsi="宋体" w:cs="宋体" w:eastAsia="宋体" w:hint="default"/>
                            <w:sz w:val="17"/>
                            <w:szCs w:val="17"/>
                          </w:rPr>
                          <w:t>大连东软信息技术职业学院</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74"/>
                          <w:jc w:val="center"/>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39"/>
                          <w:jc w:val="right"/>
                          <w:rPr>
                            <w:rFonts w:ascii="Times New Roman" w:hAnsi="Times New Roman" w:cs="Times New Roman" w:eastAsia="Times New Roman" w:hint="default"/>
                            <w:sz w:val="17"/>
                            <w:szCs w:val="17"/>
                          </w:rPr>
                        </w:pPr>
                        <w:r>
                          <w:rPr>
                            <w:rFonts w:ascii="Times New Roman"/>
                            <w:spacing w:val="-1"/>
                            <w:sz w:val="17"/>
                          </w:rPr>
                          <w:t>3,600,000</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87"/>
                          <w:jc w:val="right"/>
                          <w:rPr>
                            <w:rFonts w:ascii="Times New Roman" w:hAnsi="Times New Roman" w:cs="Times New Roman" w:eastAsia="Times New Roman" w:hint="default"/>
                            <w:sz w:val="17"/>
                            <w:szCs w:val="17"/>
                          </w:rPr>
                        </w:pPr>
                        <w:r>
                          <w:rPr>
                            <w:rFonts w:ascii="Times New Roman"/>
                            <w:spacing w:val="-1"/>
                            <w:sz w:val="17"/>
                          </w:rPr>
                          <w:t>3,600,000</w:t>
                        </w:r>
                      </w:p>
                    </w:tc>
                    <w:tc>
                      <w:tcPr>
                        <w:tcW w:w="950"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11"/>
                          <w:jc w:val="right"/>
                          <w:rPr>
                            <w:rFonts w:ascii="Times New Roman" w:hAnsi="Times New Roman" w:cs="Times New Roman" w:eastAsia="Times New Roman" w:hint="default"/>
                            <w:sz w:val="17"/>
                            <w:szCs w:val="17"/>
                          </w:rPr>
                        </w:pPr>
                        <w:r>
                          <w:rPr>
                            <w:rFonts w:ascii="Times New Roman"/>
                            <w:spacing w:val="-1"/>
                            <w:sz w:val="17"/>
                          </w:rPr>
                          <w:t>3,600,000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37"/>
                          <w:jc w:val="right"/>
                          <w:rPr>
                            <w:rFonts w:ascii="Times New Roman" w:hAnsi="Times New Roman" w:cs="Times New Roman" w:eastAsia="Times New Roman" w:hint="default"/>
                            <w:sz w:val="17"/>
                            <w:szCs w:val="17"/>
                          </w:rPr>
                        </w:pPr>
                        <w:r>
                          <w:rPr>
                            <w:rFonts w:ascii="Times New Roman"/>
                            <w:sz w:val="17"/>
                          </w:rPr>
                          <w:t>60.00</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61"/>
                          <w:jc w:val="right"/>
                          <w:rPr>
                            <w:rFonts w:ascii="Times New Roman" w:hAnsi="Times New Roman" w:cs="Times New Roman" w:eastAsia="Times New Roman" w:hint="default"/>
                            <w:sz w:val="17"/>
                            <w:szCs w:val="17"/>
                          </w:rPr>
                        </w:pPr>
                        <w:r>
                          <w:rPr>
                            <w:rFonts w:ascii="Times New Roman"/>
                            <w:sz w:val="17"/>
                          </w:rPr>
                          <w:t>60.00</w:t>
                        </w:r>
                      </w:p>
                    </w:tc>
                    <w:tc>
                      <w:tcPr>
                        <w:tcW w:w="1028"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r>
                  <w:tr>
                    <w:trPr>
                      <w:trHeight w:val="455" w:hRule="exact"/>
                    </w:trPr>
                    <w:tc>
                      <w:tcPr>
                        <w:tcW w:w="309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67" w:right="0"/>
                          <w:jc w:val="left"/>
                          <w:rPr>
                            <w:rFonts w:ascii="宋体" w:hAnsi="宋体" w:cs="宋体" w:eastAsia="宋体" w:hint="default"/>
                            <w:sz w:val="17"/>
                            <w:szCs w:val="17"/>
                          </w:rPr>
                        </w:pPr>
                        <w:r>
                          <w:rPr>
                            <w:rFonts w:ascii="宋体" w:hAnsi="宋体" w:cs="宋体" w:eastAsia="宋体" w:hint="default"/>
                            <w:sz w:val="17"/>
                            <w:szCs w:val="17"/>
                          </w:rPr>
                          <w:t>成都东软信息技术职业学院</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74"/>
                          <w:jc w:val="center"/>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39"/>
                          <w:jc w:val="right"/>
                          <w:rPr>
                            <w:rFonts w:ascii="Times New Roman" w:hAnsi="Times New Roman" w:cs="Times New Roman" w:eastAsia="Times New Roman" w:hint="default"/>
                            <w:sz w:val="17"/>
                            <w:szCs w:val="17"/>
                          </w:rPr>
                        </w:pPr>
                        <w:r>
                          <w:rPr>
                            <w:rFonts w:ascii="Times New Roman"/>
                            <w:spacing w:val="-1"/>
                            <w:sz w:val="17"/>
                          </w:rPr>
                          <w:t>15,118,334</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86"/>
                          <w:jc w:val="right"/>
                          <w:rPr>
                            <w:rFonts w:ascii="Times New Roman" w:hAnsi="Times New Roman" w:cs="Times New Roman" w:eastAsia="Times New Roman" w:hint="default"/>
                            <w:sz w:val="17"/>
                            <w:szCs w:val="17"/>
                          </w:rPr>
                        </w:pPr>
                        <w:r>
                          <w:rPr>
                            <w:rFonts w:ascii="Times New Roman"/>
                            <w:spacing w:val="-1"/>
                            <w:sz w:val="17"/>
                          </w:rPr>
                          <w:t>15,118,334</w:t>
                        </w:r>
                      </w:p>
                    </w:tc>
                    <w:tc>
                      <w:tcPr>
                        <w:tcW w:w="950"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11"/>
                          <w:jc w:val="right"/>
                          <w:rPr>
                            <w:rFonts w:ascii="Times New Roman" w:hAnsi="Times New Roman" w:cs="Times New Roman" w:eastAsia="Times New Roman" w:hint="default"/>
                            <w:sz w:val="17"/>
                            <w:szCs w:val="17"/>
                          </w:rPr>
                        </w:pPr>
                        <w:r>
                          <w:rPr>
                            <w:rFonts w:ascii="Times New Roman"/>
                            <w:spacing w:val="-1"/>
                            <w:sz w:val="17"/>
                          </w:rPr>
                          <w:t>15,118,334</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7"/>
                          <w:jc w:val="right"/>
                          <w:rPr>
                            <w:rFonts w:ascii="Times New Roman" w:hAnsi="Times New Roman" w:cs="Times New Roman" w:eastAsia="Times New Roman" w:hint="default"/>
                            <w:sz w:val="17"/>
                            <w:szCs w:val="17"/>
                          </w:rPr>
                        </w:pPr>
                        <w:r>
                          <w:rPr>
                            <w:rFonts w:ascii="宋体" w:hAnsi="宋体" w:cs="宋体" w:eastAsia="宋体" w:hint="default"/>
                            <w:sz w:val="17"/>
                            <w:szCs w:val="17"/>
                          </w:rPr>
                          <w:t>直接</w:t>
                        </w:r>
                        <w:r>
                          <w:rPr>
                            <w:rFonts w:ascii="宋体" w:hAnsi="宋体" w:cs="宋体" w:eastAsia="宋体" w:hint="default"/>
                            <w:spacing w:val="-44"/>
                            <w:sz w:val="17"/>
                            <w:szCs w:val="17"/>
                          </w:rPr>
                          <w:t> </w:t>
                        </w:r>
                        <w:r>
                          <w:rPr>
                            <w:rFonts w:ascii="Times New Roman" w:hAnsi="Times New Roman" w:cs="Times New Roman" w:eastAsia="Times New Roman" w:hint="default"/>
                            <w:sz w:val="17"/>
                            <w:szCs w:val="17"/>
                          </w:rPr>
                          <w:t>17.47</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161"/>
                          <w:jc w:val="right"/>
                          <w:rPr>
                            <w:rFonts w:ascii="Times New Roman" w:hAnsi="Times New Roman" w:cs="Times New Roman" w:eastAsia="Times New Roman" w:hint="default"/>
                            <w:sz w:val="17"/>
                            <w:szCs w:val="17"/>
                          </w:rPr>
                        </w:pPr>
                        <w:r>
                          <w:rPr>
                            <w:rFonts w:ascii="Times New Roman"/>
                            <w:sz w:val="17"/>
                          </w:rPr>
                          <w:t>88.35</w:t>
                        </w:r>
                      </w:p>
                    </w:tc>
                    <w:tc>
                      <w:tcPr>
                        <w:tcW w:w="1028"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right="643"/>
                          <w:jc w:val="right"/>
                          <w:rPr>
                            <w:rFonts w:ascii="Times New Roman" w:hAnsi="Times New Roman" w:cs="Times New Roman" w:eastAsia="Times New Roman" w:hint="default"/>
                            <w:sz w:val="17"/>
                            <w:szCs w:val="17"/>
                          </w:rPr>
                        </w:pPr>
                        <w:r>
                          <w:rPr>
                            <w:rFonts w:ascii="Times New Roman"/>
                            <w:spacing w:val="-1"/>
                            <w:sz w:val="17"/>
                          </w:rPr>
                          <w:t>6,050,000</w:t>
                        </w:r>
                      </w:p>
                    </w:tc>
                    <w:tc>
                      <w:tcPr>
                        <w:tcW w:w="1484" w:type="dxa"/>
                        <w:tcBorders>
                          <w:top w:val="nil" w:sz="6" w:space="0" w:color="auto"/>
                          <w:left w:val="nil" w:sz="6" w:space="0" w:color="auto"/>
                          <w:bottom w:val="nil" w:sz="6" w:space="0" w:color="auto"/>
                          <w:right w:val="nil" w:sz="6" w:space="0" w:color="auto"/>
                        </w:tcBorders>
                      </w:tcPr>
                      <w:p>
                        <w:pPr/>
                      </w:p>
                    </w:tc>
                  </w:tr>
                  <w:tr>
                    <w:trPr>
                      <w:trHeight w:val="271" w:hRule="exact"/>
                    </w:trPr>
                    <w:tc>
                      <w:tcPr>
                        <w:tcW w:w="3094"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1168" w:type="dxa"/>
                        <w:tcBorders>
                          <w:top w:val="nil" w:sz="6" w:space="0" w:color="auto"/>
                          <w:left w:val="nil" w:sz="6" w:space="0" w:color="auto"/>
                          <w:bottom w:val="nil" w:sz="6" w:space="0" w:color="auto"/>
                          <w:right w:val="nil" w:sz="6" w:space="0" w:color="auto"/>
                        </w:tcBorders>
                      </w:tcPr>
                      <w:p>
                        <w:pPr/>
                      </w:p>
                    </w:tc>
                    <w:tc>
                      <w:tcPr>
                        <w:tcW w:w="1081"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179" w:lineRule="exact"/>
                          <w:ind w:right="337"/>
                          <w:jc w:val="right"/>
                          <w:rPr>
                            <w:rFonts w:ascii="Times New Roman" w:hAnsi="Times New Roman" w:cs="Times New Roman" w:eastAsia="Times New Roman" w:hint="default"/>
                            <w:sz w:val="17"/>
                            <w:szCs w:val="17"/>
                          </w:rPr>
                        </w:pPr>
                        <w:r>
                          <w:rPr>
                            <w:rFonts w:ascii="宋体" w:hAnsi="宋体" w:cs="宋体" w:eastAsia="宋体" w:hint="default"/>
                            <w:sz w:val="17"/>
                            <w:szCs w:val="17"/>
                          </w:rPr>
                          <w:t>间接</w:t>
                        </w:r>
                        <w:r>
                          <w:rPr>
                            <w:rFonts w:ascii="宋体" w:hAnsi="宋体" w:cs="宋体" w:eastAsia="宋体" w:hint="default"/>
                            <w:spacing w:val="-44"/>
                            <w:sz w:val="17"/>
                            <w:szCs w:val="17"/>
                          </w:rPr>
                          <w:t> </w:t>
                        </w:r>
                        <w:r>
                          <w:rPr>
                            <w:rFonts w:ascii="Times New Roman" w:hAnsi="Times New Roman" w:cs="Times New Roman" w:eastAsia="Times New Roman" w:hint="default"/>
                            <w:sz w:val="17"/>
                            <w:szCs w:val="17"/>
                          </w:rPr>
                          <w:t>70.88</w:t>
                        </w:r>
                      </w:p>
                    </w:tc>
                    <w:tc>
                      <w:tcPr>
                        <w:tcW w:w="815"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r>
                  <w:tr>
                    <w:trPr>
                      <w:trHeight w:val="459" w:hRule="exact"/>
                    </w:trPr>
                    <w:tc>
                      <w:tcPr>
                        <w:tcW w:w="3094"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67" w:right="0"/>
                          <w:jc w:val="left"/>
                          <w:rPr>
                            <w:rFonts w:ascii="宋体" w:hAnsi="宋体" w:cs="宋体" w:eastAsia="宋体" w:hint="default"/>
                            <w:sz w:val="17"/>
                            <w:szCs w:val="17"/>
                          </w:rPr>
                        </w:pPr>
                        <w:r>
                          <w:rPr>
                            <w:rFonts w:ascii="宋体" w:hAnsi="宋体" w:cs="宋体" w:eastAsia="宋体" w:hint="default"/>
                            <w:sz w:val="17"/>
                            <w:szCs w:val="17"/>
                          </w:rPr>
                          <w:t>南海东软信息技术职业学院</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74"/>
                          <w:jc w:val="center"/>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39"/>
                          <w:jc w:val="right"/>
                          <w:rPr>
                            <w:rFonts w:ascii="Times New Roman" w:hAnsi="Times New Roman" w:cs="Times New Roman" w:eastAsia="Times New Roman" w:hint="default"/>
                            <w:sz w:val="17"/>
                            <w:szCs w:val="17"/>
                          </w:rPr>
                        </w:pPr>
                        <w:r>
                          <w:rPr>
                            <w:rFonts w:ascii="Times New Roman"/>
                            <w:spacing w:val="-1"/>
                            <w:sz w:val="17"/>
                          </w:rPr>
                          <w:t>21,227,945</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86"/>
                          <w:jc w:val="right"/>
                          <w:rPr>
                            <w:rFonts w:ascii="Times New Roman" w:hAnsi="Times New Roman" w:cs="Times New Roman" w:eastAsia="Times New Roman" w:hint="default"/>
                            <w:sz w:val="17"/>
                            <w:szCs w:val="17"/>
                          </w:rPr>
                        </w:pPr>
                        <w:r>
                          <w:rPr>
                            <w:rFonts w:ascii="Times New Roman"/>
                            <w:spacing w:val="-1"/>
                            <w:sz w:val="17"/>
                          </w:rPr>
                          <w:t>21,227,945</w:t>
                        </w:r>
                      </w:p>
                    </w:tc>
                    <w:tc>
                      <w:tcPr>
                        <w:tcW w:w="950"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11"/>
                          <w:jc w:val="right"/>
                          <w:rPr>
                            <w:rFonts w:ascii="Times New Roman" w:hAnsi="Times New Roman" w:cs="Times New Roman" w:eastAsia="Times New Roman" w:hint="default"/>
                            <w:sz w:val="17"/>
                            <w:szCs w:val="17"/>
                          </w:rPr>
                        </w:pPr>
                        <w:r>
                          <w:rPr>
                            <w:rFonts w:ascii="Times New Roman"/>
                            <w:spacing w:val="-1"/>
                            <w:sz w:val="17"/>
                          </w:rPr>
                          <w:t>21,227,945</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37"/>
                          <w:jc w:val="right"/>
                          <w:rPr>
                            <w:rFonts w:ascii="Times New Roman" w:hAnsi="Times New Roman" w:cs="Times New Roman" w:eastAsia="Times New Roman" w:hint="default"/>
                            <w:sz w:val="17"/>
                            <w:szCs w:val="17"/>
                          </w:rPr>
                        </w:pPr>
                        <w:r>
                          <w:rPr>
                            <w:rFonts w:ascii="宋体" w:hAnsi="宋体" w:cs="宋体" w:eastAsia="宋体" w:hint="default"/>
                            <w:sz w:val="17"/>
                            <w:szCs w:val="17"/>
                          </w:rPr>
                          <w:t>直接</w:t>
                        </w:r>
                        <w:r>
                          <w:rPr>
                            <w:rFonts w:ascii="宋体" w:hAnsi="宋体" w:cs="宋体" w:eastAsia="宋体" w:hint="default"/>
                            <w:spacing w:val="-44"/>
                            <w:sz w:val="17"/>
                            <w:szCs w:val="17"/>
                          </w:rPr>
                          <w:t> </w:t>
                        </w:r>
                        <w:r>
                          <w:rPr>
                            <w:rFonts w:ascii="Times New Roman" w:hAnsi="Times New Roman" w:cs="Times New Roman" w:eastAsia="Times New Roman" w:hint="default"/>
                            <w:sz w:val="17"/>
                            <w:szCs w:val="17"/>
                          </w:rPr>
                          <w:t>12.82</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161"/>
                          <w:jc w:val="right"/>
                          <w:rPr>
                            <w:rFonts w:ascii="Times New Roman" w:hAnsi="Times New Roman" w:cs="Times New Roman" w:eastAsia="Times New Roman" w:hint="default"/>
                            <w:sz w:val="17"/>
                            <w:szCs w:val="17"/>
                          </w:rPr>
                        </w:pPr>
                        <w:r>
                          <w:rPr>
                            <w:rFonts w:ascii="Times New Roman"/>
                            <w:sz w:val="17"/>
                          </w:rPr>
                          <w:t>91.45</w:t>
                        </w:r>
                      </w:p>
                    </w:tc>
                    <w:tc>
                      <w:tcPr>
                        <w:tcW w:w="1028"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r>
                  <w:tr>
                    <w:trPr>
                      <w:trHeight w:val="271" w:hRule="exact"/>
                    </w:trPr>
                    <w:tc>
                      <w:tcPr>
                        <w:tcW w:w="3094" w:type="dxa"/>
                        <w:tcBorders>
                          <w:top w:val="nil" w:sz="6" w:space="0" w:color="auto"/>
                          <w:left w:val="nil" w:sz="6" w:space="0" w:color="auto"/>
                          <w:bottom w:val="nil" w:sz="6" w:space="0" w:color="auto"/>
                          <w:right w:val="nil" w:sz="6" w:space="0" w:color="auto"/>
                        </w:tcBorders>
                      </w:tcPr>
                      <w:p>
                        <w:pPr/>
                      </w:p>
                    </w:tc>
                    <w:tc>
                      <w:tcPr>
                        <w:tcW w:w="719" w:type="dxa"/>
                        <w:tcBorders>
                          <w:top w:val="nil" w:sz="6" w:space="0" w:color="auto"/>
                          <w:left w:val="nil" w:sz="6" w:space="0" w:color="auto"/>
                          <w:bottom w:val="nil" w:sz="6" w:space="0" w:color="auto"/>
                          <w:right w:val="nil" w:sz="6" w:space="0" w:color="auto"/>
                        </w:tcBorders>
                      </w:tcPr>
                      <w:p>
                        <w:pPr/>
                      </w:p>
                    </w:tc>
                    <w:tc>
                      <w:tcPr>
                        <w:tcW w:w="1168" w:type="dxa"/>
                        <w:tcBorders>
                          <w:top w:val="nil" w:sz="6" w:space="0" w:color="auto"/>
                          <w:left w:val="nil" w:sz="6" w:space="0" w:color="auto"/>
                          <w:bottom w:val="nil" w:sz="6" w:space="0" w:color="auto"/>
                          <w:right w:val="nil" w:sz="6" w:space="0" w:color="auto"/>
                        </w:tcBorders>
                      </w:tcPr>
                      <w:p>
                        <w:pPr/>
                      </w:p>
                    </w:tc>
                    <w:tc>
                      <w:tcPr>
                        <w:tcW w:w="1081"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nil" w:sz="6" w:space="0" w:color="auto"/>
                          <w:right w:val="nil" w:sz="6" w:space="0" w:color="auto"/>
                        </w:tcBorders>
                      </w:tcPr>
                      <w:p>
                        <w:pPr/>
                      </w:p>
                    </w:tc>
                    <w:tc>
                      <w:tcPr>
                        <w:tcW w:w="1219" w:type="dxa"/>
                        <w:tcBorders>
                          <w:top w:val="nil" w:sz="6" w:space="0" w:color="auto"/>
                          <w:left w:val="nil" w:sz="6" w:space="0" w:color="auto"/>
                          <w:bottom w:val="nil" w:sz="6" w:space="0" w:color="auto"/>
                          <w:right w:val="nil" w:sz="6" w:space="0" w:color="auto"/>
                        </w:tcBorders>
                      </w:tcPr>
                      <w:p>
                        <w:pPr>
                          <w:pStyle w:val="TableParagraph"/>
                          <w:spacing w:line="179" w:lineRule="exact"/>
                          <w:ind w:right="337"/>
                          <w:jc w:val="right"/>
                          <w:rPr>
                            <w:rFonts w:ascii="Times New Roman" w:hAnsi="Times New Roman" w:cs="Times New Roman" w:eastAsia="Times New Roman" w:hint="default"/>
                            <w:sz w:val="17"/>
                            <w:szCs w:val="17"/>
                          </w:rPr>
                        </w:pPr>
                        <w:r>
                          <w:rPr>
                            <w:rFonts w:ascii="宋体" w:hAnsi="宋体" w:cs="宋体" w:eastAsia="宋体" w:hint="default"/>
                            <w:sz w:val="17"/>
                            <w:szCs w:val="17"/>
                          </w:rPr>
                          <w:t>间接</w:t>
                        </w:r>
                        <w:r>
                          <w:rPr>
                            <w:rFonts w:ascii="宋体" w:hAnsi="宋体" w:cs="宋体" w:eastAsia="宋体" w:hint="default"/>
                            <w:spacing w:val="-44"/>
                            <w:sz w:val="17"/>
                            <w:szCs w:val="17"/>
                          </w:rPr>
                          <w:t> </w:t>
                        </w:r>
                        <w:r>
                          <w:rPr>
                            <w:rFonts w:ascii="Times New Roman" w:hAnsi="Times New Roman" w:cs="Times New Roman" w:eastAsia="Times New Roman" w:hint="default"/>
                            <w:sz w:val="17"/>
                            <w:szCs w:val="17"/>
                          </w:rPr>
                          <w:t>78.63</w:t>
                        </w:r>
                      </w:p>
                    </w:tc>
                    <w:tc>
                      <w:tcPr>
                        <w:tcW w:w="815"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r>
                  <w:tr>
                    <w:trPr>
                      <w:trHeight w:val="374" w:hRule="exact"/>
                    </w:trPr>
                    <w:tc>
                      <w:tcPr>
                        <w:tcW w:w="3094" w:type="dxa"/>
                        <w:tcBorders>
                          <w:top w:val="nil" w:sz="6" w:space="0" w:color="auto"/>
                          <w:left w:val="nil" w:sz="6" w:space="0" w:color="auto"/>
                          <w:bottom w:val="nil" w:sz="6" w:space="0" w:color="auto"/>
                          <w:right w:val="nil" w:sz="6" w:space="0" w:color="auto"/>
                        </w:tcBorders>
                      </w:tcPr>
                      <w:p>
                        <w:pPr>
                          <w:pStyle w:val="TableParagraph"/>
                          <w:spacing w:line="240" w:lineRule="auto" w:before="43"/>
                          <w:ind w:left="67" w:right="0"/>
                          <w:jc w:val="left"/>
                          <w:rPr>
                            <w:rFonts w:ascii="宋体" w:hAnsi="宋体" w:cs="宋体" w:eastAsia="宋体" w:hint="default"/>
                            <w:sz w:val="17"/>
                            <w:szCs w:val="17"/>
                          </w:rPr>
                        </w:pPr>
                        <w:r>
                          <w:rPr>
                            <w:rFonts w:ascii="宋体" w:hAnsi="宋体" w:cs="宋体" w:eastAsia="宋体" w:hint="default"/>
                            <w:sz w:val="17"/>
                            <w:szCs w:val="17"/>
                          </w:rPr>
                          <w:t>大连东软信息服务有限公司</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74"/>
                          <w:jc w:val="center"/>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39"/>
                          <w:jc w:val="right"/>
                          <w:rPr>
                            <w:rFonts w:ascii="Times New Roman" w:hAnsi="Times New Roman" w:cs="Times New Roman" w:eastAsia="Times New Roman" w:hint="default"/>
                            <w:sz w:val="17"/>
                            <w:szCs w:val="17"/>
                          </w:rPr>
                        </w:pPr>
                        <w:r>
                          <w:rPr>
                            <w:rFonts w:ascii="Times New Roman"/>
                            <w:spacing w:val="-1"/>
                            <w:sz w:val="17"/>
                          </w:rPr>
                          <w:t>1,877,722</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87"/>
                          <w:jc w:val="right"/>
                          <w:rPr>
                            <w:rFonts w:ascii="Times New Roman" w:hAnsi="Times New Roman" w:cs="Times New Roman" w:eastAsia="Times New Roman" w:hint="default"/>
                            <w:sz w:val="17"/>
                            <w:szCs w:val="17"/>
                          </w:rPr>
                        </w:pPr>
                        <w:r>
                          <w:rPr>
                            <w:rFonts w:ascii="Times New Roman"/>
                            <w:spacing w:val="-1"/>
                            <w:sz w:val="17"/>
                          </w:rPr>
                          <w:t>1,877,722</w:t>
                        </w:r>
                      </w:p>
                    </w:tc>
                    <w:tc>
                      <w:tcPr>
                        <w:tcW w:w="950"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11"/>
                          <w:jc w:val="right"/>
                          <w:rPr>
                            <w:rFonts w:ascii="Times New Roman" w:hAnsi="Times New Roman" w:cs="Times New Roman" w:eastAsia="Times New Roman" w:hint="default"/>
                            <w:sz w:val="17"/>
                            <w:szCs w:val="17"/>
                          </w:rPr>
                        </w:pPr>
                        <w:r>
                          <w:rPr>
                            <w:rFonts w:ascii="Times New Roman"/>
                            <w:spacing w:val="-1"/>
                            <w:sz w:val="17"/>
                          </w:rPr>
                          <w:t>1,877,722</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37"/>
                          <w:jc w:val="right"/>
                          <w:rPr>
                            <w:rFonts w:ascii="Times New Roman" w:hAnsi="Times New Roman" w:cs="Times New Roman" w:eastAsia="Times New Roman" w:hint="default"/>
                            <w:sz w:val="17"/>
                            <w:szCs w:val="17"/>
                          </w:rPr>
                        </w:pPr>
                        <w:r>
                          <w:rPr>
                            <w:rFonts w:ascii="Times New Roman"/>
                            <w:sz w:val="17"/>
                          </w:rPr>
                          <w:t>10.00</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61"/>
                          <w:jc w:val="right"/>
                          <w:rPr>
                            <w:rFonts w:ascii="Times New Roman" w:hAnsi="Times New Roman" w:cs="Times New Roman" w:eastAsia="Times New Roman" w:hint="default"/>
                            <w:sz w:val="17"/>
                            <w:szCs w:val="17"/>
                          </w:rPr>
                        </w:pPr>
                        <w:r>
                          <w:rPr>
                            <w:rFonts w:ascii="Times New Roman"/>
                            <w:sz w:val="17"/>
                          </w:rPr>
                          <w:t>10.00</w:t>
                        </w:r>
                      </w:p>
                    </w:tc>
                    <w:tc>
                      <w:tcPr>
                        <w:tcW w:w="1028"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r>
                  <w:tr>
                    <w:trPr>
                      <w:trHeight w:val="370" w:hRule="exact"/>
                    </w:trPr>
                    <w:tc>
                      <w:tcPr>
                        <w:tcW w:w="309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7" w:right="0"/>
                          <w:jc w:val="left"/>
                          <w:rPr>
                            <w:rFonts w:ascii="宋体" w:hAnsi="宋体" w:cs="宋体" w:eastAsia="宋体" w:hint="default"/>
                            <w:sz w:val="17"/>
                            <w:szCs w:val="17"/>
                          </w:rPr>
                        </w:pPr>
                        <w:r>
                          <w:rPr>
                            <w:rFonts w:ascii="宋体" w:hAnsi="宋体" w:cs="宋体" w:eastAsia="宋体" w:hint="default"/>
                            <w:sz w:val="17"/>
                            <w:szCs w:val="17"/>
                          </w:rPr>
                          <w:t>大连东软教育服务有限公司</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4"/>
                          <w:jc w:val="center"/>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39"/>
                          <w:jc w:val="right"/>
                          <w:rPr>
                            <w:rFonts w:ascii="Times New Roman" w:hAnsi="Times New Roman" w:cs="Times New Roman" w:eastAsia="Times New Roman" w:hint="default"/>
                            <w:sz w:val="17"/>
                            <w:szCs w:val="17"/>
                          </w:rPr>
                        </w:pPr>
                        <w:r>
                          <w:rPr>
                            <w:rFonts w:ascii="Times New Roman"/>
                            <w:spacing w:val="-1"/>
                            <w:sz w:val="17"/>
                          </w:rPr>
                          <w:t>1,000,000</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86"/>
                          <w:jc w:val="right"/>
                          <w:rPr>
                            <w:rFonts w:ascii="Times New Roman" w:hAnsi="Times New Roman" w:cs="Times New Roman" w:eastAsia="Times New Roman" w:hint="default"/>
                            <w:sz w:val="17"/>
                            <w:szCs w:val="17"/>
                          </w:rPr>
                        </w:pPr>
                        <w:r>
                          <w:rPr>
                            <w:rFonts w:ascii="Times New Roman"/>
                            <w:spacing w:val="-1"/>
                            <w:sz w:val="17"/>
                          </w:rPr>
                          <w:t>1,000,000</w:t>
                        </w:r>
                      </w:p>
                    </w:tc>
                    <w:tc>
                      <w:tcPr>
                        <w:tcW w:w="950"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11"/>
                          <w:jc w:val="right"/>
                          <w:rPr>
                            <w:rFonts w:ascii="Times New Roman" w:hAnsi="Times New Roman" w:cs="Times New Roman" w:eastAsia="Times New Roman" w:hint="default"/>
                            <w:sz w:val="17"/>
                            <w:szCs w:val="17"/>
                          </w:rPr>
                        </w:pPr>
                        <w:r>
                          <w:rPr>
                            <w:rFonts w:ascii="Times New Roman"/>
                            <w:spacing w:val="-1"/>
                            <w:sz w:val="17"/>
                          </w:rPr>
                          <w:t>1,000,000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7"/>
                          <w:jc w:val="right"/>
                          <w:rPr>
                            <w:rFonts w:ascii="Times New Roman" w:hAnsi="Times New Roman" w:cs="Times New Roman" w:eastAsia="Times New Roman" w:hint="default"/>
                            <w:sz w:val="17"/>
                            <w:szCs w:val="17"/>
                          </w:rPr>
                        </w:pPr>
                        <w:r>
                          <w:rPr>
                            <w:rFonts w:ascii="Times New Roman"/>
                            <w:sz w:val="17"/>
                          </w:rPr>
                          <w:t>10.00</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1"/>
                          <w:jc w:val="right"/>
                          <w:rPr>
                            <w:rFonts w:ascii="Times New Roman" w:hAnsi="Times New Roman" w:cs="Times New Roman" w:eastAsia="Times New Roman" w:hint="default"/>
                            <w:sz w:val="17"/>
                            <w:szCs w:val="17"/>
                          </w:rPr>
                        </w:pPr>
                        <w:r>
                          <w:rPr>
                            <w:rFonts w:ascii="Times New Roman"/>
                            <w:sz w:val="17"/>
                          </w:rPr>
                          <w:t>10.00</w:t>
                        </w:r>
                      </w:p>
                    </w:tc>
                    <w:tc>
                      <w:tcPr>
                        <w:tcW w:w="1028"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643"/>
                          <w:jc w:val="right"/>
                          <w:rPr>
                            <w:rFonts w:ascii="Times New Roman" w:hAnsi="Times New Roman" w:cs="Times New Roman" w:eastAsia="Times New Roman" w:hint="default"/>
                            <w:sz w:val="17"/>
                            <w:szCs w:val="17"/>
                          </w:rPr>
                        </w:pPr>
                        <w:r>
                          <w:rPr>
                            <w:rFonts w:ascii="Times New Roman"/>
                            <w:spacing w:val="-1"/>
                            <w:sz w:val="17"/>
                          </w:rPr>
                          <w:t>1,000,000</w:t>
                        </w:r>
                      </w:p>
                    </w:tc>
                    <w:tc>
                      <w:tcPr>
                        <w:tcW w:w="1484" w:type="dxa"/>
                        <w:tcBorders>
                          <w:top w:val="nil" w:sz="6" w:space="0" w:color="auto"/>
                          <w:left w:val="nil" w:sz="6" w:space="0" w:color="auto"/>
                          <w:bottom w:val="nil" w:sz="6" w:space="0" w:color="auto"/>
                          <w:right w:val="nil" w:sz="6" w:space="0" w:color="auto"/>
                        </w:tcBorders>
                      </w:tcPr>
                      <w:p>
                        <w:pPr/>
                      </w:p>
                    </w:tc>
                  </w:tr>
                  <w:tr>
                    <w:trPr>
                      <w:trHeight w:val="370" w:hRule="exact"/>
                    </w:trPr>
                    <w:tc>
                      <w:tcPr>
                        <w:tcW w:w="309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7" w:right="0"/>
                          <w:jc w:val="left"/>
                          <w:rPr>
                            <w:rFonts w:ascii="宋体" w:hAnsi="宋体" w:cs="宋体" w:eastAsia="宋体" w:hint="default"/>
                            <w:sz w:val="17"/>
                            <w:szCs w:val="17"/>
                          </w:rPr>
                        </w:pPr>
                        <w:r>
                          <w:rPr>
                            <w:rFonts w:ascii="宋体" w:hAnsi="宋体" w:cs="宋体" w:eastAsia="宋体" w:hint="default"/>
                            <w:sz w:val="17"/>
                            <w:szCs w:val="17"/>
                          </w:rPr>
                          <w:t>天津东泰发展有限公司</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74"/>
                          <w:jc w:val="center"/>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39"/>
                          <w:jc w:val="right"/>
                          <w:rPr>
                            <w:rFonts w:ascii="Times New Roman" w:hAnsi="Times New Roman" w:cs="Times New Roman" w:eastAsia="Times New Roman" w:hint="default"/>
                            <w:sz w:val="17"/>
                            <w:szCs w:val="17"/>
                          </w:rPr>
                        </w:pPr>
                        <w:r>
                          <w:rPr>
                            <w:rFonts w:ascii="Times New Roman"/>
                            <w:spacing w:val="-1"/>
                            <w:sz w:val="17"/>
                          </w:rPr>
                          <w:t>256,000</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86"/>
                          <w:jc w:val="right"/>
                          <w:rPr>
                            <w:rFonts w:ascii="Times New Roman" w:hAnsi="Times New Roman" w:cs="Times New Roman" w:eastAsia="Times New Roman" w:hint="default"/>
                            <w:sz w:val="17"/>
                            <w:szCs w:val="17"/>
                          </w:rPr>
                        </w:pPr>
                        <w:r>
                          <w:rPr>
                            <w:rFonts w:ascii="Times New Roman"/>
                            <w:spacing w:val="-1"/>
                            <w:sz w:val="17"/>
                          </w:rPr>
                          <w:t>256,000</w:t>
                        </w:r>
                      </w:p>
                    </w:tc>
                    <w:tc>
                      <w:tcPr>
                        <w:tcW w:w="950"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11"/>
                          <w:jc w:val="right"/>
                          <w:rPr>
                            <w:rFonts w:ascii="Times New Roman" w:hAnsi="Times New Roman" w:cs="Times New Roman" w:eastAsia="Times New Roman" w:hint="default"/>
                            <w:sz w:val="17"/>
                            <w:szCs w:val="17"/>
                          </w:rPr>
                        </w:pPr>
                        <w:r>
                          <w:rPr>
                            <w:rFonts w:ascii="Times New Roman"/>
                            <w:spacing w:val="-1"/>
                            <w:sz w:val="17"/>
                          </w:rPr>
                          <w:t>256,000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7"/>
                          <w:jc w:val="right"/>
                          <w:rPr>
                            <w:rFonts w:ascii="Times New Roman" w:hAnsi="Times New Roman" w:cs="Times New Roman" w:eastAsia="Times New Roman" w:hint="default"/>
                            <w:sz w:val="17"/>
                            <w:szCs w:val="17"/>
                          </w:rPr>
                        </w:pPr>
                        <w:r>
                          <w:rPr>
                            <w:rFonts w:ascii="Times New Roman"/>
                            <w:sz w:val="17"/>
                          </w:rPr>
                          <w:t>8.00</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1"/>
                          <w:jc w:val="right"/>
                          <w:rPr>
                            <w:rFonts w:ascii="Times New Roman" w:hAnsi="Times New Roman" w:cs="Times New Roman" w:eastAsia="Times New Roman" w:hint="default"/>
                            <w:sz w:val="17"/>
                            <w:szCs w:val="17"/>
                          </w:rPr>
                        </w:pPr>
                        <w:r>
                          <w:rPr>
                            <w:rFonts w:ascii="Times New Roman"/>
                            <w:sz w:val="17"/>
                          </w:rPr>
                          <w:t>8.00</w:t>
                        </w:r>
                      </w:p>
                    </w:tc>
                    <w:tc>
                      <w:tcPr>
                        <w:tcW w:w="1028"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r>
                  <w:tr>
                    <w:trPr>
                      <w:trHeight w:val="370" w:hRule="exact"/>
                    </w:trPr>
                    <w:tc>
                      <w:tcPr>
                        <w:tcW w:w="309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7" w:right="0"/>
                          <w:jc w:val="left"/>
                          <w:rPr>
                            <w:rFonts w:ascii="宋体" w:hAnsi="宋体" w:cs="宋体" w:eastAsia="宋体" w:hint="default"/>
                            <w:sz w:val="17"/>
                            <w:szCs w:val="17"/>
                          </w:rPr>
                        </w:pPr>
                        <w:r>
                          <w:rPr>
                            <w:rFonts w:ascii="宋体" w:hAnsi="宋体" w:cs="宋体" w:eastAsia="宋体" w:hint="default"/>
                            <w:sz w:val="17"/>
                            <w:szCs w:val="17"/>
                          </w:rPr>
                          <w:t>北京华大信安科技有限公司</w:t>
                        </w:r>
                      </w:p>
                    </w:tc>
                    <w:tc>
                      <w:tcPr>
                        <w:tcW w:w="7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74"/>
                          <w:jc w:val="center"/>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39"/>
                          <w:jc w:val="right"/>
                          <w:rPr>
                            <w:rFonts w:ascii="Times New Roman" w:hAnsi="Times New Roman" w:cs="Times New Roman" w:eastAsia="Times New Roman" w:hint="default"/>
                            <w:sz w:val="17"/>
                            <w:szCs w:val="17"/>
                          </w:rPr>
                        </w:pPr>
                        <w:r>
                          <w:rPr>
                            <w:rFonts w:ascii="Times New Roman"/>
                            <w:spacing w:val="-1"/>
                            <w:sz w:val="17"/>
                          </w:rPr>
                          <w:t>150,000</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86"/>
                          <w:jc w:val="right"/>
                          <w:rPr>
                            <w:rFonts w:ascii="Times New Roman" w:hAnsi="Times New Roman" w:cs="Times New Roman" w:eastAsia="Times New Roman" w:hint="default"/>
                            <w:sz w:val="17"/>
                            <w:szCs w:val="17"/>
                          </w:rPr>
                        </w:pPr>
                        <w:r>
                          <w:rPr>
                            <w:rFonts w:ascii="Times New Roman"/>
                            <w:spacing w:val="-1"/>
                            <w:sz w:val="17"/>
                          </w:rPr>
                          <w:t>150,000</w:t>
                        </w:r>
                      </w:p>
                    </w:tc>
                    <w:tc>
                      <w:tcPr>
                        <w:tcW w:w="950" w:type="dxa"/>
                        <w:tcBorders>
                          <w:top w:val="nil" w:sz="6" w:space="0" w:color="auto"/>
                          <w:left w:val="nil" w:sz="6" w:space="0" w:color="auto"/>
                          <w:bottom w:val="nil" w:sz="6" w:space="0" w:color="auto"/>
                          <w:right w:val="nil" w:sz="6" w:space="0" w:color="auto"/>
                        </w:tcBorders>
                      </w:tcPr>
                      <w:p>
                        <w:pPr/>
                      </w:p>
                    </w:tc>
                    <w:tc>
                      <w:tcPr>
                        <w:tcW w:w="106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11"/>
                          <w:jc w:val="right"/>
                          <w:rPr>
                            <w:rFonts w:ascii="Times New Roman" w:hAnsi="Times New Roman" w:cs="Times New Roman" w:eastAsia="Times New Roman" w:hint="default"/>
                            <w:sz w:val="17"/>
                            <w:szCs w:val="17"/>
                          </w:rPr>
                        </w:pPr>
                        <w:r>
                          <w:rPr>
                            <w:rFonts w:ascii="Times New Roman"/>
                            <w:spacing w:val="-1"/>
                            <w:sz w:val="17"/>
                          </w:rPr>
                          <w:t>150,000</w:t>
                        </w:r>
                      </w:p>
                    </w:tc>
                    <w:tc>
                      <w:tcPr>
                        <w:tcW w:w="1219"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37"/>
                          <w:jc w:val="right"/>
                          <w:rPr>
                            <w:rFonts w:ascii="Times New Roman" w:hAnsi="Times New Roman" w:cs="Times New Roman" w:eastAsia="Times New Roman" w:hint="default"/>
                            <w:sz w:val="17"/>
                            <w:szCs w:val="17"/>
                          </w:rPr>
                        </w:pPr>
                        <w:r>
                          <w:rPr>
                            <w:rFonts w:ascii="Times New Roman"/>
                            <w:sz w:val="17"/>
                          </w:rPr>
                          <w:t>0.90</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1"/>
                          <w:jc w:val="right"/>
                          <w:rPr>
                            <w:rFonts w:ascii="Times New Roman" w:hAnsi="Times New Roman" w:cs="Times New Roman" w:eastAsia="Times New Roman" w:hint="default"/>
                            <w:sz w:val="17"/>
                            <w:szCs w:val="17"/>
                          </w:rPr>
                        </w:pPr>
                        <w:r>
                          <w:rPr>
                            <w:rFonts w:ascii="Times New Roman"/>
                            <w:sz w:val="17"/>
                          </w:rPr>
                          <w:t>0.90</w:t>
                        </w:r>
                      </w:p>
                    </w:tc>
                    <w:tc>
                      <w:tcPr>
                        <w:tcW w:w="1028"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
                    </w:tc>
                    <w:tc>
                      <w:tcPr>
                        <w:tcW w:w="1484" w:type="dxa"/>
                        <w:tcBorders>
                          <w:top w:val="nil" w:sz="6" w:space="0" w:color="auto"/>
                          <w:left w:val="nil" w:sz="6" w:space="0" w:color="auto"/>
                          <w:bottom w:val="nil" w:sz="6" w:space="0" w:color="auto"/>
                          <w:right w:val="nil" w:sz="6" w:space="0" w:color="auto"/>
                        </w:tcBorders>
                      </w:tcPr>
                      <w:p>
                        <w:pPr/>
                      </w:p>
                    </w:tc>
                  </w:tr>
                  <w:tr>
                    <w:trPr>
                      <w:trHeight w:val="301" w:hRule="exact"/>
                    </w:trPr>
                    <w:tc>
                      <w:tcPr>
                        <w:tcW w:w="3094"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left="67" w:right="0"/>
                          <w:jc w:val="left"/>
                          <w:rPr>
                            <w:rFonts w:ascii="宋体" w:hAnsi="宋体" w:cs="宋体" w:eastAsia="宋体" w:hint="default"/>
                            <w:sz w:val="17"/>
                            <w:szCs w:val="17"/>
                          </w:rPr>
                        </w:pPr>
                        <w:r>
                          <w:rPr>
                            <w:rFonts w:ascii="宋体" w:hAnsi="宋体" w:cs="宋体" w:eastAsia="宋体" w:hint="default"/>
                            <w:sz w:val="17"/>
                            <w:szCs w:val="17"/>
                          </w:rPr>
                          <w:t>北京共创开源软件有限公司</w:t>
                        </w:r>
                      </w:p>
                    </w:tc>
                    <w:tc>
                      <w:tcPr>
                        <w:tcW w:w="719"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right="74"/>
                          <w:jc w:val="center"/>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139"/>
                          <w:jc w:val="right"/>
                          <w:rPr>
                            <w:rFonts w:ascii="Times New Roman" w:hAnsi="Times New Roman" w:cs="Times New Roman" w:eastAsia="Times New Roman" w:hint="default"/>
                            <w:sz w:val="17"/>
                            <w:szCs w:val="17"/>
                          </w:rPr>
                        </w:pPr>
                        <w:r>
                          <w:rPr>
                            <w:rFonts w:ascii="Times New Roman"/>
                            <w:spacing w:val="-1"/>
                            <w:sz w:val="17"/>
                          </w:rPr>
                          <w:t>770,000</w:t>
                        </w:r>
                      </w:p>
                    </w:tc>
                    <w:tc>
                      <w:tcPr>
                        <w:tcW w:w="1081"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86"/>
                          <w:jc w:val="right"/>
                          <w:rPr>
                            <w:rFonts w:ascii="Times New Roman" w:hAnsi="Times New Roman" w:cs="Times New Roman" w:eastAsia="Times New Roman" w:hint="default"/>
                            <w:sz w:val="17"/>
                            <w:szCs w:val="17"/>
                          </w:rPr>
                        </w:pPr>
                        <w:r>
                          <w:rPr>
                            <w:rFonts w:ascii="Times New Roman"/>
                            <w:spacing w:val="-1"/>
                            <w:sz w:val="17"/>
                          </w:rPr>
                          <w:t>770,000</w:t>
                        </w:r>
                      </w:p>
                    </w:tc>
                    <w:tc>
                      <w:tcPr>
                        <w:tcW w:w="950" w:type="dxa"/>
                        <w:tcBorders>
                          <w:top w:val="nil" w:sz="6" w:space="0" w:color="auto"/>
                          <w:left w:val="nil" w:sz="6" w:space="0" w:color="auto"/>
                          <w:bottom w:val="single" w:sz="12" w:space="0" w:color="000000"/>
                          <w:right w:val="nil" w:sz="6" w:space="0" w:color="auto"/>
                        </w:tcBorders>
                      </w:tcPr>
                      <w:p>
                        <w:pPr/>
                      </w:p>
                    </w:tc>
                    <w:tc>
                      <w:tcPr>
                        <w:tcW w:w="1060"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111"/>
                          <w:jc w:val="right"/>
                          <w:rPr>
                            <w:rFonts w:ascii="Times New Roman" w:hAnsi="Times New Roman" w:cs="Times New Roman" w:eastAsia="Times New Roman" w:hint="default"/>
                            <w:sz w:val="17"/>
                            <w:szCs w:val="17"/>
                          </w:rPr>
                        </w:pPr>
                        <w:r>
                          <w:rPr>
                            <w:rFonts w:ascii="Times New Roman"/>
                            <w:spacing w:val="-1"/>
                            <w:sz w:val="17"/>
                          </w:rPr>
                          <w:t>770,000</w:t>
                        </w:r>
                      </w:p>
                    </w:tc>
                    <w:tc>
                      <w:tcPr>
                        <w:tcW w:w="1219"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337"/>
                          <w:jc w:val="right"/>
                          <w:rPr>
                            <w:rFonts w:ascii="Times New Roman" w:hAnsi="Times New Roman" w:cs="Times New Roman" w:eastAsia="Times New Roman" w:hint="default"/>
                            <w:sz w:val="17"/>
                            <w:szCs w:val="17"/>
                          </w:rPr>
                        </w:pPr>
                        <w:r>
                          <w:rPr>
                            <w:rFonts w:ascii="Times New Roman"/>
                            <w:sz w:val="17"/>
                          </w:rPr>
                          <w:t>6.29</w:t>
                        </w:r>
                      </w:p>
                    </w:tc>
                    <w:tc>
                      <w:tcPr>
                        <w:tcW w:w="815"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161"/>
                          <w:jc w:val="right"/>
                          <w:rPr>
                            <w:rFonts w:ascii="Times New Roman" w:hAnsi="Times New Roman" w:cs="Times New Roman" w:eastAsia="Times New Roman" w:hint="default"/>
                            <w:sz w:val="17"/>
                            <w:szCs w:val="17"/>
                          </w:rPr>
                        </w:pPr>
                        <w:r>
                          <w:rPr>
                            <w:rFonts w:ascii="Times New Roman"/>
                            <w:sz w:val="17"/>
                          </w:rPr>
                          <w:t>6.29</w:t>
                        </w:r>
                      </w:p>
                    </w:tc>
                    <w:tc>
                      <w:tcPr>
                        <w:tcW w:w="1028" w:type="dxa"/>
                        <w:tcBorders>
                          <w:top w:val="nil" w:sz="6" w:space="0" w:color="auto"/>
                          <w:left w:val="nil" w:sz="6" w:space="0" w:color="auto"/>
                          <w:bottom w:val="single" w:sz="12" w:space="0" w:color="000000"/>
                          <w:right w:val="nil" w:sz="6" w:space="0" w:color="auto"/>
                        </w:tcBorders>
                      </w:tcPr>
                      <w:p>
                        <w:pPr/>
                      </w:p>
                    </w:tc>
                    <w:tc>
                      <w:tcPr>
                        <w:tcW w:w="1510"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643"/>
                          <w:jc w:val="right"/>
                          <w:rPr>
                            <w:rFonts w:ascii="Times New Roman" w:hAnsi="Times New Roman" w:cs="Times New Roman" w:eastAsia="Times New Roman" w:hint="default"/>
                            <w:sz w:val="17"/>
                            <w:szCs w:val="17"/>
                          </w:rPr>
                        </w:pPr>
                        <w:r>
                          <w:rPr>
                            <w:rFonts w:ascii="Times New Roman"/>
                            <w:spacing w:val="-1"/>
                            <w:sz w:val="17"/>
                          </w:rPr>
                          <w:t>770,000</w:t>
                        </w:r>
                      </w:p>
                    </w:tc>
                    <w:tc>
                      <w:tcPr>
                        <w:tcW w:w="1484" w:type="dxa"/>
                        <w:tcBorders>
                          <w:top w:val="nil" w:sz="6" w:space="0" w:color="auto"/>
                          <w:left w:val="nil" w:sz="6" w:space="0" w:color="auto"/>
                          <w:bottom w:val="single" w:sz="12" w:space="0" w:color="000000"/>
                          <w:right w:val="nil" w:sz="6" w:space="0" w:color="auto"/>
                        </w:tcBorders>
                      </w:tcPr>
                      <w:p>
                        <w:pPr/>
                      </w:p>
                    </w:tc>
                  </w:tr>
                </w:tbl>
                <w:p>
                  <w:pPr/>
                </w:p>
              </w:txbxContent>
            </v:textbox>
            <w10:wrap type="none"/>
          </v:shape>
        </w:pict>
      </w:r>
      <w:r>
        <w:rPr>
          <w:rFonts w:ascii="Times New Roman"/>
          <w:sz w:val="17"/>
        </w:rPr>
        <w:t>(%)</w:t>
      </w:r>
    </w:p>
    <w:p>
      <w:pPr>
        <w:spacing w:line="240" w:lineRule="auto" w:before="9"/>
        <w:rPr>
          <w:rFonts w:ascii="Times New Roman" w:hAnsi="Times New Roman" w:cs="Times New Roman" w:eastAsia="Times New Roman" w:hint="default"/>
          <w:sz w:val="19"/>
          <w:szCs w:val="19"/>
        </w:rPr>
      </w:pPr>
      <w:r>
        <w:rPr/>
        <w:br w:type="column"/>
      </w:r>
      <w:r>
        <w:rPr>
          <w:rFonts w:ascii="Times New Roman"/>
          <w:sz w:val="19"/>
        </w:rPr>
      </w:r>
    </w:p>
    <w:p>
      <w:pPr>
        <w:spacing w:line="388" w:lineRule="auto" w:before="0"/>
        <w:ind w:left="100" w:right="0" w:firstLine="0"/>
        <w:jc w:val="center"/>
        <w:rPr>
          <w:rFonts w:ascii="Times New Roman" w:hAnsi="Times New Roman" w:cs="Times New Roman" w:eastAsia="Times New Roman" w:hint="default"/>
          <w:sz w:val="17"/>
          <w:szCs w:val="17"/>
        </w:rPr>
      </w:pPr>
      <w:r>
        <w:rPr>
          <w:rFonts w:ascii="宋体" w:hAnsi="宋体" w:cs="宋体" w:eastAsia="宋体" w:hint="default"/>
          <w:spacing w:val="-1"/>
          <w:sz w:val="17"/>
          <w:szCs w:val="17"/>
        </w:rPr>
        <w:t>在被投资单</w:t>
      </w:r>
      <w:r>
        <w:rPr>
          <w:rFonts w:ascii="宋体" w:hAnsi="宋体" w:cs="宋体" w:eastAsia="宋体" w:hint="default"/>
          <w:spacing w:val="-81"/>
          <w:sz w:val="17"/>
          <w:szCs w:val="17"/>
        </w:rPr>
        <w:t> </w:t>
      </w:r>
      <w:r>
        <w:rPr>
          <w:rFonts w:ascii="宋体" w:hAnsi="宋体" w:cs="宋体" w:eastAsia="宋体" w:hint="default"/>
          <w:spacing w:val="-81"/>
          <w:sz w:val="17"/>
          <w:szCs w:val="17"/>
        </w:rPr>
      </w:r>
      <w:r>
        <w:rPr>
          <w:rFonts w:ascii="宋体" w:hAnsi="宋体" w:cs="宋体" w:eastAsia="宋体" w:hint="default"/>
          <w:spacing w:val="-1"/>
          <w:sz w:val="17"/>
          <w:szCs w:val="17"/>
        </w:rPr>
        <w:t>位表决权比</w:t>
      </w:r>
      <w:r>
        <w:rPr>
          <w:rFonts w:ascii="宋体" w:hAnsi="宋体" w:cs="宋体" w:eastAsia="宋体" w:hint="default"/>
          <w:spacing w:val="-81"/>
          <w:sz w:val="17"/>
          <w:szCs w:val="17"/>
        </w:rPr>
        <w:t> </w:t>
      </w:r>
      <w:r>
        <w:rPr>
          <w:rFonts w:ascii="宋体" w:hAnsi="宋体" w:cs="宋体" w:eastAsia="宋体" w:hint="default"/>
          <w:spacing w:val="-81"/>
          <w:sz w:val="17"/>
          <w:szCs w:val="17"/>
        </w:rPr>
      </w:r>
      <w:r>
        <w:rPr>
          <w:rFonts w:ascii="宋体" w:hAnsi="宋体" w:cs="宋体" w:eastAsia="宋体" w:hint="default"/>
          <w:sz w:val="17"/>
          <w:szCs w:val="17"/>
        </w:rPr>
        <w:t>例</w:t>
      </w:r>
      <w:r>
        <w:rPr>
          <w:rFonts w:ascii="Times New Roman" w:hAnsi="Times New Roman" w:cs="Times New Roman" w:eastAsia="Times New Roman" w:hint="default"/>
          <w:sz w:val="17"/>
          <w:szCs w:val="17"/>
        </w:rPr>
        <w:t>(%)</w:t>
      </w:r>
    </w:p>
    <w:p>
      <w:pPr>
        <w:spacing w:line="388" w:lineRule="auto" w:before="48"/>
        <w:ind w:left="114" w:right="0" w:firstLine="0"/>
        <w:jc w:val="both"/>
        <w:rPr>
          <w:rFonts w:ascii="宋体" w:hAnsi="宋体" w:cs="宋体" w:eastAsia="宋体" w:hint="default"/>
          <w:sz w:val="17"/>
          <w:szCs w:val="17"/>
        </w:rPr>
      </w:pPr>
      <w:r>
        <w:rPr>
          <w:spacing w:val="-1"/>
        </w:rPr>
        <w:br w:type="column"/>
      </w:r>
      <w:r>
        <w:rPr>
          <w:rFonts w:ascii="宋体" w:hAnsi="宋体" w:cs="宋体" w:eastAsia="宋体" w:hint="default"/>
          <w:spacing w:val="-1"/>
          <w:sz w:val="17"/>
          <w:szCs w:val="17"/>
        </w:rPr>
        <w:t>在被投资单位</w:t>
      </w:r>
      <w:r>
        <w:rPr>
          <w:rFonts w:ascii="宋体" w:hAnsi="宋体" w:cs="宋体" w:eastAsia="宋体" w:hint="default"/>
          <w:spacing w:val="-79"/>
          <w:sz w:val="17"/>
          <w:szCs w:val="17"/>
        </w:rPr>
        <w:t> </w:t>
      </w:r>
      <w:r>
        <w:rPr>
          <w:rFonts w:ascii="宋体" w:hAnsi="宋体" w:cs="宋体" w:eastAsia="宋体" w:hint="default"/>
          <w:spacing w:val="-79"/>
          <w:sz w:val="17"/>
          <w:szCs w:val="17"/>
        </w:rPr>
      </w:r>
      <w:r>
        <w:rPr>
          <w:rFonts w:ascii="宋体" w:hAnsi="宋体" w:cs="宋体" w:eastAsia="宋体" w:hint="default"/>
          <w:spacing w:val="-1"/>
          <w:sz w:val="17"/>
          <w:szCs w:val="17"/>
        </w:rPr>
        <w:t>持股比例与表</w:t>
      </w:r>
      <w:r>
        <w:rPr>
          <w:rFonts w:ascii="宋体" w:hAnsi="宋体" w:cs="宋体" w:eastAsia="宋体" w:hint="default"/>
          <w:spacing w:val="-79"/>
          <w:sz w:val="17"/>
          <w:szCs w:val="17"/>
        </w:rPr>
        <w:t> </w:t>
      </w:r>
      <w:r>
        <w:rPr>
          <w:rFonts w:ascii="宋体" w:hAnsi="宋体" w:cs="宋体" w:eastAsia="宋体" w:hint="default"/>
          <w:spacing w:val="-79"/>
          <w:sz w:val="17"/>
          <w:szCs w:val="17"/>
        </w:rPr>
      </w:r>
      <w:r>
        <w:rPr>
          <w:rFonts w:ascii="宋体" w:hAnsi="宋体" w:cs="宋体" w:eastAsia="宋体" w:hint="default"/>
          <w:spacing w:val="-1"/>
          <w:sz w:val="17"/>
          <w:szCs w:val="17"/>
        </w:rPr>
        <w:t>决权比例不一</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2"/>
        <w:rPr>
          <w:rFonts w:ascii="宋体" w:hAnsi="宋体" w:cs="宋体" w:eastAsia="宋体" w:hint="default"/>
          <w:sz w:val="15"/>
          <w:szCs w:val="15"/>
        </w:rPr>
      </w:pPr>
    </w:p>
    <w:p>
      <w:pPr>
        <w:spacing w:line="388" w:lineRule="auto" w:before="0"/>
        <w:ind w:left="279" w:right="-18" w:hanging="171"/>
        <w:jc w:val="left"/>
        <w:rPr>
          <w:rFonts w:ascii="宋体" w:hAnsi="宋体" w:cs="宋体" w:eastAsia="宋体" w:hint="default"/>
          <w:sz w:val="17"/>
          <w:szCs w:val="17"/>
        </w:rPr>
      </w:pPr>
      <w:r>
        <w:rPr>
          <w:rFonts w:ascii="宋体" w:hAnsi="宋体" w:cs="宋体" w:eastAsia="宋体" w:hint="default"/>
          <w:sz w:val="17"/>
          <w:szCs w:val="17"/>
        </w:rPr>
        <w:t>累计减值</w:t>
      </w:r>
      <w:r>
        <w:rPr>
          <w:rFonts w:ascii="宋体" w:hAnsi="宋体" w:cs="宋体" w:eastAsia="宋体" w:hint="default"/>
          <w:w w:val="100"/>
          <w:sz w:val="17"/>
          <w:szCs w:val="17"/>
        </w:rPr>
        <w:t> </w:t>
      </w:r>
      <w:r>
        <w:rPr>
          <w:rFonts w:ascii="宋体" w:hAnsi="宋体" w:cs="宋体" w:eastAsia="宋体" w:hint="default"/>
          <w:sz w:val="17"/>
          <w:szCs w:val="17"/>
        </w:rPr>
        <w:t>准备</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2"/>
        <w:rPr>
          <w:rFonts w:ascii="宋体" w:hAnsi="宋体" w:cs="宋体" w:eastAsia="宋体" w:hint="default"/>
          <w:sz w:val="15"/>
          <w:szCs w:val="15"/>
        </w:rPr>
      </w:pPr>
    </w:p>
    <w:p>
      <w:pPr>
        <w:spacing w:line="388" w:lineRule="auto" w:before="0"/>
        <w:ind w:left="200" w:right="-19" w:firstLine="0"/>
        <w:jc w:val="left"/>
        <w:rPr>
          <w:rFonts w:ascii="宋体" w:hAnsi="宋体" w:cs="宋体" w:eastAsia="宋体" w:hint="default"/>
          <w:sz w:val="17"/>
          <w:szCs w:val="17"/>
        </w:rPr>
      </w:pPr>
      <w:r>
        <w:rPr>
          <w:rFonts w:ascii="宋体" w:hAnsi="宋体" w:cs="宋体" w:eastAsia="宋体" w:hint="default"/>
          <w:sz w:val="17"/>
          <w:szCs w:val="17"/>
        </w:rPr>
        <w:t>本期计提</w:t>
      </w:r>
      <w:r>
        <w:rPr>
          <w:rFonts w:ascii="宋体" w:hAnsi="宋体" w:cs="宋体" w:eastAsia="宋体" w:hint="default"/>
          <w:w w:val="100"/>
          <w:sz w:val="17"/>
          <w:szCs w:val="17"/>
        </w:rPr>
        <w:t> </w:t>
      </w:r>
      <w:r>
        <w:rPr>
          <w:rFonts w:ascii="宋体" w:hAnsi="宋体" w:cs="宋体" w:eastAsia="宋体" w:hint="default"/>
          <w:sz w:val="17"/>
          <w:szCs w:val="17"/>
        </w:rPr>
        <w:t>减值准备</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0"/>
        <w:rPr>
          <w:rFonts w:ascii="宋体" w:hAnsi="宋体" w:cs="宋体" w:eastAsia="宋体" w:hint="default"/>
          <w:sz w:val="16"/>
          <w:szCs w:val="16"/>
        </w:rPr>
      </w:pPr>
    </w:p>
    <w:p>
      <w:pPr>
        <w:spacing w:line="240" w:lineRule="auto" w:before="12"/>
        <w:rPr>
          <w:rFonts w:ascii="宋体" w:hAnsi="宋体" w:cs="宋体" w:eastAsia="宋体" w:hint="default"/>
          <w:sz w:val="12"/>
          <w:szCs w:val="12"/>
        </w:rPr>
      </w:pPr>
    </w:p>
    <w:p>
      <w:pPr>
        <w:spacing w:before="0"/>
        <w:ind w:left="136" w:right="0" w:firstLine="0"/>
        <w:jc w:val="left"/>
        <w:rPr>
          <w:rFonts w:ascii="宋体" w:hAnsi="宋体" w:cs="宋体" w:eastAsia="宋体" w:hint="default"/>
          <w:sz w:val="17"/>
          <w:szCs w:val="17"/>
        </w:rPr>
      </w:pPr>
      <w:r>
        <w:rPr>
          <w:rFonts w:ascii="宋体" w:hAnsi="宋体" w:cs="宋体" w:eastAsia="宋体" w:hint="default"/>
          <w:sz w:val="17"/>
          <w:szCs w:val="17"/>
        </w:rPr>
        <w:t>本期现金红利</w:t>
      </w:r>
    </w:p>
    <w:p>
      <w:pPr>
        <w:spacing w:after="0"/>
        <w:jc w:val="left"/>
        <w:rPr>
          <w:rFonts w:ascii="宋体" w:hAnsi="宋体" w:cs="宋体" w:eastAsia="宋体" w:hint="default"/>
          <w:sz w:val="17"/>
          <w:szCs w:val="17"/>
        </w:rPr>
        <w:sectPr>
          <w:type w:val="continuous"/>
          <w:pgSz w:w="16840" w:h="11910" w:orient="landscape"/>
          <w:pgMar w:top="1600" w:bottom="280" w:left="1300" w:right="520"/>
          <w:cols w:num="9" w:equalWidth="0">
            <w:col w:w="2724" w:space="40"/>
            <w:col w:w="1674" w:space="40"/>
            <w:col w:w="4131" w:space="40"/>
            <w:col w:w="1062" w:space="40"/>
            <w:col w:w="952" w:space="40"/>
            <w:col w:w="1136" w:space="40"/>
            <w:col w:w="791" w:space="40"/>
            <w:col w:w="882" w:space="40"/>
            <w:col w:w="1348"/>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2"/>
          <w:szCs w:val="12"/>
        </w:rPr>
      </w:pPr>
    </w:p>
    <w:tbl>
      <w:tblPr>
        <w:tblW w:w="0" w:type="auto"/>
        <w:jc w:val="left"/>
        <w:tblInd w:w="755" w:type="dxa"/>
        <w:tblLayout w:type="fixed"/>
        <w:tblCellMar>
          <w:top w:w="0" w:type="dxa"/>
          <w:left w:w="0" w:type="dxa"/>
          <w:bottom w:w="0" w:type="dxa"/>
          <w:right w:w="0" w:type="dxa"/>
        </w:tblCellMar>
        <w:tblLook w:val="01E0"/>
      </w:tblPr>
      <w:tblGrid>
        <w:gridCol w:w="2974"/>
        <w:gridCol w:w="839"/>
        <w:gridCol w:w="1168"/>
        <w:gridCol w:w="1081"/>
        <w:gridCol w:w="950"/>
        <w:gridCol w:w="1166"/>
        <w:gridCol w:w="992"/>
        <w:gridCol w:w="936"/>
        <w:gridCol w:w="986"/>
        <w:gridCol w:w="1026"/>
        <w:gridCol w:w="986"/>
        <w:gridCol w:w="1023"/>
      </w:tblGrid>
      <w:tr>
        <w:trPr>
          <w:trHeight w:val="648"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8"/>
              <w:ind w:left="67" w:right="0"/>
              <w:jc w:val="left"/>
              <w:rPr>
                <w:rFonts w:ascii="宋体" w:hAnsi="宋体" w:cs="宋体" w:eastAsia="宋体" w:hint="default"/>
                <w:sz w:val="17"/>
                <w:szCs w:val="17"/>
              </w:rPr>
            </w:pPr>
            <w:r>
              <w:rPr>
                <w:rFonts w:ascii="宋体" w:hAnsi="宋体" w:cs="宋体" w:eastAsia="宋体" w:hint="default"/>
                <w:sz w:val="17"/>
                <w:szCs w:val="17"/>
              </w:rPr>
              <w:t>北京首发信安数据系统科技有限公司</w:t>
            </w:r>
          </w:p>
        </w:tc>
        <w:tc>
          <w:tcPr>
            <w:tcW w:w="83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8"/>
              <w:ind w:right="140"/>
              <w:jc w:val="right"/>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39"/>
              <w:jc w:val="right"/>
              <w:rPr>
                <w:rFonts w:ascii="Times New Roman" w:hAnsi="Times New Roman" w:cs="Times New Roman" w:eastAsia="Times New Roman" w:hint="default"/>
                <w:sz w:val="17"/>
                <w:szCs w:val="17"/>
              </w:rPr>
            </w:pPr>
            <w:r>
              <w:rPr>
                <w:rFonts w:ascii="Times New Roman"/>
                <w:spacing w:val="-1"/>
                <w:sz w:val="17"/>
              </w:rPr>
              <w:t>3,350,000</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87"/>
              <w:jc w:val="right"/>
              <w:rPr>
                <w:rFonts w:ascii="Times New Roman" w:hAnsi="Times New Roman" w:cs="Times New Roman" w:eastAsia="Times New Roman" w:hint="default"/>
                <w:sz w:val="17"/>
                <w:szCs w:val="17"/>
              </w:rPr>
            </w:pPr>
            <w:r>
              <w:rPr>
                <w:rFonts w:ascii="Times New Roman"/>
                <w:spacing w:val="-1"/>
                <w:sz w:val="17"/>
              </w:rPr>
              <w:t>3,350,000</w:t>
            </w:r>
          </w:p>
        </w:tc>
        <w:tc>
          <w:tcPr>
            <w:tcW w:w="950" w:type="dxa"/>
            <w:tcBorders>
              <w:top w:val="nil" w:sz="6" w:space="0" w:color="auto"/>
              <w:left w:val="nil" w:sz="6" w:space="0" w:color="auto"/>
              <w:bottom w:val="nil" w:sz="6" w:space="0" w:color="auto"/>
              <w:right w:val="nil" w:sz="6" w:space="0" w:color="auto"/>
            </w:tcBorders>
          </w:tcPr>
          <w:p>
            <w:pP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17"/>
              <w:jc w:val="right"/>
              <w:rPr>
                <w:rFonts w:ascii="Times New Roman" w:hAnsi="Times New Roman" w:cs="Times New Roman" w:eastAsia="Times New Roman" w:hint="default"/>
                <w:sz w:val="17"/>
                <w:szCs w:val="17"/>
              </w:rPr>
            </w:pPr>
            <w:r>
              <w:rPr>
                <w:rFonts w:ascii="Times New Roman"/>
                <w:spacing w:val="-1"/>
                <w:sz w:val="17"/>
              </w:rPr>
              <w:t>3,350,000</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218"/>
              <w:jc w:val="right"/>
              <w:rPr>
                <w:rFonts w:ascii="Times New Roman" w:hAnsi="Times New Roman" w:cs="Times New Roman" w:eastAsia="Times New Roman" w:hint="default"/>
                <w:sz w:val="17"/>
                <w:szCs w:val="17"/>
              </w:rPr>
            </w:pPr>
            <w:r>
              <w:rPr>
                <w:rFonts w:ascii="Times New Roman"/>
                <w:sz w:val="17"/>
              </w:rPr>
              <w:t>8.86</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61"/>
              <w:jc w:val="right"/>
              <w:rPr>
                <w:rFonts w:ascii="Times New Roman" w:hAnsi="Times New Roman" w:cs="Times New Roman" w:eastAsia="Times New Roman" w:hint="default"/>
                <w:sz w:val="17"/>
                <w:szCs w:val="17"/>
              </w:rPr>
            </w:pPr>
            <w:r>
              <w:rPr>
                <w:rFonts w:ascii="Times New Roman"/>
                <w:sz w:val="17"/>
              </w:rPr>
              <w:t>8.86</w:t>
            </w:r>
          </w:p>
        </w:tc>
        <w:tc>
          <w:tcPr>
            <w:tcW w:w="986" w:type="dxa"/>
            <w:tcBorders>
              <w:top w:val="nil" w:sz="6" w:space="0" w:color="auto"/>
              <w:left w:val="nil" w:sz="6" w:space="0" w:color="auto"/>
              <w:bottom w:val="nil" w:sz="6" w:space="0" w:color="auto"/>
              <w:right w:val="nil" w:sz="6" w:space="0" w:color="auto"/>
            </w:tcBorders>
          </w:tcPr>
          <w:p>
            <w:pPr>
              <w:pStyle w:val="TableParagraph"/>
              <w:spacing w:line="170" w:lineRule="exact"/>
              <w:ind w:left="163" w:right="0"/>
              <w:jc w:val="left"/>
              <w:rPr>
                <w:rFonts w:ascii="宋体" w:hAnsi="宋体" w:cs="宋体" w:eastAsia="宋体" w:hint="default"/>
                <w:sz w:val="17"/>
                <w:szCs w:val="17"/>
              </w:rPr>
            </w:pPr>
            <w:r>
              <w:rPr>
                <w:rFonts w:ascii="宋体" w:hAnsi="宋体" w:cs="宋体" w:eastAsia="宋体" w:hint="default"/>
                <w:sz w:val="17"/>
                <w:szCs w:val="17"/>
              </w:rPr>
              <w:t>致的说明</w:t>
            </w:r>
          </w:p>
        </w:tc>
        <w:tc>
          <w:tcPr>
            <w:tcW w:w="1026"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1023" w:type="dxa"/>
            <w:vMerge w:val="restart"/>
            <w:tcBorders>
              <w:top w:val="nil" w:sz="6" w:space="0" w:color="auto"/>
              <w:left w:val="nil" w:sz="6" w:space="0" w:color="auto"/>
              <w:right w:val="nil" w:sz="6" w:space="0" w:color="auto"/>
            </w:tcBorders>
          </w:tcPr>
          <w:p>
            <w:pPr/>
          </w:p>
        </w:tc>
      </w:tr>
      <w:tr>
        <w:trPr>
          <w:trHeight w:val="370"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7" w:right="0"/>
              <w:jc w:val="left"/>
              <w:rPr>
                <w:rFonts w:ascii="宋体" w:hAnsi="宋体" w:cs="宋体" w:eastAsia="宋体" w:hint="default"/>
                <w:sz w:val="17"/>
                <w:szCs w:val="17"/>
              </w:rPr>
            </w:pPr>
            <w:r>
              <w:rPr>
                <w:rFonts w:ascii="宋体" w:hAnsi="宋体" w:cs="宋体" w:eastAsia="宋体" w:hint="default"/>
                <w:sz w:val="17"/>
                <w:szCs w:val="17"/>
              </w:rPr>
              <w:t>东众通信技术有限公司</w:t>
            </w:r>
          </w:p>
        </w:tc>
        <w:tc>
          <w:tcPr>
            <w:tcW w:w="83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0"/>
              <w:jc w:val="right"/>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39"/>
              <w:jc w:val="right"/>
              <w:rPr>
                <w:rFonts w:ascii="Times New Roman" w:hAnsi="Times New Roman" w:cs="Times New Roman" w:eastAsia="Times New Roman" w:hint="default"/>
                <w:sz w:val="17"/>
                <w:szCs w:val="17"/>
              </w:rPr>
            </w:pPr>
            <w:r>
              <w:rPr>
                <w:rFonts w:ascii="Times New Roman"/>
                <w:spacing w:val="-1"/>
                <w:sz w:val="17"/>
              </w:rPr>
              <w:t>3,000,000</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86"/>
              <w:jc w:val="right"/>
              <w:rPr>
                <w:rFonts w:ascii="Times New Roman" w:hAnsi="Times New Roman" w:cs="Times New Roman" w:eastAsia="Times New Roman" w:hint="default"/>
                <w:sz w:val="17"/>
                <w:szCs w:val="17"/>
              </w:rPr>
            </w:pPr>
            <w:r>
              <w:rPr>
                <w:rFonts w:ascii="Times New Roman"/>
                <w:spacing w:val="-1"/>
                <w:sz w:val="17"/>
              </w:rPr>
              <w:t>3,000,000</w:t>
            </w:r>
          </w:p>
        </w:tc>
        <w:tc>
          <w:tcPr>
            <w:tcW w:w="950" w:type="dxa"/>
            <w:tcBorders>
              <w:top w:val="nil" w:sz="6" w:space="0" w:color="auto"/>
              <w:left w:val="nil" w:sz="6" w:space="0" w:color="auto"/>
              <w:bottom w:val="nil" w:sz="6" w:space="0" w:color="auto"/>
              <w:right w:val="nil" w:sz="6" w:space="0" w:color="auto"/>
            </w:tcBorders>
          </w:tcPr>
          <w:p>
            <w:pP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17"/>
              <w:jc w:val="right"/>
              <w:rPr>
                <w:rFonts w:ascii="Times New Roman" w:hAnsi="Times New Roman" w:cs="Times New Roman" w:eastAsia="Times New Roman" w:hint="default"/>
                <w:sz w:val="17"/>
                <w:szCs w:val="17"/>
              </w:rPr>
            </w:pPr>
            <w:r>
              <w:rPr>
                <w:rFonts w:ascii="Times New Roman"/>
                <w:spacing w:val="-1"/>
                <w:sz w:val="17"/>
              </w:rPr>
              <w:t>3,000,000</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16"/>
              <w:jc w:val="right"/>
              <w:rPr>
                <w:rFonts w:ascii="Times New Roman" w:hAnsi="Times New Roman" w:cs="Times New Roman" w:eastAsia="Times New Roman" w:hint="default"/>
                <w:sz w:val="17"/>
                <w:szCs w:val="17"/>
              </w:rPr>
            </w:pPr>
            <w:r>
              <w:rPr>
                <w:rFonts w:ascii="Times New Roman"/>
                <w:sz w:val="17"/>
              </w:rPr>
              <w:t>10.00</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1"/>
              <w:jc w:val="right"/>
              <w:rPr>
                <w:rFonts w:ascii="Times New Roman" w:hAnsi="Times New Roman" w:cs="Times New Roman" w:eastAsia="Times New Roman" w:hint="default"/>
                <w:sz w:val="17"/>
                <w:szCs w:val="17"/>
              </w:rPr>
            </w:pPr>
            <w:r>
              <w:rPr>
                <w:rFonts w:ascii="Times New Roman"/>
                <w:sz w:val="17"/>
              </w:rPr>
              <w:t>10.00</w:t>
            </w:r>
          </w:p>
        </w:tc>
        <w:tc>
          <w:tcPr>
            <w:tcW w:w="986" w:type="dxa"/>
            <w:tcBorders>
              <w:top w:val="nil" w:sz="6" w:space="0" w:color="auto"/>
              <w:left w:val="nil" w:sz="6" w:space="0" w:color="auto"/>
              <w:bottom w:val="nil" w:sz="6" w:space="0" w:color="auto"/>
              <w:right w:val="nil" w:sz="6" w:space="0" w:color="auto"/>
            </w:tcBorders>
          </w:tcPr>
          <w:p>
            <w:pP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18"/>
              <w:jc w:val="right"/>
              <w:rPr>
                <w:rFonts w:ascii="Times New Roman" w:hAnsi="Times New Roman" w:cs="Times New Roman" w:eastAsia="Times New Roman" w:hint="default"/>
                <w:sz w:val="17"/>
                <w:szCs w:val="17"/>
              </w:rPr>
            </w:pPr>
            <w:r>
              <w:rPr>
                <w:rFonts w:ascii="Times New Roman"/>
                <w:spacing w:val="-1"/>
                <w:sz w:val="17"/>
              </w:rPr>
              <w:t>3,000,000</w:t>
            </w:r>
          </w:p>
        </w:tc>
        <w:tc>
          <w:tcPr>
            <w:tcW w:w="986" w:type="dxa"/>
            <w:tcBorders>
              <w:top w:val="nil" w:sz="6" w:space="0" w:color="auto"/>
              <w:left w:val="nil" w:sz="6" w:space="0" w:color="auto"/>
              <w:bottom w:val="nil" w:sz="6" w:space="0" w:color="auto"/>
              <w:right w:val="nil" w:sz="6" w:space="0" w:color="auto"/>
            </w:tcBorders>
          </w:tcPr>
          <w:p>
            <w:pPr/>
          </w:p>
        </w:tc>
        <w:tc>
          <w:tcPr>
            <w:tcW w:w="1023" w:type="dxa"/>
            <w:vMerge/>
            <w:tcBorders>
              <w:left w:val="nil" w:sz="6" w:space="0" w:color="auto"/>
              <w:right w:val="nil" w:sz="6" w:space="0" w:color="auto"/>
            </w:tcBorders>
          </w:tcPr>
          <w:p>
            <w:pPr/>
          </w:p>
        </w:tc>
      </w:tr>
      <w:tr>
        <w:trPr>
          <w:trHeight w:val="370"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7" w:right="0"/>
              <w:jc w:val="left"/>
              <w:rPr>
                <w:rFonts w:ascii="宋体" w:hAnsi="宋体" w:cs="宋体" w:eastAsia="宋体" w:hint="default"/>
                <w:sz w:val="17"/>
                <w:szCs w:val="17"/>
              </w:rPr>
            </w:pPr>
            <w:r>
              <w:rPr>
                <w:rFonts w:ascii="宋体" w:hAnsi="宋体" w:cs="宋体" w:eastAsia="宋体" w:hint="default"/>
                <w:sz w:val="17"/>
                <w:szCs w:val="17"/>
              </w:rPr>
              <w:t>沈阳火炬股份有限公司</w:t>
            </w:r>
          </w:p>
        </w:tc>
        <w:tc>
          <w:tcPr>
            <w:tcW w:w="8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0"/>
              <w:jc w:val="right"/>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39"/>
              <w:jc w:val="right"/>
              <w:rPr>
                <w:rFonts w:ascii="Times New Roman" w:hAnsi="Times New Roman" w:cs="Times New Roman" w:eastAsia="Times New Roman" w:hint="default"/>
                <w:sz w:val="17"/>
                <w:szCs w:val="17"/>
              </w:rPr>
            </w:pPr>
            <w:r>
              <w:rPr>
                <w:rFonts w:ascii="Times New Roman"/>
                <w:spacing w:val="-1"/>
                <w:sz w:val="17"/>
              </w:rPr>
              <w:t>100,000</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86"/>
              <w:jc w:val="right"/>
              <w:rPr>
                <w:rFonts w:ascii="Times New Roman" w:hAnsi="Times New Roman" w:cs="Times New Roman" w:eastAsia="Times New Roman" w:hint="default"/>
                <w:sz w:val="17"/>
                <w:szCs w:val="17"/>
              </w:rPr>
            </w:pPr>
            <w:r>
              <w:rPr>
                <w:rFonts w:ascii="Times New Roman"/>
                <w:spacing w:val="-1"/>
                <w:sz w:val="17"/>
              </w:rPr>
              <w:t>100,000</w:t>
            </w:r>
          </w:p>
        </w:tc>
        <w:tc>
          <w:tcPr>
            <w:tcW w:w="950" w:type="dxa"/>
            <w:tcBorders>
              <w:top w:val="nil" w:sz="6" w:space="0" w:color="auto"/>
              <w:left w:val="nil" w:sz="6" w:space="0" w:color="auto"/>
              <w:bottom w:val="nil" w:sz="6" w:space="0" w:color="auto"/>
              <w:right w:val="nil" w:sz="6" w:space="0" w:color="auto"/>
            </w:tcBorders>
          </w:tcPr>
          <w:p>
            <w:pP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17"/>
              <w:jc w:val="right"/>
              <w:rPr>
                <w:rFonts w:ascii="Times New Roman" w:hAnsi="Times New Roman" w:cs="Times New Roman" w:eastAsia="Times New Roman" w:hint="default"/>
                <w:sz w:val="17"/>
                <w:szCs w:val="17"/>
              </w:rPr>
            </w:pPr>
            <w:r>
              <w:rPr>
                <w:rFonts w:ascii="Times New Roman"/>
                <w:spacing w:val="-1"/>
                <w:sz w:val="17"/>
              </w:rPr>
              <w:t>100,000</w:t>
            </w:r>
          </w:p>
        </w:tc>
        <w:tc>
          <w:tcPr>
            <w:tcW w:w="992" w:type="dxa"/>
            <w:tcBorders>
              <w:top w:val="nil" w:sz="6" w:space="0" w:color="auto"/>
              <w:left w:val="nil" w:sz="6" w:space="0" w:color="auto"/>
              <w:bottom w:val="nil" w:sz="6" w:space="0" w:color="auto"/>
              <w:right w:val="nil" w:sz="6" w:space="0" w:color="auto"/>
            </w:tcBorders>
          </w:tcPr>
          <w:p>
            <w:pPr/>
          </w:p>
        </w:tc>
        <w:tc>
          <w:tcPr>
            <w:tcW w:w="936"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18"/>
              <w:jc w:val="right"/>
              <w:rPr>
                <w:rFonts w:ascii="Times New Roman" w:hAnsi="Times New Roman" w:cs="Times New Roman" w:eastAsia="Times New Roman" w:hint="default"/>
                <w:sz w:val="17"/>
                <w:szCs w:val="17"/>
              </w:rPr>
            </w:pPr>
            <w:r>
              <w:rPr>
                <w:rFonts w:ascii="Times New Roman"/>
                <w:spacing w:val="-1"/>
                <w:sz w:val="17"/>
              </w:rPr>
              <w:t>100,000</w:t>
            </w:r>
          </w:p>
        </w:tc>
        <w:tc>
          <w:tcPr>
            <w:tcW w:w="986" w:type="dxa"/>
            <w:tcBorders>
              <w:top w:val="nil" w:sz="6" w:space="0" w:color="auto"/>
              <w:left w:val="nil" w:sz="6" w:space="0" w:color="auto"/>
              <w:bottom w:val="nil" w:sz="6" w:space="0" w:color="auto"/>
              <w:right w:val="nil" w:sz="6" w:space="0" w:color="auto"/>
            </w:tcBorders>
          </w:tcPr>
          <w:p>
            <w:pPr/>
          </w:p>
        </w:tc>
        <w:tc>
          <w:tcPr>
            <w:tcW w:w="1023" w:type="dxa"/>
            <w:vMerge/>
            <w:tcBorders>
              <w:left w:val="nil" w:sz="6" w:space="0" w:color="auto"/>
              <w:right w:val="nil" w:sz="6" w:space="0" w:color="auto"/>
            </w:tcBorders>
          </w:tcPr>
          <w:p>
            <w:pPr/>
          </w:p>
        </w:tc>
      </w:tr>
      <w:tr>
        <w:trPr>
          <w:trHeight w:val="370"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87"/>
              <w:ind w:left="67" w:right="0"/>
              <w:jc w:val="left"/>
              <w:rPr>
                <w:rFonts w:ascii="Times New Roman" w:hAnsi="Times New Roman" w:cs="Times New Roman" w:eastAsia="Times New Roman" w:hint="default"/>
                <w:sz w:val="17"/>
                <w:szCs w:val="17"/>
              </w:rPr>
            </w:pPr>
            <w:r>
              <w:rPr>
                <w:rFonts w:ascii="Times New Roman"/>
                <w:sz w:val="17"/>
              </w:rPr>
              <w:t>Lotus Business Consulting</w:t>
            </w:r>
            <w:r>
              <w:rPr>
                <w:rFonts w:ascii="Times New Roman"/>
                <w:spacing w:val="-23"/>
                <w:sz w:val="17"/>
              </w:rPr>
              <w:t> </w:t>
            </w:r>
            <w:r>
              <w:rPr>
                <w:rFonts w:ascii="Times New Roman"/>
                <w:sz w:val="17"/>
              </w:rPr>
              <w:t>Co.,Ltd.</w:t>
            </w:r>
          </w:p>
        </w:tc>
        <w:tc>
          <w:tcPr>
            <w:tcW w:w="83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0"/>
              <w:jc w:val="right"/>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39"/>
              <w:jc w:val="right"/>
              <w:rPr>
                <w:rFonts w:ascii="Times New Roman" w:hAnsi="Times New Roman" w:cs="Times New Roman" w:eastAsia="Times New Roman" w:hint="default"/>
                <w:sz w:val="17"/>
                <w:szCs w:val="17"/>
              </w:rPr>
            </w:pPr>
            <w:r>
              <w:rPr>
                <w:rFonts w:ascii="Times New Roman"/>
                <w:spacing w:val="-1"/>
                <w:sz w:val="17"/>
              </w:rPr>
              <w:t>347,358</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86"/>
              <w:jc w:val="right"/>
              <w:rPr>
                <w:rFonts w:ascii="Times New Roman" w:hAnsi="Times New Roman" w:cs="Times New Roman" w:eastAsia="Times New Roman" w:hint="default"/>
                <w:sz w:val="17"/>
                <w:szCs w:val="17"/>
              </w:rPr>
            </w:pPr>
            <w:r>
              <w:rPr>
                <w:rFonts w:ascii="Times New Roman"/>
                <w:spacing w:val="-1"/>
                <w:sz w:val="17"/>
              </w:rPr>
              <w:t>347,358</w:t>
            </w:r>
          </w:p>
        </w:tc>
        <w:tc>
          <w:tcPr>
            <w:tcW w:w="950" w:type="dxa"/>
            <w:tcBorders>
              <w:top w:val="nil" w:sz="6" w:space="0" w:color="auto"/>
              <w:left w:val="nil" w:sz="6" w:space="0" w:color="auto"/>
              <w:bottom w:val="nil" w:sz="6" w:space="0" w:color="auto"/>
              <w:right w:val="nil" w:sz="6" w:space="0" w:color="auto"/>
            </w:tcBorders>
          </w:tcPr>
          <w:p>
            <w:pP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17"/>
              <w:jc w:val="right"/>
              <w:rPr>
                <w:rFonts w:ascii="Times New Roman" w:hAnsi="Times New Roman" w:cs="Times New Roman" w:eastAsia="Times New Roman" w:hint="default"/>
                <w:sz w:val="17"/>
                <w:szCs w:val="17"/>
              </w:rPr>
            </w:pPr>
            <w:r>
              <w:rPr>
                <w:rFonts w:ascii="Times New Roman"/>
                <w:spacing w:val="-1"/>
                <w:sz w:val="17"/>
              </w:rPr>
              <w:t>347,358</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16"/>
              <w:jc w:val="right"/>
              <w:rPr>
                <w:rFonts w:ascii="Times New Roman" w:hAnsi="Times New Roman" w:cs="Times New Roman" w:eastAsia="Times New Roman" w:hint="default"/>
                <w:sz w:val="17"/>
                <w:szCs w:val="17"/>
              </w:rPr>
            </w:pPr>
            <w:r>
              <w:rPr>
                <w:rFonts w:ascii="Times New Roman"/>
                <w:sz w:val="17"/>
              </w:rPr>
              <w:t>6.30</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1"/>
              <w:jc w:val="right"/>
              <w:rPr>
                <w:rFonts w:ascii="Times New Roman" w:hAnsi="Times New Roman" w:cs="Times New Roman" w:eastAsia="Times New Roman" w:hint="default"/>
                <w:sz w:val="17"/>
                <w:szCs w:val="17"/>
              </w:rPr>
            </w:pPr>
            <w:r>
              <w:rPr>
                <w:rFonts w:ascii="Times New Roman"/>
                <w:sz w:val="17"/>
              </w:rPr>
              <w:t>6.30</w:t>
            </w:r>
          </w:p>
        </w:tc>
        <w:tc>
          <w:tcPr>
            <w:tcW w:w="986" w:type="dxa"/>
            <w:tcBorders>
              <w:top w:val="nil" w:sz="6" w:space="0" w:color="auto"/>
              <w:left w:val="nil" w:sz="6" w:space="0" w:color="auto"/>
              <w:bottom w:val="nil" w:sz="6" w:space="0" w:color="auto"/>
              <w:right w:val="nil" w:sz="6" w:space="0" w:color="auto"/>
            </w:tcBorders>
          </w:tcPr>
          <w:p>
            <w:pPr/>
          </w:p>
        </w:tc>
        <w:tc>
          <w:tcPr>
            <w:tcW w:w="1026"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1023" w:type="dxa"/>
            <w:vMerge/>
            <w:tcBorders>
              <w:left w:val="nil" w:sz="6" w:space="0" w:color="auto"/>
              <w:right w:val="nil" w:sz="6" w:space="0" w:color="auto"/>
            </w:tcBorders>
          </w:tcPr>
          <w:p>
            <w:pPr/>
          </w:p>
        </w:tc>
      </w:tr>
      <w:tr>
        <w:trPr>
          <w:trHeight w:val="370"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7" w:right="0"/>
              <w:jc w:val="left"/>
              <w:rPr>
                <w:rFonts w:ascii="宋体" w:hAnsi="宋体" w:cs="宋体" w:eastAsia="宋体" w:hint="default"/>
                <w:sz w:val="17"/>
                <w:szCs w:val="17"/>
              </w:rPr>
            </w:pPr>
            <w:r>
              <w:rPr>
                <w:rFonts w:ascii="宋体" w:hAnsi="宋体" w:cs="宋体" w:eastAsia="宋体" w:hint="default"/>
                <w:sz w:val="17"/>
                <w:szCs w:val="17"/>
              </w:rPr>
              <w:t>天津神舟通用数据技术有限公司</w:t>
            </w:r>
          </w:p>
        </w:tc>
        <w:tc>
          <w:tcPr>
            <w:tcW w:w="83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0"/>
              <w:jc w:val="right"/>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39"/>
              <w:jc w:val="right"/>
              <w:rPr>
                <w:rFonts w:ascii="Times New Roman" w:hAnsi="Times New Roman" w:cs="Times New Roman" w:eastAsia="Times New Roman" w:hint="default"/>
                <w:sz w:val="17"/>
                <w:szCs w:val="17"/>
              </w:rPr>
            </w:pPr>
            <w:r>
              <w:rPr>
                <w:rFonts w:ascii="Times New Roman"/>
                <w:spacing w:val="-1"/>
                <w:sz w:val="17"/>
              </w:rPr>
              <w:t>3,000,000</w:t>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87"/>
              <w:jc w:val="right"/>
              <w:rPr>
                <w:rFonts w:ascii="Times New Roman" w:hAnsi="Times New Roman" w:cs="Times New Roman" w:eastAsia="Times New Roman" w:hint="default"/>
                <w:sz w:val="17"/>
                <w:szCs w:val="17"/>
              </w:rPr>
            </w:pPr>
            <w:r>
              <w:rPr>
                <w:rFonts w:ascii="Times New Roman"/>
                <w:spacing w:val="-1"/>
                <w:sz w:val="17"/>
              </w:rPr>
              <w:t>3,000,000</w:t>
            </w:r>
          </w:p>
        </w:tc>
        <w:tc>
          <w:tcPr>
            <w:tcW w:w="950" w:type="dxa"/>
            <w:tcBorders>
              <w:top w:val="nil" w:sz="6" w:space="0" w:color="auto"/>
              <w:left w:val="nil" w:sz="6" w:space="0" w:color="auto"/>
              <w:bottom w:val="nil" w:sz="6" w:space="0" w:color="auto"/>
              <w:right w:val="nil" w:sz="6" w:space="0" w:color="auto"/>
            </w:tcBorders>
          </w:tcPr>
          <w:p>
            <w:pP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17"/>
              <w:jc w:val="right"/>
              <w:rPr>
                <w:rFonts w:ascii="Times New Roman" w:hAnsi="Times New Roman" w:cs="Times New Roman" w:eastAsia="Times New Roman" w:hint="default"/>
                <w:sz w:val="17"/>
                <w:szCs w:val="17"/>
              </w:rPr>
            </w:pPr>
            <w:r>
              <w:rPr>
                <w:rFonts w:ascii="Times New Roman"/>
                <w:spacing w:val="-1"/>
                <w:sz w:val="17"/>
              </w:rPr>
              <w:t>3,000,000</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18"/>
              <w:jc w:val="right"/>
              <w:rPr>
                <w:rFonts w:ascii="Times New Roman" w:hAnsi="Times New Roman" w:cs="Times New Roman" w:eastAsia="Times New Roman" w:hint="default"/>
                <w:sz w:val="17"/>
                <w:szCs w:val="17"/>
              </w:rPr>
            </w:pPr>
            <w:r>
              <w:rPr>
                <w:rFonts w:ascii="Times New Roman"/>
                <w:sz w:val="17"/>
              </w:rPr>
              <w:t>5.00</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1"/>
              <w:jc w:val="right"/>
              <w:rPr>
                <w:rFonts w:ascii="Times New Roman" w:hAnsi="Times New Roman" w:cs="Times New Roman" w:eastAsia="Times New Roman" w:hint="default"/>
                <w:sz w:val="17"/>
                <w:szCs w:val="17"/>
              </w:rPr>
            </w:pPr>
            <w:r>
              <w:rPr>
                <w:rFonts w:ascii="Times New Roman"/>
                <w:sz w:val="17"/>
              </w:rPr>
              <w:t>5.00</w:t>
            </w:r>
          </w:p>
        </w:tc>
        <w:tc>
          <w:tcPr>
            <w:tcW w:w="986" w:type="dxa"/>
            <w:tcBorders>
              <w:top w:val="nil" w:sz="6" w:space="0" w:color="auto"/>
              <w:left w:val="nil" w:sz="6" w:space="0" w:color="auto"/>
              <w:bottom w:val="nil" w:sz="6" w:space="0" w:color="auto"/>
              <w:right w:val="nil" w:sz="6" w:space="0" w:color="auto"/>
            </w:tcBorders>
          </w:tcPr>
          <w:p>
            <w:pPr/>
          </w:p>
        </w:tc>
        <w:tc>
          <w:tcPr>
            <w:tcW w:w="1026"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1023" w:type="dxa"/>
            <w:vMerge/>
            <w:tcBorders>
              <w:left w:val="nil" w:sz="6" w:space="0" w:color="auto"/>
              <w:right w:val="nil" w:sz="6" w:space="0" w:color="auto"/>
            </w:tcBorders>
          </w:tcPr>
          <w:p>
            <w:pPr/>
          </w:p>
        </w:tc>
      </w:tr>
      <w:tr>
        <w:trPr>
          <w:trHeight w:val="370"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7" w:right="0"/>
              <w:jc w:val="left"/>
              <w:rPr>
                <w:rFonts w:ascii="宋体" w:hAnsi="宋体" w:cs="宋体" w:eastAsia="宋体" w:hint="default"/>
                <w:sz w:val="17"/>
                <w:szCs w:val="17"/>
              </w:rPr>
            </w:pPr>
            <w:r>
              <w:rPr>
                <w:rFonts w:ascii="宋体" w:hAnsi="宋体" w:cs="宋体" w:eastAsia="宋体" w:hint="default"/>
                <w:sz w:val="17"/>
                <w:szCs w:val="17"/>
              </w:rPr>
              <w:t>南昌百特生物高新技术股份有限公司</w:t>
            </w:r>
          </w:p>
        </w:tc>
        <w:tc>
          <w:tcPr>
            <w:tcW w:w="83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0"/>
              <w:jc w:val="right"/>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39"/>
              <w:jc w:val="right"/>
              <w:rPr>
                <w:rFonts w:ascii="Times New Roman" w:hAnsi="Times New Roman" w:cs="Times New Roman" w:eastAsia="Times New Roman" w:hint="default"/>
                <w:sz w:val="17"/>
                <w:szCs w:val="17"/>
              </w:rPr>
            </w:pPr>
            <w:r>
              <w:rPr>
                <w:rFonts w:ascii="Times New Roman"/>
                <w:spacing w:val="-1"/>
                <w:sz w:val="17"/>
              </w:rPr>
              <w:t>27,600,000</w:t>
            </w:r>
          </w:p>
        </w:tc>
        <w:tc>
          <w:tcPr>
            <w:tcW w:w="1081"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3"/>
              <w:jc w:val="right"/>
              <w:rPr>
                <w:rFonts w:ascii="Times New Roman" w:hAnsi="Times New Roman" w:cs="Times New Roman" w:eastAsia="Times New Roman" w:hint="default"/>
                <w:sz w:val="17"/>
                <w:szCs w:val="17"/>
              </w:rPr>
            </w:pPr>
            <w:r>
              <w:rPr>
                <w:rFonts w:ascii="Times New Roman"/>
                <w:spacing w:val="-1"/>
                <w:sz w:val="17"/>
              </w:rPr>
              <w:t>27,600,000</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17"/>
              <w:jc w:val="right"/>
              <w:rPr>
                <w:rFonts w:ascii="Times New Roman" w:hAnsi="Times New Roman" w:cs="Times New Roman" w:eastAsia="Times New Roman" w:hint="default"/>
                <w:sz w:val="17"/>
                <w:szCs w:val="17"/>
              </w:rPr>
            </w:pPr>
            <w:r>
              <w:rPr>
                <w:rFonts w:ascii="Times New Roman"/>
                <w:spacing w:val="-1"/>
                <w:sz w:val="17"/>
              </w:rPr>
              <w:t>27,600,000</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17"/>
              <w:jc w:val="right"/>
              <w:rPr>
                <w:rFonts w:ascii="Times New Roman" w:hAnsi="Times New Roman" w:cs="Times New Roman" w:eastAsia="Times New Roman" w:hint="default"/>
                <w:sz w:val="17"/>
                <w:szCs w:val="17"/>
              </w:rPr>
            </w:pPr>
            <w:r>
              <w:rPr>
                <w:rFonts w:ascii="Times New Roman"/>
                <w:sz w:val="17"/>
              </w:rPr>
              <w:t>9.01</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1"/>
              <w:jc w:val="right"/>
              <w:rPr>
                <w:rFonts w:ascii="Times New Roman" w:hAnsi="Times New Roman" w:cs="Times New Roman" w:eastAsia="Times New Roman" w:hint="default"/>
                <w:sz w:val="17"/>
                <w:szCs w:val="17"/>
              </w:rPr>
            </w:pPr>
            <w:r>
              <w:rPr>
                <w:rFonts w:ascii="Times New Roman"/>
                <w:sz w:val="17"/>
              </w:rPr>
              <w:t>9.01</w:t>
            </w:r>
          </w:p>
        </w:tc>
        <w:tc>
          <w:tcPr>
            <w:tcW w:w="986" w:type="dxa"/>
            <w:tcBorders>
              <w:top w:val="nil" w:sz="6" w:space="0" w:color="auto"/>
              <w:left w:val="nil" w:sz="6" w:space="0" w:color="auto"/>
              <w:bottom w:val="nil" w:sz="6" w:space="0" w:color="auto"/>
              <w:right w:val="nil" w:sz="6" w:space="0" w:color="auto"/>
            </w:tcBorders>
          </w:tcPr>
          <w:p>
            <w:pPr/>
          </w:p>
        </w:tc>
        <w:tc>
          <w:tcPr>
            <w:tcW w:w="1026"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1023" w:type="dxa"/>
            <w:vMerge/>
            <w:tcBorders>
              <w:left w:val="nil" w:sz="6" w:space="0" w:color="auto"/>
              <w:right w:val="nil" w:sz="6" w:space="0" w:color="auto"/>
            </w:tcBorders>
          </w:tcPr>
          <w:p>
            <w:pPr/>
          </w:p>
        </w:tc>
      </w:tr>
      <w:tr>
        <w:trPr>
          <w:trHeight w:val="370"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87"/>
              <w:ind w:left="67" w:right="0"/>
              <w:jc w:val="left"/>
              <w:rPr>
                <w:rFonts w:ascii="Times New Roman" w:hAnsi="Times New Roman" w:cs="Times New Roman" w:eastAsia="Times New Roman" w:hint="default"/>
                <w:sz w:val="17"/>
                <w:szCs w:val="17"/>
              </w:rPr>
            </w:pPr>
            <w:r>
              <w:rPr>
                <w:rFonts w:ascii="Times New Roman"/>
                <w:sz w:val="17"/>
              </w:rPr>
              <w:t>Appconomy,</w:t>
            </w:r>
            <w:r>
              <w:rPr>
                <w:rFonts w:ascii="Times New Roman"/>
                <w:spacing w:val="-13"/>
                <w:sz w:val="17"/>
              </w:rPr>
              <w:t> </w:t>
            </w:r>
            <w:r>
              <w:rPr>
                <w:rFonts w:ascii="Times New Roman"/>
                <w:sz w:val="17"/>
              </w:rPr>
              <w:t>Inc.</w:t>
            </w:r>
          </w:p>
        </w:tc>
        <w:tc>
          <w:tcPr>
            <w:tcW w:w="83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0"/>
              <w:jc w:val="right"/>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39"/>
              <w:jc w:val="right"/>
              <w:rPr>
                <w:rFonts w:ascii="Times New Roman" w:hAnsi="Times New Roman" w:cs="Times New Roman" w:eastAsia="Times New Roman" w:hint="default"/>
                <w:sz w:val="17"/>
                <w:szCs w:val="17"/>
              </w:rPr>
            </w:pPr>
            <w:r>
              <w:rPr>
                <w:rFonts w:ascii="Times New Roman"/>
                <w:spacing w:val="-1"/>
                <w:sz w:val="17"/>
              </w:rPr>
              <w:t>24,934,400</w:t>
            </w:r>
          </w:p>
        </w:tc>
        <w:tc>
          <w:tcPr>
            <w:tcW w:w="1081"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3"/>
              <w:jc w:val="right"/>
              <w:rPr>
                <w:rFonts w:ascii="Times New Roman" w:hAnsi="Times New Roman" w:cs="Times New Roman" w:eastAsia="Times New Roman" w:hint="default"/>
                <w:sz w:val="17"/>
                <w:szCs w:val="17"/>
              </w:rPr>
            </w:pPr>
            <w:r>
              <w:rPr>
                <w:rFonts w:ascii="Times New Roman"/>
                <w:spacing w:val="-1"/>
                <w:sz w:val="17"/>
              </w:rPr>
              <w:t>24,934,400</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19"/>
              <w:jc w:val="right"/>
              <w:rPr>
                <w:rFonts w:ascii="Times New Roman" w:hAnsi="Times New Roman" w:cs="Times New Roman" w:eastAsia="Times New Roman" w:hint="default"/>
                <w:sz w:val="17"/>
                <w:szCs w:val="17"/>
              </w:rPr>
            </w:pPr>
            <w:r>
              <w:rPr>
                <w:rFonts w:ascii="Times New Roman"/>
                <w:spacing w:val="-1"/>
                <w:sz w:val="17"/>
              </w:rPr>
              <w:t>24,934,400</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17"/>
              <w:jc w:val="right"/>
              <w:rPr>
                <w:rFonts w:ascii="Times New Roman" w:hAnsi="Times New Roman" w:cs="Times New Roman" w:eastAsia="Times New Roman" w:hint="default"/>
                <w:sz w:val="17"/>
                <w:szCs w:val="17"/>
              </w:rPr>
            </w:pPr>
            <w:r>
              <w:rPr>
                <w:rFonts w:ascii="Times New Roman"/>
                <w:spacing w:val="-1"/>
                <w:sz w:val="17"/>
              </w:rPr>
              <w:t>13.3226</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1"/>
              <w:jc w:val="right"/>
              <w:rPr>
                <w:rFonts w:ascii="Times New Roman" w:hAnsi="Times New Roman" w:cs="Times New Roman" w:eastAsia="Times New Roman" w:hint="default"/>
                <w:sz w:val="17"/>
                <w:szCs w:val="17"/>
              </w:rPr>
            </w:pPr>
            <w:r>
              <w:rPr>
                <w:rFonts w:ascii="Times New Roman"/>
                <w:spacing w:val="-1"/>
                <w:sz w:val="17"/>
              </w:rPr>
              <w:t>13.3226</w:t>
            </w:r>
          </w:p>
        </w:tc>
        <w:tc>
          <w:tcPr>
            <w:tcW w:w="986" w:type="dxa"/>
            <w:tcBorders>
              <w:top w:val="nil" w:sz="6" w:space="0" w:color="auto"/>
              <w:left w:val="nil" w:sz="6" w:space="0" w:color="auto"/>
              <w:bottom w:val="nil" w:sz="6" w:space="0" w:color="auto"/>
              <w:right w:val="nil" w:sz="6" w:space="0" w:color="auto"/>
            </w:tcBorders>
          </w:tcPr>
          <w:p>
            <w:pPr/>
          </w:p>
        </w:tc>
        <w:tc>
          <w:tcPr>
            <w:tcW w:w="1026"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1023" w:type="dxa"/>
            <w:vMerge/>
            <w:tcBorders>
              <w:left w:val="nil" w:sz="6" w:space="0" w:color="auto"/>
              <w:right w:val="nil" w:sz="6" w:space="0" w:color="auto"/>
            </w:tcBorders>
          </w:tcPr>
          <w:p>
            <w:pPr/>
          </w:p>
        </w:tc>
      </w:tr>
      <w:tr>
        <w:trPr>
          <w:trHeight w:val="370"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7" w:right="0"/>
              <w:jc w:val="left"/>
              <w:rPr>
                <w:rFonts w:ascii="Times New Roman" w:hAnsi="Times New Roman" w:cs="Times New Roman" w:eastAsia="Times New Roman" w:hint="default"/>
                <w:sz w:val="17"/>
                <w:szCs w:val="17"/>
              </w:rPr>
            </w:pPr>
            <w:r>
              <w:rPr>
                <w:rFonts w:ascii="宋体" w:hAnsi="宋体" w:cs="宋体" w:eastAsia="宋体" w:hint="default"/>
                <w:sz w:val="17"/>
                <w:szCs w:val="17"/>
              </w:rPr>
              <w:t>北京源越通软件技术有限公司</w:t>
            </w:r>
            <w:r>
              <w:rPr>
                <w:rFonts w:ascii="Times New Roman" w:hAnsi="Times New Roman" w:cs="Times New Roman" w:eastAsia="Times New Roman" w:hint="default"/>
                <w:sz w:val="17"/>
                <w:szCs w:val="17"/>
              </w:rPr>
              <w:t>(</w:t>
            </w:r>
            <w:r>
              <w:rPr>
                <w:rFonts w:ascii="宋体" w:hAnsi="宋体" w:cs="宋体" w:eastAsia="宋体" w:hint="default"/>
                <w:sz w:val="17"/>
                <w:szCs w:val="17"/>
              </w:rPr>
              <w:t>注</w:t>
            </w:r>
            <w:r>
              <w:rPr>
                <w:rFonts w:ascii="宋体" w:hAnsi="宋体" w:cs="宋体" w:eastAsia="宋体" w:hint="default"/>
                <w:spacing w:val="-47"/>
                <w:sz w:val="17"/>
                <w:szCs w:val="17"/>
              </w:rPr>
              <w:t> </w:t>
            </w:r>
            <w:r>
              <w:rPr>
                <w:rFonts w:ascii="Times New Roman" w:hAnsi="Times New Roman" w:cs="Times New Roman" w:eastAsia="Times New Roman" w:hint="default"/>
                <w:sz w:val="17"/>
                <w:szCs w:val="17"/>
              </w:rPr>
              <w:t>2)</w:t>
            </w:r>
          </w:p>
        </w:tc>
        <w:tc>
          <w:tcPr>
            <w:tcW w:w="83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40"/>
              <w:jc w:val="right"/>
              <w:rPr>
                <w:rFonts w:ascii="宋体" w:hAnsi="宋体" w:cs="宋体" w:eastAsia="宋体" w:hint="default"/>
                <w:sz w:val="17"/>
                <w:szCs w:val="17"/>
              </w:rPr>
            </w:pPr>
            <w:r>
              <w:rPr>
                <w:rFonts w:ascii="宋体" w:hAnsi="宋体" w:cs="宋体" w:eastAsia="宋体" w:hint="default"/>
                <w:sz w:val="17"/>
                <w:szCs w:val="17"/>
              </w:rPr>
              <w:t>成本法</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81" w:right="0"/>
              <w:jc w:val="left"/>
              <w:rPr>
                <w:rFonts w:ascii="Times New Roman" w:hAnsi="Times New Roman" w:cs="Times New Roman" w:eastAsia="Times New Roman" w:hint="default"/>
                <w:sz w:val="17"/>
                <w:szCs w:val="17"/>
              </w:rPr>
            </w:pPr>
            <w:r>
              <w:rPr>
                <w:rFonts w:ascii="Times New Roman"/>
                <w:sz w:val="17"/>
              </w:rPr>
              <w:t>2,989,600</w:t>
            </w:r>
          </w:p>
        </w:tc>
        <w:tc>
          <w:tcPr>
            <w:tcW w:w="1081"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93"/>
              <w:jc w:val="right"/>
              <w:rPr>
                <w:rFonts w:ascii="Times New Roman" w:hAnsi="Times New Roman" w:cs="Times New Roman" w:eastAsia="Times New Roman" w:hint="default"/>
                <w:sz w:val="17"/>
                <w:szCs w:val="17"/>
              </w:rPr>
            </w:pPr>
            <w:r>
              <w:rPr>
                <w:rFonts w:ascii="Times New Roman"/>
                <w:spacing w:val="-1"/>
                <w:sz w:val="17"/>
              </w:rPr>
              <w:t>2,989,600</w:t>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17"/>
              <w:jc w:val="right"/>
              <w:rPr>
                <w:rFonts w:ascii="Times New Roman" w:hAnsi="Times New Roman" w:cs="Times New Roman" w:eastAsia="Times New Roman" w:hint="default"/>
                <w:sz w:val="17"/>
                <w:szCs w:val="17"/>
              </w:rPr>
            </w:pPr>
            <w:r>
              <w:rPr>
                <w:rFonts w:ascii="Times New Roman"/>
                <w:spacing w:val="-1"/>
                <w:sz w:val="17"/>
              </w:rPr>
              <w:t>2,989,600</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217"/>
              <w:jc w:val="right"/>
              <w:rPr>
                <w:rFonts w:ascii="Times New Roman" w:hAnsi="Times New Roman" w:cs="Times New Roman" w:eastAsia="Times New Roman" w:hint="default"/>
                <w:sz w:val="17"/>
                <w:szCs w:val="17"/>
              </w:rPr>
            </w:pPr>
            <w:r>
              <w:rPr>
                <w:rFonts w:ascii="Times New Roman"/>
                <w:sz w:val="17"/>
              </w:rPr>
              <w:t>74.00</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61"/>
              <w:jc w:val="right"/>
              <w:rPr>
                <w:rFonts w:ascii="Times New Roman" w:hAnsi="Times New Roman" w:cs="Times New Roman" w:eastAsia="Times New Roman" w:hint="default"/>
                <w:sz w:val="17"/>
                <w:szCs w:val="17"/>
              </w:rPr>
            </w:pPr>
            <w:r>
              <w:rPr>
                <w:rFonts w:ascii="Times New Roman"/>
                <w:sz w:val="17"/>
              </w:rPr>
              <w:t>74.00</w:t>
            </w:r>
          </w:p>
        </w:tc>
        <w:tc>
          <w:tcPr>
            <w:tcW w:w="986" w:type="dxa"/>
            <w:tcBorders>
              <w:top w:val="nil" w:sz="6" w:space="0" w:color="auto"/>
              <w:left w:val="nil" w:sz="6" w:space="0" w:color="auto"/>
              <w:bottom w:val="nil" w:sz="6" w:space="0" w:color="auto"/>
              <w:right w:val="nil" w:sz="6" w:space="0" w:color="auto"/>
            </w:tcBorders>
          </w:tcPr>
          <w:p>
            <w:pP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17"/>
              <w:jc w:val="right"/>
              <w:rPr>
                <w:rFonts w:ascii="Times New Roman" w:hAnsi="Times New Roman" w:cs="Times New Roman" w:eastAsia="Times New Roman" w:hint="default"/>
                <w:sz w:val="17"/>
                <w:szCs w:val="17"/>
              </w:rPr>
            </w:pPr>
            <w:r>
              <w:rPr>
                <w:rFonts w:ascii="Times New Roman"/>
                <w:spacing w:val="-1"/>
                <w:sz w:val="17"/>
              </w:rPr>
              <w:t>1,448,028</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62"/>
              <w:jc w:val="center"/>
              <w:rPr>
                <w:rFonts w:ascii="Times New Roman" w:hAnsi="Times New Roman" w:cs="Times New Roman" w:eastAsia="Times New Roman" w:hint="default"/>
                <w:sz w:val="17"/>
                <w:szCs w:val="17"/>
              </w:rPr>
            </w:pPr>
            <w:r>
              <w:rPr>
                <w:rFonts w:ascii="Times New Roman"/>
                <w:sz w:val="17"/>
              </w:rPr>
              <w:t>1,448,028</w:t>
            </w:r>
          </w:p>
        </w:tc>
        <w:tc>
          <w:tcPr>
            <w:tcW w:w="1023" w:type="dxa"/>
            <w:vMerge/>
            <w:tcBorders>
              <w:left w:val="nil" w:sz="6" w:space="0" w:color="auto"/>
              <w:bottom w:val="nil" w:sz="6" w:space="0" w:color="auto"/>
              <w:right w:val="nil" w:sz="6" w:space="0" w:color="auto"/>
            </w:tcBorders>
          </w:tcPr>
          <w:p>
            <w:pPr/>
          </w:p>
        </w:tc>
      </w:tr>
      <w:tr>
        <w:trPr>
          <w:trHeight w:val="372" w:hRule="exact"/>
        </w:trPr>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7" w:right="0"/>
              <w:jc w:val="left"/>
              <w:rPr>
                <w:rFonts w:ascii="宋体" w:hAnsi="宋体" w:cs="宋体" w:eastAsia="宋体" w:hint="default"/>
                <w:sz w:val="17"/>
                <w:szCs w:val="17"/>
              </w:rPr>
            </w:pPr>
            <w:r>
              <w:rPr>
                <w:rFonts w:ascii="宋体" w:hAnsi="宋体" w:cs="宋体" w:eastAsia="宋体" w:hint="default"/>
                <w:b/>
                <w:bCs/>
                <w:sz w:val="17"/>
                <w:szCs w:val="17"/>
              </w:rPr>
              <w:t>成本法小计</w:t>
            </w:r>
            <w:r>
              <w:rPr>
                <w:rFonts w:ascii="宋体" w:hAnsi="宋体" w:cs="宋体" w:eastAsia="宋体" w:hint="default"/>
                <w:sz w:val="17"/>
                <w:szCs w:val="17"/>
              </w:rPr>
            </w:r>
          </w:p>
        </w:tc>
        <w:tc>
          <w:tcPr>
            <w:tcW w:w="839" w:type="dxa"/>
            <w:tcBorders>
              <w:top w:val="nil" w:sz="6" w:space="0" w:color="auto"/>
              <w:left w:val="nil" w:sz="6" w:space="0" w:color="auto"/>
              <w:bottom w:val="nil" w:sz="6" w:space="0" w:color="auto"/>
              <w:right w:val="nil" w:sz="6" w:space="0" w:color="auto"/>
            </w:tcBorders>
          </w:tcPr>
          <w:p>
            <w:pP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42" w:right="0"/>
              <w:jc w:val="left"/>
              <w:rPr>
                <w:rFonts w:ascii="Times New Roman" w:hAnsi="Times New Roman" w:cs="Times New Roman" w:eastAsia="Times New Roman" w:hint="default"/>
                <w:sz w:val="17"/>
                <w:szCs w:val="17"/>
              </w:rPr>
            </w:pPr>
            <w:r>
              <w:rPr>
                <w:rFonts w:ascii="Times New Roman"/>
                <w:b/>
                <w:sz w:val="17"/>
              </w:rPr>
              <w:t>445,389,486</w:t>
            </w:r>
            <w:r>
              <w:rPr>
                <w:rFonts w:ascii="Times New Roman"/>
                <w:sz w:val="17"/>
              </w:rPr>
            </w:r>
          </w:p>
        </w:tc>
        <w:tc>
          <w:tcPr>
            <w:tcW w:w="1081"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88"/>
              <w:jc w:val="right"/>
              <w:rPr>
                <w:rFonts w:ascii="Times New Roman" w:hAnsi="Times New Roman" w:cs="Times New Roman" w:eastAsia="Times New Roman" w:hint="default"/>
                <w:sz w:val="17"/>
                <w:szCs w:val="17"/>
              </w:rPr>
            </w:pPr>
            <w:r>
              <w:rPr>
                <w:rFonts w:ascii="Times New Roman"/>
                <w:b/>
                <w:spacing w:val="-1"/>
                <w:sz w:val="17"/>
              </w:rPr>
              <w:t>389,865,486</w:t>
            </w:r>
            <w:r>
              <w:rPr>
                <w:rFonts w:ascii="Times New Roman"/>
                <w:spacing w:val="-1"/>
                <w:sz w:val="17"/>
              </w:rPr>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93"/>
              <w:jc w:val="right"/>
              <w:rPr>
                <w:rFonts w:ascii="Times New Roman" w:hAnsi="Times New Roman" w:cs="Times New Roman" w:eastAsia="Times New Roman" w:hint="default"/>
                <w:sz w:val="17"/>
                <w:szCs w:val="17"/>
              </w:rPr>
            </w:pPr>
            <w:r>
              <w:rPr>
                <w:rFonts w:ascii="Times New Roman"/>
                <w:b/>
                <w:spacing w:val="-1"/>
                <w:sz w:val="17"/>
              </w:rPr>
              <w:t>55,524,000</w:t>
            </w:r>
            <w:r>
              <w:rPr>
                <w:rFonts w:ascii="Times New Roman"/>
                <w:spacing w:val="-1"/>
                <w:sz w:val="17"/>
              </w:rPr>
            </w:r>
          </w:p>
        </w:tc>
        <w:tc>
          <w:tcPr>
            <w:tcW w:w="116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17"/>
              <w:jc w:val="right"/>
              <w:rPr>
                <w:rFonts w:ascii="Times New Roman" w:hAnsi="Times New Roman" w:cs="Times New Roman" w:eastAsia="Times New Roman" w:hint="default"/>
                <w:sz w:val="17"/>
                <w:szCs w:val="17"/>
              </w:rPr>
            </w:pPr>
            <w:r>
              <w:rPr>
                <w:rFonts w:ascii="Times New Roman"/>
                <w:b/>
                <w:spacing w:val="-1"/>
                <w:sz w:val="17"/>
              </w:rPr>
              <w:t>445,389,486</w:t>
            </w:r>
            <w:r>
              <w:rPr>
                <w:rFonts w:ascii="Times New Roman"/>
                <w:spacing w:val="-1"/>
                <w:sz w:val="17"/>
              </w:rPr>
            </w:r>
          </w:p>
        </w:tc>
        <w:tc>
          <w:tcPr>
            <w:tcW w:w="992" w:type="dxa"/>
            <w:tcBorders>
              <w:top w:val="nil" w:sz="6" w:space="0" w:color="auto"/>
              <w:left w:val="nil" w:sz="6" w:space="0" w:color="auto"/>
              <w:bottom w:val="nil" w:sz="6" w:space="0" w:color="auto"/>
              <w:right w:val="nil" w:sz="6" w:space="0" w:color="auto"/>
            </w:tcBorders>
          </w:tcPr>
          <w:p>
            <w:pPr/>
          </w:p>
        </w:tc>
        <w:tc>
          <w:tcPr>
            <w:tcW w:w="936"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18"/>
              <w:jc w:val="right"/>
              <w:rPr>
                <w:rFonts w:ascii="Times New Roman" w:hAnsi="Times New Roman" w:cs="Times New Roman" w:eastAsia="Times New Roman" w:hint="default"/>
                <w:sz w:val="17"/>
                <w:szCs w:val="17"/>
              </w:rPr>
            </w:pPr>
            <w:r>
              <w:rPr>
                <w:rFonts w:ascii="Times New Roman"/>
                <w:b/>
                <w:spacing w:val="-1"/>
                <w:sz w:val="17"/>
              </w:rPr>
              <w:t>12,368,028</w:t>
            </w:r>
            <w:r>
              <w:rPr>
                <w:rFonts w:ascii="Times New Roman"/>
                <w:spacing w:val="-1"/>
                <w:sz w:val="17"/>
              </w:rPr>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62"/>
              <w:jc w:val="center"/>
              <w:rPr>
                <w:rFonts w:ascii="Times New Roman" w:hAnsi="Times New Roman" w:cs="Times New Roman" w:eastAsia="Times New Roman" w:hint="default"/>
                <w:sz w:val="17"/>
                <w:szCs w:val="17"/>
              </w:rPr>
            </w:pPr>
            <w:r>
              <w:rPr>
                <w:rFonts w:ascii="Times New Roman"/>
                <w:b/>
                <w:sz w:val="17"/>
              </w:rPr>
              <w:t>1,448,028</w:t>
            </w:r>
            <w:r>
              <w:rPr>
                <w:rFonts w:ascii="Times New Roman"/>
                <w:sz w:val="17"/>
              </w:rPr>
            </w:r>
          </w:p>
        </w:tc>
        <w:tc>
          <w:tcPr>
            <w:tcW w:w="1023" w:type="dxa"/>
            <w:tcBorders>
              <w:top w:val="nil" w:sz="6" w:space="0" w:color="auto"/>
              <w:left w:val="nil" w:sz="6" w:space="0" w:color="auto"/>
              <w:bottom w:val="nil" w:sz="6" w:space="0" w:color="auto"/>
              <w:right w:val="nil" w:sz="6" w:space="0" w:color="auto"/>
            </w:tcBorders>
          </w:tcPr>
          <w:p>
            <w:pPr/>
          </w:p>
        </w:tc>
      </w:tr>
      <w:tr>
        <w:trPr>
          <w:trHeight w:val="300" w:hRule="exact"/>
        </w:trPr>
        <w:tc>
          <w:tcPr>
            <w:tcW w:w="2974" w:type="dxa"/>
            <w:tcBorders>
              <w:top w:val="nil" w:sz="6" w:space="0" w:color="auto"/>
              <w:left w:val="nil" w:sz="6" w:space="0" w:color="auto"/>
              <w:bottom w:val="single" w:sz="12" w:space="0" w:color="000000"/>
              <w:right w:val="nil" w:sz="6" w:space="0" w:color="auto"/>
            </w:tcBorders>
          </w:tcPr>
          <w:p>
            <w:pPr>
              <w:pStyle w:val="TableParagraph"/>
              <w:tabs>
                <w:tab w:pos="579" w:val="left" w:leader="none"/>
              </w:tabs>
              <w:spacing w:line="240" w:lineRule="auto" w:before="37"/>
              <w:ind w:left="67" w:right="0"/>
              <w:jc w:val="left"/>
              <w:rPr>
                <w:rFonts w:ascii="宋体" w:hAnsi="宋体" w:cs="宋体" w:eastAsia="宋体" w:hint="default"/>
                <w:sz w:val="17"/>
                <w:szCs w:val="17"/>
              </w:rPr>
            </w:pPr>
            <w:r>
              <w:rPr>
                <w:rFonts w:ascii="宋体" w:hAnsi="宋体" w:cs="宋体" w:eastAsia="宋体" w:hint="default"/>
                <w:b/>
                <w:bCs/>
                <w:w w:val="95"/>
                <w:sz w:val="17"/>
                <w:szCs w:val="17"/>
              </w:rPr>
              <w:t>合</w:t>
              <w:tab/>
            </w:r>
            <w:r>
              <w:rPr>
                <w:rFonts w:ascii="宋体" w:hAnsi="宋体" w:cs="宋体" w:eastAsia="宋体" w:hint="default"/>
                <w:b/>
                <w:bCs/>
                <w:sz w:val="17"/>
                <w:szCs w:val="17"/>
              </w:rPr>
              <w:t>计</w:t>
            </w:r>
            <w:r>
              <w:rPr>
                <w:rFonts w:ascii="宋体" w:hAnsi="宋体" w:cs="宋体" w:eastAsia="宋体" w:hint="default"/>
                <w:sz w:val="17"/>
                <w:szCs w:val="17"/>
              </w:rPr>
            </w:r>
          </w:p>
        </w:tc>
        <w:tc>
          <w:tcPr>
            <w:tcW w:w="839" w:type="dxa"/>
            <w:tcBorders>
              <w:top w:val="nil" w:sz="6" w:space="0" w:color="auto"/>
              <w:left w:val="nil" w:sz="6" w:space="0" w:color="auto"/>
              <w:bottom w:val="single" w:sz="12" w:space="0" w:color="000000"/>
              <w:right w:val="nil" w:sz="6" w:space="0" w:color="auto"/>
            </w:tcBorders>
          </w:tcPr>
          <w:p>
            <w:pPr/>
          </w:p>
        </w:tc>
        <w:tc>
          <w:tcPr>
            <w:tcW w:w="1168" w:type="dxa"/>
            <w:tcBorders>
              <w:top w:val="nil" w:sz="6" w:space="0" w:color="auto"/>
              <w:left w:val="nil" w:sz="6" w:space="0" w:color="auto"/>
              <w:bottom w:val="single" w:sz="12" w:space="0" w:color="000000"/>
              <w:right w:val="nil" w:sz="6" w:space="0" w:color="auto"/>
            </w:tcBorders>
          </w:tcPr>
          <w:p>
            <w:pPr>
              <w:pStyle w:val="TableParagraph"/>
              <w:spacing w:line="240" w:lineRule="auto" w:before="88"/>
              <w:ind w:left="142" w:right="0"/>
              <w:jc w:val="left"/>
              <w:rPr>
                <w:rFonts w:ascii="Times New Roman" w:hAnsi="Times New Roman" w:cs="Times New Roman" w:eastAsia="Times New Roman" w:hint="default"/>
                <w:sz w:val="17"/>
                <w:szCs w:val="17"/>
              </w:rPr>
            </w:pPr>
            <w:r>
              <w:rPr>
                <w:rFonts w:ascii="Times New Roman"/>
                <w:b/>
                <w:sz w:val="17"/>
              </w:rPr>
              <w:t>642,659,930</w:t>
            </w:r>
            <w:r>
              <w:rPr>
                <w:rFonts w:ascii="Times New Roman"/>
                <w:sz w:val="17"/>
              </w:rPr>
            </w:r>
          </w:p>
        </w:tc>
        <w:tc>
          <w:tcPr>
            <w:tcW w:w="1081" w:type="dxa"/>
            <w:tcBorders>
              <w:top w:val="nil" w:sz="6" w:space="0" w:color="auto"/>
              <w:left w:val="nil" w:sz="6" w:space="0" w:color="auto"/>
              <w:bottom w:val="single" w:sz="12" w:space="0" w:color="000000"/>
              <w:right w:val="nil" w:sz="6" w:space="0" w:color="auto"/>
            </w:tcBorders>
          </w:tcPr>
          <w:p>
            <w:pPr>
              <w:pStyle w:val="TableParagraph"/>
              <w:spacing w:line="240" w:lineRule="auto" w:before="88"/>
              <w:ind w:right="88"/>
              <w:jc w:val="right"/>
              <w:rPr>
                <w:rFonts w:ascii="Times New Roman" w:hAnsi="Times New Roman" w:cs="Times New Roman" w:eastAsia="Times New Roman" w:hint="default"/>
                <w:sz w:val="17"/>
                <w:szCs w:val="17"/>
              </w:rPr>
            </w:pPr>
            <w:r>
              <w:rPr>
                <w:rFonts w:ascii="Times New Roman"/>
                <w:b/>
                <w:spacing w:val="-1"/>
                <w:sz w:val="17"/>
              </w:rPr>
              <w:t>625,756,497</w:t>
            </w:r>
            <w:r>
              <w:rPr>
                <w:rFonts w:ascii="Times New Roman"/>
                <w:spacing w:val="-1"/>
                <w:sz w:val="17"/>
              </w:rPr>
            </w:r>
          </w:p>
        </w:tc>
        <w:tc>
          <w:tcPr>
            <w:tcW w:w="950" w:type="dxa"/>
            <w:tcBorders>
              <w:top w:val="nil" w:sz="6" w:space="0" w:color="auto"/>
              <w:left w:val="nil" w:sz="6" w:space="0" w:color="auto"/>
              <w:bottom w:val="single" w:sz="12" w:space="0" w:color="000000"/>
              <w:right w:val="nil" w:sz="6" w:space="0" w:color="auto"/>
            </w:tcBorders>
          </w:tcPr>
          <w:p>
            <w:pPr>
              <w:pStyle w:val="TableParagraph"/>
              <w:spacing w:line="240" w:lineRule="auto" w:before="88"/>
              <w:ind w:right="93"/>
              <w:jc w:val="right"/>
              <w:rPr>
                <w:rFonts w:ascii="Times New Roman" w:hAnsi="Times New Roman" w:cs="Times New Roman" w:eastAsia="Times New Roman" w:hint="default"/>
                <w:sz w:val="17"/>
                <w:szCs w:val="17"/>
              </w:rPr>
            </w:pPr>
            <w:r>
              <w:rPr>
                <w:rFonts w:ascii="Times New Roman"/>
                <w:b/>
                <w:spacing w:val="-1"/>
                <w:sz w:val="17"/>
              </w:rPr>
              <w:t>89,837,920</w:t>
            </w:r>
            <w:r>
              <w:rPr>
                <w:rFonts w:ascii="Times New Roman"/>
                <w:spacing w:val="-1"/>
                <w:sz w:val="17"/>
              </w:rPr>
            </w:r>
          </w:p>
        </w:tc>
        <w:tc>
          <w:tcPr>
            <w:tcW w:w="1166" w:type="dxa"/>
            <w:tcBorders>
              <w:top w:val="nil" w:sz="6" w:space="0" w:color="auto"/>
              <w:left w:val="nil" w:sz="6" w:space="0" w:color="auto"/>
              <w:bottom w:val="single" w:sz="12" w:space="0" w:color="000000"/>
              <w:right w:val="nil" w:sz="6" w:space="0" w:color="auto"/>
            </w:tcBorders>
          </w:tcPr>
          <w:p>
            <w:pPr>
              <w:pStyle w:val="TableParagraph"/>
              <w:spacing w:line="240" w:lineRule="auto" w:before="88"/>
              <w:ind w:right="217"/>
              <w:jc w:val="right"/>
              <w:rPr>
                <w:rFonts w:ascii="Times New Roman" w:hAnsi="Times New Roman" w:cs="Times New Roman" w:eastAsia="Times New Roman" w:hint="default"/>
                <w:sz w:val="17"/>
                <w:szCs w:val="17"/>
              </w:rPr>
            </w:pPr>
            <w:r>
              <w:rPr>
                <w:rFonts w:ascii="Times New Roman"/>
                <w:b/>
                <w:spacing w:val="-1"/>
                <w:sz w:val="17"/>
              </w:rPr>
              <w:t>715,594,417</w:t>
            </w:r>
            <w:r>
              <w:rPr>
                <w:rFonts w:ascii="Times New Roman"/>
                <w:spacing w:val="-1"/>
                <w:sz w:val="17"/>
              </w:rPr>
            </w:r>
          </w:p>
        </w:tc>
        <w:tc>
          <w:tcPr>
            <w:tcW w:w="992" w:type="dxa"/>
            <w:tcBorders>
              <w:top w:val="nil" w:sz="6" w:space="0" w:color="auto"/>
              <w:left w:val="nil" w:sz="6" w:space="0" w:color="auto"/>
              <w:bottom w:val="single" w:sz="12" w:space="0" w:color="000000"/>
              <w:right w:val="nil" w:sz="6" w:space="0" w:color="auto"/>
            </w:tcBorders>
          </w:tcPr>
          <w:p>
            <w:pPr/>
          </w:p>
        </w:tc>
        <w:tc>
          <w:tcPr>
            <w:tcW w:w="936" w:type="dxa"/>
            <w:tcBorders>
              <w:top w:val="nil" w:sz="6" w:space="0" w:color="auto"/>
              <w:left w:val="nil" w:sz="6" w:space="0" w:color="auto"/>
              <w:bottom w:val="single" w:sz="12" w:space="0" w:color="000000"/>
              <w:right w:val="nil" w:sz="6" w:space="0" w:color="auto"/>
            </w:tcBorders>
          </w:tcPr>
          <w:p>
            <w:pPr/>
          </w:p>
        </w:tc>
        <w:tc>
          <w:tcPr>
            <w:tcW w:w="986" w:type="dxa"/>
            <w:tcBorders>
              <w:top w:val="nil" w:sz="6" w:space="0" w:color="auto"/>
              <w:left w:val="nil" w:sz="6" w:space="0" w:color="auto"/>
              <w:bottom w:val="single" w:sz="12" w:space="0" w:color="000000"/>
              <w:right w:val="nil" w:sz="6" w:space="0" w:color="auto"/>
            </w:tcBorders>
          </w:tcPr>
          <w:p>
            <w:pPr/>
          </w:p>
        </w:tc>
        <w:tc>
          <w:tcPr>
            <w:tcW w:w="1026" w:type="dxa"/>
            <w:tcBorders>
              <w:top w:val="nil" w:sz="6" w:space="0" w:color="auto"/>
              <w:left w:val="nil" w:sz="6" w:space="0" w:color="auto"/>
              <w:bottom w:val="single" w:sz="12" w:space="0" w:color="000000"/>
              <w:right w:val="nil" w:sz="6" w:space="0" w:color="auto"/>
            </w:tcBorders>
          </w:tcPr>
          <w:p>
            <w:pPr>
              <w:pStyle w:val="TableParagraph"/>
              <w:spacing w:line="240" w:lineRule="auto" w:before="88"/>
              <w:ind w:right="118"/>
              <w:jc w:val="right"/>
              <w:rPr>
                <w:rFonts w:ascii="Times New Roman" w:hAnsi="Times New Roman" w:cs="Times New Roman" w:eastAsia="Times New Roman" w:hint="default"/>
                <w:sz w:val="17"/>
                <w:szCs w:val="17"/>
              </w:rPr>
            </w:pPr>
            <w:r>
              <w:rPr>
                <w:rFonts w:ascii="Times New Roman"/>
                <w:b/>
                <w:spacing w:val="-1"/>
                <w:sz w:val="17"/>
              </w:rPr>
              <w:t>12,368,028</w:t>
            </w:r>
            <w:r>
              <w:rPr>
                <w:rFonts w:ascii="Times New Roman"/>
                <w:spacing w:val="-1"/>
                <w:sz w:val="17"/>
              </w:rPr>
            </w:r>
          </w:p>
        </w:tc>
        <w:tc>
          <w:tcPr>
            <w:tcW w:w="986" w:type="dxa"/>
            <w:tcBorders>
              <w:top w:val="nil" w:sz="6" w:space="0" w:color="auto"/>
              <w:left w:val="nil" w:sz="6" w:space="0" w:color="auto"/>
              <w:bottom w:val="single" w:sz="12" w:space="0" w:color="000000"/>
              <w:right w:val="nil" w:sz="6" w:space="0" w:color="auto"/>
            </w:tcBorders>
          </w:tcPr>
          <w:p>
            <w:pPr>
              <w:pStyle w:val="TableParagraph"/>
              <w:spacing w:line="240" w:lineRule="auto" w:before="88"/>
              <w:ind w:right="62"/>
              <w:jc w:val="center"/>
              <w:rPr>
                <w:rFonts w:ascii="Times New Roman" w:hAnsi="Times New Roman" w:cs="Times New Roman" w:eastAsia="Times New Roman" w:hint="default"/>
                <w:sz w:val="17"/>
                <w:szCs w:val="17"/>
              </w:rPr>
            </w:pPr>
            <w:r>
              <w:rPr>
                <w:rFonts w:ascii="Times New Roman"/>
                <w:b/>
                <w:sz w:val="17"/>
              </w:rPr>
              <w:t>1,448,028</w:t>
            </w:r>
            <w:r>
              <w:rPr>
                <w:rFonts w:ascii="Times New Roman"/>
                <w:sz w:val="17"/>
              </w:rPr>
            </w:r>
          </w:p>
        </w:tc>
        <w:tc>
          <w:tcPr>
            <w:tcW w:w="1023" w:type="dxa"/>
            <w:tcBorders>
              <w:top w:val="nil" w:sz="6" w:space="0" w:color="auto"/>
              <w:left w:val="nil" w:sz="6" w:space="0" w:color="auto"/>
              <w:bottom w:val="single" w:sz="12" w:space="0" w:color="000000"/>
              <w:right w:val="nil" w:sz="6" w:space="0" w:color="auto"/>
            </w:tcBorders>
          </w:tcPr>
          <w:p>
            <w:pPr>
              <w:pStyle w:val="TableParagraph"/>
              <w:spacing w:line="240" w:lineRule="auto" w:before="88"/>
              <w:ind w:left="184" w:right="0"/>
              <w:jc w:val="left"/>
              <w:rPr>
                <w:rFonts w:ascii="Times New Roman" w:hAnsi="Times New Roman" w:cs="Times New Roman" w:eastAsia="Times New Roman" w:hint="default"/>
                <w:sz w:val="17"/>
                <w:szCs w:val="17"/>
              </w:rPr>
            </w:pPr>
            <w:r>
              <w:rPr>
                <w:rFonts w:ascii="Times New Roman"/>
                <w:b/>
                <w:sz w:val="17"/>
              </w:rPr>
              <w:t>24,010,000</w:t>
            </w:r>
            <w:r>
              <w:rPr>
                <w:rFonts w:ascii="Times New Roman"/>
                <w:sz w:val="17"/>
              </w:rPr>
            </w:r>
          </w:p>
        </w:tc>
      </w:tr>
    </w:tbl>
    <w:p>
      <w:pPr>
        <w:pStyle w:val="BodyText"/>
        <w:spacing w:line="314" w:lineRule="auto" w:before="38"/>
        <w:ind w:left="857" w:right="294"/>
        <w:jc w:val="left"/>
      </w:pPr>
      <w:r>
        <w:rPr/>
        <w:pict>
          <v:group style="position:absolute;margin-left:102.051003pt;margin-top:-260.756317pt;width:708.35pt;height:258.5pt;mso-position-horizontal-relative:page;mso-position-vertical-relative:paragraph;z-index:-1120456" coordorigin="2041,-5215" coordsize="14167,5170">
            <v:group style="position:absolute;left:2070;top:-5200;width:14112;height:2" coordorigin="2070,-5200" coordsize="14112,2">
              <v:shape style="position:absolute;left:2070;top:-5200;width:14112;height:2" coordorigin="2070,-5200" coordsize="14112,0" path="m2070,-5200l16182,-5200e" filled="false" stroked="true" strokeweight="1.5pt" strokecolor="#000000">
                <v:path arrowok="t"/>
              </v:shape>
              <v:shape style="position:absolute;left:5093;top:-5214;width:9988;height:1498" type="#_x0000_t75" stroked="false">
                <v:imagedata r:id="rId184" o:title=""/>
              </v:shape>
              <v:shape style="position:absolute;left:2041;top:-3767;width:14167;height:3721" type="#_x0000_t75" stroked="false">
                <v:imagedata r:id="rId186" o:title=""/>
              </v:shape>
              <v:shape style="position:absolute;left:12155;top:-5021;width:102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pacing w:val="-1"/>
                          <w:sz w:val="17"/>
                          <w:szCs w:val="17"/>
                        </w:rPr>
                        <w:t>在被投资单位</w:t>
                      </w:r>
                    </w:p>
                  </w:txbxContent>
                </v:textbox>
                <w10:wrap type="none"/>
              </v:shape>
              <v:shape style="position:absolute;left:10158;top:-4841;width:184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在被投资单</w:t>
                      </w:r>
                      <w:r>
                        <w:rPr>
                          <w:rFonts w:ascii="宋体" w:hAnsi="宋体" w:cs="宋体" w:eastAsia="宋体" w:hint="default"/>
                          <w:spacing w:val="55"/>
                          <w:sz w:val="17"/>
                          <w:szCs w:val="17"/>
                        </w:rPr>
                        <w:t> </w:t>
                      </w:r>
                      <w:r>
                        <w:rPr>
                          <w:rFonts w:ascii="宋体" w:hAnsi="宋体" w:cs="宋体" w:eastAsia="宋体" w:hint="default"/>
                          <w:sz w:val="17"/>
                          <w:szCs w:val="17"/>
                        </w:rPr>
                        <w:t>在被投资单</w:t>
                      </w:r>
                    </w:p>
                  </w:txbxContent>
                </v:textbox>
                <w10:wrap type="none"/>
              </v:shape>
              <v:shape style="position:absolute;left:5226;top:-4661;width:51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核算方</w:t>
                      </w:r>
                    </w:p>
                  </w:txbxContent>
                </v:textbox>
                <w10:wrap type="none"/>
              </v:shape>
              <v:shape style="position:absolute;left:12155;top:-4661;width:2774;height:171" type="#_x0000_t202" filled="false" stroked="false">
                <v:textbox inset="0,0,0,0">
                  <w:txbxContent>
                    <w:p>
                      <w:pPr>
                        <w:tabs>
                          <w:tab w:pos="2091" w:val="left" w:leader="none"/>
                        </w:tabs>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持股比例与表</w:t>
                      </w:r>
                      <w:r>
                        <w:rPr>
                          <w:rFonts w:ascii="宋体" w:hAnsi="宋体" w:cs="宋体" w:eastAsia="宋体" w:hint="default"/>
                          <w:spacing w:val="65"/>
                          <w:sz w:val="17"/>
                          <w:szCs w:val="17"/>
                        </w:rPr>
                        <w:t> </w:t>
                      </w:r>
                      <w:r>
                        <w:rPr>
                          <w:rFonts w:ascii="宋体" w:hAnsi="宋体" w:cs="宋体" w:eastAsia="宋体" w:hint="default"/>
                          <w:sz w:val="17"/>
                          <w:szCs w:val="17"/>
                        </w:rPr>
                        <w:t>累计减值</w:t>
                        <w:tab/>
                        <w:t>本期计提</w:t>
                      </w:r>
                    </w:p>
                  </w:txbxContent>
                </v:textbox>
                <w10:wrap type="none"/>
              </v:shape>
              <v:shape style="position:absolute;left:3173;top:-4481;width:851;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pacing w:val="-1"/>
                          <w:sz w:val="17"/>
                          <w:szCs w:val="17"/>
                        </w:rPr>
                        <w:t>被投资单位</w:t>
                      </w:r>
                    </w:p>
                  </w:txbxContent>
                </v:textbox>
                <w10:wrap type="none"/>
              </v:shape>
              <v:shape style="position:absolute;left:5891;top:-4481;width:102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pacing w:val="-1"/>
                          <w:sz w:val="17"/>
                          <w:szCs w:val="17"/>
                        </w:rPr>
                        <w:t>初始投资成本</w:t>
                      </w:r>
                    </w:p>
                  </w:txbxContent>
                </v:textbox>
                <w10:wrap type="none"/>
              </v:shape>
              <v:shape style="position:absolute;left:7195;top:-4481;width:68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年初余额</w:t>
                      </w:r>
                    </w:p>
                  </w:txbxContent>
                </v:textbox>
                <w10:wrap type="none"/>
              </v:shape>
              <v:shape style="position:absolute;left:8233;top:-4481;width:68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增减变动</w:t>
                      </w:r>
                    </w:p>
                  </w:txbxContent>
                </v:textbox>
                <w10:wrap type="none"/>
              </v:shape>
              <v:shape style="position:absolute;left:9225;top:-4481;width:68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期末余额</w:t>
                      </w:r>
                    </w:p>
                  </w:txbxContent>
                </v:textbox>
                <w10:wrap type="none"/>
              </v:shape>
              <v:shape style="position:absolute;left:10158;top:-4481;width:184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位持股比例</w:t>
                      </w:r>
                      <w:r>
                        <w:rPr>
                          <w:rFonts w:ascii="宋体" w:hAnsi="宋体" w:cs="宋体" w:eastAsia="宋体" w:hint="default"/>
                          <w:spacing w:val="55"/>
                          <w:sz w:val="17"/>
                          <w:szCs w:val="17"/>
                        </w:rPr>
                        <w:t> </w:t>
                      </w:r>
                      <w:r>
                        <w:rPr>
                          <w:rFonts w:ascii="宋体" w:hAnsi="宋体" w:cs="宋体" w:eastAsia="宋体" w:hint="default"/>
                          <w:sz w:val="17"/>
                          <w:szCs w:val="17"/>
                        </w:rPr>
                        <w:t>位表决权比</w:t>
                      </w:r>
                    </w:p>
                  </w:txbxContent>
                </v:textbox>
                <w10:wrap type="none"/>
              </v:shape>
              <v:shape style="position:absolute;left:15104;top:-4481;width:102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pacing w:val="-1"/>
                          <w:sz w:val="17"/>
                          <w:szCs w:val="17"/>
                        </w:rPr>
                        <w:t>本期现金红利</w:t>
                      </w:r>
                    </w:p>
                  </w:txbxContent>
                </v:textbox>
                <w10:wrap type="none"/>
              </v:shape>
              <v:shape style="position:absolute;left:5395;top:-4301;width:9533;height:369" type="#_x0000_t202" filled="false" stroked="false">
                <v:textbox inset="0,0,0,0">
                  <w:txbxContent>
                    <w:p>
                      <w:pPr>
                        <w:tabs>
                          <w:tab w:pos="6759" w:val="left" w:leader="none"/>
                          <w:tab w:pos="8099" w:val="left" w:leader="none"/>
                          <w:tab w:pos="8851" w:val="left" w:leader="none"/>
                        </w:tabs>
                        <w:spacing w:line="148"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法</w:t>
                        <w:tab/>
                      </w:r>
                      <w:r>
                        <w:rPr>
                          <w:rFonts w:ascii="宋体" w:hAnsi="宋体" w:cs="宋体" w:eastAsia="宋体" w:hint="default"/>
                          <w:spacing w:val="-1"/>
                          <w:sz w:val="17"/>
                          <w:szCs w:val="17"/>
                        </w:rPr>
                        <w:t>决权比例不一</w:t>
                        <w:tab/>
                      </w:r>
                      <w:r>
                        <w:rPr>
                          <w:rFonts w:ascii="宋体" w:hAnsi="宋体" w:cs="宋体" w:eastAsia="宋体" w:hint="default"/>
                          <w:sz w:val="17"/>
                          <w:szCs w:val="17"/>
                        </w:rPr>
                        <w:t>准备</w:t>
                        <w:tab/>
                        <w:t>减值准备</w:t>
                      </w:r>
                    </w:p>
                    <w:p>
                      <w:pPr>
                        <w:tabs>
                          <w:tab w:pos="5966" w:val="left" w:leader="none"/>
                        </w:tabs>
                        <w:spacing w:line="220" w:lineRule="exact" w:before="0"/>
                        <w:ind w:left="5060" w:right="0" w:firstLine="0"/>
                        <w:jc w:val="left"/>
                        <w:rPr>
                          <w:rFonts w:ascii="Times New Roman" w:hAnsi="Times New Roman" w:cs="Times New Roman" w:eastAsia="Times New Roman" w:hint="default"/>
                          <w:sz w:val="17"/>
                          <w:szCs w:val="17"/>
                        </w:rPr>
                      </w:pPr>
                      <w:r>
                        <w:rPr>
                          <w:rFonts w:ascii="Times New Roman" w:hAnsi="Times New Roman" w:cs="Times New Roman" w:eastAsia="Times New Roman" w:hint="default"/>
                          <w:spacing w:val="-1"/>
                          <w:sz w:val="17"/>
                          <w:szCs w:val="17"/>
                        </w:rPr>
                        <w:t>(%)</w:t>
                        <w:tab/>
                      </w:r>
                      <w:r>
                        <w:rPr>
                          <w:rFonts w:ascii="宋体" w:hAnsi="宋体" w:cs="宋体" w:eastAsia="宋体" w:hint="default"/>
                          <w:spacing w:val="-1"/>
                          <w:position w:val="1"/>
                          <w:sz w:val="17"/>
                          <w:szCs w:val="17"/>
                        </w:rPr>
                        <w:t>例</w:t>
                      </w:r>
                      <w:r>
                        <w:rPr>
                          <w:rFonts w:ascii="Times New Roman" w:hAnsi="Times New Roman" w:cs="Times New Roman" w:eastAsia="Times New Roman" w:hint="default"/>
                          <w:spacing w:val="-1"/>
                          <w:position w:val="1"/>
                          <w:sz w:val="17"/>
                          <w:szCs w:val="17"/>
                        </w:rPr>
                        <w:t>(%)</w:t>
                      </w:r>
                      <w:r>
                        <w:rPr>
                          <w:rFonts w:ascii="Times New Roman" w:hAnsi="Times New Roman" w:cs="Times New Roman" w:eastAsia="Times New Roman" w:hint="default"/>
                          <w:sz w:val="17"/>
                          <w:szCs w:val="17"/>
                        </w:rPr>
                      </w:r>
                    </w:p>
                  </w:txbxContent>
                </v:textbox>
                <w10:wrap type="none"/>
              </v:shape>
            </v:group>
            <w10:wrap type="none"/>
          </v:group>
        </w:pict>
      </w:r>
      <w:r>
        <w:rPr/>
        <w:t>注</w:t>
      </w:r>
      <w:r>
        <w:rPr>
          <w:spacing w:val="-54"/>
        </w:rPr>
        <w:t> </w:t>
      </w:r>
      <w:r>
        <w:rPr/>
        <w:t>1：本公司于报告期内收购北京利博赛社保信息技术有限公司</w:t>
      </w:r>
      <w:r>
        <w:rPr>
          <w:spacing w:val="-54"/>
        </w:rPr>
        <w:t> </w:t>
      </w:r>
      <w:r>
        <w:rPr/>
        <w:t>28.33%的股权，加上之前持有的股权</w:t>
      </w:r>
      <w:r>
        <w:rPr>
          <w:spacing w:val="-54"/>
        </w:rPr>
        <w:t> </w:t>
      </w:r>
      <w:r>
        <w:rPr/>
        <w:t>33.33%合计持有</w:t>
      </w:r>
      <w:r>
        <w:rPr>
          <w:spacing w:val="-54"/>
        </w:rPr>
        <w:t> </w:t>
      </w:r>
      <w:r>
        <w:rPr/>
        <w:t>61.67%的股权，从</w:t>
      </w:r>
      <w:r>
        <w:rPr>
          <w:spacing w:val="-54"/>
        </w:rPr>
        <w:t> </w:t>
      </w:r>
      <w:r>
        <w:rPr/>
        <w:t>2011</w:t>
      </w:r>
      <w:r>
        <w:rPr>
          <w:spacing w:val="-53"/>
        </w:rPr>
        <w:t> </w:t>
      </w:r>
      <w:r>
        <w:rPr/>
        <w:t>年</w:t>
      </w:r>
      <w:r>
        <w:rPr>
          <w:spacing w:val="-55"/>
        </w:rPr>
        <w:t> </w:t>
      </w:r>
      <w:r>
        <w:rPr/>
        <w:t>8</w:t>
      </w:r>
      <w:r>
        <w:rPr>
          <w:spacing w:val="-53"/>
        </w:rPr>
        <w:t> </w:t>
      </w:r>
      <w:r>
        <w:rPr/>
        <w:t>月起</w:t>
      </w:r>
      <w:r>
        <w:rPr/>
        <w:t> 将其纳入合并财务报表范围，不再作为联营公司进行权益法核算。</w:t>
      </w:r>
    </w:p>
    <w:p>
      <w:pPr>
        <w:pStyle w:val="BodyText"/>
        <w:spacing w:line="240" w:lineRule="auto" w:before="20"/>
        <w:ind w:left="857" w:right="0"/>
        <w:jc w:val="left"/>
      </w:pPr>
      <w:r>
        <w:rPr/>
        <w:t>注</w:t>
      </w:r>
      <w:r>
        <w:rPr>
          <w:spacing w:val="-46"/>
        </w:rPr>
        <w:t> </w:t>
      </w:r>
      <w:r>
        <w:rPr>
          <w:rFonts w:ascii="Times New Roman" w:hAnsi="Times New Roman" w:cs="Times New Roman" w:eastAsia="Times New Roman" w:hint="default"/>
        </w:rPr>
        <w:t>2</w:t>
      </w:r>
      <w:r>
        <w:rPr/>
        <w:t>：北京源越通技术有限公司于报告期内清算，从</w:t>
      </w:r>
      <w:r>
        <w:rPr>
          <w:spacing w:val="-46"/>
        </w:rPr>
        <w:t> </w:t>
      </w:r>
      <w:r>
        <w:rPr>
          <w:rFonts w:ascii="Times New Roman" w:hAnsi="Times New Roman" w:cs="Times New Roman" w:eastAsia="Times New Roman" w:hint="default"/>
        </w:rPr>
        <w:t>2011</w:t>
      </w:r>
      <w:r>
        <w:rPr>
          <w:rFonts w:ascii="Times New Roman" w:hAnsi="Times New Roman" w:cs="Times New Roman" w:eastAsia="Times New Roman" w:hint="default"/>
          <w:spacing w:val="7"/>
        </w:rPr>
        <w:t> </w:t>
      </w:r>
      <w:r>
        <w:rPr/>
        <w:t>年</w:t>
      </w:r>
      <w:r>
        <w:rPr>
          <w:spacing w:val="-47"/>
        </w:rPr>
        <w:t> </w:t>
      </w:r>
      <w:r>
        <w:rPr>
          <w:rFonts w:ascii="Times New Roman" w:hAnsi="Times New Roman" w:cs="Times New Roman" w:eastAsia="Times New Roman" w:hint="default"/>
        </w:rPr>
        <w:t>7</w:t>
      </w:r>
      <w:r>
        <w:rPr>
          <w:rFonts w:ascii="Times New Roman" w:hAnsi="Times New Roman" w:cs="Times New Roman" w:eastAsia="Times New Roman" w:hint="default"/>
          <w:spacing w:val="7"/>
        </w:rPr>
        <w:t> </w:t>
      </w:r>
      <w:r>
        <w:rPr/>
        <w:t>月份开始不再纳入合并范围，长期股权投资</w:t>
      </w:r>
      <w:r>
        <w:rPr>
          <w:spacing w:val="-46"/>
        </w:rPr>
        <w:t> </w:t>
      </w:r>
      <w:r>
        <w:rPr>
          <w:rFonts w:ascii="Times New Roman" w:hAnsi="Times New Roman" w:cs="Times New Roman" w:eastAsia="Times New Roman" w:hint="default"/>
        </w:rPr>
        <w:t>2,989,600</w:t>
      </w:r>
      <w:r>
        <w:rPr>
          <w:rFonts w:ascii="Times New Roman" w:hAnsi="Times New Roman" w:cs="Times New Roman" w:eastAsia="Times New Roman" w:hint="default"/>
          <w:spacing w:val="7"/>
        </w:rPr>
        <w:t> </w:t>
      </w:r>
      <w:r>
        <w:rPr/>
        <w:t>元为初始投资成本，预计可收回金</w:t>
      </w:r>
    </w:p>
    <w:p>
      <w:pPr>
        <w:pStyle w:val="BodyText"/>
        <w:spacing w:line="297" w:lineRule="auto" w:before="69"/>
        <w:ind w:left="857" w:right="6807"/>
        <w:jc w:val="left"/>
      </w:pPr>
      <w:r>
        <w:rPr/>
        <w:t>额为</w:t>
      </w:r>
      <w:r>
        <w:rPr>
          <w:spacing w:val="-56"/>
        </w:rPr>
        <w:t> </w:t>
      </w:r>
      <w:r>
        <w:rPr>
          <w:rFonts w:ascii="Times New Roman" w:hAnsi="Times New Roman" w:cs="Times New Roman" w:eastAsia="Times New Roman" w:hint="default"/>
        </w:rPr>
        <w:t>1,541,572</w:t>
      </w:r>
      <w:r>
        <w:rPr>
          <w:rFonts w:ascii="Times New Roman" w:hAnsi="Times New Roman" w:cs="Times New Roman" w:eastAsia="Times New Roman" w:hint="default"/>
          <w:spacing w:val="-3"/>
        </w:rPr>
        <w:t> </w:t>
      </w:r>
      <w:r>
        <w:rPr/>
        <w:t>元，差额</w:t>
      </w:r>
      <w:r>
        <w:rPr>
          <w:spacing w:val="-57"/>
        </w:rPr>
        <w:t> </w:t>
      </w:r>
      <w:r>
        <w:rPr>
          <w:rFonts w:ascii="Times New Roman" w:hAnsi="Times New Roman" w:cs="Times New Roman" w:eastAsia="Times New Roman" w:hint="default"/>
        </w:rPr>
        <w:t>1,448,028</w:t>
      </w:r>
      <w:r>
        <w:rPr>
          <w:rFonts w:ascii="Times New Roman" w:hAnsi="Times New Roman" w:cs="Times New Roman" w:eastAsia="Times New Roman" w:hint="default"/>
          <w:spacing w:val="-3"/>
        </w:rPr>
        <w:t> </w:t>
      </w:r>
      <w:r>
        <w:rPr/>
        <w:t>元作为长期股权投资减值损失计入当期损益。 2、向投资企业转移资金的能力受到限制情况：无。</w:t>
      </w:r>
    </w:p>
    <w:p>
      <w:pPr>
        <w:spacing w:after="0" w:line="297" w:lineRule="auto"/>
        <w:jc w:val="left"/>
        <w:sectPr>
          <w:pgSz w:w="16840" w:h="11910" w:orient="landscape"/>
          <w:pgMar w:header="883" w:footer="999" w:top="1600" w:bottom="1180" w:left="1300" w:right="520"/>
        </w:sectPr>
      </w:pPr>
    </w:p>
    <w:p>
      <w:pPr>
        <w:spacing w:line="240" w:lineRule="auto" w:before="7"/>
        <w:rPr>
          <w:rFonts w:ascii="宋体" w:hAnsi="宋体" w:cs="宋体" w:eastAsia="宋体" w:hint="default"/>
          <w:sz w:val="3"/>
          <w:szCs w:val="3"/>
        </w:rPr>
      </w:pPr>
    </w:p>
    <w:p>
      <w:pPr>
        <w:spacing w:line="20" w:lineRule="exact"/>
        <w:ind w:left="122" w:right="0" w:firstLine="0"/>
        <w:rPr>
          <w:rFonts w:ascii="宋体" w:hAnsi="宋体" w:cs="宋体" w:eastAsia="宋体" w:hint="default"/>
          <w:sz w:val="2"/>
          <w:szCs w:val="2"/>
        </w:rPr>
      </w:pPr>
      <w:r>
        <w:rPr>
          <w:rFonts w:ascii="宋体" w:hAnsi="宋体" w:cs="宋体" w:eastAsia="宋体" w:hint="default"/>
          <w:sz w:val="2"/>
          <w:szCs w:val="2"/>
        </w:rPr>
        <w:pict>
          <v:group style="width:444.3pt;height:.5pt;mso-position-horizontal-relative:char;mso-position-vertical-relative:line" coordorigin="0,0" coordsize="8886,10">
            <v:group style="position:absolute;left:5;top:5;width:8877;height:2" coordorigin="5,5" coordsize="8877,2">
              <v:shape style="position:absolute;left:5;top:5;width:8877;height:2" coordorigin="5,5" coordsize="8877,0" path="m5,5l8881,5e" filled="false" stroked="true" strokeweight=".47998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5"/>
          <w:szCs w:val="5"/>
        </w:rPr>
      </w:pPr>
    </w:p>
    <w:p>
      <w:pPr>
        <w:pStyle w:val="Heading6"/>
        <w:spacing w:line="240" w:lineRule="auto"/>
        <w:ind w:left="143" w:right="0"/>
        <w:jc w:val="left"/>
        <w:rPr>
          <w:b w:val="0"/>
          <w:bCs w:val="0"/>
        </w:rPr>
      </w:pPr>
      <w:r>
        <w:rPr/>
        <w:pict>
          <v:group style="position:absolute;margin-left:118.919998pt;margin-top:17.073997pt;width:414.25pt;height:366pt;mso-position-horizontal-relative:page;mso-position-vertical-relative:paragraph;z-index:-1120408" coordorigin="2378,341" coordsize="8285,7320">
            <v:group style="position:absolute;left:2407;top:356;width:8226;height:2" coordorigin="2407,356" coordsize="8226,2">
              <v:shape style="position:absolute;left:2407;top:356;width:8226;height:2" coordorigin="2407,356" coordsize="8226,0" path="m2407,356l10633,356e" filled="false" stroked="true" strokeweight="1.5pt" strokecolor="#000000">
                <v:path arrowok="t"/>
              </v:shape>
              <v:shape style="position:absolute;left:5002;top:346;width:4526;height:470" type="#_x0000_t75" stroked="false">
                <v:imagedata r:id="rId189" o:title=""/>
              </v:shape>
              <v:shape style="position:absolute;left:2378;top:764;width:8284;height:6897" type="#_x0000_t75" stroked="false">
                <v:imagedata r:id="rId190" o:title=""/>
              </v:shape>
            </v:group>
            <w10:wrap type="none"/>
          </v:group>
        </w:pict>
      </w:r>
      <w:r>
        <w:rPr/>
        <w:t>(十三)</w:t>
      </w:r>
      <w:r>
        <w:rPr>
          <w:spacing w:val="-15"/>
        </w:rPr>
        <w:t> </w:t>
      </w:r>
      <w:r>
        <w:rPr/>
        <w:t>投资性房地产</w:t>
      </w:r>
      <w:r>
        <w:rPr>
          <w:b w:val="0"/>
          <w:bCs w:val="0"/>
        </w:rPr>
      </w:r>
    </w:p>
    <w:p>
      <w:pPr>
        <w:spacing w:line="240" w:lineRule="auto" w:before="4"/>
        <w:rPr>
          <w:rFonts w:ascii="宋体" w:hAnsi="宋体" w:cs="宋体" w:eastAsia="宋体" w:hint="default"/>
          <w:b/>
          <w:bCs/>
          <w:sz w:val="13"/>
          <w:szCs w:val="13"/>
        </w:rPr>
      </w:pPr>
    </w:p>
    <w:tbl>
      <w:tblPr>
        <w:tblW w:w="0" w:type="auto"/>
        <w:jc w:val="left"/>
        <w:tblInd w:w="752" w:type="dxa"/>
        <w:tblLayout w:type="fixed"/>
        <w:tblCellMar>
          <w:top w:w="0" w:type="dxa"/>
          <w:left w:w="0" w:type="dxa"/>
          <w:bottom w:w="0" w:type="dxa"/>
          <w:right w:w="0" w:type="dxa"/>
        </w:tblCellMar>
        <w:tblLook w:val="01E0"/>
      </w:tblPr>
      <w:tblGrid>
        <w:gridCol w:w="2794"/>
        <w:gridCol w:w="1520"/>
        <w:gridCol w:w="1516"/>
        <w:gridCol w:w="1283"/>
        <w:gridCol w:w="1127"/>
      </w:tblGrid>
      <w:tr>
        <w:trPr>
          <w:trHeight w:val="845" w:hRule="exact"/>
        </w:trPr>
        <w:tc>
          <w:tcPr>
            <w:tcW w:w="279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56" w:right="0"/>
              <w:jc w:val="left"/>
              <w:rPr>
                <w:rFonts w:ascii="宋体" w:hAnsi="宋体" w:cs="宋体" w:eastAsia="宋体" w:hint="default"/>
                <w:sz w:val="18"/>
                <w:szCs w:val="18"/>
              </w:rPr>
            </w:pPr>
            <w:r>
              <w:rPr>
                <w:rFonts w:ascii="宋体" w:hAnsi="宋体" w:cs="宋体" w:eastAsia="宋体" w:hint="default"/>
                <w:sz w:val="18"/>
                <w:szCs w:val="18"/>
              </w:rPr>
              <w:t>项  目</w:t>
            </w: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．账面原值合计</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3"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left="395" w:right="0"/>
              <w:jc w:val="left"/>
              <w:rPr>
                <w:rFonts w:ascii="Times New Roman" w:hAnsi="Times New Roman" w:cs="Times New Roman" w:eastAsia="Times New Roman" w:hint="default"/>
                <w:sz w:val="18"/>
                <w:szCs w:val="18"/>
              </w:rPr>
            </w:pPr>
            <w:r>
              <w:rPr>
                <w:rFonts w:ascii="Times New Roman"/>
                <w:sz w:val="18"/>
              </w:rPr>
              <w:t>525,029,863</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3" w:right="0"/>
              <w:jc w:val="left"/>
              <w:rPr>
                <w:rFonts w:ascii="宋体" w:hAnsi="宋体" w:cs="宋体" w:eastAsia="宋体" w:hint="default"/>
                <w:sz w:val="18"/>
                <w:szCs w:val="18"/>
              </w:rPr>
            </w:pPr>
            <w:r>
              <w:rPr>
                <w:rFonts w:ascii="宋体" w:hAnsi="宋体" w:cs="宋体" w:eastAsia="宋体" w:hint="default"/>
                <w:sz w:val="18"/>
                <w:szCs w:val="18"/>
              </w:rPr>
              <w:t>本期增加额</w:t>
            </w:r>
          </w:p>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left="544" w:right="0"/>
              <w:jc w:val="left"/>
              <w:rPr>
                <w:rFonts w:ascii="Times New Roman" w:hAnsi="Times New Roman" w:cs="Times New Roman" w:eastAsia="Times New Roman" w:hint="default"/>
                <w:sz w:val="18"/>
                <w:szCs w:val="18"/>
              </w:rPr>
            </w:pPr>
            <w:r>
              <w:rPr>
                <w:rFonts w:ascii="Times New Roman"/>
                <w:sz w:val="18"/>
              </w:rPr>
              <w:t>14,868,562</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9" w:right="0"/>
              <w:jc w:val="left"/>
              <w:rPr>
                <w:rFonts w:ascii="宋体" w:hAnsi="宋体" w:cs="宋体" w:eastAsia="宋体" w:hint="default"/>
                <w:sz w:val="18"/>
                <w:szCs w:val="18"/>
              </w:rPr>
            </w:pPr>
            <w:r>
              <w:rPr>
                <w:rFonts w:ascii="宋体" w:hAnsi="宋体" w:cs="宋体" w:eastAsia="宋体" w:hint="default"/>
                <w:sz w:val="18"/>
                <w:szCs w:val="18"/>
              </w:rPr>
              <w:t>本期减少额</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6" w:right="0" w:firstLine="81"/>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539,898,425</w:t>
            </w:r>
          </w:p>
        </w:tc>
      </w:tr>
      <w:tr>
        <w:trPr>
          <w:trHeight w:val="430" w:hRule="exact"/>
        </w:trPr>
        <w:tc>
          <w:tcPr>
            <w:tcW w:w="279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21"/>
              <w:jc w:val="right"/>
              <w:rPr>
                <w:rFonts w:ascii="Times New Roman" w:hAnsi="Times New Roman" w:cs="Times New Roman" w:eastAsia="Times New Roman" w:hint="default"/>
                <w:sz w:val="18"/>
                <w:szCs w:val="18"/>
              </w:rPr>
            </w:pPr>
            <w:r>
              <w:rPr>
                <w:rFonts w:ascii="Times New Roman"/>
                <w:sz w:val="18"/>
              </w:rPr>
              <w:t>452,306,650</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58"/>
              <w:jc w:val="right"/>
              <w:rPr>
                <w:rFonts w:ascii="Times New Roman" w:hAnsi="Times New Roman" w:cs="Times New Roman" w:eastAsia="Times New Roman" w:hint="default"/>
                <w:sz w:val="18"/>
                <w:szCs w:val="18"/>
              </w:rPr>
            </w:pPr>
            <w:r>
              <w:rPr>
                <w:rFonts w:ascii="Times New Roman"/>
                <w:sz w:val="18"/>
              </w:rPr>
              <w:t>14,862,941</w:t>
            </w:r>
          </w:p>
        </w:tc>
        <w:tc>
          <w:tcPr>
            <w:tcW w:w="1283"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7" w:right="0"/>
              <w:jc w:val="center"/>
              <w:rPr>
                <w:rFonts w:ascii="Times New Roman" w:hAnsi="Times New Roman" w:cs="Times New Roman" w:eastAsia="Times New Roman" w:hint="default"/>
                <w:sz w:val="18"/>
                <w:szCs w:val="18"/>
              </w:rPr>
            </w:pPr>
            <w:r>
              <w:rPr>
                <w:rFonts w:ascii="Times New Roman"/>
                <w:sz w:val="18"/>
              </w:rPr>
              <w:t>467,169,591</w:t>
            </w:r>
          </w:p>
        </w:tc>
      </w:tr>
      <w:tr>
        <w:trPr>
          <w:trHeight w:val="430" w:hRule="exact"/>
        </w:trPr>
        <w:tc>
          <w:tcPr>
            <w:tcW w:w="279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21"/>
              <w:jc w:val="right"/>
              <w:rPr>
                <w:rFonts w:ascii="Times New Roman" w:hAnsi="Times New Roman" w:cs="Times New Roman" w:eastAsia="Times New Roman" w:hint="default"/>
                <w:sz w:val="18"/>
                <w:szCs w:val="18"/>
              </w:rPr>
            </w:pPr>
            <w:r>
              <w:rPr>
                <w:rFonts w:ascii="Times New Roman"/>
                <w:sz w:val="18"/>
              </w:rPr>
              <w:t>72,723,213</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58"/>
              <w:jc w:val="right"/>
              <w:rPr>
                <w:rFonts w:ascii="Times New Roman" w:hAnsi="Times New Roman" w:cs="Times New Roman" w:eastAsia="Times New Roman" w:hint="default"/>
                <w:sz w:val="18"/>
                <w:szCs w:val="18"/>
              </w:rPr>
            </w:pPr>
            <w:r>
              <w:rPr>
                <w:rFonts w:ascii="Times New Roman"/>
                <w:sz w:val="18"/>
              </w:rPr>
              <w:t>5,621</w:t>
            </w:r>
          </w:p>
        </w:tc>
        <w:tc>
          <w:tcPr>
            <w:tcW w:w="1283"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97" w:right="0"/>
              <w:jc w:val="center"/>
              <w:rPr>
                <w:rFonts w:ascii="Times New Roman" w:hAnsi="Times New Roman" w:cs="Times New Roman" w:eastAsia="Times New Roman" w:hint="default"/>
                <w:sz w:val="18"/>
                <w:szCs w:val="18"/>
              </w:rPr>
            </w:pPr>
            <w:r>
              <w:rPr>
                <w:rFonts w:ascii="Times New Roman"/>
                <w:sz w:val="18"/>
              </w:rPr>
              <w:t>72,728,834</w:t>
            </w:r>
          </w:p>
        </w:tc>
      </w:tr>
      <w:tr>
        <w:trPr>
          <w:trHeight w:val="430" w:hRule="exact"/>
        </w:trPr>
        <w:tc>
          <w:tcPr>
            <w:tcW w:w="2794"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．累计折旧和累计摊销合计</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21"/>
              <w:jc w:val="right"/>
              <w:rPr>
                <w:rFonts w:ascii="Times New Roman" w:hAnsi="Times New Roman" w:cs="Times New Roman" w:eastAsia="Times New Roman" w:hint="default"/>
                <w:sz w:val="18"/>
                <w:szCs w:val="18"/>
              </w:rPr>
            </w:pPr>
            <w:r>
              <w:rPr>
                <w:rFonts w:ascii="Times New Roman"/>
                <w:sz w:val="18"/>
              </w:rPr>
              <w:t>88,017,940</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58"/>
              <w:jc w:val="right"/>
              <w:rPr>
                <w:rFonts w:ascii="Times New Roman" w:hAnsi="Times New Roman" w:cs="Times New Roman" w:eastAsia="Times New Roman" w:hint="default"/>
                <w:sz w:val="18"/>
                <w:szCs w:val="18"/>
              </w:rPr>
            </w:pPr>
            <w:r>
              <w:rPr>
                <w:rFonts w:ascii="Times New Roman"/>
                <w:sz w:val="18"/>
              </w:rPr>
              <w:t>13,745,548</w:t>
            </w:r>
          </w:p>
        </w:tc>
        <w:tc>
          <w:tcPr>
            <w:tcW w:w="1283"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7" w:right="0"/>
              <w:jc w:val="center"/>
              <w:rPr>
                <w:rFonts w:ascii="Times New Roman" w:hAnsi="Times New Roman" w:cs="Times New Roman" w:eastAsia="Times New Roman" w:hint="default"/>
                <w:sz w:val="18"/>
                <w:szCs w:val="18"/>
              </w:rPr>
            </w:pPr>
            <w:r>
              <w:rPr>
                <w:rFonts w:ascii="Times New Roman"/>
                <w:sz w:val="18"/>
              </w:rPr>
              <w:t>101,763,488</w:t>
            </w:r>
          </w:p>
        </w:tc>
      </w:tr>
      <w:tr>
        <w:trPr>
          <w:trHeight w:val="430" w:hRule="exact"/>
        </w:trPr>
        <w:tc>
          <w:tcPr>
            <w:tcW w:w="279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21"/>
              <w:jc w:val="right"/>
              <w:rPr>
                <w:rFonts w:ascii="Times New Roman" w:hAnsi="Times New Roman" w:cs="Times New Roman" w:eastAsia="Times New Roman" w:hint="default"/>
                <w:sz w:val="18"/>
                <w:szCs w:val="18"/>
              </w:rPr>
            </w:pPr>
            <w:r>
              <w:rPr>
                <w:rFonts w:ascii="Times New Roman"/>
                <w:sz w:val="18"/>
              </w:rPr>
              <w:t>78,668,817</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59"/>
              <w:jc w:val="right"/>
              <w:rPr>
                <w:rFonts w:ascii="Times New Roman" w:hAnsi="Times New Roman" w:cs="Times New Roman" w:eastAsia="Times New Roman" w:hint="default"/>
                <w:sz w:val="18"/>
                <w:szCs w:val="18"/>
              </w:rPr>
            </w:pPr>
            <w:r>
              <w:rPr>
                <w:rFonts w:ascii="Times New Roman"/>
                <w:spacing w:val="-1"/>
                <w:sz w:val="18"/>
              </w:rPr>
              <w:t>11,959,756</w:t>
            </w:r>
          </w:p>
        </w:tc>
        <w:tc>
          <w:tcPr>
            <w:tcW w:w="1283"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96" w:right="0"/>
              <w:jc w:val="center"/>
              <w:rPr>
                <w:rFonts w:ascii="Times New Roman" w:hAnsi="Times New Roman" w:cs="Times New Roman" w:eastAsia="Times New Roman" w:hint="default"/>
                <w:sz w:val="18"/>
                <w:szCs w:val="18"/>
              </w:rPr>
            </w:pPr>
            <w:r>
              <w:rPr>
                <w:rFonts w:ascii="Times New Roman"/>
                <w:sz w:val="18"/>
              </w:rPr>
              <w:t>90,628,573</w:t>
            </w:r>
          </w:p>
        </w:tc>
      </w:tr>
      <w:tr>
        <w:trPr>
          <w:trHeight w:val="430" w:hRule="exact"/>
        </w:trPr>
        <w:tc>
          <w:tcPr>
            <w:tcW w:w="279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21"/>
              <w:jc w:val="right"/>
              <w:rPr>
                <w:rFonts w:ascii="Times New Roman" w:hAnsi="Times New Roman" w:cs="Times New Roman" w:eastAsia="Times New Roman" w:hint="default"/>
                <w:sz w:val="18"/>
                <w:szCs w:val="18"/>
              </w:rPr>
            </w:pPr>
            <w:r>
              <w:rPr>
                <w:rFonts w:ascii="Times New Roman"/>
                <w:sz w:val="18"/>
              </w:rPr>
              <w:t>9,349,123</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58"/>
              <w:jc w:val="right"/>
              <w:rPr>
                <w:rFonts w:ascii="Times New Roman" w:hAnsi="Times New Roman" w:cs="Times New Roman" w:eastAsia="Times New Roman" w:hint="default"/>
                <w:sz w:val="18"/>
                <w:szCs w:val="18"/>
              </w:rPr>
            </w:pPr>
            <w:r>
              <w:rPr>
                <w:rFonts w:ascii="Times New Roman"/>
                <w:sz w:val="18"/>
              </w:rPr>
              <w:t>1,785,792</w:t>
            </w:r>
          </w:p>
        </w:tc>
        <w:tc>
          <w:tcPr>
            <w:tcW w:w="1283"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104" w:right="0"/>
              <w:jc w:val="center"/>
              <w:rPr>
                <w:rFonts w:ascii="Times New Roman" w:hAnsi="Times New Roman" w:cs="Times New Roman" w:eastAsia="Times New Roman" w:hint="default"/>
                <w:sz w:val="18"/>
                <w:szCs w:val="18"/>
              </w:rPr>
            </w:pPr>
            <w:r>
              <w:rPr>
                <w:rFonts w:ascii="Times New Roman"/>
                <w:sz w:val="18"/>
              </w:rPr>
              <w:t>11,134,915</w:t>
            </w:r>
          </w:p>
        </w:tc>
      </w:tr>
      <w:tr>
        <w:trPr>
          <w:trHeight w:val="430" w:hRule="exact"/>
        </w:trPr>
        <w:tc>
          <w:tcPr>
            <w:tcW w:w="2794"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．投资性房地产净值合计</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21"/>
              <w:jc w:val="right"/>
              <w:rPr>
                <w:rFonts w:ascii="Times New Roman" w:hAnsi="Times New Roman" w:cs="Times New Roman" w:eastAsia="Times New Roman" w:hint="default"/>
                <w:sz w:val="18"/>
                <w:szCs w:val="18"/>
              </w:rPr>
            </w:pPr>
            <w:r>
              <w:rPr>
                <w:rFonts w:ascii="Times New Roman"/>
                <w:spacing w:val="-1"/>
                <w:sz w:val="18"/>
              </w:rPr>
              <w:t>437,011,923</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58"/>
              <w:jc w:val="right"/>
              <w:rPr>
                <w:rFonts w:ascii="Times New Roman" w:hAnsi="Times New Roman" w:cs="Times New Roman" w:eastAsia="Times New Roman" w:hint="default"/>
                <w:sz w:val="18"/>
                <w:szCs w:val="18"/>
              </w:rPr>
            </w:pPr>
            <w:r>
              <w:rPr>
                <w:rFonts w:ascii="Times New Roman"/>
                <w:sz w:val="18"/>
              </w:rPr>
              <w:t>2,903,185</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14"/>
              <w:jc w:val="right"/>
              <w:rPr>
                <w:rFonts w:ascii="Times New Roman" w:hAnsi="Times New Roman" w:cs="Times New Roman" w:eastAsia="Times New Roman" w:hint="default"/>
                <w:sz w:val="18"/>
                <w:szCs w:val="18"/>
              </w:rPr>
            </w:pPr>
            <w:r>
              <w:rPr>
                <w:rFonts w:ascii="Times New Roman"/>
                <w:sz w:val="18"/>
              </w:rPr>
              <w:t>1,780,171</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6" w:right="0"/>
              <w:jc w:val="center"/>
              <w:rPr>
                <w:rFonts w:ascii="Times New Roman" w:hAnsi="Times New Roman" w:cs="Times New Roman" w:eastAsia="Times New Roman" w:hint="default"/>
                <w:sz w:val="18"/>
                <w:szCs w:val="18"/>
              </w:rPr>
            </w:pPr>
            <w:r>
              <w:rPr>
                <w:rFonts w:ascii="Times New Roman"/>
                <w:sz w:val="18"/>
              </w:rPr>
              <w:t>438,134,937</w:t>
            </w:r>
          </w:p>
        </w:tc>
      </w:tr>
      <w:tr>
        <w:trPr>
          <w:trHeight w:val="430" w:hRule="exact"/>
        </w:trPr>
        <w:tc>
          <w:tcPr>
            <w:tcW w:w="279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21"/>
              <w:jc w:val="right"/>
              <w:rPr>
                <w:rFonts w:ascii="Times New Roman" w:hAnsi="Times New Roman" w:cs="Times New Roman" w:eastAsia="Times New Roman" w:hint="default"/>
                <w:sz w:val="18"/>
                <w:szCs w:val="18"/>
              </w:rPr>
            </w:pPr>
            <w:r>
              <w:rPr>
                <w:rFonts w:ascii="Times New Roman"/>
                <w:sz w:val="18"/>
              </w:rPr>
              <w:t>373,637,833</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58"/>
              <w:jc w:val="right"/>
              <w:rPr>
                <w:rFonts w:ascii="Times New Roman" w:hAnsi="Times New Roman" w:cs="Times New Roman" w:eastAsia="Times New Roman" w:hint="default"/>
                <w:sz w:val="18"/>
                <w:szCs w:val="18"/>
              </w:rPr>
            </w:pPr>
            <w:r>
              <w:rPr>
                <w:rFonts w:ascii="Times New Roman"/>
                <w:sz w:val="18"/>
              </w:rPr>
              <w:t>2,903,185</w:t>
            </w:r>
          </w:p>
        </w:tc>
        <w:tc>
          <w:tcPr>
            <w:tcW w:w="1283"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7" w:right="0"/>
              <w:jc w:val="center"/>
              <w:rPr>
                <w:rFonts w:ascii="Times New Roman" w:hAnsi="Times New Roman" w:cs="Times New Roman" w:eastAsia="Times New Roman" w:hint="default"/>
                <w:sz w:val="18"/>
                <w:szCs w:val="18"/>
              </w:rPr>
            </w:pPr>
            <w:r>
              <w:rPr>
                <w:rFonts w:ascii="Times New Roman"/>
                <w:sz w:val="18"/>
              </w:rPr>
              <w:t>376,541,018</w:t>
            </w:r>
          </w:p>
        </w:tc>
      </w:tr>
      <w:tr>
        <w:trPr>
          <w:trHeight w:val="1271" w:hRule="exact"/>
        </w:trPr>
        <w:tc>
          <w:tcPr>
            <w:tcW w:w="2794" w:type="dxa"/>
            <w:tcBorders>
              <w:top w:val="nil" w:sz="6" w:space="0" w:color="auto"/>
              <w:left w:val="nil" w:sz="6" w:space="0" w:color="auto"/>
              <w:bottom w:val="nil" w:sz="6" w:space="0" w:color="auto"/>
              <w:right w:val="nil" w:sz="6" w:space="0" w:color="auto"/>
            </w:tcBorders>
          </w:tcPr>
          <w:p>
            <w:pPr>
              <w:pStyle w:val="TableParagraph"/>
              <w:spacing w:line="410" w:lineRule="auto" w:before="59"/>
              <w:ind w:left="122" w:right="261"/>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 </w:t>
            </w: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．投资性房地产减值准备累计</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金额合计</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21"/>
              <w:jc w:val="right"/>
              <w:rPr>
                <w:rFonts w:ascii="Times New Roman" w:hAnsi="Times New Roman" w:cs="Times New Roman" w:eastAsia="Times New Roman" w:hint="default"/>
                <w:sz w:val="18"/>
                <w:szCs w:val="18"/>
              </w:rPr>
            </w:pPr>
            <w:r>
              <w:rPr>
                <w:rFonts w:ascii="Times New Roman"/>
                <w:sz w:val="18"/>
              </w:rPr>
              <w:t>63,374,090</w:t>
            </w:r>
          </w:p>
        </w:tc>
        <w:tc>
          <w:tcPr>
            <w:tcW w:w="1516" w:type="dxa"/>
            <w:tcBorders>
              <w:top w:val="nil" w:sz="6" w:space="0" w:color="auto"/>
              <w:left w:val="nil" w:sz="6" w:space="0" w:color="auto"/>
              <w:bottom w:val="nil" w:sz="6" w:space="0" w:color="auto"/>
              <w:right w:val="nil" w:sz="6" w:space="0" w:color="auto"/>
            </w:tcBorders>
          </w:tcPr>
          <w:p>
            <w:pP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14"/>
              <w:jc w:val="right"/>
              <w:rPr>
                <w:rFonts w:ascii="Times New Roman" w:hAnsi="Times New Roman" w:cs="Times New Roman" w:eastAsia="Times New Roman" w:hint="default"/>
                <w:sz w:val="18"/>
                <w:szCs w:val="18"/>
              </w:rPr>
            </w:pPr>
            <w:r>
              <w:rPr>
                <w:rFonts w:ascii="Times New Roman"/>
                <w:sz w:val="18"/>
              </w:rPr>
              <w:t>1,780,171</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96" w:right="0"/>
              <w:jc w:val="center"/>
              <w:rPr>
                <w:rFonts w:ascii="Times New Roman" w:hAnsi="Times New Roman" w:cs="Times New Roman" w:eastAsia="Times New Roman" w:hint="default"/>
                <w:sz w:val="18"/>
                <w:szCs w:val="18"/>
              </w:rPr>
            </w:pPr>
            <w:r>
              <w:rPr>
                <w:rFonts w:ascii="Times New Roman"/>
                <w:sz w:val="18"/>
              </w:rPr>
              <w:t>61,593,919</w:t>
            </w:r>
          </w:p>
        </w:tc>
      </w:tr>
      <w:tr>
        <w:trPr>
          <w:trHeight w:val="435" w:hRule="exact"/>
        </w:trPr>
        <w:tc>
          <w:tcPr>
            <w:tcW w:w="2794"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520" w:type="dxa"/>
            <w:tcBorders>
              <w:top w:val="nil" w:sz="6" w:space="0" w:color="auto"/>
              <w:left w:val="nil" w:sz="6" w:space="0" w:color="auto"/>
              <w:bottom w:val="nil" w:sz="6" w:space="0" w:color="auto"/>
              <w:right w:val="nil" w:sz="6" w:space="0" w:color="auto"/>
            </w:tcBorders>
          </w:tcPr>
          <w:p>
            <w:pPr/>
          </w:p>
        </w:tc>
        <w:tc>
          <w:tcPr>
            <w:tcW w:w="1516" w:type="dxa"/>
            <w:tcBorders>
              <w:top w:val="nil" w:sz="6" w:space="0" w:color="auto"/>
              <w:left w:val="nil" w:sz="6" w:space="0" w:color="auto"/>
              <w:bottom w:val="nil" w:sz="6" w:space="0" w:color="auto"/>
              <w:right w:val="nil" w:sz="6" w:space="0" w:color="auto"/>
            </w:tcBorders>
          </w:tcPr>
          <w:p>
            <w:pPr/>
          </w:p>
        </w:tc>
        <w:tc>
          <w:tcPr>
            <w:tcW w:w="1283"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
        </w:tc>
      </w:tr>
      <w:tr>
        <w:trPr>
          <w:trHeight w:val="430" w:hRule="exact"/>
        </w:trPr>
        <w:tc>
          <w:tcPr>
            <w:tcW w:w="2794"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520" w:type="dxa"/>
            <w:tcBorders>
              <w:top w:val="nil" w:sz="6" w:space="0" w:color="auto"/>
              <w:left w:val="nil" w:sz="6" w:space="0" w:color="auto"/>
              <w:bottom w:val="nil" w:sz="6" w:space="0" w:color="auto"/>
              <w:right w:val="nil" w:sz="6" w:space="0" w:color="auto"/>
            </w:tcBorders>
          </w:tcPr>
          <w:p>
            <w:pPr/>
          </w:p>
        </w:tc>
        <w:tc>
          <w:tcPr>
            <w:tcW w:w="1516" w:type="dxa"/>
            <w:tcBorders>
              <w:top w:val="nil" w:sz="6" w:space="0" w:color="auto"/>
              <w:left w:val="nil" w:sz="6" w:space="0" w:color="auto"/>
              <w:bottom w:val="nil" w:sz="6" w:space="0" w:color="auto"/>
              <w:right w:val="nil" w:sz="6" w:space="0" w:color="auto"/>
            </w:tcBorders>
          </w:tcPr>
          <w:p>
            <w:pPr/>
          </w:p>
        </w:tc>
        <w:tc>
          <w:tcPr>
            <w:tcW w:w="1283"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
        </w:tc>
      </w:tr>
      <w:tr>
        <w:trPr>
          <w:trHeight w:val="435" w:hRule="exact"/>
        </w:trPr>
        <w:tc>
          <w:tcPr>
            <w:tcW w:w="279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．投资性房地产账面价值合计</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21"/>
              <w:jc w:val="right"/>
              <w:rPr>
                <w:rFonts w:ascii="Times New Roman" w:hAnsi="Times New Roman" w:cs="Times New Roman" w:eastAsia="Times New Roman" w:hint="default"/>
                <w:sz w:val="18"/>
                <w:szCs w:val="18"/>
              </w:rPr>
            </w:pPr>
            <w:r>
              <w:rPr>
                <w:rFonts w:ascii="Times New Roman"/>
                <w:spacing w:val="-1"/>
                <w:sz w:val="18"/>
              </w:rPr>
              <w:t>437,011,923</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57"/>
              <w:jc w:val="right"/>
              <w:rPr>
                <w:rFonts w:ascii="Times New Roman" w:hAnsi="Times New Roman" w:cs="Times New Roman" w:eastAsia="Times New Roman" w:hint="default"/>
                <w:sz w:val="18"/>
                <w:szCs w:val="18"/>
              </w:rPr>
            </w:pPr>
            <w:r>
              <w:rPr>
                <w:rFonts w:ascii="Times New Roman"/>
                <w:sz w:val="18"/>
              </w:rPr>
              <w:t>2,903,185</w:t>
            </w:r>
          </w:p>
        </w:tc>
        <w:tc>
          <w:tcPr>
            <w:tcW w:w="1283"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14"/>
              <w:jc w:val="right"/>
              <w:rPr>
                <w:rFonts w:ascii="Times New Roman" w:hAnsi="Times New Roman" w:cs="Times New Roman" w:eastAsia="Times New Roman" w:hint="default"/>
                <w:sz w:val="18"/>
                <w:szCs w:val="18"/>
              </w:rPr>
            </w:pPr>
            <w:r>
              <w:rPr>
                <w:rFonts w:ascii="Times New Roman"/>
                <w:sz w:val="18"/>
              </w:rPr>
              <w:t>1,780,171</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16"/>
              <w:ind w:left="9" w:right="0"/>
              <w:jc w:val="center"/>
              <w:rPr>
                <w:rFonts w:ascii="Times New Roman" w:hAnsi="Times New Roman" w:cs="Times New Roman" w:eastAsia="Times New Roman" w:hint="default"/>
                <w:sz w:val="18"/>
                <w:szCs w:val="18"/>
              </w:rPr>
            </w:pPr>
            <w:r>
              <w:rPr>
                <w:rFonts w:ascii="Times New Roman"/>
                <w:sz w:val="18"/>
              </w:rPr>
              <w:t>438,134,937</w:t>
            </w:r>
          </w:p>
        </w:tc>
      </w:tr>
      <w:tr>
        <w:trPr>
          <w:trHeight w:val="430" w:hRule="exact"/>
        </w:trPr>
        <w:tc>
          <w:tcPr>
            <w:tcW w:w="279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52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21"/>
              <w:jc w:val="right"/>
              <w:rPr>
                <w:rFonts w:ascii="Times New Roman" w:hAnsi="Times New Roman" w:cs="Times New Roman" w:eastAsia="Times New Roman" w:hint="default"/>
                <w:sz w:val="18"/>
                <w:szCs w:val="18"/>
              </w:rPr>
            </w:pPr>
            <w:r>
              <w:rPr>
                <w:rFonts w:ascii="Times New Roman"/>
                <w:sz w:val="18"/>
              </w:rPr>
              <w:t>373,637,833</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58"/>
              <w:jc w:val="right"/>
              <w:rPr>
                <w:rFonts w:ascii="Times New Roman" w:hAnsi="Times New Roman" w:cs="Times New Roman" w:eastAsia="Times New Roman" w:hint="default"/>
                <w:sz w:val="18"/>
                <w:szCs w:val="18"/>
              </w:rPr>
            </w:pPr>
            <w:r>
              <w:rPr>
                <w:rFonts w:ascii="Times New Roman"/>
                <w:sz w:val="18"/>
              </w:rPr>
              <w:t>2,903,185</w:t>
            </w:r>
          </w:p>
        </w:tc>
        <w:tc>
          <w:tcPr>
            <w:tcW w:w="1283"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7" w:right="0"/>
              <w:jc w:val="center"/>
              <w:rPr>
                <w:rFonts w:ascii="Times New Roman" w:hAnsi="Times New Roman" w:cs="Times New Roman" w:eastAsia="Times New Roman" w:hint="default"/>
                <w:sz w:val="18"/>
                <w:szCs w:val="18"/>
              </w:rPr>
            </w:pPr>
            <w:r>
              <w:rPr>
                <w:rFonts w:ascii="Times New Roman"/>
                <w:sz w:val="18"/>
              </w:rPr>
              <w:t>376,541,018</w:t>
            </w:r>
          </w:p>
        </w:tc>
      </w:tr>
      <w:tr>
        <w:trPr>
          <w:trHeight w:val="338" w:hRule="exact"/>
        </w:trPr>
        <w:tc>
          <w:tcPr>
            <w:tcW w:w="2794" w:type="dxa"/>
            <w:tcBorders>
              <w:top w:val="nil" w:sz="6" w:space="0" w:color="auto"/>
              <w:left w:val="nil" w:sz="6" w:space="0" w:color="auto"/>
              <w:bottom w:val="single" w:sz="12" w:space="0" w:color="000000"/>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520"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221"/>
              <w:jc w:val="right"/>
              <w:rPr>
                <w:rFonts w:ascii="Times New Roman" w:hAnsi="Times New Roman" w:cs="Times New Roman" w:eastAsia="Times New Roman" w:hint="default"/>
                <w:sz w:val="18"/>
                <w:szCs w:val="18"/>
              </w:rPr>
            </w:pPr>
            <w:r>
              <w:rPr>
                <w:rFonts w:ascii="Times New Roman"/>
                <w:sz w:val="18"/>
              </w:rPr>
              <w:t>63,374,090</w:t>
            </w:r>
          </w:p>
        </w:tc>
        <w:tc>
          <w:tcPr>
            <w:tcW w:w="1516" w:type="dxa"/>
            <w:tcBorders>
              <w:top w:val="nil" w:sz="6" w:space="0" w:color="auto"/>
              <w:left w:val="nil" w:sz="6" w:space="0" w:color="auto"/>
              <w:bottom w:val="single" w:sz="12" w:space="0" w:color="000000"/>
              <w:right w:val="nil" w:sz="6" w:space="0" w:color="auto"/>
            </w:tcBorders>
          </w:tcPr>
          <w:p>
            <w:pPr/>
          </w:p>
        </w:tc>
        <w:tc>
          <w:tcPr>
            <w:tcW w:w="1283"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114"/>
              <w:jc w:val="right"/>
              <w:rPr>
                <w:rFonts w:ascii="Times New Roman" w:hAnsi="Times New Roman" w:cs="Times New Roman" w:eastAsia="Times New Roman" w:hint="default"/>
                <w:sz w:val="18"/>
                <w:szCs w:val="18"/>
              </w:rPr>
            </w:pPr>
            <w:r>
              <w:rPr>
                <w:rFonts w:ascii="Times New Roman"/>
                <w:sz w:val="18"/>
              </w:rPr>
              <w:t>1,780,171</w:t>
            </w:r>
          </w:p>
        </w:tc>
        <w:tc>
          <w:tcPr>
            <w:tcW w:w="1127"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left="96" w:right="0"/>
              <w:jc w:val="center"/>
              <w:rPr>
                <w:rFonts w:ascii="Times New Roman" w:hAnsi="Times New Roman" w:cs="Times New Roman" w:eastAsia="Times New Roman" w:hint="default"/>
                <w:sz w:val="18"/>
                <w:szCs w:val="18"/>
              </w:rPr>
            </w:pPr>
            <w:r>
              <w:rPr>
                <w:rFonts w:ascii="Times New Roman"/>
                <w:sz w:val="18"/>
              </w:rPr>
              <w:t>61,593,919</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tabs>
          <w:tab w:pos="1413" w:val="left" w:leader="none"/>
        </w:tabs>
        <w:spacing w:before="35"/>
        <w:ind w:left="875" w:right="0"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本期累计折旧和摊销额增加</w:t>
      </w:r>
      <w:r>
        <w:rPr>
          <w:rFonts w:ascii="宋体" w:hAnsi="宋体" w:cs="宋体" w:eastAsia="宋体" w:hint="default"/>
          <w:b/>
          <w:bCs/>
          <w:spacing w:val="-61"/>
          <w:sz w:val="21"/>
          <w:szCs w:val="21"/>
        </w:rPr>
        <w:t> </w:t>
      </w:r>
      <w:r>
        <w:rPr>
          <w:rFonts w:ascii="宋体" w:hAnsi="宋体" w:cs="宋体" w:eastAsia="宋体" w:hint="default"/>
          <w:b/>
          <w:bCs/>
          <w:sz w:val="21"/>
          <w:szCs w:val="21"/>
        </w:rPr>
        <w:t>13,745,548</w:t>
      </w:r>
      <w:r>
        <w:rPr>
          <w:rFonts w:ascii="宋体" w:hAnsi="宋体" w:cs="宋体" w:eastAsia="宋体" w:hint="default"/>
          <w:b/>
          <w:bCs/>
          <w:spacing w:val="-61"/>
          <w:sz w:val="21"/>
          <w:szCs w:val="21"/>
        </w:rPr>
        <w:t> </w:t>
      </w:r>
      <w:r>
        <w:rPr>
          <w:rFonts w:ascii="宋体" w:hAnsi="宋体" w:cs="宋体" w:eastAsia="宋体" w:hint="default"/>
          <w:b/>
          <w:bCs/>
          <w:sz w:val="21"/>
          <w:szCs w:val="21"/>
        </w:rPr>
        <w:t>元，其中计提折旧和摊销数为</w:t>
      </w:r>
      <w:r>
        <w:rPr>
          <w:rFonts w:ascii="宋体" w:hAnsi="宋体" w:cs="宋体" w:eastAsia="宋体" w:hint="default"/>
          <w:b/>
          <w:bCs/>
          <w:spacing w:val="-61"/>
          <w:sz w:val="21"/>
          <w:szCs w:val="21"/>
        </w:rPr>
        <w:t> </w:t>
      </w:r>
      <w:r>
        <w:rPr>
          <w:rFonts w:ascii="宋体" w:hAnsi="宋体" w:cs="宋体" w:eastAsia="宋体" w:hint="default"/>
          <w:b/>
          <w:bCs/>
          <w:sz w:val="21"/>
          <w:szCs w:val="21"/>
        </w:rPr>
        <w:t>13,294,350</w:t>
      </w:r>
      <w:r>
        <w:rPr>
          <w:rFonts w:ascii="宋体" w:hAnsi="宋体" w:cs="宋体" w:eastAsia="宋体" w:hint="default"/>
          <w:sz w:val="21"/>
          <w:szCs w:val="21"/>
        </w:rPr>
      </w:r>
    </w:p>
    <w:p>
      <w:pPr>
        <w:spacing w:before="145"/>
        <w:ind w:left="1414" w:right="0" w:firstLine="0"/>
        <w:jc w:val="left"/>
        <w:rPr>
          <w:rFonts w:ascii="宋体" w:hAnsi="宋体" w:cs="宋体" w:eastAsia="宋体" w:hint="default"/>
          <w:sz w:val="21"/>
          <w:szCs w:val="21"/>
        </w:rPr>
      </w:pPr>
      <w:r>
        <w:rPr>
          <w:rFonts w:ascii="宋体" w:hAnsi="宋体" w:cs="宋体" w:eastAsia="宋体" w:hint="default"/>
          <w:b/>
          <w:bCs/>
          <w:sz w:val="21"/>
          <w:szCs w:val="21"/>
        </w:rPr>
        <w:t>元，因重分类转入增加累计折旧</w:t>
      </w:r>
      <w:r>
        <w:rPr>
          <w:rFonts w:ascii="宋体" w:hAnsi="宋体" w:cs="宋体" w:eastAsia="宋体" w:hint="default"/>
          <w:b/>
          <w:bCs/>
          <w:spacing w:val="-64"/>
          <w:sz w:val="21"/>
          <w:szCs w:val="21"/>
        </w:rPr>
        <w:t> </w:t>
      </w:r>
      <w:r>
        <w:rPr>
          <w:rFonts w:ascii="宋体" w:hAnsi="宋体" w:cs="宋体" w:eastAsia="宋体" w:hint="default"/>
          <w:b/>
          <w:bCs/>
          <w:sz w:val="21"/>
          <w:szCs w:val="21"/>
        </w:rPr>
        <w:t>451,198</w:t>
      </w:r>
      <w:r>
        <w:rPr>
          <w:rFonts w:ascii="宋体" w:hAnsi="宋体" w:cs="宋体" w:eastAsia="宋体" w:hint="default"/>
          <w:b/>
          <w:bCs/>
          <w:spacing w:val="-63"/>
          <w:sz w:val="21"/>
          <w:szCs w:val="21"/>
        </w:rPr>
        <w:t> </w:t>
      </w:r>
      <w:r>
        <w:rPr>
          <w:rFonts w:ascii="宋体" w:hAnsi="宋体" w:cs="宋体" w:eastAsia="宋体" w:hint="default"/>
          <w:b/>
          <w:bCs/>
          <w:sz w:val="21"/>
          <w:szCs w:val="21"/>
        </w:rPr>
        <w:t>元。</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3"/>
          <w:szCs w:val="23"/>
        </w:rPr>
      </w:pPr>
    </w:p>
    <w:p>
      <w:pPr>
        <w:tabs>
          <w:tab w:pos="1413" w:val="left" w:leader="none"/>
        </w:tabs>
        <w:spacing w:before="0"/>
        <w:ind w:left="875" w:right="0" w:firstLine="0"/>
        <w:jc w:val="left"/>
        <w:rPr>
          <w:rFonts w:ascii="宋体" w:hAnsi="宋体" w:cs="宋体" w:eastAsia="宋体" w:hint="default"/>
          <w:sz w:val="21"/>
          <w:szCs w:val="21"/>
        </w:rPr>
      </w:pPr>
      <w:r>
        <w:rPr/>
        <w:pict>
          <v:group style="position:absolute;margin-left:118.919998pt;margin-top:99.384117pt;width:416.95pt;height:116.3pt;mso-position-horizontal-relative:page;mso-position-vertical-relative:paragraph;z-index:-1120384" coordorigin="2378,1988" coordsize="8339,2326">
            <v:shape style="position:absolute;left:4692;top:1988;width:4710;height:432" type="#_x0000_t75" stroked="false">
              <v:imagedata r:id="rId191" o:title=""/>
            </v:shape>
            <v:shape style="position:absolute;left:2378;top:2362;width:8339;height:1951" type="#_x0000_t75" stroked="false">
              <v:imagedata r:id="rId192" o:title=""/>
            </v:shape>
            <w10:wrap type="none"/>
          </v:group>
        </w:pict>
      </w:r>
      <w:r>
        <w:rPr>
          <w:rFonts w:ascii="宋体" w:hAnsi="宋体" w:cs="宋体" w:eastAsia="宋体" w:hint="default"/>
          <w:b/>
          <w:bCs/>
          <w:spacing w:val="1"/>
          <w:w w:val="99"/>
          <w:sz w:val="21"/>
          <w:szCs w:val="21"/>
        </w:rPr>
        <w:t>2</w:t>
      </w:r>
      <w:r>
        <w:rPr>
          <w:rFonts w:ascii="宋体" w:hAnsi="宋体" w:cs="宋体" w:eastAsia="宋体" w:hint="default"/>
          <w:b/>
          <w:bCs/>
          <w:w w:val="99"/>
          <w:sz w:val="21"/>
          <w:szCs w:val="21"/>
        </w:rPr>
        <w:t>、</w:t>
      </w:r>
      <w:r>
        <w:rPr>
          <w:rFonts w:ascii="宋体" w:hAnsi="宋体" w:cs="宋体" w:eastAsia="宋体" w:hint="default"/>
          <w:b/>
          <w:bCs/>
          <w:sz w:val="21"/>
          <w:szCs w:val="21"/>
        </w:rPr>
        <w:tab/>
      </w:r>
      <w:r>
        <w:rPr>
          <w:rFonts w:ascii="宋体" w:hAnsi="宋体" w:cs="宋体" w:eastAsia="宋体" w:hint="default"/>
          <w:b/>
          <w:bCs/>
          <w:spacing w:val="1"/>
          <w:w w:val="99"/>
          <w:sz w:val="21"/>
          <w:szCs w:val="21"/>
        </w:rPr>
        <w:t>截</w:t>
      </w:r>
      <w:r>
        <w:rPr>
          <w:rFonts w:ascii="宋体" w:hAnsi="宋体" w:cs="宋体" w:eastAsia="宋体" w:hint="default"/>
          <w:b/>
          <w:bCs/>
          <w:w w:val="99"/>
          <w:sz w:val="21"/>
          <w:szCs w:val="21"/>
        </w:rPr>
        <w:t>至</w:t>
      </w:r>
      <w:r>
        <w:rPr>
          <w:rFonts w:ascii="宋体" w:hAnsi="宋体" w:cs="宋体" w:eastAsia="宋体" w:hint="default"/>
          <w:b/>
          <w:bCs/>
          <w:spacing w:val="-54"/>
          <w:sz w:val="21"/>
          <w:szCs w:val="21"/>
        </w:rPr>
        <w:t> </w:t>
      </w:r>
      <w:r>
        <w:rPr>
          <w:rFonts w:ascii="宋体" w:hAnsi="宋体" w:cs="宋体" w:eastAsia="宋体" w:hint="default"/>
          <w:b/>
          <w:bCs/>
          <w:spacing w:val="1"/>
          <w:w w:val="99"/>
          <w:sz w:val="21"/>
          <w:szCs w:val="21"/>
        </w:rPr>
        <w:t>201</w:t>
      </w:r>
      <w:r>
        <w:rPr>
          <w:rFonts w:ascii="宋体" w:hAnsi="宋体" w:cs="宋体" w:eastAsia="宋体" w:hint="default"/>
          <w:b/>
          <w:bCs/>
          <w:w w:val="99"/>
          <w:sz w:val="21"/>
          <w:szCs w:val="21"/>
        </w:rPr>
        <w:t>1</w:t>
      </w:r>
      <w:r>
        <w:rPr>
          <w:rFonts w:ascii="宋体" w:hAnsi="宋体" w:cs="宋体" w:eastAsia="宋体" w:hint="default"/>
          <w:b/>
          <w:bCs/>
          <w:spacing w:val="-52"/>
          <w:sz w:val="21"/>
          <w:szCs w:val="21"/>
        </w:rPr>
        <w:t> </w:t>
      </w:r>
      <w:r>
        <w:rPr>
          <w:rFonts w:ascii="宋体" w:hAnsi="宋体" w:cs="宋体" w:eastAsia="宋体" w:hint="default"/>
          <w:b/>
          <w:bCs/>
          <w:w w:val="99"/>
          <w:sz w:val="21"/>
          <w:szCs w:val="21"/>
        </w:rPr>
        <w:t>年</w:t>
      </w:r>
      <w:r>
        <w:rPr>
          <w:rFonts w:ascii="宋体" w:hAnsi="宋体" w:cs="宋体" w:eastAsia="宋体" w:hint="default"/>
          <w:b/>
          <w:bCs/>
          <w:spacing w:val="-54"/>
          <w:sz w:val="21"/>
          <w:szCs w:val="21"/>
        </w:rPr>
        <w:t> </w:t>
      </w:r>
      <w:r>
        <w:rPr>
          <w:rFonts w:ascii="宋体" w:hAnsi="宋体" w:cs="宋体" w:eastAsia="宋体" w:hint="default"/>
          <w:b/>
          <w:bCs/>
          <w:w w:val="99"/>
          <w:sz w:val="21"/>
          <w:szCs w:val="21"/>
        </w:rPr>
        <w:t>12</w:t>
      </w:r>
      <w:r>
        <w:rPr>
          <w:rFonts w:ascii="宋体" w:hAnsi="宋体" w:cs="宋体" w:eastAsia="宋体" w:hint="default"/>
          <w:b/>
          <w:bCs/>
          <w:spacing w:val="-52"/>
          <w:sz w:val="21"/>
          <w:szCs w:val="21"/>
        </w:rPr>
        <w:t> </w:t>
      </w:r>
      <w:r>
        <w:rPr>
          <w:rFonts w:ascii="宋体" w:hAnsi="宋体" w:cs="宋体" w:eastAsia="宋体" w:hint="default"/>
          <w:b/>
          <w:bCs/>
          <w:w w:val="99"/>
          <w:sz w:val="21"/>
          <w:szCs w:val="21"/>
        </w:rPr>
        <w:t>月</w:t>
      </w:r>
      <w:r>
        <w:rPr>
          <w:rFonts w:ascii="宋体" w:hAnsi="宋体" w:cs="宋体" w:eastAsia="宋体" w:hint="default"/>
          <w:b/>
          <w:bCs/>
          <w:spacing w:val="-54"/>
          <w:sz w:val="21"/>
          <w:szCs w:val="21"/>
        </w:rPr>
        <w:t> </w:t>
      </w:r>
      <w:r>
        <w:rPr>
          <w:rFonts w:ascii="宋体" w:hAnsi="宋体" w:cs="宋体" w:eastAsia="宋体" w:hint="default"/>
          <w:b/>
          <w:bCs/>
          <w:spacing w:val="1"/>
          <w:w w:val="99"/>
          <w:sz w:val="21"/>
          <w:szCs w:val="21"/>
        </w:rPr>
        <w:t>3</w:t>
      </w:r>
      <w:r>
        <w:rPr>
          <w:rFonts w:ascii="宋体" w:hAnsi="宋体" w:cs="宋体" w:eastAsia="宋体" w:hint="default"/>
          <w:b/>
          <w:bCs/>
          <w:w w:val="99"/>
          <w:sz w:val="21"/>
          <w:szCs w:val="21"/>
        </w:rPr>
        <w:t>1</w:t>
      </w:r>
      <w:r>
        <w:rPr>
          <w:rFonts w:ascii="宋体" w:hAnsi="宋体" w:cs="宋体" w:eastAsia="宋体" w:hint="default"/>
          <w:b/>
          <w:bCs/>
          <w:spacing w:val="-52"/>
          <w:sz w:val="21"/>
          <w:szCs w:val="21"/>
        </w:rPr>
        <w:t> </w:t>
      </w:r>
      <w:r>
        <w:rPr>
          <w:rFonts w:ascii="宋体" w:hAnsi="宋体" w:cs="宋体" w:eastAsia="宋体" w:hint="default"/>
          <w:b/>
          <w:bCs/>
          <w:spacing w:val="1"/>
          <w:w w:val="99"/>
          <w:sz w:val="21"/>
          <w:szCs w:val="21"/>
        </w:rPr>
        <w:t>日</w:t>
      </w:r>
      <w:r>
        <w:rPr>
          <w:rFonts w:ascii="宋体" w:hAnsi="宋体" w:cs="宋体" w:eastAsia="宋体" w:hint="default"/>
          <w:b/>
          <w:bCs/>
          <w:w w:val="99"/>
          <w:sz w:val="21"/>
          <w:szCs w:val="21"/>
        </w:rPr>
        <w:t>，</w:t>
      </w:r>
      <w:r>
        <w:rPr>
          <w:rFonts w:ascii="宋体" w:hAnsi="宋体" w:cs="宋体" w:eastAsia="宋体" w:hint="default"/>
          <w:b/>
          <w:bCs/>
          <w:spacing w:val="1"/>
          <w:w w:val="99"/>
          <w:sz w:val="21"/>
          <w:szCs w:val="21"/>
        </w:rPr>
        <w:t>投资性</w:t>
      </w:r>
      <w:r>
        <w:rPr>
          <w:rFonts w:ascii="宋体" w:hAnsi="宋体" w:cs="宋体" w:eastAsia="宋体" w:hint="default"/>
          <w:b/>
          <w:bCs/>
          <w:w w:val="99"/>
          <w:sz w:val="21"/>
          <w:szCs w:val="21"/>
        </w:rPr>
        <w:t>房地</w:t>
      </w:r>
      <w:r>
        <w:rPr>
          <w:rFonts w:ascii="宋体" w:hAnsi="宋体" w:cs="宋体" w:eastAsia="宋体" w:hint="default"/>
          <w:b/>
          <w:bCs/>
          <w:spacing w:val="1"/>
          <w:w w:val="99"/>
          <w:sz w:val="21"/>
          <w:szCs w:val="21"/>
        </w:rPr>
        <w:t>产抵押</w:t>
      </w:r>
      <w:r>
        <w:rPr>
          <w:rFonts w:ascii="宋体" w:hAnsi="宋体" w:cs="宋体" w:eastAsia="宋体" w:hint="default"/>
          <w:b/>
          <w:bCs/>
          <w:w w:val="99"/>
          <w:sz w:val="21"/>
          <w:szCs w:val="21"/>
        </w:rPr>
        <w:t>担保</w:t>
      </w:r>
      <w:r>
        <w:rPr>
          <w:rFonts w:ascii="宋体" w:hAnsi="宋体" w:cs="宋体" w:eastAsia="宋体" w:hint="default"/>
          <w:b/>
          <w:bCs/>
          <w:spacing w:val="1"/>
          <w:w w:val="99"/>
          <w:sz w:val="21"/>
          <w:szCs w:val="21"/>
        </w:rPr>
        <w:t>情况参</w:t>
      </w:r>
      <w:r>
        <w:rPr>
          <w:rFonts w:ascii="宋体" w:hAnsi="宋体" w:cs="宋体" w:eastAsia="宋体" w:hint="default"/>
          <w:b/>
          <w:bCs/>
          <w:w w:val="99"/>
          <w:sz w:val="21"/>
          <w:szCs w:val="21"/>
        </w:rPr>
        <w:t>见附</w:t>
      </w:r>
      <w:r>
        <w:rPr>
          <w:rFonts w:ascii="宋体" w:hAnsi="宋体" w:cs="宋体" w:eastAsia="宋体" w:hint="default"/>
          <w:b/>
          <w:bCs/>
          <w:spacing w:val="1"/>
          <w:w w:val="99"/>
          <w:sz w:val="21"/>
          <w:szCs w:val="21"/>
        </w:rPr>
        <w:t>注五（</w:t>
      </w:r>
      <w:r>
        <w:rPr>
          <w:rFonts w:ascii="宋体" w:hAnsi="宋体" w:cs="宋体" w:eastAsia="宋体" w:hint="default"/>
          <w:b/>
          <w:bCs/>
          <w:w w:val="99"/>
          <w:sz w:val="21"/>
          <w:szCs w:val="21"/>
        </w:rPr>
        <w:t>三十</w:t>
      </w:r>
      <w:r>
        <w:rPr>
          <w:rFonts w:ascii="宋体" w:hAnsi="宋体" w:cs="宋体" w:eastAsia="宋体" w:hint="default"/>
          <w:b/>
          <w:bCs/>
          <w:spacing w:val="1"/>
          <w:w w:val="99"/>
          <w:sz w:val="21"/>
          <w:szCs w:val="21"/>
        </w:rPr>
        <w:t>一</w:t>
      </w:r>
      <w:r>
        <w:rPr>
          <w:rFonts w:ascii="宋体" w:hAnsi="宋体" w:cs="宋体" w:eastAsia="宋体" w:hint="default"/>
          <w:b/>
          <w:bCs/>
          <w:spacing w:val="-105"/>
          <w:w w:val="99"/>
          <w:sz w:val="21"/>
          <w:szCs w:val="21"/>
        </w:rPr>
        <w:t>）</w:t>
      </w:r>
      <w:r>
        <w:rPr>
          <w:rFonts w:ascii="宋体" w:hAnsi="宋体" w:cs="宋体" w:eastAsia="宋体" w:hint="default"/>
          <w:b/>
          <w:bCs/>
          <w:w w:val="99"/>
          <w:sz w:val="21"/>
          <w:szCs w:val="21"/>
        </w:rPr>
        <w:t>。</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108" w:type="dxa"/>
        <w:tblLayout w:type="fixed"/>
        <w:tblCellMar>
          <w:top w:w="0" w:type="dxa"/>
          <w:left w:w="0" w:type="dxa"/>
          <w:bottom w:w="0" w:type="dxa"/>
          <w:right w:w="0" w:type="dxa"/>
        </w:tblCellMar>
        <w:tblLook w:val="01E0"/>
      </w:tblPr>
      <w:tblGrid>
        <w:gridCol w:w="668"/>
        <w:gridCol w:w="47"/>
        <w:gridCol w:w="2367"/>
        <w:gridCol w:w="1493"/>
        <w:gridCol w:w="1999"/>
        <w:gridCol w:w="1078"/>
        <w:gridCol w:w="1284"/>
      </w:tblGrid>
      <w:tr>
        <w:trPr>
          <w:trHeight w:val="777" w:hRule="exact"/>
        </w:trPr>
        <w:tc>
          <w:tcPr>
            <w:tcW w:w="66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w w:val="95"/>
                <w:sz w:val="21"/>
                <w:szCs w:val="21"/>
              </w:rPr>
              <w:t>(十四)</w:t>
            </w:r>
            <w:r>
              <w:rPr>
                <w:rFonts w:ascii="宋体" w:hAnsi="宋体" w:cs="宋体" w:eastAsia="宋体" w:hint="default"/>
                <w:sz w:val="21"/>
                <w:szCs w:val="21"/>
              </w:rPr>
            </w:r>
          </w:p>
        </w:tc>
        <w:tc>
          <w:tcPr>
            <w:tcW w:w="47" w:type="dxa"/>
            <w:tcBorders>
              <w:top w:val="nil" w:sz="6" w:space="0" w:color="auto"/>
              <w:left w:val="nil" w:sz="6" w:space="0" w:color="auto"/>
              <w:bottom w:val="single" w:sz="12" w:space="0" w:color="000000"/>
              <w:right w:val="nil" w:sz="6" w:space="0" w:color="auto"/>
            </w:tcBorders>
          </w:tcPr>
          <w:p>
            <w:pPr/>
          </w:p>
        </w:tc>
        <w:tc>
          <w:tcPr>
            <w:tcW w:w="236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47" w:right="0"/>
              <w:jc w:val="left"/>
              <w:rPr>
                <w:rFonts w:ascii="宋体" w:hAnsi="宋体" w:cs="宋体" w:eastAsia="宋体" w:hint="default"/>
                <w:sz w:val="21"/>
                <w:szCs w:val="21"/>
              </w:rPr>
            </w:pPr>
            <w:r>
              <w:rPr>
                <w:rFonts w:ascii="宋体" w:hAnsi="宋体" w:cs="宋体" w:eastAsia="宋体" w:hint="default"/>
                <w:b/>
                <w:bCs/>
                <w:w w:val="95"/>
                <w:sz w:val="21"/>
                <w:szCs w:val="21"/>
              </w:rPr>
              <w:t>固定资产原价及累计折旧</w:t>
            </w:r>
            <w:r>
              <w:rPr>
                <w:rFonts w:ascii="宋体" w:hAnsi="宋体" w:cs="宋体" w:eastAsia="宋体" w:hint="default"/>
                <w:sz w:val="21"/>
                <w:szCs w:val="21"/>
              </w:rPr>
            </w:r>
          </w:p>
          <w:p>
            <w:pPr>
              <w:pStyle w:val="TableParagraph"/>
              <w:tabs>
                <w:tab w:pos="590" w:val="left" w:leader="none"/>
              </w:tabs>
              <w:spacing w:line="240" w:lineRule="auto" w:before="145"/>
              <w:ind w:left="51" w:right="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固定资产情况</w:t>
            </w:r>
            <w:r>
              <w:rPr>
                <w:rFonts w:ascii="宋体" w:hAnsi="宋体" w:cs="宋体" w:eastAsia="宋体" w:hint="default"/>
                <w:sz w:val="21"/>
                <w:szCs w:val="21"/>
              </w:rPr>
            </w:r>
          </w:p>
        </w:tc>
        <w:tc>
          <w:tcPr>
            <w:tcW w:w="5854" w:type="dxa"/>
            <w:gridSpan w:val="4"/>
            <w:tcBorders>
              <w:top w:val="nil" w:sz="6" w:space="0" w:color="auto"/>
              <w:left w:val="nil" w:sz="6" w:space="0" w:color="auto"/>
              <w:bottom w:val="single" w:sz="12" w:space="0" w:color="000000"/>
              <w:right w:val="nil" w:sz="6" w:space="0" w:color="auto"/>
            </w:tcBorders>
          </w:tcPr>
          <w:p>
            <w:pPr/>
          </w:p>
        </w:tc>
      </w:tr>
      <w:tr>
        <w:trPr>
          <w:trHeight w:val="394" w:hRule="exact"/>
        </w:trPr>
        <w:tc>
          <w:tcPr>
            <w:tcW w:w="668" w:type="dxa"/>
            <w:tcBorders>
              <w:top w:val="nil" w:sz="6" w:space="0" w:color="auto"/>
              <w:left w:val="nil" w:sz="6" w:space="0" w:color="auto"/>
              <w:bottom w:val="nil" w:sz="6" w:space="0" w:color="auto"/>
              <w:right w:val="nil" w:sz="6" w:space="0" w:color="auto"/>
            </w:tcBorders>
          </w:tcPr>
          <w:p>
            <w:pPr/>
          </w:p>
        </w:tc>
        <w:tc>
          <w:tcPr>
            <w:tcW w:w="47" w:type="dxa"/>
            <w:tcBorders>
              <w:top w:val="single" w:sz="12" w:space="0" w:color="000000"/>
              <w:left w:val="nil" w:sz="6" w:space="0" w:color="auto"/>
              <w:bottom w:val="nil" w:sz="6" w:space="0" w:color="auto"/>
              <w:right w:val="nil" w:sz="6" w:space="0" w:color="auto"/>
            </w:tcBorders>
          </w:tcPr>
          <w:p>
            <w:pPr/>
          </w:p>
        </w:tc>
        <w:tc>
          <w:tcPr>
            <w:tcW w:w="2367" w:type="dxa"/>
            <w:tcBorders>
              <w:top w:val="single" w:sz="12" w:space="0" w:color="000000"/>
              <w:left w:val="nil" w:sz="6" w:space="0" w:color="auto"/>
              <w:bottom w:val="nil" w:sz="6" w:space="0" w:color="auto"/>
              <w:right w:val="nil" w:sz="6" w:space="0" w:color="auto"/>
            </w:tcBorders>
          </w:tcPr>
          <w:p>
            <w:pPr>
              <w:pStyle w:val="TableParagraph"/>
              <w:tabs>
                <w:tab w:pos="1282" w:val="left" w:leader="none"/>
              </w:tabs>
              <w:spacing w:line="240" w:lineRule="auto" w:before="41"/>
              <w:ind w:left="742"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49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59"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99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5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07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5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28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88" w:hRule="exact"/>
        </w:trPr>
        <w:tc>
          <w:tcPr>
            <w:tcW w:w="668" w:type="dxa"/>
            <w:tcBorders>
              <w:top w:val="nil" w:sz="6" w:space="0" w:color="auto"/>
              <w:left w:val="nil" w:sz="6" w:space="0" w:color="auto"/>
              <w:bottom w:val="nil" w:sz="6" w:space="0" w:color="auto"/>
              <w:right w:val="nil" w:sz="6" w:space="0" w:color="auto"/>
            </w:tcBorders>
          </w:tcPr>
          <w:p>
            <w:pPr/>
          </w:p>
        </w:tc>
        <w:tc>
          <w:tcPr>
            <w:tcW w:w="47" w:type="dxa"/>
            <w:tcBorders>
              <w:top w:val="nil" w:sz="6" w:space="0" w:color="auto"/>
              <w:left w:val="nil" w:sz="6" w:space="0" w:color="auto"/>
              <w:bottom w:val="nil" w:sz="6" w:space="0" w:color="auto"/>
              <w:right w:val="nil" w:sz="6" w:space="0" w:color="auto"/>
            </w:tcBorders>
          </w:tcPr>
          <w:p>
            <w:pP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51" w:right="0"/>
              <w:jc w:val="left"/>
              <w:rPr>
                <w:rFonts w:ascii="宋体" w:hAnsi="宋体" w:cs="宋体" w:eastAsia="宋体" w:hint="default"/>
                <w:sz w:val="18"/>
                <w:szCs w:val="18"/>
              </w:rPr>
            </w:pPr>
            <w:r>
              <w:rPr>
                <w:rFonts w:ascii="宋体" w:hAnsi="宋体" w:cs="宋体" w:eastAsia="宋体" w:hint="default"/>
                <w:sz w:val="18"/>
                <w:szCs w:val="18"/>
              </w:rPr>
              <w:t>一、账面原值合计：</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54"/>
              <w:jc w:val="right"/>
              <w:rPr>
                <w:rFonts w:ascii="Times New Roman" w:hAnsi="Times New Roman" w:cs="Times New Roman" w:eastAsia="Times New Roman" w:hint="default"/>
                <w:sz w:val="18"/>
                <w:szCs w:val="18"/>
              </w:rPr>
            </w:pPr>
            <w:r>
              <w:rPr>
                <w:rFonts w:ascii="Times New Roman"/>
                <w:spacing w:val="-1"/>
                <w:sz w:val="18"/>
              </w:rPr>
              <w:t>1,883,699,754</w:t>
            </w: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23"/>
              <w:jc w:val="right"/>
              <w:rPr>
                <w:rFonts w:ascii="Times New Roman" w:hAnsi="Times New Roman" w:cs="Times New Roman" w:eastAsia="Times New Roman" w:hint="default"/>
                <w:sz w:val="18"/>
                <w:szCs w:val="18"/>
              </w:rPr>
            </w:pPr>
            <w:r>
              <w:rPr>
                <w:rFonts w:ascii="Times New Roman"/>
                <w:spacing w:val="-1"/>
                <w:sz w:val="18"/>
              </w:rPr>
              <w:t>119,849,712</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26" w:right="0"/>
              <w:jc w:val="left"/>
              <w:rPr>
                <w:rFonts w:ascii="Times New Roman" w:hAnsi="Times New Roman" w:cs="Times New Roman" w:eastAsia="Times New Roman" w:hint="default"/>
                <w:sz w:val="18"/>
                <w:szCs w:val="18"/>
              </w:rPr>
            </w:pPr>
            <w:r>
              <w:rPr>
                <w:rFonts w:ascii="Times New Roman"/>
                <w:sz w:val="18"/>
              </w:rPr>
              <w:t>81,626,744</w:t>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6"/>
              <w:jc w:val="right"/>
              <w:rPr>
                <w:rFonts w:ascii="Times New Roman" w:hAnsi="Times New Roman" w:cs="Times New Roman" w:eastAsia="Times New Roman" w:hint="default"/>
                <w:sz w:val="18"/>
                <w:szCs w:val="18"/>
              </w:rPr>
            </w:pPr>
            <w:r>
              <w:rPr>
                <w:rFonts w:ascii="Times New Roman"/>
                <w:spacing w:val="-1"/>
                <w:sz w:val="18"/>
              </w:rPr>
              <w:t>1,921,922,722</w:t>
            </w:r>
          </w:p>
        </w:tc>
      </w:tr>
      <w:tr>
        <w:trPr>
          <w:trHeight w:val="385" w:hRule="exact"/>
        </w:trPr>
        <w:tc>
          <w:tcPr>
            <w:tcW w:w="668" w:type="dxa"/>
            <w:tcBorders>
              <w:top w:val="nil" w:sz="6" w:space="0" w:color="auto"/>
              <w:left w:val="nil" w:sz="6" w:space="0" w:color="auto"/>
              <w:bottom w:val="nil" w:sz="6" w:space="0" w:color="auto"/>
              <w:right w:val="nil" w:sz="6" w:space="0" w:color="auto"/>
            </w:tcBorders>
          </w:tcPr>
          <w:p>
            <w:pPr/>
          </w:p>
        </w:tc>
        <w:tc>
          <w:tcPr>
            <w:tcW w:w="47" w:type="dxa"/>
            <w:tcBorders>
              <w:top w:val="nil" w:sz="6" w:space="0" w:color="auto"/>
              <w:left w:val="nil" w:sz="6" w:space="0" w:color="auto"/>
              <w:bottom w:val="nil" w:sz="6" w:space="0" w:color="auto"/>
              <w:right w:val="nil" w:sz="6" w:space="0" w:color="auto"/>
            </w:tcBorders>
          </w:tcPr>
          <w:p>
            <w:pP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43"/>
              <w:ind w:left="51"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54"/>
              <w:jc w:val="right"/>
              <w:rPr>
                <w:rFonts w:ascii="Times New Roman" w:hAnsi="Times New Roman" w:cs="Times New Roman" w:eastAsia="Times New Roman" w:hint="default"/>
                <w:sz w:val="18"/>
                <w:szCs w:val="18"/>
              </w:rPr>
            </w:pPr>
            <w:r>
              <w:rPr>
                <w:rFonts w:ascii="Times New Roman"/>
                <w:spacing w:val="-1"/>
                <w:sz w:val="18"/>
              </w:rPr>
              <w:t>1,356,084,769</w:t>
            </w: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24"/>
              <w:jc w:val="right"/>
              <w:rPr>
                <w:rFonts w:ascii="Times New Roman" w:hAnsi="Times New Roman" w:cs="Times New Roman" w:eastAsia="Times New Roman" w:hint="default"/>
                <w:sz w:val="18"/>
                <w:szCs w:val="18"/>
              </w:rPr>
            </w:pPr>
            <w:r>
              <w:rPr>
                <w:rFonts w:ascii="Times New Roman"/>
                <w:sz w:val="18"/>
              </w:rPr>
              <w:t>24,660,776</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25" w:right="0"/>
              <w:jc w:val="left"/>
              <w:rPr>
                <w:rFonts w:ascii="Times New Roman" w:hAnsi="Times New Roman" w:cs="Times New Roman" w:eastAsia="Times New Roman" w:hint="default"/>
                <w:sz w:val="18"/>
                <w:szCs w:val="18"/>
              </w:rPr>
            </w:pPr>
            <w:r>
              <w:rPr>
                <w:rFonts w:ascii="Times New Roman"/>
                <w:sz w:val="18"/>
              </w:rPr>
              <w:t>31,122,837</w:t>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1,349,622,708</w:t>
            </w:r>
          </w:p>
        </w:tc>
      </w:tr>
      <w:tr>
        <w:trPr>
          <w:trHeight w:val="384" w:hRule="exact"/>
        </w:trPr>
        <w:tc>
          <w:tcPr>
            <w:tcW w:w="668" w:type="dxa"/>
            <w:tcBorders>
              <w:top w:val="nil" w:sz="6" w:space="0" w:color="auto"/>
              <w:left w:val="nil" w:sz="6" w:space="0" w:color="auto"/>
              <w:bottom w:val="nil" w:sz="6" w:space="0" w:color="auto"/>
              <w:right w:val="nil" w:sz="6" w:space="0" w:color="auto"/>
            </w:tcBorders>
          </w:tcPr>
          <w:p>
            <w:pPr/>
          </w:p>
        </w:tc>
        <w:tc>
          <w:tcPr>
            <w:tcW w:w="47" w:type="dxa"/>
            <w:tcBorders>
              <w:top w:val="nil" w:sz="6" w:space="0" w:color="auto"/>
              <w:left w:val="nil" w:sz="6" w:space="0" w:color="auto"/>
              <w:bottom w:val="nil" w:sz="6" w:space="0" w:color="auto"/>
              <w:right w:val="nil" w:sz="6" w:space="0" w:color="auto"/>
            </w:tcBorders>
          </w:tcPr>
          <w:p>
            <w:pP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91"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54"/>
              <w:jc w:val="right"/>
              <w:rPr>
                <w:rFonts w:ascii="Times New Roman" w:hAnsi="Times New Roman" w:cs="Times New Roman" w:eastAsia="Times New Roman" w:hint="default"/>
                <w:sz w:val="18"/>
                <w:szCs w:val="18"/>
              </w:rPr>
            </w:pPr>
            <w:r>
              <w:rPr>
                <w:rFonts w:ascii="Times New Roman"/>
                <w:sz w:val="18"/>
              </w:rPr>
              <w:t>321,865,524</w:t>
            </w: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4"/>
              <w:jc w:val="right"/>
              <w:rPr>
                <w:rFonts w:ascii="Times New Roman" w:hAnsi="Times New Roman" w:cs="Times New Roman" w:eastAsia="Times New Roman" w:hint="default"/>
                <w:sz w:val="18"/>
                <w:szCs w:val="18"/>
              </w:rPr>
            </w:pPr>
            <w:r>
              <w:rPr>
                <w:rFonts w:ascii="Times New Roman"/>
                <w:sz w:val="18"/>
              </w:rPr>
              <w:t>67,814,492</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25" w:right="0"/>
              <w:jc w:val="left"/>
              <w:rPr>
                <w:rFonts w:ascii="Times New Roman" w:hAnsi="Times New Roman" w:cs="Times New Roman" w:eastAsia="Times New Roman" w:hint="default"/>
                <w:sz w:val="18"/>
                <w:szCs w:val="18"/>
              </w:rPr>
            </w:pPr>
            <w:r>
              <w:rPr>
                <w:rFonts w:ascii="Times New Roman"/>
                <w:sz w:val="18"/>
              </w:rPr>
              <w:t>41,242,536</w:t>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z w:val="18"/>
              </w:rPr>
              <w:t>348,437,480</w:t>
            </w:r>
          </w:p>
        </w:tc>
      </w:tr>
      <w:tr>
        <w:trPr>
          <w:trHeight w:val="385" w:hRule="exact"/>
        </w:trPr>
        <w:tc>
          <w:tcPr>
            <w:tcW w:w="668" w:type="dxa"/>
            <w:tcBorders>
              <w:top w:val="nil" w:sz="6" w:space="0" w:color="auto"/>
              <w:left w:val="nil" w:sz="6" w:space="0" w:color="auto"/>
              <w:bottom w:val="nil" w:sz="6" w:space="0" w:color="auto"/>
              <w:right w:val="nil" w:sz="6" w:space="0" w:color="auto"/>
            </w:tcBorders>
          </w:tcPr>
          <w:p>
            <w:pPr/>
          </w:p>
        </w:tc>
        <w:tc>
          <w:tcPr>
            <w:tcW w:w="47" w:type="dxa"/>
            <w:tcBorders>
              <w:top w:val="nil" w:sz="6" w:space="0" w:color="auto"/>
              <w:left w:val="nil" w:sz="6" w:space="0" w:color="auto"/>
              <w:bottom w:val="nil" w:sz="6" w:space="0" w:color="auto"/>
              <w:right w:val="nil" w:sz="6" w:space="0" w:color="auto"/>
            </w:tcBorders>
          </w:tcPr>
          <w:p>
            <w:pPr/>
          </w:p>
        </w:tc>
        <w:tc>
          <w:tcPr>
            <w:tcW w:w="236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91"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54"/>
              <w:jc w:val="right"/>
              <w:rPr>
                <w:rFonts w:ascii="Times New Roman" w:hAnsi="Times New Roman" w:cs="Times New Roman" w:eastAsia="Times New Roman" w:hint="default"/>
                <w:sz w:val="18"/>
                <w:szCs w:val="18"/>
              </w:rPr>
            </w:pPr>
            <w:r>
              <w:rPr>
                <w:rFonts w:ascii="Times New Roman"/>
                <w:sz w:val="18"/>
              </w:rPr>
              <w:t>16,389,141</w:t>
            </w:r>
          </w:p>
        </w:tc>
        <w:tc>
          <w:tcPr>
            <w:tcW w:w="199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3"/>
              <w:jc w:val="right"/>
              <w:rPr>
                <w:rFonts w:ascii="Times New Roman" w:hAnsi="Times New Roman" w:cs="Times New Roman" w:eastAsia="Times New Roman" w:hint="default"/>
                <w:sz w:val="18"/>
                <w:szCs w:val="18"/>
              </w:rPr>
            </w:pPr>
            <w:r>
              <w:rPr>
                <w:rFonts w:ascii="Times New Roman"/>
                <w:sz w:val="18"/>
              </w:rPr>
              <w:t>2,473,889</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8"/>
              <w:jc w:val="right"/>
              <w:rPr>
                <w:rFonts w:ascii="Times New Roman" w:hAnsi="Times New Roman" w:cs="Times New Roman" w:eastAsia="Times New Roman" w:hint="default"/>
                <w:sz w:val="18"/>
                <w:szCs w:val="18"/>
              </w:rPr>
            </w:pPr>
            <w:r>
              <w:rPr>
                <w:rFonts w:ascii="Times New Roman"/>
                <w:sz w:val="18"/>
              </w:rPr>
              <w:t>2,508,532</w:t>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8"/>
                <w:szCs w:val="18"/>
              </w:rPr>
            </w:pPr>
            <w:r>
              <w:rPr>
                <w:rFonts w:ascii="Times New Roman"/>
                <w:sz w:val="18"/>
              </w:rPr>
              <w:t>16,354,498</w:t>
            </w:r>
          </w:p>
        </w:tc>
      </w:tr>
      <w:tr>
        <w:trPr>
          <w:trHeight w:val="391" w:hRule="exact"/>
        </w:trPr>
        <w:tc>
          <w:tcPr>
            <w:tcW w:w="668" w:type="dxa"/>
            <w:tcBorders>
              <w:top w:val="nil" w:sz="6" w:space="0" w:color="auto"/>
              <w:left w:val="nil" w:sz="6" w:space="0" w:color="auto"/>
              <w:bottom w:val="nil" w:sz="6" w:space="0" w:color="auto"/>
              <w:right w:val="nil" w:sz="6" w:space="0" w:color="auto"/>
            </w:tcBorders>
          </w:tcPr>
          <w:p>
            <w:pPr/>
          </w:p>
        </w:tc>
        <w:tc>
          <w:tcPr>
            <w:tcW w:w="47" w:type="dxa"/>
            <w:tcBorders>
              <w:top w:val="nil" w:sz="6" w:space="0" w:color="auto"/>
              <w:left w:val="nil" w:sz="6" w:space="0" w:color="auto"/>
              <w:bottom w:val="single" w:sz="12" w:space="0" w:color="000000"/>
              <w:right w:val="nil" w:sz="6" w:space="0" w:color="auto"/>
            </w:tcBorders>
          </w:tcPr>
          <w:p>
            <w:pPr/>
          </w:p>
        </w:tc>
        <w:tc>
          <w:tcPr>
            <w:tcW w:w="2367" w:type="dxa"/>
            <w:tcBorders>
              <w:top w:val="nil" w:sz="6" w:space="0" w:color="auto"/>
              <w:left w:val="nil" w:sz="6" w:space="0" w:color="auto"/>
              <w:bottom w:val="single" w:sz="12" w:space="0" w:color="000000"/>
              <w:right w:val="nil" w:sz="6" w:space="0" w:color="auto"/>
            </w:tcBorders>
          </w:tcPr>
          <w:p>
            <w:pPr>
              <w:pStyle w:val="TableParagraph"/>
              <w:spacing w:line="240" w:lineRule="auto" w:before="43"/>
              <w:ind w:left="591"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493"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454"/>
              <w:jc w:val="right"/>
              <w:rPr>
                <w:rFonts w:ascii="Times New Roman" w:hAnsi="Times New Roman" w:cs="Times New Roman" w:eastAsia="Times New Roman" w:hint="default"/>
                <w:sz w:val="18"/>
                <w:szCs w:val="18"/>
              </w:rPr>
            </w:pPr>
            <w:r>
              <w:rPr>
                <w:rFonts w:ascii="Times New Roman"/>
                <w:sz w:val="18"/>
              </w:rPr>
              <w:t>189,360,320</w:t>
            </w:r>
          </w:p>
        </w:tc>
        <w:tc>
          <w:tcPr>
            <w:tcW w:w="1999"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24"/>
              <w:jc w:val="right"/>
              <w:rPr>
                <w:rFonts w:ascii="Times New Roman" w:hAnsi="Times New Roman" w:cs="Times New Roman" w:eastAsia="Times New Roman" w:hint="default"/>
                <w:sz w:val="18"/>
                <w:szCs w:val="18"/>
              </w:rPr>
            </w:pPr>
            <w:r>
              <w:rPr>
                <w:rFonts w:ascii="Times New Roman"/>
                <w:sz w:val="18"/>
              </w:rPr>
              <w:t>24,900,555</w:t>
            </w:r>
          </w:p>
        </w:tc>
        <w:tc>
          <w:tcPr>
            <w:tcW w:w="1078"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38"/>
              <w:jc w:val="right"/>
              <w:rPr>
                <w:rFonts w:ascii="Times New Roman" w:hAnsi="Times New Roman" w:cs="Times New Roman" w:eastAsia="Times New Roman" w:hint="default"/>
                <w:sz w:val="18"/>
                <w:szCs w:val="18"/>
              </w:rPr>
            </w:pPr>
            <w:r>
              <w:rPr>
                <w:rFonts w:ascii="Times New Roman"/>
                <w:sz w:val="18"/>
              </w:rPr>
              <w:t>6,752,839</w:t>
            </w:r>
          </w:p>
        </w:tc>
        <w:tc>
          <w:tcPr>
            <w:tcW w:w="1284"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z w:val="18"/>
              </w:rPr>
              <w:t>207,508,036</w:t>
            </w:r>
          </w:p>
        </w:tc>
      </w:tr>
    </w:tbl>
    <w:p>
      <w:pPr>
        <w:spacing w:after="0" w:line="240" w:lineRule="auto"/>
        <w:jc w:val="right"/>
        <w:rPr>
          <w:rFonts w:ascii="Times New Roman" w:hAnsi="Times New Roman" w:cs="Times New Roman" w:eastAsia="Times New Roman" w:hint="default"/>
          <w:sz w:val="18"/>
          <w:szCs w:val="18"/>
        </w:rPr>
        <w:sectPr>
          <w:headerReference w:type="default" r:id="rId187"/>
          <w:footerReference w:type="default" r:id="rId188"/>
          <w:pgSz w:w="11910" w:h="16840"/>
          <w:pgMar w:header="883" w:footer="1003" w:top="1540" w:bottom="1200" w:left="1640" w:right="1080"/>
          <w:pgNumType w:start="53"/>
        </w:sectPr>
      </w:pPr>
    </w:p>
    <w:p>
      <w:pPr>
        <w:spacing w:line="240" w:lineRule="auto" w:before="1"/>
        <w:rPr>
          <w:rFonts w:ascii="宋体" w:hAnsi="宋体" w:cs="宋体" w:eastAsia="宋体" w:hint="default"/>
          <w:b/>
          <w:bCs/>
          <w:sz w:val="5"/>
          <w:szCs w:val="5"/>
        </w:rPr>
      </w:pPr>
    </w:p>
    <w:tbl>
      <w:tblPr>
        <w:tblW w:w="0" w:type="auto"/>
        <w:jc w:val="left"/>
        <w:tblInd w:w="785" w:type="dxa"/>
        <w:tblLayout w:type="fixed"/>
        <w:tblCellMar>
          <w:top w:w="0" w:type="dxa"/>
          <w:left w:w="0" w:type="dxa"/>
          <w:bottom w:w="0" w:type="dxa"/>
          <w:right w:w="0" w:type="dxa"/>
        </w:tblCellMar>
        <w:tblLook w:val="01E0"/>
      </w:tblPr>
      <w:tblGrid>
        <w:gridCol w:w="2280"/>
        <w:gridCol w:w="1253"/>
        <w:gridCol w:w="2378"/>
        <w:gridCol w:w="1046"/>
        <w:gridCol w:w="1245"/>
      </w:tblGrid>
      <w:tr>
        <w:trPr>
          <w:trHeight w:val="1172" w:hRule="exact"/>
        </w:trPr>
        <w:tc>
          <w:tcPr>
            <w:tcW w:w="2280" w:type="dxa"/>
            <w:tcBorders>
              <w:top w:val="nil" w:sz="6" w:space="0" w:color="auto"/>
              <w:left w:val="nil" w:sz="6" w:space="0" w:color="auto"/>
              <w:bottom w:val="nil" w:sz="6" w:space="0" w:color="auto"/>
              <w:right w:val="nil" w:sz="6" w:space="0" w:color="auto"/>
            </w:tcBorders>
          </w:tcPr>
          <w:p>
            <w:pPr>
              <w:pStyle w:val="TableParagraph"/>
              <w:tabs>
                <w:tab w:pos="1301" w:val="left" w:leader="none"/>
              </w:tabs>
              <w:spacing w:line="240" w:lineRule="auto" w:before="61"/>
              <w:ind w:left="761" w:right="0"/>
              <w:jc w:val="left"/>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left="70" w:right="0"/>
              <w:jc w:val="left"/>
              <w:rPr>
                <w:rFonts w:ascii="宋体" w:hAnsi="宋体" w:cs="宋体" w:eastAsia="宋体" w:hint="default"/>
                <w:sz w:val="18"/>
                <w:szCs w:val="18"/>
              </w:rPr>
            </w:pPr>
            <w:r>
              <w:rPr>
                <w:rFonts w:ascii="宋体" w:hAnsi="宋体" w:cs="宋体" w:eastAsia="宋体" w:hint="default"/>
                <w:sz w:val="18"/>
                <w:szCs w:val="18"/>
              </w:rPr>
              <w:t>二、累计折旧合计：</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64"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5"/>
                <w:szCs w:val="25"/>
              </w:rPr>
            </w:pPr>
          </w:p>
          <w:p>
            <w:pPr>
              <w:pStyle w:val="TableParagraph"/>
              <w:spacing w:line="240" w:lineRule="auto"/>
              <w:ind w:left="241" w:right="0"/>
              <w:jc w:val="left"/>
              <w:rPr>
                <w:rFonts w:ascii="Times New Roman" w:hAnsi="Times New Roman" w:cs="Times New Roman" w:eastAsia="Times New Roman" w:hint="default"/>
                <w:sz w:val="18"/>
                <w:szCs w:val="18"/>
              </w:rPr>
            </w:pPr>
            <w:r>
              <w:rPr>
                <w:rFonts w:ascii="Times New Roman"/>
                <w:sz w:val="18"/>
              </w:rPr>
              <w:t>451,725,684</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52"/>
              <w:jc w:val="center"/>
              <w:rPr>
                <w:rFonts w:ascii="宋体" w:hAnsi="宋体" w:cs="宋体" w:eastAsia="宋体" w:hint="default"/>
                <w:sz w:val="18"/>
                <w:szCs w:val="18"/>
              </w:rPr>
            </w:pPr>
            <w:r>
              <w:rPr>
                <w:rFonts w:ascii="宋体" w:hAnsi="宋体" w:cs="宋体" w:eastAsia="宋体" w:hint="default"/>
                <w:sz w:val="18"/>
                <w:szCs w:val="18"/>
              </w:rPr>
              <w:t>本期增加</w:t>
            </w:r>
          </w:p>
          <w:p>
            <w:pPr>
              <w:pStyle w:val="TableParagraph"/>
              <w:tabs>
                <w:tab w:pos="1060" w:val="left" w:leader="none"/>
              </w:tabs>
              <w:spacing w:line="240" w:lineRule="auto" w:before="148"/>
              <w:ind w:left="101" w:right="0"/>
              <w:jc w:val="center"/>
              <w:rPr>
                <w:rFonts w:ascii="宋体" w:hAnsi="宋体" w:cs="宋体" w:eastAsia="宋体" w:hint="default"/>
                <w:sz w:val="18"/>
                <w:szCs w:val="18"/>
              </w:rPr>
            </w:pPr>
            <w:r>
              <w:rPr>
                <w:rFonts w:ascii="宋体" w:hAnsi="宋体" w:cs="宋体" w:eastAsia="宋体" w:hint="default"/>
                <w:sz w:val="18"/>
                <w:szCs w:val="18"/>
              </w:rPr>
              <w:t>本期增加</w:t>
              <w:tab/>
              <w:t>其中</w:t>
            </w:r>
            <w:r>
              <w:rPr>
                <w:rFonts w:ascii="Times New Roman" w:hAnsi="Times New Roman" w:cs="Times New Roman" w:eastAsia="Times New Roman" w:hint="default"/>
                <w:sz w:val="18"/>
                <w:szCs w:val="18"/>
              </w:rPr>
              <w:t>:</w:t>
            </w:r>
            <w:r>
              <w:rPr>
                <w:rFonts w:ascii="宋体" w:hAnsi="宋体" w:cs="宋体" w:eastAsia="宋体" w:hint="default"/>
                <w:sz w:val="18"/>
                <w:szCs w:val="18"/>
              </w:rPr>
              <w:t>本期计提</w:t>
            </w:r>
          </w:p>
          <w:p>
            <w:pPr>
              <w:pStyle w:val="TableParagraph"/>
              <w:spacing w:line="240" w:lineRule="auto" w:before="6"/>
              <w:ind w:right="0"/>
              <w:jc w:val="left"/>
              <w:rPr>
                <w:rFonts w:ascii="宋体" w:hAnsi="宋体" w:cs="宋体" w:eastAsia="宋体" w:hint="default"/>
                <w:b/>
                <w:bCs/>
                <w:sz w:val="13"/>
                <w:szCs w:val="13"/>
              </w:rPr>
            </w:pPr>
          </w:p>
          <w:p>
            <w:pPr>
              <w:pStyle w:val="TableParagraph"/>
              <w:tabs>
                <w:tab w:pos="1214" w:val="left" w:leader="none"/>
              </w:tabs>
              <w:spacing w:line="240" w:lineRule="auto"/>
              <w:ind w:right="47"/>
              <w:jc w:val="center"/>
              <w:rPr>
                <w:rFonts w:ascii="Times New Roman" w:hAnsi="Times New Roman" w:cs="Times New Roman" w:eastAsia="Times New Roman" w:hint="default"/>
                <w:sz w:val="18"/>
                <w:szCs w:val="18"/>
              </w:rPr>
            </w:pPr>
            <w:r>
              <w:rPr>
                <w:rFonts w:ascii="Times New Roman"/>
                <w:spacing w:val="-1"/>
                <w:sz w:val="18"/>
              </w:rPr>
              <w:t>115,875,583</w:t>
              <w:tab/>
              <w:t>115,031,451</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93" w:right="0" w:firstLine="27"/>
              <w:jc w:val="left"/>
              <w:rPr>
                <w:rFonts w:ascii="宋体" w:hAnsi="宋体" w:cs="宋体" w:eastAsia="宋体" w:hint="default"/>
                <w:sz w:val="18"/>
                <w:szCs w:val="18"/>
              </w:rPr>
            </w:pPr>
            <w:r>
              <w:rPr>
                <w:rFonts w:ascii="宋体" w:hAnsi="宋体" w:cs="宋体" w:eastAsia="宋体" w:hint="default"/>
                <w:sz w:val="18"/>
                <w:szCs w:val="18"/>
              </w:rPr>
              <w:t>本期减少</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5"/>
                <w:szCs w:val="25"/>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42,830,401</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64"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5"/>
                <w:szCs w:val="25"/>
              </w:rPr>
            </w:pPr>
          </w:p>
          <w:p>
            <w:pPr>
              <w:pStyle w:val="TableParagraph"/>
              <w:spacing w:line="240" w:lineRule="auto"/>
              <w:ind w:left="273" w:right="0"/>
              <w:jc w:val="left"/>
              <w:rPr>
                <w:rFonts w:ascii="Times New Roman" w:hAnsi="Times New Roman" w:cs="Times New Roman" w:eastAsia="Times New Roman" w:hint="default"/>
                <w:sz w:val="18"/>
                <w:szCs w:val="18"/>
              </w:rPr>
            </w:pPr>
            <w:r>
              <w:rPr>
                <w:rFonts w:ascii="Times New Roman"/>
                <w:sz w:val="18"/>
              </w:rPr>
              <w:t>524,770,866</w:t>
            </w:r>
          </w:p>
        </w:tc>
      </w:tr>
      <w:tr>
        <w:trPr>
          <w:trHeight w:val="384"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70"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8"/>
                <w:szCs w:val="18"/>
              </w:rPr>
            </w:pPr>
            <w:r>
              <w:rPr>
                <w:rFonts w:ascii="Times New Roman"/>
                <w:sz w:val="18"/>
              </w:rPr>
              <w:t>132,572,833</w:t>
            </w:r>
          </w:p>
        </w:tc>
        <w:tc>
          <w:tcPr>
            <w:tcW w:w="2378" w:type="dxa"/>
            <w:tcBorders>
              <w:top w:val="nil" w:sz="6" w:space="0" w:color="auto"/>
              <w:left w:val="nil" w:sz="6" w:space="0" w:color="auto"/>
              <w:bottom w:val="nil" w:sz="6" w:space="0" w:color="auto"/>
              <w:right w:val="nil" w:sz="6" w:space="0" w:color="auto"/>
            </w:tcBorders>
          </w:tcPr>
          <w:p>
            <w:pPr>
              <w:pStyle w:val="TableParagraph"/>
              <w:tabs>
                <w:tab w:pos="1214" w:val="left" w:leader="none"/>
              </w:tabs>
              <w:spacing w:line="240" w:lineRule="auto" w:before="82"/>
              <w:ind w:right="157"/>
              <w:jc w:val="right"/>
              <w:rPr>
                <w:rFonts w:ascii="Times New Roman" w:hAnsi="Times New Roman" w:cs="Times New Roman" w:eastAsia="Times New Roman" w:hint="default"/>
                <w:sz w:val="18"/>
                <w:szCs w:val="18"/>
              </w:rPr>
            </w:pPr>
            <w:r>
              <w:rPr>
                <w:rFonts w:ascii="Times New Roman"/>
                <w:sz w:val="18"/>
              </w:rPr>
              <w:t>40,181,086</w:t>
              <w:tab/>
              <w:t>40,181,086</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9"/>
              <w:jc w:val="right"/>
              <w:rPr>
                <w:rFonts w:ascii="Times New Roman" w:hAnsi="Times New Roman" w:cs="Times New Roman" w:eastAsia="Times New Roman" w:hint="default"/>
                <w:sz w:val="18"/>
                <w:szCs w:val="18"/>
              </w:rPr>
            </w:pPr>
            <w:r>
              <w:rPr>
                <w:rFonts w:ascii="Times New Roman"/>
                <w:sz w:val="18"/>
              </w:rPr>
              <w:t>10,736,153</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8"/>
                <w:szCs w:val="18"/>
              </w:rPr>
            </w:pPr>
            <w:r>
              <w:rPr>
                <w:rFonts w:ascii="Times New Roman"/>
                <w:sz w:val="18"/>
              </w:rPr>
              <w:t>162,017,766</w:t>
            </w:r>
          </w:p>
        </w:tc>
      </w:tr>
      <w:tr>
        <w:trPr>
          <w:trHeight w:val="385"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09"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8"/>
                <w:szCs w:val="18"/>
              </w:rPr>
            </w:pPr>
            <w:r>
              <w:rPr>
                <w:rFonts w:ascii="Times New Roman"/>
                <w:sz w:val="18"/>
              </w:rPr>
              <w:t>223,722,915</w:t>
            </w:r>
          </w:p>
        </w:tc>
        <w:tc>
          <w:tcPr>
            <w:tcW w:w="2378" w:type="dxa"/>
            <w:tcBorders>
              <w:top w:val="nil" w:sz="6" w:space="0" w:color="auto"/>
              <w:left w:val="nil" w:sz="6" w:space="0" w:color="auto"/>
              <w:bottom w:val="nil" w:sz="6" w:space="0" w:color="auto"/>
              <w:right w:val="nil" w:sz="6" w:space="0" w:color="auto"/>
            </w:tcBorders>
          </w:tcPr>
          <w:p>
            <w:pPr>
              <w:pStyle w:val="TableParagraph"/>
              <w:tabs>
                <w:tab w:pos="1214" w:val="left" w:leader="none"/>
              </w:tabs>
              <w:spacing w:line="240" w:lineRule="auto" w:before="82"/>
              <w:ind w:right="157"/>
              <w:jc w:val="right"/>
              <w:rPr>
                <w:rFonts w:ascii="Times New Roman" w:hAnsi="Times New Roman" w:cs="Times New Roman" w:eastAsia="Times New Roman" w:hint="default"/>
                <w:sz w:val="18"/>
                <w:szCs w:val="18"/>
              </w:rPr>
            </w:pPr>
            <w:r>
              <w:rPr>
                <w:rFonts w:ascii="Times New Roman"/>
                <w:sz w:val="18"/>
              </w:rPr>
              <w:t>50,894,585</w:t>
              <w:tab/>
              <w:t>50,050,453</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9"/>
              <w:jc w:val="right"/>
              <w:rPr>
                <w:rFonts w:ascii="Times New Roman" w:hAnsi="Times New Roman" w:cs="Times New Roman" w:eastAsia="Times New Roman" w:hint="default"/>
                <w:sz w:val="18"/>
                <w:szCs w:val="18"/>
              </w:rPr>
            </w:pPr>
            <w:r>
              <w:rPr>
                <w:rFonts w:ascii="Times New Roman"/>
                <w:sz w:val="18"/>
              </w:rPr>
              <w:t>25,998,802</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8"/>
                <w:szCs w:val="18"/>
              </w:rPr>
            </w:pPr>
            <w:r>
              <w:rPr>
                <w:rFonts w:ascii="Times New Roman"/>
                <w:sz w:val="18"/>
              </w:rPr>
              <w:t>248,618,698</w:t>
            </w:r>
          </w:p>
        </w:tc>
      </w:tr>
      <w:tr>
        <w:trPr>
          <w:trHeight w:val="385"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43"/>
              <w:ind w:left="609"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18"/>
                <w:szCs w:val="18"/>
              </w:rPr>
            </w:pPr>
            <w:r>
              <w:rPr>
                <w:rFonts w:ascii="Times New Roman"/>
                <w:sz w:val="18"/>
              </w:rPr>
              <w:t>9,578,151</w:t>
            </w:r>
          </w:p>
        </w:tc>
        <w:tc>
          <w:tcPr>
            <w:tcW w:w="2378" w:type="dxa"/>
            <w:tcBorders>
              <w:top w:val="nil" w:sz="6" w:space="0" w:color="auto"/>
              <w:left w:val="nil" w:sz="6" w:space="0" w:color="auto"/>
              <w:bottom w:val="nil" w:sz="6" w:space="0" w:color="auto"/>
              <w:right w:val="nil" w:sz="6" w:space="0" w:color="auto"/>
            </w:tcBorders>
          </w:tcPr>
          <w:p>
            <w:pPr>
              <w:pStyle w:val="TableParagraph"/>
              <w:tabs>
                <w:tab w:pos="1214" w:val="left" w:leader="none"/>
              </w:tabs>
              <w:spacing w:line="240" w:lineRule="auto" w:before="83"/>
              <w:ind w:right="157"/>
              <w:jc w:val="right"/>
              <w:rPr>
                <w:rFonts w:ascii="Times New Roman" w:hAnsi="Times New Roman" w:cs="Times New Roman" w:eastAsia="Times New Roman" w:hint="default"/>
                <w:sz w:val="18"/>
                <w:szCs w:val="18"/>
              </w:rPr>
            </w:pPr>
            <w:r>
              <w:rPr>
                <w:rFonts w:ascii="Times New Roman"/>
                <w:sz w:val="18"/>
              </w:rPr>
              <w:t>2,571,998</w:t>
              <w:tab/>
              <w:t>2,571,998</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9"/>
              <w:jc w:val="right"/>
              <w:rPr>
                <w:rFonts w:ascii="Times New Roman" w:hAnsi="Times New Roman" w:cs="Times New Roman" w:eastAsia="Times New Roman" w:hint="default"/>
                <w:sz w:val="18"/>
                <w:szCs w:val="18"/>
              </w:rPr>
            </w:pPr>
            <w:r>
              <w:rPr>
                <w:rFonts w:ascii="Times New Roman"/>
                <w:sz w:val="18"/>
              </w:rPr>
              <w:t>2,236,688</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8"/>
                <w:szCs w:val="18"/>
              </w:rPr>
            </w:pPr>
            <w:r>
              <w:rPr>
                <w:rFonts w:ascii="Times New Roman"/>
                <w:sz w:val="18"/>
              </w:rPr>
              <w:t>9,913,461</w:t>
            </w:r>
          </w:p>
        </w:tc>
      </w:tr>
      <w:tr>
        <w:trPr>
          <w:trHeight w:val="384"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09"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8"/>
                <w:szCs w:val="18"/>
              </w:rPr>
            </w:pPr>
            <w:r>
              <w:rPr>
                <w:rFonts w:ascii="Times New Roman"/>
                <w:sz w:val="18"/>
              </w:rPr>
              <w:t>85,851,785</w:t>
            </w:r>
          </w:p>
        </w:tc>
        <w:tc>
          <w:tcPr>
            <w:tcW w:w="2378" w:type="dxa"/>
            <w:tcBorders>
              <w:top w:val="nil" w:sz="6" w:space="0" w:color="auto"/>
              <w:left w:val="nil" w:sz="6" w:space="0" w:color="auto"/>
              <w:bottom w:val="nil" w:sz="6" w:space="0" w:color="auto"/>
              <w:right w:val="nil" w:sz="6" w:space="0" w:color="auto"/>
            </w:tcBorders>
          </w:tcPr>
          <w:p>
            <w:pPr>
              <w:pStyle w:val="TableParagraph"/>
              <w:tabs>
                <w:tab w:pos="1214" w:val="left" w:leader="none"/>
              </w:tabs>
              <w:spacing w:line="240" w:lineRule="auto" w:before="82"/>
              <w:ind w:right="157"/>
              <w:jc w:val="right"/>
              <w:rPr>
                <w:rFonts w:ascii="Times New Roman" w:hAnsi="Times New Roman" w:cs="Times New Roman" w:eastAsia="Times New Roman" w:hint="default"/>
                <w:sz w:val="18"/>
                <w:szCs w:val="18"/>
              </w:rPr>
            </w:pPr>
            <w:r>
              <w:rPr>
                <w:rFonts w:ascii="Times New Roman"/>
                <w:sz w:val="18"/>
              </w:rPr>
              <w:t>22,227,914</w:t>
              <w:tab/>
              <w:t>22,227,914</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9"/>
              <w:jc w:val="right"/>
              <w:rPr>
                <w:rFonts w:ascii="Times New Roman" w:hAnsi="Times New Roman" w:cs="Times New Roman" w:eastAsia="Times New Roman" w:hint="default"/>
                <w:sz w:val="18"/>
                <w:szCs w:val="18"/>
              </w:rPr>
            </w:pPr>
            <w:r>
              <w:rPr>
                <w:rFonts w:ascii="Times New Roman"/>
                <w:sz w:val="18"/>
              </w:rPr>
              <w:t>3,858,758</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8"/>
                <w:szCs w:val="18"/>
              </w:rPr>
            </w:pPr>
            <w:r>
              <w:rPr>
                <w:rFonts w:ascii="Times New Roman"/>
                <w:sz w:val="18"/>
              </w:rPr>
              <w:t>104,220,941</w:t>
            </w:r>
          </w:p>
        </w:tc>
      </w:tr>
      <w:tr>
        <w:trPr>
          <w:trHeight w:val="385"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70" w:right="0"/>
              <w:jc w:val="left"/>
              <w:rPr>
                <w:rFonts w:ascii="宋体" w:hAnsi="宋体" w:cs="宋体" w:eastAsia="宋体" w:hint="default"/>
                <w:sz w:val="18"/>
                <w:szCs w:val="18"/>
              </w:rPr>
            </w:pPr>
            <w:r>
              <w:rPr>
                <w:rFonts w:ascii="宋体" w:hAnsi="宋体" w:cs="宋体" w:eastAsia="宋体" w:hint="default"/>
                <w:spacing w:val="-5"/>
                <w:sz w:val="18"/>
                <w:szCs w:val="18"/>
              </w:rPr>
              <w:t>三、固定资产账面净值合计</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8"/>
              <w:jc w:val="right"/>
              <w:rPr>
                <w:rFonts w:ascii="Times New Roman" w:hAnsi="Times New Roman" w:cs="Times New Roman" w:eastAsia="Times New Roman" w:hint="default"/>
                <w:sz w:val="18"/>
                <w:szCs w:val="18"/>
              </w:rPr>
            </w:pPr>
            <w:r>
              <w:rPr>
                <w:rFonts w:ascii="Times New Roman"/>
                <w:spacing w:val="-1"/>
                <w:sz w:val="18"/>
              </w:rPr>
              <w:t>1,431,974,070</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5"/>
              <w:jc w:val="right"/>
              <w:rPr>
                <w:rFonts w:ascii="Times New Roman" w:hAnsi="Times New Roman" w:cs="Times New Roman" w:eastAsia="Times New Roman" w:hint="default"/>
                <w:sz w:val="18"/>
                <w:szCs w:val="18"/>
              </w:rPr>
            </w:pPr>
            <w:r>
              <w:rPr>
                <w:rFonts w:ascii="Times New Roman"/>
                <w:sz w:val="18"/>
              </w:rPr>
              <w:t>1,676,173</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7"/>
              <w:jc w:val="right"/>
              <w:rPr>
                <w:rFonts w:ascii="Times New Roman" w:hAnsi="Times New Roman" w:cs="Times New Roman" w:eastAsia="Times New Roman" w:hint="default"/>
                <w:sz w:val="18"/>
                <w:szCs w:val="18"/>
              </w:rPr>
            </w:pPr>
            <w:r>
              <w:rPr>
                <w:rFonts w:ascii="Times New Roman"/>
                <w:sz w:val="18"/>
              </w:rPr>
              <w:t>36,498,387</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8"/>
                <w:szCs w:val="18"/>
              </w:rPr>
            </w:pPr>
            <w:r>
              <w:rPr>
                <w:rFonts w:ascii="Times New Roman"/>
                <w:spacing w:val="-1"/>
                <w:sz w:val="18"/>
              </w:rPr>
              <w:t>1,397,151,856</w:t>
            </w:r>
          </w:p>
        </w:tc>
      </w:tr>
      <w:tr>
        <w:trPr>
          <w:trHeight w:val="385"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43"/>
              <w:ind w:left="70"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8"/>
              <w:jc w:val="right"/>
              <w:rPr>
                <w:rFonts w:ascii="Times New Roman" w:hAnsi="Times New Roman" w:cs="Times New Roman" w:eastAsia="Times New Roman" w:hint="default"/>
                <w:sz w:val="18"/>
                <w:szCs w:val="18"/>
              </w:rPr>
            </w:pPr>
            <w:r>
              <w:rPr>
                <w:rFonts w:ascii="Times New Roman"/>
                <w:spacing w:val="-1"/>
                <w:sz w:val="18"/>
              </w:rPr>
              <w:t>1,223,511,936</w:t>
            </w:r>
          </w:p>
        </w:tc>
        <w:tc>
          <w:tcPr>
            <w:tcW w:w="237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8"/>
              <w:jc w:val="right"/>
              <w:rPr>
                <w:rFonts w:ascii="Times New Roman" w:hAnsi="Times New Roman" w:cs="Times New Roman" w:eastAsia="Times New Roman" w:hint="default"/>
                <w:sz w:val="18"/>
                <w:szCs w:val="18"/>
              </w:rPr>
            </w:pPr>
            <w:r>
              <w:rPr>
                <w:rFonts w:ascii="Times New Roman"/>
                <w:sz w:val="18"/>
              </w:rPr>
              <w:t>35,906,994</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8"/>
                <w:szCs w:val="18"/>
              </w:rPr>
            </w:pPr>
            <w:r>
              <w:rPr>
                <w:rFonts w:ascii="Times New Roman"/>
                <w:spacing w:val="-1"/>
                <w:sz w:val="18"/>
              </w:rPr>
              <w:t>1,187,604,942</w:t>
            </w:r>
          </w:p>
        </w:tc>
      </w:tr>
      <w:tr>
        <w:trPr>
          <w:trHeight w:val="384"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09"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8"/>
                <w:szCs w:val="18"/>
              </w:rPr>
            </w:pPr>
            <w:r>
              <w:rPr>
                <w:rFonts w:ascii="Times New Roman"/>
                <w:sz w:val="18"/>
              </w:rPr>
              <w:t>98,142,609</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5"/>
              <w:jc w:val="right"/>
              <w:rPr>
                <w:rFonts w:ascii="Times New Roman" w:hAnsi="Times New Roman" w:cs="Times New Roman" w:eastAsia="Times New Roman" w:hint="default"/>
                <w:sz w:val="18"/>
                <w:szCs w:val="18"/>
              </w:rPr>
            </w:pPr>
            <w:r>
              <w:rPr>
                <w:rFonts w:ascii="Times New Roman"/>
                <w:sz w:val="18"/>
              </w:rPr>
              <w:t>1,676,173</w:t>
            </w:r>
          </w:p>
        </w:tc>
        <w:tc>
          <w:tcPr>
            <w:tcW w:w="1046" w:type="dxa"/>
            <w:tcBorders>
              <w:top w:val="nil" w:sz="6" w:space="0" w:color="auto"/>
              <w:left w:val="nil" w:sz="6" w:space="0" w:color="auto"/>
              <w:bottom w:val="nil" w:sz="6" w:space="0" w:color="auto"/>
              <w:right w:val="nil" w:sz="6" w:space="0" w:color="auto"/>
            </w:tcBorders>
          </w:tcPr>
          <w:p>
            <w:pP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8"/>
                <w:szCs w:val="18"/>
              </w:rPr>
            </w:pPr>
            <w:r>
              <w:rPr>
                <w:rFonts w:ascii="Times New Roman"/>
                <w:sz w:val="18"/>
              </w:rPr>
              <w:t>99,818,782</w:t>
            </w:r>
          </w:p>
        </w:tc>
      </w:tr>
      <w:tr>
        <w:trPr>
          <w:trHeight w:val="385"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09"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8"/>
                <w:szCs w:val="18"/>
              </w:rPr>
            </w:pPr>
            <w:r>
              <w:rPr>
                <w:rFonts w:ascii="Times New Roman"/>
                <w:sz w:val="18"/>
              </w:rPr>
              <w:t>6,810,990</w:t>
            </w:r>
          </w:p>
        </w:tc>
        <w:tc>
          <w:tcPr>
            <w:tcW w:w="237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8"/>
              <w:jc w:val="right"/>
              <w:rPr>
                <w:rFonts w:ascii="Times New Roman" w:hAnsi="Times New Roman" w:cs="Times New Roman" w:eastAsia="Times New Roman" w:hint="default"/>
                <w:sz w:val="18"/>
                <w:szCs w:val="18"/>
              </w:rPr>
            </w:pPr>
            <w:r>
              <w:rPr>
                <w:rFonts w:ascii="Times New Roman"/>
                <w:sz w:val="18"/>
              </w:rPr>
              <w:t>369,953</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8"/>
                <w:szCs w:val="18"/>
              </w:rPr>
            </w:pPr>
            <w:r>
              <w:rPr>
                <w:rFonts w:ascii="Times New Roman"/>
                <w:sz w:val="18"/>
              </w:rPr>
              <w:t>6,441,037</w:t>
            </w:r>
          </w:p>
        </w:tc>
      </w:tr>
      <w:tr>
        <w:trPr>
          <w:trHeight w:val="385"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43"/>
              <w:ind w:left="609"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18"/>
                <w:szCs w:val="18"/>
              </w:rPr>
            </w:pPr>
            <w:r>
              <w:rPr>
                <w:rFonts w:ascii="Times New Roman"/>
                <w:sz w:val="18"/>
              </w:rPr>
              <w:t>103,508,535</w:t>
            </w:r>
          </w:p>
        </w:tc>
        <w:tc>
          <w:tcPr>
            <w:tcW w:w="237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8"/>
              <w:jc w:val="right"/>
              <w:rPr>
                <w:rFonts w:ascii="Times New Roman" w:hAnsi="Times New Roman" w:cs="Times New Roman" w:eastAsia="Times New Roman" w:hint="default"/>
                <w:sz w:val="18"/>
                <w:szCs w:val="18"/>
              </w:rPr>
            </w:pPr>
            <w:r>
              <w:rPr>
                <w:rFonts w:ascii="Times New Roman"/>
                <w:sz w:val="18"/>
              </w:rPr>
              <w:t>221,440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8"/>
                <w:szCs w:val="18"/>
              </w:rPr>
            </w:pPr>
            <w:r>
              <w:rPr>
                <w:rFonts w:ascii="Times New Roman"/>
                <w:sz w:val="18"/>
              </w:rPr>
              <w:t>103,287,095</w:t>
            </w:r>
          </w:p>
        </w:tc>
      </w:tr>
      <w:tr>
        <w:trPr>
          <w:trHeight w:val="765"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391" w:lineRule="auto" w:before="42"/>
              <w:ind w:left="70" w:right="587"/>
              <w:jc w:val="left"/>
              <w:rPr>
                <w:rFonts w:ascii="宋体" w:hAnsi="宋体" w:cs="宋体" w:eastAsia="宋体" w:hint="default"/>
                <w:sz w:val="18"/>
                <w:szCs w:val="18"/>
              </w:rPr>
            </w:pPr>
            <w:r>
              <w:rPr>
                <w:rFonts w:ascii="宋体" w:hAnsi="宋体" w:cs="宋体" w:eastAsia="宋体" w:hint="default"/>
                <w:sz w:val="18"/>
                <w:szCs w:val="18"/>
              </w:rPr>
              <w:t>四、减值准备合计 其中：房屋及建筑物</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8"/>
                <w:szCs w:val="18"/>
              </w:rPr>
            </w:pPr>
            <w:r>
              <w:rPr>
                <w:rFonts w:ascii="Times New Roman"/>
                <w:sz w:val="18"/>
              </w:rPr>
              <w:t>2,325,001</w:t>
            </w:r>
          </w:p>
        </w:tc>
        <w:tc>
          <w:tcPr>
            <w:tcW w:w="237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9"/>
              <w:jc w:val="right"/>
              <w:rPr>
                <w:rFonts w:ascii="Times New Roman" w:hAnsi="Times New Roman" w:cs="Times New Roman" w:eastAsia="Times New Roman" w:hint="default"/>
                <w:sz w:val="18"/>
                <w:szCs w:val="18"/>
              </w:rPr>
            </w:pPr>
            <w:r>
              <w:rPr>
                <w:rFonts w:ascii="Times New Roman"/>
                <w:sz w:val="18"/>
              </w:rPr>
              <w:t>574,087</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8"/>
                <w:szCs w:val="18"/>
              </w:rPr>
            </w:pPr>
            <w:r>
              <w:rPr>
                <w:rFonts w:ascii="Times New Roman"/>
                <w:sz w:val="18"/>
              </w:rPr>
              <w:t>1,750,914</w:t>
            </w:r>
          </w:p>
        </w:tc>
      </w:tr>
      <w:tr>
        <w:trPr>
          <w:trHeight w:val="1157"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391" w:lineRule="auto" w:before="47"/>
              <w:ind w:left="609" w:right="947"/>
              <w:jc w:val="both"/>
              <w:rPr>
                <w:rFonts w:ascii="宋体" w:hAnsi="宋体" w:cs="宋体" w:eastAsia="宋体" w:hint="default"/>
                <w:sz w:val="18"/>
                <w:szCs w:val="18"/>
              </w:rPr>
            </w:pPr>
            <w:r>
              <w:rPr>
                <w:rFonts w:ascii="宋体" w:hAnsi="宋体" w:cs="宋体" w:eastAsia="宋体" w:hint="default"/>
                <w:sz w:val="18"/>
                <w:szCs w:val="18"/>
              </w:rPr>
              <w:t>电子设备 运输设备 其他设备</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7"/>
              <w:ind w:left="421" w:right="0"/>
              <w:jc w:val="left"/>
              <w:rPr>
                <w:rFonts w:ascii="Times New Roman" w:hAnsi="Times New Roman" w:cs="Times New Roman" w:eastAsia="Times New Roman" w:hint="default"/>
                <w:sz w:val="18"/>
                <w:szCs w:val="18"/>
              </w:rPr>
            </w:pPr>
            <w:r>
              <w:rPr>
                <w:rFonts w:ascii="Times New Roman"/>
                <w:sz w:val="18"/>
              </w:rPr>
              <w:t>2,294,105</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4"/>
                <w:szCs w:val="24"/>
              </w:rPr>
            </w:pPr>
          </w:p>
          <w:p>
            <w:pPr>
              <w:pStyle w:val="TableParagraph"/>
              <w:spacing w:line="240" w:lineRule="auto"/>
              <w:ind w:left="647" w:right="0"/>
              <w:jc w:val="left"/>
              <w:rPr>
                <w:rFonts w:ascii="Times New Roman" w:hAnsi="Times New Roman" w:cs="Times New Roman" w:eastAsia="Times New Roman" w:hint="default"/>
                <w:sz w:val="18"/>
                <w:szCs w:val="18"/>
              </w:rPr>
            </w:pPr>
            <w:r>
              <w:rPr>
                <w:rFonts w:ascii="Times New Roman"/>
                <w:sz w:val="18"/>
              </w:rPr>
              <w:t>30,896</w:t>
            </w:r>
          </w:p>
        </w:tc>
        <w:tc>
          <w:tcPr>
            <w:tcW w:w="237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87"/>
              <w:ind w:left="319" w:right="0"/>
              <w:jc w:val="left"/>
              <w:rPr>
                <w:rFonts w:ascii="Times New Roman" w:hAnsi="Times New Roman" w:cs="Times New Roman" w:eastAsia="Times New Roman" w:hint="default"/>
                <w:sz w:val="18"/>
                <w:szCs w:val="18"/>
              </w:rPr>
            </w:pPr>
            <w:r>
              <w:rPr>
                <w:rFonts w:ascii="Times New Roman"/>
                <w:sz w:val="18"/>
              </w:rPr>
              <w:t>545,649</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4"/>
                <w:szCs w:val="24"/>
              </w:rPr>
            </w:pPr>
          </w:p>
          <w:p>
            <w:pPr>
              <w:pStyle w:val="TableParagraph"/>
              <w:spacing w:line="240" w:lineRule="auto"/>
              <w:ind w:left="409" w:right="0"/>
              <w:jc w:val="left"/>
              <w:rPr>
                <w:rFonts w:ascii="Times New Roman" w:hAnsi="Times New Roman" w:cs="Times New Roman" w:eastAsia="Times New Roman" w:hint="default"/>
                <w:sz w:val="18"/>
                <w:szCs w:val="18"/>
              </w:rPr>
            </w:pPr>
            <w:r>
              <w:rPr>
                <w:rFonts w:ascii="Times New Roman"/>
                <w:sz w:val="18"/>
              </w:rPr>
              <w:t>28,438</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7"/>
              <w:ind w:left="453" w:right="0"/>
              <w:jc w:val="left"/>
              <w:rPr>
                <w:rFonts w:ascii="Times New Roman" w:hAnsi="Times New Roman" w:cs="Times New Roman" w:eastAsia="Times New Roman" w:hint="default"/>
                <w:sz w:val="18"/>
                <w:szCs w:val="18"/>
              </w:rPr>
            </w:pPr>
            <w:r>
              <w:rPr>
                <w:rFonts w:ascii="Times New Roman"/>
                <w:sz w:val="18"/>
              </w:rPr>
              <w:t>1,748,456</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4"/>
                <w:szCs w:val="24"/>
              </w:rPr>
            </w:pPr>
          </w:p>
          <w:p>
            <w:pPr>
              <w:pStyle w:val="TableParagraph"/>
              <w:spacing w:line="240" w:lineRule="auto"/>
              <w:ind w:left="769" w:right="0"/>
              <w:jc w:val="left"/>
              <w:rPr>
                <w:rFonts w:ascii="Times New Roman" w:hAnsi="Times New Roman" w:cs="Times New Roman" w:eastAsia="Times New Roman" w:hint="default"/>
                <w:sz w:val="18"/>
                <w:szCs w:val="18"/>
              </w:rPr>
            </w:pPr>
            <w:r>
              <w:rPr>
                <w:rFonts w:ascii="Times New Roman"/>
                <w:sz w:val="18"/>
              </w:rPr>
              <w:t>2,458</w:t>
            </w:r>
          </w:p>
        </w:tc>
      </w:tr>
      <w:tr>
        <w:trPr>
          <w:trHeight w:val="385"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43"/>
              <w:ind w:left="70" w:right="0"/>
              <w:jc w:val="left"/>
              <w:rPr>
                <w:rFonts w:ascii="宋体" w:hAnsi="宋体" w:cs="宋体" w:eastAsia="宋体" w:hint="default"/>
                <w:sz w:val="18"/>
                <w:szCs w:val="18"/>
              </w:rPr>
            </w:pPr>
            <w:r>
              <w:rPr>
                <w:rFonts w:ascii="宋体" w:hAnsi="宋体" w:cs="宋体" w:eastAsia="宋体" w:hint="default"/>
                <w:spacing w:val="-5"/>
                <w:sz w:val="18"/>
                <w:szCs w:val="18"/>
              </w:rPr>
              <w:t>五、固定资产账面价值合计</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8"/>
              <w:jc w:val="right"/>
              <w:rPr>
                <w:rFonts w:ascii="Times New Roman" w:hAnsi="Times New Roman" w:cs="Times New Roman" w:eastAsia="Times New Roman" w:hint="default"/>
                <w:sz w:val="18"/>
                <w:szCs w:val="18"/>
              </w:rPr>
            </w:pPr>
            <w:r>
              <w:rPr>
                <w:rFonts w:ascii="Times New Roman"/>
                <w:spacing w:val="-1"/>
                <w:sz w:val="18"/>
              </w:rPr>
              <w:t>1,429,649,069</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5"/>
              <w:jc w:val="right"/>
              <w:rPr>
                <w:rFonts w:ascii="Times New Roman" w:hAnsi="Times New Roman" w:cs="Times New Roman" w:eastAsia="Times New Roman" w:hint="default"/>
                <w:sz w:val="18"/>
                <w:szCs w:val="18"/>
              </w:rPr>
            </w:pPr>
            <w:r>
              <w:rPr>
                <w:rFonts w:ascii="Times New Roman"/>
                <w:sz w:val="18"/>
              </w:rPr>
              <w:t>2,221,822</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7"/>
              <w:jc w:val="right"/>
              <w:rPr>
                <w:rFonts w:ascii="Times New Roman" w:hAnsi="Times New Roman" w:cs="Times New Roman" w:eastAsia="Times New Roman" w:hint="default"/>
                <w:sz w:val="18"/>
                <w:szCs w:val="18"/>
              </w:rPr>
            </w:pPr>
            <w:r>
              <w:rPr>
                <w:rFonts w:ascii="Times New Roman"/>
                <w:sz w:val="18"/>
              </w:rPr>
              <w:t>36,469,949</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8"/>
                <w:szCs w:val="18"/>
              </w:rPr>
            </w:pPr>
            <w:r>
              <w:rPr>
                <w:rFonts w:ascii="Times New Roman"/>
                <w:spacing w:val="-1"/>
                <w:sz w:val="18"/>
              </w:rPr>
              <w:t>1,395,400,942</w:t>
            </w:r>
          </w:p>
        </w:tc>
      </w:tr>
      <w:tr>
        <w:trPr>
          <w:trHeight w:val="384"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70"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8"/>
              <w:jc w:val="right"/>
              <w:rPr>
                <w:rFonts w:ascii="Times New Roman" w:hAnsi="Times New Roman" w:cs="Times New Roman" w:eastAsia="Times New Roman" w:hint="default"/>
                <w:sz w:val="18"/>
                <w:szCs w:val="18"/>
              </w:rPr>
            </w:pPr>
            <w:r>
              <w:rPr>
                <w:rFonts w:ascii="Times New Roman"/>
                <w:spacing w:val="-1"/>
                <w:sz w:val="18"/>
              </w:rPr>
              <w:t>1,223,511,936</w:t>
            </w:r>
          </w:p>
        </w:tc>
        <w:tc>
          <w:tcPr>
            <w:tcW w:w="237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7"/>
              <w:jc w:val="right"/>
              <w:rPr>
                <w:rFonts w:ascii="Times New Roman" w:hAnsi="Times New Roman" w:cs="Times New Roman" w:eastAsia="Times New Roman" w:hint="default"/>
                <w:sz w:val="18"/>
                <w:szCs w:val="18"/>
              </w:rPr>
            </w:pPr>
            <w:r>
              <w:rPr>
                <w:rFonts w:ascii="Times New Roman"/>
                <w:sz w:val="18"/>
              </w:rPr>
              <w:t>35,906,994</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8"/>
                <w:szCs w:val="18"/>
              </w:rPr>
            </w:pPr>
            <w:r>
              <w:rPr>
                <w:rFonts w:ascii="Times New Roman"/>
                <w:spacing w:val="-1"/>
                <w:sz w:val="18"/>
              </w:rPr>
              <w:t>1,187,604,942</w:t>
            </w:r>
          </w:p>
        </w:tc>
      </w:tr>
      <w:tr>
        <w:trPr>
          <w:trHeight w:val="385"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09"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8"/>
                <w:szCs w:val="18"/>
              </w:rPr>
            </w:pPr>
            <w:r>
              <w:rPr>
                <w:rFonts w:ascii="Times New Roman"/>
                <w:sz w:val="18"/>
              </w:rPr>
              <w:t>95,848,504</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5"/>
              <w:jc w:val="right"/>
              <w:rPr>
                <w:rFonts w:ascii="Times New Roman" w:hAnsi="Times New Roman" w:cs="Times New Roman" w:eastAsia="Times New Roman" w:hint="default"/>
                <w:sz w:val="18"/>
                <w:szCs w:val="18"/>
              </w:rPr>
            </w:pPr>
            <w:r>
              <w:rPr>
                <w:rFonts w:ascii="Times New Roman"/>
                <w:sz w:val="18"/>
              </w:rPr>
              <w:t>2,221,822</w:t>
            </w:r>
          </w:p>
        </w:tc>
        <w:tc>
          <w:tcPr>
            <w:tcW w:w="1046" w:type="dxa"/>
            <w:tcBorders>
              <w:top w:val="nil" w:sz="6" w:space="0" w:color="auto"/>
              <w:left w:val="nil" w:sz="6" w:space="0" w:color="auto"/>
              <w:bottom w:val="nil" w:sz="6" w:space="0" w:color="auto"/>
              <w:right w:val="nil" w:sz="6" w:space="0" w:color="auto"/>
            </w:tcBorders>
          </w:tcPr>
          <w:p>
            <w:pP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8"/>
                <w:szCs w:val="18"/>
              </w:rPr>
            </w:pPr>
            <w:r>
              <w:rPr>
                <w:rFonts w:ascii="Times New Roman"/>
                <w:sz w:val="18"/>
              </w:rPr>
              <w:t>98,070,326</w:t>
            </w:r>
          </w:p>
        </w:tc>
      </w:tr>
      <w:tr>
        <w:trPr>
          <w:trHeight w:val="385"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43"/>
              <w:ind w:left="609"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18"/>
                <w:szCs w:val="18"/>
              </w:rPr>
            </w:pPr>
            <w:r>
              <w:rPr>
                <w:rFonts w:ascii="Times New Roman"/>
                <w:sz w:val="18"/>
              </w:rPr>
              <w:t>6,810,990</w:t>
            </w:r>
          </w:p>
        </w:tc>
        <w:tc>
          <w:tcPr>
            <w:tcW w:w="237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8"/>
              <w:jc w:val="right"/>
              <w:rPr>
                <w:rFonts w:ascii="Times New Roman" w:hAnsi="Times New Roman" w:cs="Times New Roman" w:eastAsia="Times New Roman" w:hint="default"/>
                <w:sz w:val="18"/>
                <w:szCs w:val="18"/>
              </w:rPr>
            </w:pPr>
            <w:r>
              <w:rPr>
                <w:rFonts w:ascii="Times New Roman"/>
                <w:sz w:val="18"/>
              </w:rPr>
              <w:t>369,953</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8"/>
                <w:szCs w:val="18"/>
              </w:rPr>
            </w:pPr>
            <w:r>
              <w:rPr>
                <w:rFonts w:ascii="Times New Roman"/>
                <w:sz w:val="18"/>
              </w:rPr>
              <w:t>6,441,037</w:t>
            </w:r>
          </w:p>
        </w:tc>
      </w:tr>
      <w:tr>
        <w:trPr>
          <w:trHeight w:val="390"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609"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8"/>
                <w:szCs w:val="18"/>
              </w:rPr>
            </w:pPr>
            <w:r>
              <w:rPr>
                <w:rFonts w:ascii="Times New Roman"/>
                <w:sz w:val="18"/>
              </w:rPr>
              <w:t>103,477,639</w:t>
            </w:r>
          </w:p>
        </w:tc>
        <w:tc>
          <w:tcPr>
            <w:tcW w:w="2378"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8"/>
              <w:jc w:val="right"/>
              <w:rPr>
                <w:rFonts w:ascii="Times New Roman" w:hAnsi="Times New Roman" w:cs="Times New Roman" w:eastAsia="Times New Roman" w:hint="default"/>
                <w:sz w:val="18"/>
                <w:szCs w:val="18"/>
              </w:rPr>
            </w:pPr>
            <w:r>
              <w:rPr>
                <w:rFonts w:ascii="Times New Roman"/>
                <w:sz w:val="18"/>
              </w:rPr>
              <w:t>193,002</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8"/>
                <w:szCs w:val="18"/>
              </w:rPr>
            </w:pPr>
            <w:r>
              <w:rPr>
                <w:rFonts w:ascii="Times New Roman"/>
                <w:sz w:val="18"/>
              </w:rPr>
              <w:t>103,284,637</w:t>
            </w:r>
          </w:p>
        </w:tc>
      </w:tr>
    </w:tbl>
    <w:p>
      <w:pPr>
        <w:spacing w:line="240" w:lineRule="auto" w:before="7"/>
        <w:rPr>
          <w:rFonts w:ascii="宋体" w:hAnsi="宋体" w:cs="宋体" w:eastAsia="宋体" w:hint="default"/>
          <w:b/>
          <w:bCs/>
          <w:sz w:val="5"/>
          <w:szCs w:val="5"/>
        </w:rPr>
      </w:pPr>
    </w:p>
    <w:p>
      <w:pPr>
        <w:pStyle w:val="BodyText"/>
        <w:spacing w:line="240" w:lineRule="auto"/>
        <w:ind w:left="855" w:right="0"/>
        <w:jc w:val="left"/>
      </w:pPr>
      <w:r>
        <w:rPr/>
        <w:pict>
          <v:group style="position:absolute;margin-left:88.140007pt;margin-top:-428.726013pt;width:447.75pt;height:425.85pt;mso-position-horizontal-relative:page;mso-position-vertical-relative:paragraph;z-index:-1120360" coordorigin="1763,-8575" coordsize="8955,8517">
            <v:group style="position:absolute;left:1768;top:-8570;width:8877;height:2" coordorigin="1768,-8570" coordsize="8877,2">
              <v:shape style="position:absolute;left:1768;top:-8570;width:8877;height:2" coordorigin="1768,-8570" coordsize="8877,0" path="m1768,-8570l10644,-8570e" filled="false" stroked="true" strokeweight=".47998pt" strokecolor="#000000">
                <v:path arrowok="t"/>
              </v:shape>
            </v:group>
            <v:group style="position:absolute;left:2407;top:-8550;width:8278;height:2" coordorigin="2407,-8550" coordsize="8278,2">
              <v:shape style="position:absolute;left:2407;top:-8550;width:8278;height:2" coordorigin="2407,-8550" coordsize="8278,0" path="m2407,-8550l10685,-8550e" filled="false" stroked="true" strokeweight="1.5pt" strokecolor="#000000">
                <v:path arrowok="t"/>
              </v:shape>
              <v:shape style="position:absolute;left:4692;top:-8564;width:4710;height:432" type="#_x0000_t75" stroked="false">
                <v:imagedata r:id="rId193" o:title=""/>
              </v:shape>
            </v:group>
            <v:group style="position:absolute;left:2393;top:-73;width:2328;height:2" coordorigin="2393,-73" coordsize="2328,2">
              <v:shape style="position:absolute;left:2393;top:-73;width:2328;height:2" coordorigin="2393,-73" coordsize="2328,0" path="m2393,-73l4721,-73e" filled="false" stroked="true" strokeweight="1.5pt" strokecolor="#000000">
                <v:path arrowok="t"/>
              </v:shape>
            </v:group>
            <v:group style="position:absolute;left:4721;top:-73;width:1252;height:2" coordorigin="4721,-73" coordsize="1252,2">
              <v:shape style="position:absolute;left:4721;top:-73;width:1252;height:2" coordorigin="4721,-73" coordsize="1252,0" path="m4721,-73l5972,-73e" filled="false" stroked="true" strokeweight="1.5pt" strokecolor="#000000">
                <v:path arrowok="t"/>
              </v:shape>
            </v:group>
            <v:group style="position:absolute;left:5972;top:-73;width:2328;height:2" coordorigin="5972,-73" coordsize="2328,2">
              <v:shape style="position:absolute;left:5972;top:-73;width:2328;height:2" coordorigin="5972,-73" coordsize="2328,0" path="m5972,-73l8300,-73e" filled="false" stroked="true" strokeweight="1.5pt" strokecolor="#000000">
                <v:path arrowok="t"/>
              </v:shape>
            </v:group>
            <v:group style="position:absolute;left:8300;top:-73;width:1064;height:2" coordorigin="8300,-73" coordsize="1064,2">
              <v:shape style="position:absolute;left:8300;top:-73;width:1064;height:2" coordorigin="8300,-73" coordsize="1064,0" path="m8300,-73l9364,-73e" filled="false" stroked="true" strokeweight="1.5pt" strokecolor="#000000">
                <v:path arrowok="t"/>
              </v:shape>
              <v:shape style="position:absolute;left:2378;top:-8189;width:8339;height:8101" type="#_x0000_t75" stroked="false">
                <v:imagedata r:id="rId194" o:title=""/>
              </v:shape>
            </v:group>
            <v:group style="position:absolute;left:9364;top:-73;width:1322;height:2" coordorigin="9364,-73" coordsize="1322,2">
              <v:shape style="position:absolute;left:9364;top:-73;width:1322;height:2" coordorigin="9364,-73" coordsize="1322,0" path="m9364,-73l10685,-73e" filled="false" stroked="true" strokeweight="1.5pt" strokecolor="#000000">
                <v:path arrowok="t"/>
              </v:shape>
            </v:group>
            <w10:wrap type="none"/>
          </v:group>
        </w:pict>
      </w:r>
      <w:r>
        <w:rPr/>
        <w:t>本期计提固定资产折旧</w:t>
      </w:r>
      <w:r>
        <w:rPr>
          <w:spacing w:val="-53"/>
        </w:rPr>
        <w:t> </w:t>
      </w:r>
      <w:r>
        <w:rPr/>
        <w:t>115,031,451</w:t>
      </w:r>
      <w:r>
        <w:rPr>
          <w:spacing w:val="-53"/>
        </w:rPr>
        <w:t> </w:t>
      </w:r>
      <w:r>
        <w:rPr/>
        <w:t>元；</w:t>
      </w:r>
    </w:p>
    <w:p>
      <w:pPr>
        <w:pStyle w:val="BodyText"/>
        <w:spacing w:line="240" w:lineRule="auto" w:before="125"/>
        <w:ind w:left="855" w:right="0"/>
        <w:jc w:val="left"/>
      </w:pPr>
      <w:r>
        <w:rPr/>
        <w:t>本期由在建工程转入固定资产原值为</w:t>
      </w:r>
      <w:r>
        <w:rPr>
          <w:spacing w:val="-53"/>
        </w:rPr>
        <w:t> </w:t>
      </w:r>
      <w:r>
        <w:rPr/>
        <w:t>3,779,233</w:t>
      </w:r>
      <w:r>
        <w:rPr>
          <w:spacing w:val="-52"/>
        </w:rPr>
        <w:t> </w:t>
      </w:r>
      <w:r>
        <w:rPr/>
        <w:t>元。</w:t>
      </w:r>
    </w:p>
    <w:p>
      <w:pPr>
        <w:pStyle w:val="BodyText"/>
        <w:spacing w:line="240" w:lineRule="auto" w:before="126"/>
        <w:ind w:left="855" w:right="0"/>
        <w:jc w:val="left"/>
      </w:pPr>
      <w:r>
        <w:rPr>
          <w:spacing w:val="-1"/>
        </w:rPr>
        <w:t>截</w:t>
      </w:r>
      <w:r>
        <w:rPr/>
        <w:t>至</w:t>
      </w:r>
      <w:r>
        <w:rPr>
          <w:spacing w:val="-53"/>
        </w:rPr>
        <w:t> </w:t>
      </w:r>
      <w:r>
        <w:rPr>
          <w:spacing w:val="-1"/>
        </w:rPr>
        <w:t>201</w:t>
      </w:r>
      <w:r>
        <w:rPr/>
        <w:t>1</w:t>
      </w:r>
      <w:r>
        <w:rPr>
          <w:spacing w:val="-52"/>
        </w:rPr>
        <w:t> </w:t>
      </w:r>
      <w:r>
        <w:rPr/>
        <w:t>年</w:t>
      </w:r>
      <w:r>
        <w:rPr>
          <w:spacing w:val="-54"/>
        </w:rPr>
        <w:t> </w:t>
      </w:r>
      <w:r>
        <w:rPr/>
        <w:t>12</w:t>
      </w:r>
      <w:r>
        <w:rPr>
          <w:spacing w:val="-53"/>
        </w:rPr>
        <w:t> </w:t>
      </w:r>
      <w:r>
        <w:rPr/>
        <w:t>月</w:t>
      </w:r>
      <w:r>
        <w:rPr>
          <w:spacing w:val="-53"/>
        </w:rPr>
        <w:t> </w:t>
      </w:r>
      <w:r>
        <w:rPr>
          <w:spacing w:val="-1"/>
        </w:rPr>
        <w:t>3</w:t>
      </w:r>
      <w:r>
        <w:rPr/>
        <w:t>1</w:t>
      </w:r>
      <w:r>
        <w:rPr>
          <w:spacing w:val="-52"/>
        </w:rPr>
        <w:t> </w:t>
      </w:r>
      <w:r>
        <w:rPr>
          <w:spacing w:val="-1"/>
        </w:rPr>
        <w:t>日</w:t>
      </w:r>
      <w:r>
        <w:rPr>
          <w:spacing w:val="-2"/>
        </w:rPr>
        <w:t>，</w:t>
      </w:r>
      <w:r>
        <w:rPr>
          <w:spacing w:val="-1"/>
        </w:rPr>
        <w:t>固定资产抵押担保情况参见附注五（三十一</w:t>
      </w:r>
      <w:r>
        <w:rPr>
          <w:spacing w:val="-104"/>
        </w:rPr>
        <w:t>）</w:t>
      </w:r>
      <w:r>
        <w:rPr/>
        <w:t>。</w:t>
      </w:r>
    </w:p>
    <w:p>
      <w:pPr>
        <w:tabs>
          <w:tab w:pos="1393" w:val="left" w:leader="none"/>
        </w:tabs>
        <w:spacing w:line="698" w:lineRule="auto" w:before="125"/>
        <w:ind w:left="855" w:right="2846" w:firstLine="0"/>
        <w:jc w:val="left"/>
        <w:rPr>
          <w:rFonts w:ascii="宋体" w:hAnsi="宋体" w:cs="宋体" w:eastAsia="宋体" w:hint="default"/>
          <w:sz w:val="21"/>
          <w:szCs w:val="21"/>
        </w:rPr>
      </w:pPr>
      <w:r>
        <w:rPr>
          <w:rFonts w:ascii="宋体" w:hAnsi="宋体" w:cs="宋体" w:eastAsia="宋体" w:hint="default"/>
          <w:sz w:val="21"/>
          <w:szCs w:val="21"/>
        </w:rPr>
        <w:t>本期因为合并范围变化增加固定资产累计折旧</w:t>
      </w:r>
      <w:r>
        <w:rPr>
          <w:rFonts w:ascii="宋体" w:hAnsi="宋体" w:cs="宋体" w:eastAsia="宋体" w:hint="default"/>
          <w:spacing w:val="-53"/>
          <w:sz w:val="21"/>
          <w:szCs w:val="21"/>
        </w:rPr>
        <w:t> </w:t>
      </w:r>
      <w:r>
        <w:rPr>
          <w:rFonts w:ascii="宋体" w:hAnsi="宋体" w:cs="宋体" w:eastAsia="宋体" w:hint="default"/>
          <w:sz w:val="21"/>
          <w:szCs w:val="21"/>
        </w:rPr>
        <w:t>844,132</w:t>
      </w:r>
      <w:r>
        <w:rPr>
          <w:rFonts w:ascii="宋体" w:hAnsi="宋体" w:cs="宋体" w:eastAsia="宋体" w:hint="default"/>
          <w:spacing w:val="-52"/>
          <w:sz w:val="21"/>
          <w:szCs w:val="21"/>
        </w:rPr>
        <w:t> </w:t>
      </w:r>
      <w:r>
        <w:rPr>
          <w:rFonts w:ascii="宋体" w:hAnsi="宋体" w:cs="宋体" w:eastAsia="宋体" w:hint="default"/>
          <w:sz w:val="21"/>
          <w:szCs w:val="21"/>
        </w:rPr>
        <w:t>元。</w:t>
      </w:r>
      <w:r>
        <w:rPr>
          <w:rFonts w:ascii="宋体" w:hAnsi="宋体" w:cs="宋体" w:eastAsia="宋体" w:hint="default"/>
          <w:sz w:val="21"/>
          <w:szCs w:val="21"/>
        </w:rPr>
        <w:t> </w:t>
      </w:r>
      <w:r>
        <w:rPr>
          <w:rFonts w:ascii="宋体" w:hAnsi="宋体" w:cs="宋体" w:eastAsia="宋体" w:hint="default"/>
          <w:b/>
          <w:bCs/>
          <w:w w:val="95"/>
          <w:sz w:val="21"/>
          <w:szCs w:val="21"/>
        </w:rPr>
        <w:t>2、</w:t>
        <w:tab/>
      </w:r>
      <w:r>
        <w:rPr>
          <w:rFonts w:ascii="宋体" w:hAnsi="宋体" w:cs="宋体" w:eastAsia="宋体" w:hint="default"/>
          <w:b/>
          <w:bCs/>
          <w:sz w:val="21"/>
          <w:szCs w:val="21"/>
        </w:rPr>
        <w:t>期末无暂时闲置的固定资产；</w:t>
      </w:r>
      <w:r>
        <w:rPr>
          <w:rFonts w:ascii="宋体" w:hAnsi="宋体" w:cs="宋体" w:eastAsia="宋体" w:hint="default"/>
          <w:sz w:val="21"/>
          <w:szCs w:val="21"/>
        </w:rPr>
      </w:r>
    </w:p>
    <w:p>
      <w:pPr>
        <w:pStyle w:val="Heading6"/>
        <w:tabs>
          <w:tab w:pos="1393" w:val="left" w:leader="none"/>
        </w:tabs>
        <w:spacing w:line="240" w:lineRule="auto" w:before="123"/>
        <w:ind w:left="855" w:right="0"/>
        <w:jc w:val="left"/>
        <w:rPr>
          <w:b w:val="0"/>
          <w:bCs w:val="0"/>
        </w:rPr>
      </w:pPr>
      <w:r>
        <w:rPr>
          <w:w w:val="95"/>
        </w:rPr>
        <w:t>3、</w:t>
        <w:tab/>
      </w:r>
      <w:r>
        <w:rPr/>
        <w:t>本期无通过融资租赁租入的固定资产；</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393" w:val="left" w:leader="none"/>
        </w:tabs>
        <w:spacing w:before="0"/>
        <w:ind w:left="855" w:right="0"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本期无通过经营租赁租出的固定资产；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393" w:val="left" w:leader="none"/>
        </w:tabs>
        <w:spacing w:before="0"/>
        <w:ind w:left="855" w:right="0" w:firstLine="0"/>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期末无持有待售的固定资产情况；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3" w:footer="1003" w:top="1540" w:bottom="1200" w:left="1660" w:right="1080"/>
        </w:sectPr>
      </w:pPr>
    </w:p>
    <w:p>
      <w:pPr>
        <w:spacing w:line="240" w:lineRule="auto" w:before="7"/>
        <w:rPr>
          <w:rFonts w:ascii="宋体" w:hAnsi="宋体" w:cs="宋体" w:eastAsia="宋体" w:hint="default"/>
          <w:b/>
          <w:bCs/>
          <w:sz w:val="3"/>
          <w:szCs w:val="3"/>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44.3pt;height:.5pt;mso-position-horizontal-relative:char;mso-position-vertical-relative:line" coordorigin="0,0" coordsize="8886,10">
            <v:group style="position:absolute;left:5;top:5;width:8877;height:2" coordorigin="5,5" coordsize="8877,2">
              <v:shape style="position:absolute;left:5;top:5;width:8877;height:2" coordorigin="5,5" coordsize="8877,0" path="m5,5l8881,5e" filled="false" stroked="true" strokeweight=".4799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tabs>
          <w:tab w:pos="1393" w:val="left" w:leader="none"/>
        </w:tabs>
        <w:spacing w:before="35"/>
        <w:ind w:left="855" w:right="0" w:firstLine="0"/>
        <w:jc w:val="left"/>
        <w:rPr>
          <w:rFonts w:ascii="宋体" w:hAnsi="宋体" w:cs="宋体" w:eastAsia="宋体" w:hint="default"/>
          <w:sz w:val="21"/>
          <w:szCs w:val="21"/>
        </w:rPr>
      </w:pPr>
      <w:r>
        <w:rPr>
          <w:rFonts w:ascii="宋体" w:hAnsi="宋体" w:cs="宋体" w:eastAsia="宋体" w:hint="default"/>
          <w:b/>
          <w:bCs/>
          <w:w w:val="95"/>
          <w:sz w:val="21"/>
          <w:szCs w:val="21"/>
        </w:rPr>
        <w:t>6、</w:t>
        <w:tab/>
      </w:r>
      <w:r>
        <w:rPr>
          <w:rFonts w:ascii="宋体" w:hAnsi="宋体" w:cs="宋体" w:eastAsia="宋体" w:hint="default"/>
          <w:b/>
          <w:bCs/>
          <w:sz w:val="21"/>
          <w:szCs w:val="21"/>
        </w:rPr>
        <w:t>期末未办妥产权证书的固定资产：</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870" w:lineRule="exact"/>
        <w:ind w:left="717"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14.95pt;height:43.5pt;mso-position-horizontal-relative:char;mso-position-vertical-relative:line" coordorigin="0,0" coordsize="8299,870">
            <v:group style="position:absolute;left:29;top:15;width:8253;height:2" coordorigin="29,15" coordsize="8253,2">
              <v:shape style="position:absolute;left:29;top:15;width:8253;height:2" coordorigin="29,15" coordsize="8253,0" path="m29,15l8282,15e" filled="false" stroked="true" strokeweight="1.5pt" strokecolor="#000000">
                <v:path arrowok="t"/>
              </v:shape>
            </v:group>
            <v:group style="position:absolute;left:15;top:855;width:1461;height:2" coordorigin="15,855" coordsize="1461,2">
              <v:shape style="position:absolute;left:15;top:855;width:1461;height:2" coordorigin="15,855" coordsize="1461,0" path="m15,855l1475,855e" filled="false" stroked="true" strokeweight="1.5pt" strokecolor="#000000">
                <v:path arrowok="t"/>
              </v:shape>
            </v:group>
            <v:group style="position:absolute;left:1475;top:855;width:1116;height:2" coordorigin="1475,855" coordsize="1116,2">
              <v:shape style="position:absolute;left:1475;top:855;width:1116;height:2" coordorigin="1475,855" coordsize="1116,0" path="m1475,855l2591,855e" filled="false" stroked="true" strokeweight="1.5pt" strokecolor="#000000">
                <v:path arrowok="t"/>
              </v:shape>
            </v:group>
            <v:group style="position:absolute;left:2591;top:855;width:2271;height:2" coordorigin="2591,855" coordsize="2271,2">
              <v:shape style="position:absolute;left:2591;top:855;width:2271;height:2" coordorigin="2591,855" coordsize="2271,0" path="m2591,855l4862,855e" filled="false" stroked="true" strokeweight="1.5pt" strokecolor="#000000">
                <v:path arrowok="t"/>
              </v:shape>
              <v:shape style="position:absolute;left:1;top:7;width:8298;height:833" type="#_x0000_t75" stroked="false">
                <v:imagedata r:id="rId195" o:title=""/>
              </v:shape>
            </v:group>
            <v:group style="position:absolute;left:4862;top:855;width:3420;height:2" coordorigin="4862,855" coordsize="3420,2">
              <v:shape style="position:absolute;left:4862;top:855;width:3420;height:2" coordorigin="4862,855" coordsize="3420,0" path="m4862,855l8282,855e" filled="false" stroked="true" strokeweight="1.5pt" strokecolor="#000000">
                <v:path arrowok="t"/>
              </v:shape>
              <v:shape style="position:absolute;left:484;top:22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1677;top:222;width:2954;height:180" type="#_x0000_t202" filled="false" stroked="false">
                <v:textbox inset="0,0,0,0">
                  <w:txbxContent>
                    <w:p>
                      <w:pPr>
                        <w:tabs>
                          <w:tab w:pos="115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tab/>
                        <w:t>未办妥产权证书的原因</w:t>
                      </w:r>
                    </w:p>
                  </w:txbxContent>
                </v:textbox>
                <w10:wrap type="none"/>
              </v:shape>
              <v:shape style="position:absolute;left:5674;top:222;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预计办结产权证书时间</w:t>
                      </w:r>
                    </w:p>
                  </w:txbxContent>
                </v:textbox>
                <w10:wrap type="none"/>
              </v:shape>
              <v:shape style="position:absolute;left:137;top:63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房屋及建筑物</w:t>
                      </w:r>
                    </w:p>
                  </w:txbxContent>
                </v:textbox>
                <w10:wrap type="none"/>
              </v:shape>
              <v:shape style="position:absolute;left:1587;top:633;width:2916;height:200" type="#_x0000_t202" filled="false" stroked="false">
                <v:textbox inset="0,0,0,0">
                  <w:txbxContent>
                    <w:p>
                      <w:pPr>
                        <w:tabs>
                          <w:tab w:pos="111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270,881,609</w:t>
                        <w:tab/>
                      </w:r>
                      <w:r>
                        <w:rPr>
                          <w:rFonts w:ascii="宋体" w:hAnsi="宋体" w:cs="宋体" w:eastAsia="宋体" w:hint="default"/>
                          <w:position w:val="1"/>
                          <w:sz w:val="18"/>
                          <w:szCs w:val="18"/>
                        </w:rPr>
                        <w:t>相关手续准备、办理中</w:t>
                      </w:r>
                      <w:r>
                        <w:rPr>
                          <w:rFonts w:ascii="宋体" w:hAnsi="宋体" w:cs="宋体" w:eastAsia="宋体" w:hint="default"/>
                          <w:sz w:val="18"/>
                          <w:szCs w:val="18"/>
                        </w:rPr>
                      </w:r>
                    </w:p>
                  </w:txbxContent>
                </v:textbox>
                <w10:wrap type="none"/>
              </v:shape>
              <v:shape style="position:absolute;left:5114;top:633;width:30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待相关手续准备齐备后可取得产权证书</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5"/>
        <w:ind w:left="123" w:right="0" w:firstLine="0"/>
        <w:jc w:val="left"/>
        <w:rPr>
          <w:rFonts w:ascii="宋体" w:hAnsi="宋体" w:cs="宋体" w:eastAsia="宋体" w:hint="default"/>
          <w:sz w:val="21"/>
          <w:szCs w:val="21"/>
        </w:rPr>
      </w:pPr>
      <w:r>
        <w:rPr>
          <w:rFonts w:ascii="宋体" w:hAnsi="宋体" w:cs="宋体" w:eastAsia="宋体" w:hint="default"/>
          <w:b/>
          <w:bCs/>
          <w:sz w:val="21"/>
          <w:szCs w:val="21"/>
        </w:rPr>
        <w:t>(十五)</w:t>
      </w:r>
      <w:r>
        <w:rPr>
          <w:rFonts w:ascii="宋体" w:hAnsi="宋体" w:cs="宋体" w:eastAsia="宋体" w:hint="default"/>
          <w:b/>
          <w:bCs/>
          <w:spacing w:val="-12"/>
          <w:sz w:val="21"/>
          <w:szCs w:val="21"/>
        </w:rPr>
        <w:t> </w:t>
      </w:r>
      <w:r>
        <w:rPr>
          <w:rFonts w:ascii="宋体" w:hAnsi="宋体" w:cs="宋体" w:eastAsia="宋体" w:hint="default"/>
          <w:b/>
          <w:bCs/>
          <w:sz w:val="21"/>
          <w:szCs w:val="21"/>
        </w:rPr>
        <w:t>在建工程</w:t>
      </w:r>
      <w:r>
        <w:rPr>
          <w:rFonts w:ascii="宋体" w:hAnsi="宋体" w:cs="宋体" w:eastAsia="宋体" w:hint="default"/>
          <w:sz w:val="21"/>
          <w:szCs w:val="21"/>
        </w:rPr>
      </w:r>
    </w:p>
    <w:p>
      <w:pPr>
        <w:tabs>
          <w:tab w:pos="1393" w:val="left" w:leader="none"/>
        </w:tabs>
        <w:spacing w:before="126"/>
        <w:ind w:left="855" w:right="0" w:firstLine="0"/>
        <w:jc w:val="left"/>
        <w:rPr>
          <w:rFonts w:ascii="宋体" w:hAnsi="宋体" w:cs="宋体" w:eastAsia="宋体" w:hint="default"/>
          <w:sz w:val="21"/>
          <w:szCs w:val="21"/>
        </w:rPr>
      </w:pPr>
      <w:r>
        <w:rPr/>
        <w:pict>
          <v:group style="position:absolute;margin-left:118.919998pt;margin-top:21.623245pt;width:411.75pt;height:206pt;mso-position-horizontal-relative:page;mso-position-vertical-relative:paragraph;z-index:-1120096" coordorigin="2378,432" coordsize="8235,4120">
            <v:group style="position:absolute;left:2407;top:447;width:8180;height:2" coordorigin="2407,447" coordsize="8180,2">
              <v:shape style="position:absolute;left:2407;top:447;width:8180;height:2" coordorigin="2407,447" coordsize="8180,0" path="m2407,447l10586,447e" filled="false" stroked="true" strokeweight="1.5pt" strokecolor="#000000">
                <v:path arrowok="t"/>
              </v:shape>
              <v:shape style="position:absolute;left:4215;top:439;width:3224;height:446" type="#_x0000_t75" stroked="false">
                <v:imagedata r:id="rId196" o:title=""/>
              </v:shape>
              <v:shape style="position:absolute;left:4213;top:837;width:6400;height:461" type="#_x0000_t75" stroked="false">
                <v:imagedata r:id="rId197" o:title=""/>
              </v:shape>
              <v:shape style="position:absolute;left:2378;top:1247;width:8234;height:3305" type="#_x0000_t75" stroked="false">
                <v:imagedata r:id="rId198" o:title=""/>
              </v:shape>
              <v:shape style="position:absolute;left:5467;top:65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639;top:65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rFonts w:ascii="宋体" w:hAnsi="宋体" w:cs="宋体" w:eastAsia="宋体" w:hint="default"/>
          <w:b/>
          <w:bCs/>
          <w:w w:val="95"/>
          <w:sz w:val="21"/>
          <w:szCs w:val="21"/>
        </w:rPr>
        <w:t>1、</w:t>
        <w:tab/>
      </w:r>
      <w:r>
        <w:rPr>
          <w:rFonts w:ascii="宋体" w:hAnsi="宋体" w:cs="宋体" w:eastAsia="宋体" w:hint="default"/>
          <w:b/>
          <w:bCs/>
          <w:sz w:val="21"/>
          <w:szCs w:val="21"/>
        </w:rPr>
        <w:t>在建工程明细</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4"/>
          <w:szCs w:val="14"/>
        </w:rPr>
      </w:pPr>
    </w:p>
    <w:tbl>
      <w:tblPr>
        <w:tblW w:w="0" w:type="auto"/>
        <w:jc w:val="left"/>
        <w:tblInd w:w="732" w:type="dxa"/>
        <w:tblLayout w:type="fixed"/>
        <w:tblCellMar>
          <w:top w:w="0" w:type="dxa"/>
          <w:left w:w="0" w:type="dxa"/>
          <w:bottom w:w="0" w:type="dxa"/>
          <w:right w:w="0" w:type="dxa"/>
        </w:tblCellMar>
        <w:tblLook w:val="01E0"/>
      </w:tblPr>
      <w:tblGrid>
        <w:gridCol w:w="1850"/>
        <w:gridCol w:w="1117"/>
        <w:gridCol w:w="935"/>
        <w:gridCol w:w="1116"/>
        <w:gridCol w:w="1026"/>
        <w:gridCol w:w="1004"/>
        <w:gridCol w:w="1144"/>
      </w:tblGrid>
      <w:tr>
        <w:trPr>
          <w:trHeight w:val="502" w:hRule="exact"/>
        </w:trPr>
        <w:tc>
          <w:tcPr>
            <w:tcW w:w="1850" w:type="dxa"/>
            <w:tcBorders>
              <w:top w:val="nil" w:sz="6" w:space="0" w:color="auto"/>
              <w:left w:val="nil" w:sz="6" w:space="0" w:color="auto"/>
              <w:bottom w:val="nil" w:sz="6" w:space="0" w:color="auto"/>
              <w:right w:val="nil" w:sz="6" w:space="0" w:color="auto"/>
            </w:tcBorders>
          </w:tcPr>
          <w:p>
            <w:pPr>
              <w:pStyle w:val="TableParagraph"/>
              <w:spacing w:line="182" w:lineRule="exact"/>
              <w:ind w:left="14"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197"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935"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10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19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152"/>
              <w:ind w:right="152"/>
              <w:jc w:val="right"/>
              <w:rPr>
                <w:rFonts w:ascii="宋体" w:hAnsi="宋体" w:cs="宋体" w:eastAsia="宋体" w:hint="default"/>
                <w:sz w:val="18"/>
                <w:szCs w:val="18"/>
              </w:rPr>
            </w:pPr>
            <w:r>
              <w:rPr>
                <w:rFonts w:ascii="宋体" w:hAnsi="宋体" w:cs="宋体" w:eastAsia="宋体" w:hint="default"/>
                <w:sz w:val="18"/>
                <w:szCs w:val="18"/>
              </w:rPr>
              <w:t>账面金额</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10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52"/>
              <w:ind w:left="17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20" w:hRule="exact"/>
        </w:trPr>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北京软件园</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5"/>
              <w:jc w:val="right"/>
              <w:rPr>
                <w:rFonts w:ascii="Times New Roman" w:hAnsi="Times New Roman" w:cs="Times New Roman" w:eastAsia="Times New Roman" w:hint="default"/>
                <w:sz w:val="18"/>
                <w:szCs w:val="18"/>
              </w:rPr>
            </w:pPr>
            <w:r>
              <w:rPr>
                <w:rFonts w:ascii="Times New Roman"/>
                <w:sz w:val="18"/>
              </w:rPr>
              <w:t>128,934,960</w:t>
            </w:r>
          </w:p>
        </w:tc>
        <w:tc>
          <w:tcPr>
            <w:tcW w:w="935"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5"/>
              <w:jc w:val="right"/>
              <w:rPr>
                <w:rFonts w:ascii="Times New Roman" w:hAnsi="Times New Roman" w:cs="Times New Roman" w:eastAsia="Times New Roman" w:hint="default"/>
                <w:sz w:val="18"/>
                <w:szCs w:val="18"/>
              </w:rPr>
            </w:pPr>
            <w:r>
              <w:rPr>
                <w:rFonts w:ascii="Times New Roman"/>
                <w:sz w:val="18"/>
              </w:rPr>
              <w:t>128,934,960</w:t>
            </w:r>
          </w:p>
        </w:tc>
        <w:tc>
          <w:tcPr>
            <w:tcW w:w="1026" w:type="dxa"/>
            <w:tcBorders>
              <w:top w:val="nil" w:sz="6" w:space="0" w:color="auto"/>
              <w:left w:val="nil" w:sz="6" w:space="0" w:color="auto"/>
              <w:bottom w:val="nil" w:sz="6" w:space="0" w:color="auto"/>
              <w:right w:val="nil" w:sz="6" w:space="0" w:color="auto"/>
            </w:tcBorders>
          </w:tcPr>
          <w:p>
            <w:pPr/>
          </w:p>
        </w:tc>
        <w:tc>
          <w:tcPr>
            <w:tcW w:w="1004" w:type="dxa"/>
            <w:tcBorders>
              <w:top w:val="nil" w:sz="6" w:space="0" w:color="auto"/>
              <w:left w:val="nil" w:sz="6" w:space="0" w:color="auto"/>
              <w:bottom w:val="nil" w:sz="6" w:space="0" w:color="auto"/>
              <w:right w:val="nil" w:sz="6" w:space="0" w:color="auto"/>
            </w:tcBorders>
          </w:tcPr>
          <w:p>
            <w:pPr/>
          </w:p>
        </w:tc>
        <w:tc>
          <w:tcPr>
            <w:tcW w:w="1144" w:type="dxa"/>
            <w:tcBorders>
              <w:top w:val="nil" w:sz="6" w:space="0" w:color="auto"/>
              <w:left w:val="nil" w:sz="6" w:space="0" w:color="auto"/>
              <w:bottom w:val="nil" w:sz="6" w:space="0" w:color="auto"/>
              <w:right w:val="nil" w:sz="6" w:space="0" w:color="auto"/>
            </w:tcBorders>
          </w:tcPr>
          <w:p>
            <w:pPr/>
          </w:p>
        </w:tc>
      </w:tr>
      <w:tr>
        <w:trPr>
          <w:trHeight w:val="410" w:hRule="exact"/>
        </w:trPr>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上海软件园</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106,928,658</w:t>
            </w:r>
          </w:p>
        </w:tc>
        <w:tc>
          <w:tcPr>
            <w:tcW w:w="935"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106,928,658</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51,660,104</w:t>
            </w:r>
          </w:p>
        </w:tc>
        <w:tc>
          <w:tcPr>
            <w:tcW w:w="1004" w:type="dxa"/>
            <w:tcBorders>
              <w:top w:val="nil" w:sz="6" w:space="0" w:color="auto"/>
              <w:left w:val="nil" w:sz="6" w:space="0" w:color="auto"/>
              <w:bottom w:val="nil" w:sz="6" w:space="0" w:color="auto"/>
              <w:right w:val="nil" w:sz="6" w:space="0" w:color="auto"/>
            </w:tcBorders>
          </w:tcPr>
          <w:p>
            <w:pP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51,660,104</w:t>
            </w:r>
          </w:p>
        </w:tc>
      </w:tr>
      <w:tr>
        <w:trPr>
          <w:trHeight w:val="410" w:hRule="exact"/>
        </w:trPr>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广州软件园（一期）</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46,514,334</w:t>
            </w:r>
          </w:p>
        </w:tc>
        <w:tc>
          <w:tcPr>
            <w:tcW w:w="935"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46,514,334</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29,615,808</w:t>
            </w:r>
          </w:p>
        </w:tc>
        <w:tc>
          <w:tcPr>
            <w:tcW w:w="1004" w:type="dxa"/>
            <w:tcBorders>
              <w:top w:val="nil" w:sz="6" w:space="0" w:color="auto"/>
              <w:left w:val="nil" w:sz="6" w:space="0" w:color="auto"/>
              <w:bottom w:val="nil" w:sz="6" w:space="0" w:color="auto"/>
              <w:right w:val="nil" w:sz="6" w:space="0" w:color="auto"/>
            </w:tcBorders>
          </w:tcPr>
          <w:p>
            <w:pP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29,615,808</w:t>
            </w:r>
          </w:p>
        </w:tc>
      </w:tr>
      <w:tr>
        <w:trPr>
          <w:trHeight w:val="820" w:hRule="exact"/>
        </w:trPr>
        <w:tc>
          <w:tcPr>
            <w:tcW w:w="1850" w:type="dxa"/>
            <w:tcBorders>
              <w:top w:val="nil" w:sz="6" w:space="0" w:color="auto"/>
              <w:left w:val="nil" w:sz="6" w:space="0" w:color="auto"/>
              <w:bottom w:val="nil" w:sz="6" w:space="0" w:color="auto"/>
              <w:right w:val="nil" w:sz="6" w:space="0" w:color="auto"/>
            </w:tcBorders>
          </w:tcPr>
          <w:p>
            <w:pPr>
              <w:pStyle w:val="TableParagraph"/>
              <w:spacing w:line="417" w:lineRule="auto" w:before="49"/>
              <w:ind w:left="122" w:right="107"/>
              <w:jc w:val="left"/>
              <w:rPr>
                <w:rFonts w:ascii="宋体" w:hAnsi="宋体" w:cs="宋体" w:eastAsia="宋体" w:hint="default"/>
                <w:sz w:val="18"/>
                <w:szCs w:val="18"/>
              </w:rPr>
            </w:pPr>
            <w:r>
              <w:rPr>
                <w:rFonts w:ascii="宋体" w:hAnsi="宋体" w:cs="宋体" w:eastAsia="宋体" w:hint="default"/>
                <w:sz w:val="18"/>
                <w:szCs w:val="18"/>
              </w:rPr>
              <w:t>沈阳园区食堂改造 沈阳园区俱乐部改建</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21,337,672</w:t>
            </w:r>
          </w:p>
        </w:tc>
        <w:tc>
          <w:tcPr>
            <w:tcW w:w="935"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21,337,672</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2,270,340</w:t>
            </w:r>
          </w:p>
        </w:tc>
        <w:tc>
          <w:tcPr>
            <w:tcW w:w="1004" w:type="dxa"/>
            <w:tcBorders>
              <w:top w:val="nil" w:sz="6" w:space="0" w:color="auto"/>
              <w:left w:val="nil" w:sz="6" w:space="0" w:color="auto"/>
              <w:bottom w:val="nil" w:sz="6" w:space="0" w:color="auto"/>
              <w:right w:val="nil" w:sz="6" w:space="0" w:color="auto"/>
            </w:tcBorders>
          </w:tcPr>
          <w:p>
            <w:pP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2,270,340</w:t>
            </w:r>
          </w:p>
        </w:tc>
      </w:tr>
      <w:tr>
        <w:trPr>
          <w:trHeight w:val="410" w:hRule="exact"/>
        </w:trPr>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医疗信息化建设体系</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2,659,595</w:t>
            </w:r>
          </w:p>
        </w:tc>
        <w:tc>
          <w:tcPr>
            <w:tcW w:w="935"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2,659,595</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pacing w:val="-2"/>
                <w:sz w:val="18"/>
              </w:rPr>
              <w:t>502,011</w:t>
            </w:r>
          </w:p>
        </w:tc>
        <w:tc>
          <w:tcPr>
            <w:tcW w:w="1004" w:type="dxa"/>
            <w:tcBorders>
              <w:top w:val="nil" w:sz="6" w:space="0" w:color="auto"/>
              <w:left w:val="nil" w:sz="6" w:space="0" w:color="auto"/>
              <w:bottom w:val="nil" w:sz="6" w:space="0" w:color="auto"/>
              <w:right w:val="nil" w:sz="6" w:space="0" w:color="auto"/>
            </w:tcBorders>
          </w:tcPr>
          <w:p>
            <w:pP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2"/>
                <w:sz w:val="18"/>
              </w:rPr>
              <w:t>502,011</w:t>
            </w:r>
          </w:p>
        </w:tc>
      </w:tr>
      <w:tr>
        <w:trPr>
          <w:trHeight w:val="410" w:hRule="exact"/>
        </w:trPr>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海南软件园（一期）</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1,423,939</w:t>
            </w:r>
          </w:p>
        </w:tc>
        <w:tc>
          <w:tcPr>
            <w:tcW w:w="935"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1,423,939</w:t>
            </w:r>
          </w:p>
        </w:tc>
        <w:tc>
          <w:tcPr>
            <w:tcW w:w="102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682,840</w:t>
            </w:r>
          </w:p>
        </w:tc>
        <w:tc>
          <w:tcPr>
            <w:tcW w:w="1004" w:type="dxa"/>
            <w:tcBorders>
              <w:top w:val="nil" w:sz="6" w:space="0" w:color="auto"/>
              <w:left w:val="nil" w:sz="6" w:space="0" w:color="auto"/>
              <w:bottom w:val="nil" w:sz="6" w:space="0" w:color="auto"/>
              <w:right w:val="nil" w:sz="6" w:space="0" w:color="auto"/>
            </w:tcBorders>
          </w:tcPr>
          <w:p>
            <w:pP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682,840</w:t>
            </w:r>
          </w:p>
        </w:tc>
      </w:tr>
      <w:tr>
        <w:trPr>
          <w:trHeight w:val="328" w:hRule="exact"/>
        </w:trPr>
        <w:tc>
          <w:tcPr>
            <w:tcW w:w="1850"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14"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117"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307,799,158</w:t>
            </w:r>
          </w:p>
        </w:tc>
        <w:tc>
          <w:tcPr>
            <w:tcW w:w="935" w:type="dxa"/>
            <w:tcBorders>
              <w:top w:val="nil" w:sz="6" w:space="0" w:color="auto"/>
              <w:left w:val="nil" w:sz="6" w:space="0" w:color="auto"/>
              <w:bottom w:val="single" w:sz="12" w:space="0" w:color="000000"/>
              <w:right w:val="nil" w:sz="6" w:space="0" w:color="auto"/>
            </w:tcBorders>
          </w:tcPr>
          <w:p>
            <w:pPr/>
          </w:p>
        </w:tc>
        <w:tc>
          <w:tcPr>
            <w:tcW w:w="1116"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307,799,158</w:t>
            </w:r>
          </w:p>
        </w:tc>
        <w:tc>
          <w:tcPr>
            <w:tcW w:w="1026"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84,731,103</w:t>
            </w:r>
          </w:p>
        </w:tc>
        <w:tc>
          <w:tcPr>
            <w:tcW w:w="1004" w:type="dxa"/>
            <w:tcBorders>
              <w:top w:val="nil" w:sz="6" w:space="0" w:color="auto"/>
              <w:left w:val="nil" w:sz="6" w:space="0" w:color="auto"/>
              <w:bottom w:val="single" w:sz="12" w:space="0" w:color="000000"/>
              <w:right w:val="nil" w:sz="6" w:space="0" w:color="auto"/>
            </w:tcBorders>
          </w:tcPr>
          <w:p>
            <w:pPr/>
          </w:p>
        </w:tc>
        <w:tc>
          <w:tcPr>
            <w:tcW w:w="1144"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84,731,103</w:t>
            </w:r>
          </w:p>
        </w:tc>
      </w:tr>
    </w:tbl>
    <w:p>
      <w:pPr>
        <w:spacing w:after="0" w:line="240" w:lineRule="auto"/>
        <w:jc w:val="right"/>
        <w:rPr>
          <w:rFonts w:ascii="Times New Roman" w:hAnsi="Times New Roman" w:cs="Times New Roman" w:eastAsia="Times New Roman" w:hint="default"/>
          <w:sz w:val="18"/>
          <w:szCs w:val="18"/>
        </w:rPr>
        <w:sectPr>
          <w:pgSz w:w="11910" w:h="16840"/>
          <w:pgMar w:header="883" w:footer="1003" w:top="1540" w:bottom="1200" w:left="1660" w:right="1120"/>
        </w:sectPr>
      </w:pPr>
    </w:p>
    <w:p>
      <w:pPr>
        <w:spacing w:line="237" w:lineRule="auto" w:before="25"/>
        <w:ind w:left="145" w:right="12475"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p>
      <w:pPr>
        <w:spacing w:line="240" w:lineRule="auto" w:before="8"/>
        <w:rPr>
          <w:rFonts w:ascii="宋体" w:hAnsi="宋体" w:cs="宋体" w:eastAsia="宋体" w:hint="default"/>
          <w:sz w:val="3"/>
          <w:szCs w:val="3"/>
        </w:rPr>
      </w:pPr>
    </w:p>
    <w:p>
      <w:pPr>
        <w:spacing w:line="20" w:lineRule="exact"/>
        <w:ind w:left="110" w:right="0" w:firstLine="0"/>
        <w:rPr>
          <w:rFonts w:ascii="宋体" w:hAnsi="宋体" w:cs="宋体" w:eastAsia="宋体" w:hint="default"/>
          <w:sz w:val="2"/>
          <w:szCs w:val="2"/>
        </w:rPr>
      </w:pPr>
      <w:r>
        <w:rPr>
          <w:rFonts w:ascii="宋体" w:hAnsi="宋体" w:cs="宋体" w:eastAsia="宋体" w:hint="default"/>
          <w:sz w:val="2"/>
          <w:szCs w:val="2"/>
        </w:rPr>
        <w:pict>
          <v:group style="width:711.1pt;height:.5pt;mso-position-horizontal-relative:char;mso-position-vertical-relative:line" coordorigin="0,0" coordsize="14222,10">
            <v:group style="position:absolute;left:5;top:5;width:14212;height:2" coordorigin="5,5" coordsize="14212,2">
              <v:shape style="position:absolute;left:5;top:5;width:14212;height:2" coordorigin="5,5" coordsize="14212,0" path="m5,5l14216,5e" filled="false" stroked="true" strokeweight=".48pt" strokecolor="#000000">
                <v:path arrowok="t"/>
              </v:shape>
            </v:group>
          </v:group>
        </w:pict>
      </w:r>
      <w:r>
        <w:rPr>
          <w:rFonts w:ascii="宋体" w:hAnsi="宋体" w:cs="宋体" w:eastAsia="宋体" w:hint="default"/>
          <w:sz w:val="2"/>
          <w:szCs w:val="2"/>
        </w:rPr>
      </w:r>
    </w:p>
    <w:p>
      <w:pPr>
        <w:spacing w:line="240" w:lineRule="auto" w:before="9"/>
        <w:rPr>
          <w:rFonts w:ascii="宋体" w:hAnsi="宋体" w:cs="宋体" w:eastAsia="宋体" w:hint="default"/>
          <w:sz w:val="18"/>
          <w:szCs w:val="18"/>
        </w:rPr>
      </w:pPr>
    </w:p>
    <w:p>
      <w:pPr>
        <w:pStyle w:val="Heading6"/>
        <w:tabs>
          <w:tab w:pos="1401" w:val="left" w:leader="none"/>
        </w:tabs>
        <w:spacing w:line="240" w:lineRule="auto"/>
        <w:ind w:left="863" w:right="0"/>
        <w:jc w:val="left"/>
        <w:rPr>
          <w:b w:val="0"/>
          <w:bCs w:val="0"/>
        </w:rPr>
      </w:pPr>
      <w:r>
        <w:rPr/>
        <w:pict>
          <v:group style="position:absolute;margin-left:91.310997pt;margin-top:17.073685pt;width:674pt;height:205.5pt;mso-position-horizontal-relative:page;mso-position-vertical-relative:paragraph;z-index:-1120048" coordorigin="1826,341" coordsize="13480,4110">
            <v:group style="position:absolute;left:1855;top:356;width:13421;height:2" coordorigin="1855,356" coordsize="13421,2">
              <v:shape style="position:absolute;left:1855;top:356;width:13421;height:2" coordorigin="1855,356" coordsize="13421,0" path="m1855,356l15276,356e" filled="false" stroked="true" strokeweight="1.5pt" strokecolor="#000000">
                <v:path arrowok="t"/>
              </v:shape>
              <v:shape style="position:absolute;left:3486;top:352;width:10825;height:840" type="#_x0000_t75" stroked="false">
                <v:imagedata r:id="rId201" o:title=""/>
              </v:shape>
              <v:shape style="position:absolute;left:1826;top:1148;width:13480;height:3303" type="#_x0000_t75" stroked="false">
                <v:imagedata r:id="rId202" o:title=""/>
              </v:shape>
            </v:group>
            <w10:wrap type="none"/>
          </v:group>
        </w:pict>
      </w:r>
      <w:r>
        <w:rPr>
          <w:w w:val="95"/>
        </w:rPr>
        <w:t>2、</w:t>
        <w:tab/>
      </w:r>
      <w:r>
        <w:rPr/>
        <w:t>在建工程项目变动情况</w:t>
      </w:r>
      <w:r>
        <w:rPr>
          <w:b w:val="0"/>
          <w:bCs w:val="0"/>
        </w:rPr>
      </w:r>
    </w:p>
    <w:p>
      <w:pPr>
        <w:spacing w:line="240" w:lineRule="auto" w:before="5"/>
        <w:rPr>
          <w:rFonts w:ascii="宋体" w:hAnsi="宋体" w:cs="宋体" w:eastAsia="宋体" w:hint="default"/>
          <w:b/>
          <w:bCs/>
          <w:sz w:val="14"/>
          <w:szCs w:val="14"/>
        </w:rPr>
      </w:pPr>
    </w:p>
    <w:tbl>
      <w:tblPr>
        <w:tblW w:w="0" w:type="auto"/>
        <w:jc w:val="left"/>
        <w:tblInd w:w="740" w:type="dxa"/>
        <w:tblLayout w:type="fixed"/>
        <w:tblCellMar>
          <w:top w:w="0" w:type="dxa"/>
          <w:left w:w="0" w:type="dxa"/>
          <w:bottom w:w="0" w:type="dxa"/>
          <w:right w:w="0" w:type="dxa"/>
        </w:tblCellMar>
        <w:tblLook w:val="01E0"/>
      </w:tblPr>
      <w:tblGrid>
        <w:gridCol w:w="1705"/>
        <w:gridCol w:w="1196"/>
        <w:gridCol w:w="970"/>
        <w:gridCol w:w="1017"/>
        <w:gridCol w:w="1217"/>
        <w:gridCol w:w="896"/>
        <w:gridCol w:w="1071"/>
        <w:gridCol w:w="642"/>
        <w:gridCol w:w="886"/>
        <w:gridCol w:w="1160"/>
        <w:gridCol w:w="884"/>
        <w:gridCol w:w="852"/>
        <w:gridCol w:w="940"/>
      </w:tblGrid>
      <w:tr>
        <w:trPr>
          <w:trHeight w:val="784" w:hRule="exact"/>
        </w:trPr>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392" w:right="0"/>
              <w:jc w:val="left"/>
              <w:rPr>
                <w:rFonts w:ascii="宋体" w:hAnsi="宋体" w:cs="宋体" w:eastAsia="宋体" w:hint="default"/>
                <w:sz w:val="15"/>
                <w:szCs w:val="15"/>
              </w:rPr>
            </w:pPr>
            <w:r>
              <w:rPr>
                <w:rFonts w:ascii="宋体" w:hAnsi="宋体" w:cs="宋体" w:eastAsia="宋体" w:hint="default"/>
                <w:sz w:val="15"/>
                <w:szCs w:val="15"/>
              </w:rPr>
              <w:t>工程项目名称</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332" w:right="0"/>
              <w:jc w:val="left"/>
              <w:rPr>
                <w:rFonts w:ascii="宋体" w:hAnsi="宋体" w:cs="宋体" w:eastAsia="宋体" w:hint="default"/>
                <w:sz w:val="15"/>
                <w:szCs w:val="15"/>
              </w:rPr>
            </w:pPr>
            <w:r>
              <w:rPr>
                <w:rFonts w:ascii="宋体" w:hAnsi="宋体" w:cs="宋体" w:eastAsia="宋体" w:hint="default"/>
                <w:sz w:val="15"/>
                <w:szCs w:val="15"/>
              </w:rPr>
              <w:t>预算数</w:t>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133"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166" w:right="0"/>
              <w:jc w:val="left"/>
              <w:rPr>
                <w:rFonts w:ascii="宋体" w:hAnsi="宋体" w:cs="宋体" w:eastAsia="宋体" w:hint="default"/>
                <w:sz w:val="15"/>
                <w:szCs w:val="15"/>
              </w:rPr>
            </w:pPr>
            <w:r>
              <w:rPr>
                <w:rFonts w:ascii="宋体" w:hAnsi="宋体" w:cs="宋体" w:eastAsia="宋体" w:hint="default"/>
                <w:sz w:val="15"/>
                <w:szCs w:val="15"/>
              </w:rPr>
              <w:t>本期增加</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right="199"/>
              <w:jc w:val="right"/>
              <w:rPr>
                <w:rFonts w:ascii="宋体" w:hAnsi="宋体" w:cs="宋体" w:eastAsia="宋体" w:hint="default"/>
                <w:sz w:val="15"/>
                <w:szCs w:val="15"/>
              </w:rPr>
            </w:pPr>
            <w:r>
              <w:rPr>
                <w:rFonts w:ascii="宋体" w:hAnsi="宋体" w:cs="宋体" w:eastAsia="宋体" w:hint="default"/>
                <w:sz w:val="15"/>
                <w:szCs w:val="15"/>
              </w:rPr>
              <w:t>转入固定资产</w:t>
            </w:r>
          </w:p>
        </w:tc>
        <w:tc>
          <w:tcPr>
            <w:tcW w:w="89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149" w:right="0"/>
              <w:jc w:val="left"/>
              <w:rPr>
                <w:rFonts w:ascii="宋体" w:hAnsi="宋体" w:cs="宋体" w:eastAsia="宋体" w:hint="default"/>
                <w:sz w:val="15"/>
                <w:szCs w:val="15"/>
              </w:rPr>
            </w:pPr>
            <w:r>
              <w:rPr>
                <w:rFonts w:ascii="宋体" w:hAnsi="宋体" w:cs="宋体" w:eastAsia="宋体" w:hint="default"/>
                <w:sz w:val="15"/>
                <w:szCs w:val="15"/>
              </w:rPr>
              <w:t>其他减少</w:t>
            </w: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6" w:right="0" w:firstLine="37"/>
              <w:jc w:val="left"/>
              <w:rPr>
                <w:rFonts w:ascii="宋体" w:hAnsi="宋体" w:cs="宋体" w:eastAsia="宋体" w:hint="default"/>
                <w:sz w:val="15"/>
                <w:szCs w:val="15"/>
              </w:rPr>
            </w:pPr>
            <w:r>
              <w:rPr>
                <w:rFonts w:ascii="宋体" w:hAnsi="宋体" w:cs="宋体" w:eastAsia="宋体" w:hint="default"/>
                <w:sz w:val="15"/>
                <w:szCs w:val="15"/>
              </w:rPr>
              <w:t>工程投入占</w:t>
            </w:r>
          </w:p>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46"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预算比例</w:t>
            </w:r>
            <w:r>
              <w:rPr>
                <w:rFonts w:ascii="Times New Roman" w:hAnsi="Times New Roman" w:cs="Times New Roman" w:eastAsia="Times New Roman" w:hint="default"/>
                <w:sz w:val="15"/>
                <w:szCs w:val="15"/>
              </w:rPr>
              <w:t>(%)</w:t>
            </w:r>
          </w:p>
        </w:tc>
        <w:tc>
          <w:tcPr>
            <w:tcW w:w="64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5" w:right="0" w:hanging="38"/>
              <w:jc w:val="left"/>
              <w:rPr>
                <w:rFonts w:ascii="宋体" w:hAnsi="宋体" w:cs="宋体" w:eastAsia="宋体" w:hint="default"/>
                <w:sz w:val="15"/>
                <w:szCs w:val="15"/>
              </w:rPr>
            </w:pPr>
            <w:r>
              <w:rPr>
                <w:rFonts w:ascii="宋体" w:hAnsi="宋体" w:cs="宋体" w:eastAsia="宋体" w:hint="default"/>
                <w:sz w:val="15"/>
                <w:szCs w:val="15"/>
              </w:rPr>
              <w:t>工程进</w:t>
            </w:r>
          </w:p>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35"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度</w:t>
            </w:r>
            <w:r>
              <w:rPr>
                <w:rFonts w:ascii="Times New Roman" w:hAnsi="Times New Roman" w:cs="Times New Roman" w:eastAsia="Times New Roman" w:hint="default"/>
                <w:sz w:val="15"/>
                <w:szCs w:val="15"/>
              </w:rPr>
              <w:t>(%)</w:t>
            </w:r>
          </w:p>
        </w:tc>
        <w:tc>
          <w:tcPr>
            <w:tcW w:w="886" w:type="dxa"/>
            <w:tcBorders>
              <w:top w:val="nil" w:sz="6" w:space="0" w:color="auto"/>
              <w:left w:val="nil" w:sz="6" w:space="0" w:color="auto"/>
              <w:bottom w:val="nil" w:sz="6" w:space="0" w:color="auto"/>
              <w:right w:val="nil" w:sz="6" w:space="0" w:color="auto"/>
            </w:tcBorders>
          </w:tcPr>
          <w:p>
            <w:pPr>
              <w:pStyle w:val="TableParagraph"/>
              <w:spacing w:line="489" w:lineRule="auto" w:before="53"/>
              <w:ind w:left="149" w:right="58" w:hanging="75"/>
              <w:jc w:val="left"/>
              <w:rPr>
                <w:rFonts w:ascii="宋体" w:hAnsi="宋体" w:cs="宋体" w:eastAsia="宋体" w:hint="default"/>
                <w:sz w:val="15"/>
                <w:szCs w:val="15"/>
              </w:rPr>
            </w:pPr>
            <w:r>
              <w:rPr>
                <w:rFonts w:ascii="宋体" w:hAnsi="宋体" w:cs="宋体" w:eastAsia="宋体" w:hint="default"/>
                <w:sz w:val="15"/>
                <w:szCs w:val="15"/>
              </w:rPr>
              <w:t>利息资本化 累计金额</w:t>
            </w:r>
          </w:p>
        </w:tc>
        <w:tc>
          <w:tcPr>
            <w:tcW w:w="1160" w:type="dxa"/>
            <w:tcBorders>
              <w:top w:val="nil" w:sz="6" w:space="0" w:color="auto"/>
              <w:left w:val="nil" w:sz="6" w:space="0" w:color="auto"/>
              <w:bottom w:val="nil" w:sz="6" w:space="0" w:color="auto"/>
              <w:right w:val="nil" w:sz="6" w:space="0" w:color="auto"/>
            </w:tcBorders>
          </w:tcPr>
          <w:p>
            <w:pPr>
              <w:pStyle w:val="TableParagraph"/>
              <w:spacing w:line="489" w:lineRule="auto" w:before="53"/>
              <w:ind w:left="210" w:right="47" w:hanging="150"/>
              <w:jc w:val="left"/>
              <w:rPr>
                <w:rFonts w:ascii="宋体" w:hAnsi="宋体" w:cs="宋体" w:eastAsia="宋体" w:hint="default"/>
                <w:sz w:val="15"/>
                <w:szCs w:val="15"/>
              </w:rPr>
            </w:pPr>
            <w:r>
              <w:rPr>
                <w:rFonts w:ascii="宋体" w:hAnsi="宋体" w:cs="宋体" w:eastAsia="宋体" w:hint="default"/>
                <w:sz w:val="15"/>
                <w:szCs w:val="15"/>
              </w:rPr>
              <w:t>其中：本期利息 资本化金额</w:t>
            </w:r>
          </w:p>
        </w:tc>
        <w:tc>
          <w:tcPr>
            <w:tcW w:w="88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13" w:right="0" w:hanging="65"/>
              <w:jc w:val="left"/>
              <w:rPr>
                <w:rFonts w:ascii="宋体" w:hAnsi="宋体" w:cs="宋体" w:eastAsia="宋体" w:hint="default"/>
                <w:sz w:val="15"/>
                <w:szCs w:val="15"/>
              </w:rPr>
            </w:pPr>
            <w:r>
              <w:rPr>
                <w:rFonts w:ascii="宋体" w:hAnsi="宋体" w:cs="宋体" w:eastAsia="宋体" w:hint="default"/>
                <w:sz w:val="15"/>
                <w:szCs w:val="15"/>
              </w:rPr>
              <w:t>本期利息资</w:t>
            </w:r>
          </w:p>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13"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本化率</w:t>
            </w:r>
            <w:r>
              <w:rPr>
                <w:rFonts w:ascii="Times New Roman" w:hAnsi="Times New Roman" w:cs="Times New Roman" w:eastAsia="Times New Roman" w:hint="default"/>
                <w:sz w:val="15"/>
                <w:szCs w:val="15"/>
              </w:rPr>
              <w:t>(%)</w:t>
            </w: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84" w:right="0"/>
              <w:jc w:val="left"/>
              <w:rPr>
                <w:rFonts w:ascii="宋体" w:hAnsi="宋体" w:cs="宋体" w:eastAsia="宋体" w:hint="default"/>
                <w:sz w:val="15"/>
                <w:szCs w:val="15"/>
              </w:rPr>
            </w:pPr>
            <w:r>
              <w:rPr>
                <w:rFonts w:ascii="宋体" w:hAnsi="宋体" w:cs="宋体" w:eastAsia="宋体" w:hint="default"/>
                <w:sz w:val="15"/>
                <w:szCs w:val="15"/>
              </w:rPr>
              <w:t>资金来源</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146" w:right="0"/>
              <w:jc w:val="left"/>
              <w:rPr>
                <w:rFonts w:ascii="宋体" w:hAnsi="宋体" w:cs="宋体" w:eastAsia="宋体" w:hint="default"/>
                <w:sz w:val="15"/>
                <w:szCs w:val="15"/>
              </w:rPr>
            </w:pPr>
            <w:r>
              <w:rPr>
                <w:rFonts w:ascii="宋体" w:hAnsi="宋体" w:cs="宋体" w:eastAsia="宋体" w:hint="default"/>
                <w:sz w:val="15"/>
                <w:szCs w:val="15"/>
              </w:rPr>
              <w:t>期末余额</w:t>
            </w:r>
          </w:p>
        </w:tc>
      </w:tr>
      <w:tr>
        <w:trPr>
          <w:trHeight w:val="415" w:hRule="exact"/>
        </w:trPr>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80"/>
              <w:ind w:left="43" w:right="0"/>
              <w:jc w:val="left"/>
              <w:rPr>
                <w:rFonts w:ascii="宋体" w:hAnsi="宋体" w:cs="宋体" w:eastAsia="宋体" w:hint="default"/>
                <w:sz w:val="15"/>
                <w:szCs w:val="15"/>
              </w:rPr>
            </w:pPr>
            <w:r>
              <w:rPr>
                <w:rFonts w:ascii="宋体" w:hAnsi="宋体" w:cs="宋体" w:eastAsia="宋体" w:hint="default"/>
                <w:sz w:val="15"/>
                <w:szCs w:val="15"/>
              </w:rPr>
              <w:t>北京软件园</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31"/>
              <w:jc w:val="right"/>
              <w:rPr>
                <w:rFonts w:ascii="Times New Roman" w:hAnsi="Times New Roman" w:cs="Times New Roman" w:eastAsia="Times New Roman" w:hint="default"/>
                <w:sz w:val="15"/>
                <w:szCs w:val="15"/>
              </w:rPr>
            </w:pPr>
            <w:r>
              <w:rPr>
                <w:rFonts w:ascii="Times New Roman"/>
                <w:spacing w:val="-1"/>
                <w:sz w:val="15"/>
              </w:rPr>
              <w:t>336,000,000</w:t>
            </w:r>
          </w:p>
        </w:tc>
        <w:tc>
          <w:tcPr>
            <w:tcW w:w="970" w:type="dxa"/>
            <w:tcBorders>
              <w:top w:val="nil" w:sz="6" w:space="0" w:color="auto"/>
              <w:left w:val="nil" w:sz="6" w:space="0" w:color="auto"/>
              <w:bottom w:val="nil" w:sz="6" w:space="0" w:color="auto"/>
              <w:right w:val="nil" w:sz="6" w:space="0" w:color="auto"/>
            </w:tcBorders>
          </w:tcPr>
          <w:p>
            <w:pP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14"/>
              <w:jc w:val="right"/>
              <w:rPr>
                <w:rFonts w:ascii="Times New Roman" w:hAnsi="Times New Roman" w:cs="Times New Roman" w:eastAsia="Times New Roman" w:hint="default"/>
                <w:sz w:val="15"/>
                <w:szCs w:val="15"/>
              </w:rPr>
            </w:pPr>
            <w:r>
              <w:rPr>
                <w:rFonts w:ascii="Times New Roman"/>
                <w:spacing w:val="-1"/>
                <w:sz w:val="15"/>
              </w:rPr>
              <w:t>128,934,960</w:t>
            </w:r>
          </w:p>
        </w:tc>
        <w:tc>
          <w:tcPr>
            <w:tcW w:w="1217" w:type="dxa"/>
            <w:tcBorders>
              <w:top w:val="nil" w:sz="6" w:space="0" w:color="auto"/>
              <w:left w:val="nil" w:sz="6" w:space="0" w:color="auto"/>
              <w:bottom w:val="nil" w:sz="6" w:space="0" w:color="auto"/>
              <w:right w:val="nil" w:sz="6" w:space="0" w:color="auto"/>
            </w:tcBorders>
          </w:tcPr>
          <w:p>
            <w:pPr/>
          </w:p>
        </w:tc>
        <w:tc>
          <w:tcPr>
            <w:tcW w:w="896" w:type="dxa"/>
            <w:tcBorders>
              <w:top w:val="nil" w:sz="6" w:space="0" w:color="auto"/>
              <w:left w:val="nil" w:sz="6" w:space="0" w:color="auto"/>
              <w:bottom w:val="nil" w:sz="6" w:space="0" w:color="auto"/>
              <w:right w:val="nil" w:sz="6" w:space="0" w:color="auto"/>
            </w:tcBorders>
          </w:tcPr>
          <w:p>
            <w:pP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99"/>
              <w:jc w:val="right"/>
              <w:rPr>
                <w:rFonts w:ascii="Times New Roman" w:hAnsi="Times New Roman" w:cs="Times New Roman" w:eastAsia="Times New Roman" w:hint="default"/>
                <w:sz w:val="15"/>
                <w:szCs w:val="15"/>
              </w:rPr>
            </w:pPr>
            <w:r>
              <w:rPr>
                <w:rFonts w:ascii="Times New Roman"/>
                <w:sz w:val="15"/>
              </w:rPr>
              <w:t>38</w:t>
            </w:r>
          </w:p>
        </w:tc>
        <w:tc>
          <w:tcPr>
            <w:tcW w:w="642"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74"/>
              <w:jc w:val="right"/>
              <w:rPr>
                <w:rFonts w:ascii="Times New Roman" w:hAnsi="Times New Roman" w:cs="Times New Roman" w:eastAsia="Times New Roman" w:hint="default"/>
                <w:sz w:val="15"/>
                <w:szCs w:val="15"/>
              </w:rPr>
            </w:pPr>
            <w:r>
              <w:rPr>
                <w:rFonts w:ascii="Times New Roman"/>
                <w:sz w:val="15"/>
              </w:rPr>
              <w:t>1</w:t>
            </w:r>
          </w:p>
        </w:tc>
        <w:tc>
          <w:tcPr>
            <w:tcW w:w="886" w:type="dxa"/>
            <w:tcBorders>
              <w:top w:val="nil" w:sz="6" w:space="0" w:color="auto"/>
              <w:left w:val="nil" w:sz="6" w:space="0" w:color="auto"/>
              <w:bottom w:val="nil" w:sz="6" w:space="0" w:color="auto"/>
              <w:right w:val="nil" w:sz="6" w:space="0" w:color="auto"/>
            </w:tcBorders>
          </w:tcPr>
          <w:p>
            <w:pPr/>
          </w:p>
        </w:tc>
        <w:tc>
          <w:tcPr>
            <w:tcW w:w="1160"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80"/>
              <w:ind w:left="96" w:right="0"/>
              <w:jc w:val="left"/>
              <w:rPr>
                <w:rFonts w:ascii="宋体" w:hAnsi="宋体" w:cs="宋体" w:eastAsia="宋体" w:hint="default"/>
                <w:sz w:val="15"/>
                <w:szCs w:val="15"/>
              </w:rPr>
            </w:pPr>
            <w:r>
              <w:rPr>
                <w:rFonts w:ascii="宋体" w:hAnsi="宋体" w:cs="宋体" w:eastAsia="宋体" w:hint="default"/>
                <w:sz w:val="15"/>
                <w:szCs w:val="15"/>
              </w:rPr>
              <w:t>自有资金</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
              <w:jc w:val="right"/>
              <w:rPr>
                <w:rFonts w:ascii="Times New Roman" w:hAnsi="Times New Roman" w:cs="Times New Roman" w:eastAsia="Times New Roman" w:hint="default"/>
                <w:sz w:val="15"/>
                <w:szCs w:val="15"/>
              </w:rPr>
            </w:pPr>
            <w:r>
              <w:rPr>
                <w:rFonts w:ascii="Times New Roman"/>
                <w:spacing w:val="-1"/>
                <w:sz w:val="15"/>
              </w:rPr>
              <w:t>128,934,960</w:t>
            </w:r>
          </w:p>
        </w:tc>
      </w:tr>
      <w:tr>
        <w:trPr>
          <w:trHeight w:val="410" w:hRule="exact"/>
        </w:trPr>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43" w:right="0"/>
              <w:jc w:val="left"/>
              <w:rPr>
                <w:rFonts w:ascii="宋体" w:hAnsi="宋体" w:cs="宋体" w:eastAsia="宋体" w:hint="default"/>
                <w:sz w:val="15"/>
                <w:szCs w:val="15"/>
              </w:rPr>
            </w:pPr>
            <w:r>
              <w:rPr>
                <w:rFonts w:ascii="宋体" w:hAnsi="宋体" w:cs="宋体" w:eastAsia="宋体" w:hint="default"/>
                <w:sz w:val="15"/>
                <w:szCs w:val="15"/>
              </w:rPr>
              <w:t>上海软件园</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31"/>
              <w:jc w:val="right"/>
              <w:rPr>
                <w:rFonts w:ascii="Times New Roman" w:hAnsi="Times New Roman" w:cs="Times New Roman" w:eastAsia="Times New Roman" w:hint="default"/>
                <w:sz w:val="15"/>
                <w:szCs w:val="15"/>
              </w:rPr>
            </w:pPr>
            <w:r>
              <w:rPr>
                <w:rFonts w:ascii="Times New Roman"/>
                <w:spacing w:val="-1"/>
                <w:sz w:val="15"/>
              </w:rPr>
              <w:t>192,860,014</w:t>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47"/>
              <w:jc w:val="right"/>
              <w:rPr>
                <w:rFonts w:ascii="Times New Roman" w:hAnsi="Times New Roman" w:cs="Times New Roman" w:eastAsia="Times New Roman" w:hint="default"/>
                <w:sz w:val="15"/>
                <w:szCs w:val="15"/>
              </w:rPr>
            </w:pPr>
            <w:r>
              <w:rPr>
                <w:rFonts w:ascii="Times New Roman"/>
                <w:spacing w:val="-1"/>
                <w:sz w:val="15"/>
              </w:rPr>
              <w:t>51,660,104</w:t>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15"/>
              <w:jc w:val="right"/>
              <w:rPr>
                <w:rFonts w:ascii="Times New Roman" w:hAnsi="Times New Roman" w:cs="Times New Roman" w:eastAsia="Times New Roman" w:hint="default"/>
                <w:sz w:val="15"/>
                <w:szCs w:val="15"/>
              </w:rPr>
            </w:pPr>
            <w:r>
              <w:rPr>
                <w:rFonts w:ascii="Times New Roman"/>
                <w:spacing w:val="-1"/>
                <w:sz w:val="15"/>
              </w:rPr>
              <w:t>55,268,554</w:t>
            </w:r>
          </w:p>
        </w:tc>
        <w:tc>
          <w:tcPr>
            <w:tcW w:w="1217" w:type="dxa"/>
            <w:tcBorders>
              <w:top w:val="nil" w:sz="6" w:space="0" w:color="auto"/>
              <w:left w:val="nil" w:sz="6" w:space="0" w:color="auto"/>
              <w:bottom w:val="nil" w:sz="6" w:space="0" w:color="auto"/>
              <w:right w:val="nil" w:sz="6" w:space="0" w:color="auto"/>
            </w:tcBorders>
          </w:tcPr>
          <w:p>
            <w:pPr/>
          </w:p>
        </w:tc>
        <w:tc>
          <w:tcPr>
            <w:tcW w:w="896" w:type="dxa"/>
            <w:tcBorders>
              <w:top w:val="nil" w:sz="6" w:space="0" w:color="auto"/>
              <w:left w:val="nil" w:sz="6" w:space="0" w:color="auto"/>
              <w:bottom w:val="nil" w:sz="6" w:space="0" w:color="auto"/>
              <w:right w:val="nil" w:sz="6" w:space="0" w:color="auto"/>
            </w:tcBorders>
          </w:tcPr>
          <w:p>
            <w:pP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99"/>
              <w:jc w:val="right"/>
              <w:rPr>
                <w:rFonts w:ascii="Times New Roman" w:hAnsi="Times New Roman" w:cs="Times New Roman" w:eastAsia="Times New Roman" w:hint="default"/>
                <w:sz w:val="15"/>
                <w:szCs w:val="15"/>
              </w:rPr>
            </w:pPr>
            <w:r>
              <w:rPr>
                <w:rFonts w:ascii="Times New Roman"/>
                <w:sz w:val="15"/>
              </w:rPr>
              <w:t>55</w:t>
            </w:r>
          </w:p>
        </w:tc>
        <w:tc>
          <w:tcPr>
            <w:tcW w:w="64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73"/>
              <w:jc w:val="right"/>
              <w:rPr>
                <w:rFonts w:ascii="Times New Roman" w:hAnsi="Times New Roman" w:cs="Times New Roman" w:eastAsia="Times New Roman" w:hint="default"/>
                <w:sz w:val="15"/>
                <w:szCs w:val="15"/>
              </w:rPr>
            </w:pPr>
            <w:r>
              <w:rPr>
                <w:rFonts w:ascii="Times New Roman"/>
                <w:sz w:val="15"/>
              </w:rPr>
              <w:t>90</w:t>
            </w:r>
          </w:p>
        </w:tc>
        <w:tc>
          <w:tcPr>
            <w:tcW w:w="886" w:type="dxa"/>
            <w:tcBorders>
              <w:top w:val="nil" w:sz="6" w:space="0" w:color="auto"/>
              <w:left w:val="nil" w:sz="6" w:space="0" w:color="auto"/>
              <w:bottom w:val="nil" w:sz="6" w:space="0" w:color="auto"/>
              <w:right w:val="nil" w:sz="6" w:space="0" w:color="auto"/>
            </w:tcBorders>
          </w:tcPr>
          <w:p>
            <w:pPr/>
          </w:p>
        </w:tc>
        <w:tc>
          <w:tcPr>
            <w:tcW w:w="1160"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75"/>
              <w:ind w:left="96" w:right="0"/>
              <w:jc w:val="left"/>
              <w:rPr>
                <w:rFonts w:ascii="宋体" w:hAnsi="宋体" w:cs="宋体" w:eastAsia="宋体" w:hint="default"/>
                <w:sz w:val="15"/>
                <w:szCs w:val="15"/>
              </w:rPr>
            </w:pPr>
            <w:r>
              <w:rPr>
                <w:rFonts w:ascii="宋体" w:hAnsi="宋体" w:cs="宋体" w:eastAsia="宋体" w:hint="default"/>
                <w:sz w:val="15"/>
                <w:szCs w:val="15"/>
              </w:rPr>
              <w:t>自有资金</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
              <w:jc w:val="right"/>
              <w:rPr>
                <w:rFonts w:ascii="Times New Roman" w:hAnsi="Times New Roman" w:cs="Times New Roman" w:eastAsia="Times New Roman" w:hint="default"/>
                <w:sz w:val="15"/>
                <w:szCs w:val="15"/>
              </w:rPr>
            </w:pPr>
            <w:r>
              <w:rPr>
                <w:rFonts w:ascii="Times New Roman"/>
                <w:spacing w:val="-1"/>
                <w:sz w:val="15"/>
              </w:rPr>
              <w:t>106,928,658</w:t>
            </w:r>
          </w:p>
        </w:tc>
      </w:tr>
      <w:tr>
        <w:trPr>
          <w:trHeight w:val="410" w:hRule="exact"/>
        </w:trPr>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43" w:right="0"/>
              <w:jc w:val="left"/>
              <w:rPr>
                <w:rFonts w:ascii="宋体" w:hAnsi="宋体" w:cs="宋体" w:eastAsia="宋体" w:hint="default"/>
                <w:sz w:val="15"/>
                <w:szCs w:val="15"/>
              </w:rPr>
            </w:pPr>
            <w:r>
              <w:rPr>
                <w:rFonts w:ascii="宋体" w:hAnsi="宋体" w:cs="宋体" w:eastAsia="宋体" w:hint="default"/>
                <w:sz w:val="15"/>
                <w:szCs w:val="15"/>
              </w:rPr>
              <w:t>广州软件园</w:t>
            </w:r>
            <w:r>
              <w:rPr>
                <w:rFonts w:ascii="Times New Roman" w:hAnsi="Times New Roman" w:cs="Times New Roman" w:eastAsia="Times New Roman" w:hint="default"/>
                <w:sz w:val="15"/>
                <w:szCs w:val="15"/>
              </w:rPr>
              <w:t>(</w:t>
            </w:r>
            <w:r>
              <w:rPr>
                <w:rFonts w:ascii="宋体" w:hAnsi="宋体" w:cs="宋体" w:eastAsia="宋体" w:hint="default"/>
                <w:sz w:val="15"/>
                <w:szCs w:val="15"/>
              </w:rPr>
              <w:t>一期）</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31"/>
              <w:jc w:val="right"/>
              <w:rPr>
                <w:rFonts w:ascii="Times New Roman" w:hAnsi="Times New Roman" w:cs="Times New Roman" w:eastAsia="Times New Roman" w:hint="default"/>
                <w:sz w:val="15"/>
                <w:szCs w:val="15"/>
              </w:rPr>
            </w:pPr>
            <w:r>
              <w:rPr>
                <w:rFonts w:ascii="Times New Roman"/>
                <w:spacing w:val="-1"/>
                <w:sz w:val="15"/>
              </w:rPr>
              <w:t>95,240,339</w:t>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47"/>
              <w:jc w:val="right"/>
              <w:rPr>
                <w:rFonts w:ascii="Times New Roman" w:hAnsi="Times New Roman" w:cs="Times New Roman" w:eastAsia="Times New Roman" w:hint="default"/>
                <w:sz w:val="15"/>
                <w:szCs w:val="15"/>
              </w:rPr>
            </w:pPr>
            <w:r>
              <w:rPr>
                <w:rFonts w:ascii="Times New Roman"/>
                <w:spacing w:val="-1"/>
                <w:sz w:val="15"/>
              </w:rPr>
              <w:t>29,615,808</w:t>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15"/>
              <w:jc w:val="right"/>
              <w:rPr>
                <w:rFonts w:ascii="Times New Roman" w:hAnsi="Times New Roman" w:cs="Times New Roman" w:eastAsia="Times New Roman" w:hint="default"/>
                <w:sz w:val="15"/>
                <w:szCs w:val="15"/>
              </w:rPr>
            </w:pPr>
            <w:r>
              <w:rPr>
                <w:rFonts w:ascii="Times New Roman"/>
                <w:spacing w:val="-1"/>
                <w:sz w:val="15"/>
              </w:rPr>
              <w:t>16,898,526</w:t>
            </w:r>
          </w:p>
        </w:tc>
        <w:tc>
          <w:tcPr>
            <w:tcW w:w="1217" w:type="dxa"/>
            <w:tcBorders>
              <w:top w:val="nil" w:sz="6" w:space="0" w:color="auto"/>
              <w:left w:val="nil" w:sz="6" w:space="0" w:color="auto"/>
              <w:bottom w:val="nil" w:sz="6" w:space="0" w:color="auto"/>
              <w:right w:val="nil" w:sz="6" w:space="0" w:color="auto"/>
            </w:tcBorders>
          </w:tcPr>
          <w:p>
            <w:pPr/>
          </w:p>
        </w:tc>
        <w:tc>
          <w:tcPr>
            <w:tcW w:w="896" w:type="dxa"/>
            <w:tcBorders>
              <w:top w:val="nil" w:sz="6" w:space="0" w:color="auto"/>
              <w:left w:val="nil" w:sz="6" w:space="0" w:color="auto"/>
              <w:bottom w:val="nil" w:sz="6" w:space="0" w:color="auto"/>
              <w:right w:val="nil" w:sz="6" w:space="0" w:color="auto"/>
            </w:tcBorders>
          </w:tcPr>
          <w:p>
            <w:pP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99"/>
              <w:jc w:val="right"/>
              <w:rPr>
                <w:rFonts w:ascii="Times New Roman" w:hAnsi="Times New Roman" w:cs="Times New Roman" w:eastAsia="Times New Roman" w:hint="default"/>
                <w:sz w:val="15"/>
                <w:szCs w:val="15"/>
              </w:rPr>
            </w:pPr>
            <w:r>
              <w:rPr>
                <w:rFonts w:ascii="Times New Roman"/>
                <w:sz w:val="15"/>
              </w:rPr>
              <w:t>49</w:t>
            </w:r>
          </w:p>
        </w:tc>
        <w:tc>
          <w:tcPr>
            <w:tcW w:w="64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73"/>
              <w:jc w:val="right"/>
              <w:rPr>
                <w:rFonts w:ascii="Times New Roman" w:hAnsi="Times New Roman" w:cs="Times New Roman" w:eastAsia="Times New Roman" w:hint="default"/>
                <w:sz w:val="15"/>
                <w:szCs w:val="15"/>
              </w:rPr>
            </w:pPr>
            <w:r>
              <w:rPr>
                <w:rFonts w:ascii="Times New Roman"/>
                <w:sz w:val="15"/>
              </w:rPr>
              <w:t>85</w:t>
            </w:r>
          </w:p>
        </w:tc>
        <w:tc>
          <w:tcPr>
            <w:tcW w:w="886" w:type="dxa"/>
            <w:tcBorders>
              <w:top w:val="nil" w:sz="6" w:space="0" w:color="auto"/>
              <w:left w:val="nil" w:sz="6" w:space="0" w:color="auto"/>
              <w:bottom w:val="nil" w:sz="6" w:space="0" w:color="auto"/>
              <w:right w:val="nil" w:sz="6" w:space="0" w:color="auto"/>
            </w:tcBorders>
          </w:tcPr>
          <w:p>
            <w:pPr/>
          </w:p>
        </w:tc>
        <w:tc>
          <w:tcPr>
            <w:tcW w:w="1160"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75"/>
              <w:ind w:left="96" w:right="0"/>
              <w:jc w:val="left"/>
              <w:rPr>
                <w:rFonts w:ascii="宋体" w:hAnsi="宋体" w:cs="宋体" w:eastAsia="宋体" w:hint="default"/>
                <w:sz w:val="15"/>
                <w:szCs w:val="15"/>
              </w:rPr>
            </w:pPr>
            <w:r>
              <w:rPr>
                <w:rFonts w:ascii="宋体" w:hAnsi="宋体" w:cs="宋体" w:eastAsia="宋体" w:hint="default"/>
                <w:sz w:val="15"/>
                <w:szCs w:val="15"/>
              </w:rPr>
              <w:t>自有资金</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
              <w:jc w:val="right"/>
              <w:rPr>
                <w:rFonts w:ascii="Times New Roman" w:hAnsi="Times New Roman" w:cs="Times New Roman" w:eastAsia="Times New Roman" w:hint="default"/>
                <w:sz w:val="15"/>
                <w:szCs w:val="15"/>
              </w:rPr>
            </w:pPr>
            <w:r>
              <w:rPr>
                <w:rFonts w:ascii="Times New Roman"/>
                <w:spacing w:val="-1"/>
                <w:sz w:val="15"/>
              </w:rPr>
              <w:t>46,514,334</w:t>
            </w:r>
          </w:p>
        </w:tc>
      </w:tr>
      <w:tr>
        <w:trPr>
          <w:trHeight w:val="410" w:hRule="exact"/>
        </w:trPr>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43" w:right="0"/>
              <w:jc w:val="left"/>
              <w:rPr>
                <w:rFonts w:ascii="宋体" w:hAnsi="宋体" w:cs="宋体" w:eastAsia="宋体" w:hint="default"/>
                <w:sz w:val="15"/>
                <w:szCs w:val="15"/>
              </w:rPr>
            </w:pPr>
            <w:r>
              <w:rPr>
                <w:rFonts w:ascii="宋体" w:hAnsi="宋体" w:cs="宋体" w:eastAsia="宋体" w:hint="default"/>
                <w:sz w:val="15"/>
                <w:szCs w:val="15"/>
              </w:rPr>
              <w:t>沈阳园区食堂改造</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31"/>
              <w:jc w:val="right"/>
              <w:rPr>
                <w:rFonts w:ascii="Times New Roman" w:hAnsi="Times New Roman" w:cs="Times New Roman" w:eastAsia="Times New Roman" w:hint="default"/>
                <w:sz w:val="15"/>
                <w:szCs w:val="15"/>
              </w:rPr>
            </w:pPr>
            <w:r>
              <w:rPr>
                <w:rFonts w:ascii="Times New Roman"/>
                <w:spacing w:val="-1"/>
                <w:sz w:val="15"/>
              </w:rPr>
              <w:t>35,000,000</w:t>
            </w:r>
          </w:p>
        </w:tc>
        <w:tc>
          <w:tcPr>
            <w:tcW w:w="970" w:type="dxa"/>
            <w:tcBorders>
              <w:top w:val="nil" w:sz="6" w:space="0" w:color="auto"/>
              <w:left w:val="nil" w:sz="6" w:space="0" w:color="auto"/>
              <w:bottom w:val="nil" w:sz="6" w:space="0" w:color="auto"/>
              <w:right w:val="nil" w:sz="6" w:space="0" w:color="auto"/>
            </w:tcBorders>
          </w:tcPr>
          <w:p>
            <w:pP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15"/>
              <w:jc w:val="right"/>
              <w:rPr>
                <w:rFonts w:ascii="Times New Roman" w:hAnsi="Times New Roman" w:cs="Times New Roman" w:eastAsia="Times New Roman" w:hint="default"/>
                <w:sz w:val="15"/>
                <w:szCs w:val="15"/>
              </w:rPr>
            </w:pPr>
            <w:r>
              <w:rPr>
                <w:rFonts w:ascii="Times New Roman"/>
                <w:spacing w:val="-1"/>
                <w:sz w:val="15"/>
              </w:rPr>
              <w:t>21,337,672</w:t>
            </w:r>
          </w:p>
        </w:tc>
        <w:tc>
          <w:tcPr>
            <w:tcW w:w="1217" w:type="dxa"/>
            <w:tcBorders>
              <w:top w:val="nil" w:sz="6" w:space="0" w:color="auto"/>
              <w:left w:val="nil" w:sz="6" w:space="0" w:color="auto"/>
              <w:bottom w:val="nil" w:sz="6" w:space="0" w:color="auto"/>
              <w:right w:val="nil" w:sz="6" w:space="0" w:color="auto"/>
            </w:tcBorders>
          </w:tcPr>
          <w:p>
            <w:pPr/>
          </w:p>
        </w:tc>
        <w:tc>
          <w:tcPr>
            <w:tcW w:w="896" w:type="dxa"/>
            <w:tcBorders>
              <w:top w:val="nil" w:sz="6" w:space="0" w:color="auto"/>
              <w:left w:val="nil" w:sz="6" w:space="0" w:color="auto"/>
              <w:bottom w:val="nil" w:sz="6" w:space="0" w:color="auto"/>
              <w:right w:val="nil" w:sz="6" w:space="0" w:color="auto"/>
            </w:tcBorders>
          </w:tcPr>
          <w:p>
            <w:pP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99"/>
              <w:jc w:val="right"/>
              <w:rPr>
                <w:rFonts w:ascii="Times New Roman" w:hAnsi="Times New Roman" w:cs="Times New Roman" w:eastAsia="Times New Roman" w:hint="default"/>
                <w:sz w:val="15"/>
                <w:szCs w:val="15"/>
              </w:rPr>
            </w:pPr>
            <w:r>
              <w:rPr>
                <w:rFonts w:ascii="Times New Roman"/>
                <w:sz w:val="15"/>
              </w:rPr>
              <w:t>61</w:t>
            </w:r>
          </w:p>
        </w:tc>
        <w:tc>
          <w:tcPr>
            <w:tcW w:w="64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73"/>
              <w:jc w:val="right"/>
              <w:rPr>
                <w:rFonts w:ascii="Times New Roman" w:hAnsi="Times New Roman" w:cs="Times New Roman" w:eastAsia="Times New Roman" w:hint="default"/>
                <w:sz w:val="15"/>
                <w:szCs w:val="15"/>
              </w:rPr>
            </w:pPr>
            <w:r>
              <w:rPr>
                <w:rFonts w:ascii="Times New Roman"/>
                <w:sz w:val="15"/>
              </w:rPr>
              <w:t>45</w:t>
            </w:r>
          </w:p>
        </w:tc>
        <w:tc>
          <w:tcPr>
            <w:tcW w:w="886" w:type="dxa"/>
            <w:tcBorders>
              <w:top w:val="nil" w:sz="6" w:space="0" w:color="auto"/>
              <w:left w:val="nil" w:sz="6" w:space="0" w:color="auto"/>
              <w:bottom w:val="nil" w:sz="6" w:space="0" w:color="auto"/>
              <w:right w:val="nil" w:sz="6" w:space="0" w:color="auto"/>
            </w:tcBorders>
          </w:tcPr>
          <w:p>
            <w:pPr/>
          </w:p>
        </w:tc>
        <w:tc>
          <w:tcPr>
            <w:tcW w:w="1160"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75"/>
              <w:ind w:left="96" w:right="0"/>
              <w:jc w:val="left"/>
              <w:rPr>
                <w:rFonts w:ascii="宋体" w:hAnsi="宋体" w:cs="宋体" w:eastAsia="宋体" w:hint="default"/>
                <w:sz w:val="15"/>
                <w:szCs w:val="15"/>
              </w:rPr>
            </w:pPr>
            <w:r>
              <w:rPr>
                <w:rFonts w:ascii="宋体" w:hAnsi="宋体" w:cs="宋体" w:eastAsia="宋体" w:hint="default"/>
                <w:sz w:val="15"/>
                <w:szCs w:val="15"/>
              </w:rPr>
              <w:t>自有资金</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
              <w:jc w:val="right"/>
              <w:rPr>
                <w:rFonts w:ascii="Times New Roman" w:hAnsi="Times New Roman" w:cs="Times New Roman" w:eastAsia="Times New Roman" w:hint="default"/>
                <w:sz w:val="15"/>
                <w:szCs w:val="15"/>
              </w:rPr>
            </w:pPr>
            <w:r>
              <w:rPr>
                <w:rFonts w:ascii="Times New Roman"/>
                <w:spacing w:val="-1"/>
                <w:sz w:val="15"/>
              </w:rPr>
              <w:t>21,337,672</w:t>
            </w:r>
          </w:p>
        </w:tc>
      </w:tr>
      <w:tr>
        <w:trPr>
          <w:trHeight w:val="410" w:hRule="exact"/>
        </w:trPr>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43" w:right="0"/>
              <w:jc w:val="left"/>
              <w:rPr>
                <w:rFonts w:ascii="宋体" w:hAnsi="宋体" w:cs="宋体" w:eastAsia="宋体" w:hint="default"/>
                <w:sz w:val="15"/>
                <w:szCs w:val="15"/>
              </w:rPr>
            </w:pPr>
            <w:r>
              <w:rPr>
                <w:rFonts w:ascii="宋体" w:hAnsi="宋体" w:cs="宋体" w:eastAsia="宋体" w:hint="default"/>
                <w:sz w:val="15"/>
                <w:szCs w:val="15"/>
              </w:rPr>
              <w:t>医疗信息化建设体系</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31"/>
              <w:jc w:val="right"/>
              <w:rPr>
                <w:rFonts w:ascii="Times New Roman" w:hAnsi="Times New Roman" w:cs="Times New Roman" w:eastAsia="Times New Roman" w:hint="default"/>
                <w:sz w:val="15"/>
                <w:szCs w:val="15"/>
              </w:rPr>
            </w:pPr>
            <w:r>
              <w:rPr>
                <w:rFonts w:ascii="Times New Roman"/>
                <w:spacing w:val="-1"/>
                <w:w w:val="95"/>
                <w:sz w:val="15"/>
              </w:rPr>
              <w:t>11,950,392</w:t>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47"/>
              <w:jc w:val="right"/>
              <w:rPr>
                <w:rFonts w:ascii="Times New Roman" w:hAnsi="Times New Roman" w:cs="Times New Roman" w:eastAsia="Times New Roman" w:hint="default"/>
                <w:sz w:val="15"/>
                <w:szCs w:val="15"/>
              </w:rPr>
            </w:pPr>
            <w:r>
              <w:rPr>
                <w:rFonts w:ascii="Times New Roman"/>
                <w:spacing w:val="-2"/>
                <w:sz w:val="15"/>
              </w:rPr>
              <w:t>502,011</w:t>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14"/>
              <w:jc w:val="right"/>
              <w:rPr>
                <w:rFonts w:ascii="Times New Roman" w:hAnsi="Times New Roman" w:cs="Times New Roman" w:eastAsia="Times New Roman" w:hint="default"/>
                <w:sz w:val="15"/>
                <w:szCs w:val="15"/>
              </w:rPr>
            </w:pPr>
            <w:r>
              <w:rPr>
                <w:rFonts w:ascii="Times New Roman"/>
                <w:spacing w:val="-2"/>
                <w:sz w:val="15"/>
              </w:rPr>
              <w:t>2,948,117</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49"/>
              <w:jc w:val="right"/>
              <w:rPr>
                <w:rFonts w:ascii="Times New Roman" w:hAnsi="Times New Roman" w:cs="Times New Roman" w:eastAsia="Times New Roman" w:hint="default"/>
                <w:sz w:val="15"/>
                <w:szCs w:val="15"/>
              </w:rPr>
            </w:pPr>
            <w:r>
              <w:rPr>
                <w:rFonts w:ascii="Times New Roman"/>
                <w:spacing w:val="-1"/>
                <w:sz w:val="15"/>
              </w:rPr>
              <w:t>790,533</w:t>
            </w:r>
          </w:p>
        </w:tc>
        <w:tc>
          <w:tcPr>
            <w:tcW w:w="896" w:type="dxa"/>
            <w:tcBorders>
              <w:top w:val="nil" w:sz="6" w:space="0" w:color="auto"/>
              <w:left w:val="nil" w:sz="6" w:space="0" w:color="auto"/>
              <w:bottom w:val="nil" w:sz="6" w:space="0" w:color="auto"/>
              <w:right w:val="nil" w:sz="6" w:space="0" w:color="auto"/>
            </w:tcBorders>
          </w:tcPr>
          <w:p>
            <w:pP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99"/>
              <w:jc w:val="right"/>
              <w:rPr>
                <w:rFonts w:ascii="Times New Roman" w:hAnsi="Times New Roman" w:cs="Times New Roman" w:eastAsia="Times New Roman" w:hint="default"/>
                <w:sz w:val="15"/>
                <w:szCs w:val="15"/>
              </w:rPr>
            </w:pPr>
            <w:r>
              <w:rPr>
                <w:rFonts w:ascii="Times New Roman"/>
                <w:sz w:val="15"/>
              </w:rPr>
              <w:t>29</w:t>
            </w:r>
          </w:p>
        </w:tc>
        <w:tc>
          <w:tcPr>
            <w:tcW w:w="64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73"/>
              <w:jc w:val="right"/>
              <w:rPr>
                <w:rFonts w:ascii="Times New Roman" w:hAnsi="Times New Roman" w:cs="Times New Roman" w:eastAsia="Times New Roman" w:hint="default"/>
                <w:sz w:val="15"/>
                <w:szCs w:val="15"/>
              </w:rPr>
            </w:pPr>
            <w:r>
              <w:rPr>
                <w:rFonts w:ascii="Times New Roman"/>
                <w:sz w:val="15"/>
              </w:rPr>
              <w:t>36</w:t>
            </w:r>
          </w:p>
        </w:tc>
        <w:tc>
          <w:tcPr>
            <w:tcW w:w="886" w:type="dxa"/>
            <w:tcBorders>
              <w:top w:val="nil" w:sz="6" w:space="0" w:color="auto"/>
              <w:left w:val="nil" w:sz="6" w:space="0" w:color="auto"/>
              <w:bottom w:val="nil" w:sz="6" w:space="0" w:color="auto"/>
              <w:right w:val="nil" w:sz="6" w:space="0" w:color="auto"/>
            </w:tcBorders>
          </w:tcPr>
          <w:p>
            <w:pPr/>
          </w:p>
        </w:tc>
        <w:tc>
          <w:tcPr>
            <w:tcW w:w="1160"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5" w:right="0"/>
              <w:jc w:val="left"/>
              <w:rPr>
                <w:rFonts w:ascii="宋体" w:hAnsi="宋体" w:cs="宋体" w:eastAsia="宋体" w:hint="default"/>
                <w:sz w:val="15"/>
                <w:szCs w:val="15"/>
              </w:rPr>
            </w:pPr>
            <w:r>
              <w:rPr>
                <w:rFonts w:ascii="宋体" w:hAnsi="宋体" w:cs="宋体" w:eastAsia="宋体" w:hint="default"/>
                <w:sz w:val="15"/>
                <w:szCs w:val="15"/>
              </w:rPr>
              <w:t>自有资金</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
              <w:jc w:val="right"/>
              <w:rPr>
                <w:rFonts w:ascii="Times New Roman" w:hAnsi="Times New Roman" w:cs="Times New Roman" w:eastAsia="Times New Roman" w:hint="default"/>
                <w:sz w:val="15"/>
                <w:szCs w:val="15"/>
              </w:rPr>
            </w:pPr>
            <w:r>
              <w:rPr>
                <w:rFonts w:ascii="Times New Roman"/>
                <w:spacing w:val="-1"/>
                <w:sz w:val="15"/>
              </w:rPr>
              <w:t>2,659,595</w:t>
            </w:r>
          </w:p>
        </w:tc>
      </w:tr>
      <w:tr>
        <w:trPr>
          <w:trHeight w:val="410" w:hRule="exact"/>
        </w:trPr>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43" w:right="0"/>
              <w:jc w:val="left"/>
              <w:rPr>
                <w:rFonts w:ascii="宋体" w:hAnsi="宋体" w:cs="宋体" w:eastAsia="宋体" w:hint="default"/>
                <w:sz w:val="15"/>
                <w:szCs w:val="15"/>
              </w:rPr>
            </w:pPr>
            <w:r>
              <w:rPr>
                <w:rFonts w:ascii="宋体" w:hAnsi="宋体" w:cs="宋体" w:eastAsia="宋体" w:hint="default"/>
                <w:sz w:val="15"/>
                <w:szCs w:val="15"/>
              </w:rPr>
              <w:t>海南软件园</w:t>
            </w:r>
            <w:r>
              <w:rPr>
                <w:rFonts w:ascii="Times New Roman" w:hAnsi="Times New Roman" w:cs="Times New Roman" w:eastAsia="Times New Roman" w:hint="default"/>
                <w:sz w:val="15"/>
                <w:szCs w:val="15"/>
              </w:rPr>
              <w:t>(</w:t>
            </w:r>
            <w:r>
              <w:rPr>
                <w:rFonts w:ascii="宋体" w:hAnsi="宋体" w:cs="宋体" w:eastAsia="宋体" w:hint="default"/>
                <w:sz w:val="15"/>
                <w:szCs w:val="15"/>
              </w:rPr>
              <w:t>一期）</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31"/>
              <w:jc w:val="right"/>
              <w:rPr>
                <w:rFonts w:ascii="Times New Roman" w:hAnsi="Times New Roman" w:cs="Times New Roman" w:eastAsia="Times New Roman" w:hint="default"/>
                <w:sz w:val="15"/>
                <w:szCs w:val="15"/>
              </w:rPr>
            </w:pPr>
            <w:r>
              <w:rPr>
                <w:rFonts w:ascii="Times New Roman"/>
                <w:spacing w:val="-1"/>
                <w:sz w:val="15"/>
              </w:rPr>
              <w:t>166,180,897</w:t>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47"/>
              <w:jc w:val="right"/>
              <w:rPr>
                <w:rFonts w:ascii="Times New Roman" w:hAnsi="Times New Roman" w:cs="Times New Roman" w:eastAsia="Times New Roman" w:hint="default"/>
                <w:sz w:val="15"/>
                <w:szCs w:val="15"/>
              </w:rPr>
            </w:pPr>
            <w:r>
              <w:rPr>
                <w:rFonts w:ascii="Times New Roman"/>
                <w:spacing w:val="-1"/>
                <w:sz w:val="15"/>
              </w:rPr>
              <w:t>682,840</w:t>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14"/>
              <w:jc w:val="right"/>
              <w:rPr>
                <w:rFonts w:ascii="Times New Roman" w:hAnsi="Times New Roman" w:cs="Times New Roman" w:eastAsia="Times New Roman" w:hint="default"/>
                <w:sz w:val="15"/>
                <w:szCs w:val="15"/>
              </w:rPr>
            </w:pPr>
            <w:r>
              <w:rPr>
                <w:rFonts w:ascii="Times New Roman"/>
                <w:spacing w:val="-1"/>
                <w:sz w:val="15"/>
              </w:rPr>
              <w:t>741,099</w:t>
            </w:r>
          </w:p>
        </w:tc>
        <w:tc>
          <w:tcPr>
            <w:tcW w:w="1217" w:type="dxa"/>
            <w:tcBorders>
              <w:top w:val="nil" w:sz="6" w:space="0" w:color="auto"/>
              <w:left w:val="nil" w:sz="6" w:space="0" w:color="auto"/>
              <w:bottom w:val="nil" w:sz="6" w:space="0" w:color="auto"/>
              <w:right w:val="nil" w:sz="6" w:space="0" w:color="auto"/>
            </w:tcBorders>
          </w:tcPr>
          <w:p>
            <w:pPr/>
          </w:p>
        </w:tc>
        <w:tc>
          <w:tcPr>
            <w:tcW w:w="896" w:type="dxa"/>
            <w:tcBorders>
              <w:top w:val="nil" w:sz="6" w:space="0" w:color="auto"/>
              <w:left w:val="nil" w:sz="6" w:space="0" w:color="auto"/>
              <w:bottom w:val="nil" w:sz="6" w:space="0" w:color="auto"/>
              <w:right w:val="nil" w:sz="6" w:space="0" w:color="auto"/>
            </w:tcBorders>
          </w:tcPr>
          <w:p>
            <w:pP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00"/>
              <w:jc w:val="right"/>
              <w:rPr>
                <w:rFonts w:ascii="Times New Roman" w:hAnsi="Times New Roman" w:cs="Times New Roman" w:eastAsia="Times New Roman" w:hint="default"/>
                <w:sz w:val="15"/>
                <w:szCs w:val="15"/>
              </w:rPr>
            </w:pPr>
            <w:r>
              <w:rPr>
                <w:rFonts w:ascii="Times New Roman"/>
                <w:sz w:val="15"/>
              </w:rPr>
              <w:t>1</w:t>
            </w:r>
          </w:p>
        </w:tc>
        <w:tc>
          <w:tcPr>
            <w:tcW w:w="64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74"/>
              <w:jc w:val="right"/>
              <w:rPr>
                <w:rFonts w:ascii="Times New Roman" w:hAnsi="Times New Roman" w:cs="Times New Roman" w:eastAsia="Times New Roman" w:hint="default"/>
                <w:sz w:val="15"/>
                <w:szCs w:val="15"/>
              </w:rPr>
            </w:pPr>
            <w:r>
              <w:rPr>
                <w:rFonts w:ascii="Times New Roman"/>
                <w:sz w:val="15"/>
              </w:rPr>
              <w:t>1</w:t>
            </w:r>
          </w:p>
        </w:tc>
        <w:tc>
          <w:tcPr>
            <w:tcW w:w="886" w:type="dxa"/>
            <w:tcBorders>
              <w:top w:val="nil" w:sz="6" w:space="0" w:color="auto"/>
              <w:left w:val="nil" w:sz="6" w:space="0" w:color="auto"/>
              <w:bottom w:val="nil" w:sz="6" w:space="0" w:color="auto"/>
              <w:right w:val="nil" w:sz="6" w:space="0" w:color="auto"/>
            </w:tcBorders>
          </w:tcPr>
          <w:p>
            <w:pPr/>
          </w:p>
        </w:tc>
        <w:tc>
          <w:tcPr>
            <w:tcW w:w="1160"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75"/>
              <w:ind w:left="96" w:right="0"/>
              <w:jc w:val="left"/>
              <w:rPr>
                <w:rFonts w:ascii="宋体" w:hAnsi="宋体" w:cs="宋体" w:eastAsia="宋体" w:hint="default"/>
                <w:sz w:val="15"/>
                <w:szCs w:val="15"/>
              </w:rPr>
            </w:pPr>
            <w:r>
              <w:rPr>
                <w:rFonts w:ascii="宋体" w:hAnsi="宋体" w:cs="宋体" w:eastAsia="宋体" w:hint="default"/>
                <w:sz w:val="15"/>
                <w:szCs w:val="15"/>
              </w:rPr>
              <w:t>自有资金</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
              <w:jc w:val="right"/>
              <w:rPr>
                <w:rFonts w:ascii="Times New Roman" w:hAnsi="Times New Roman" w:cs="Times New Roman" w:eastAsia="Times New Roman" w:hint="default"/>
                <w:sz w:val="15"/>
                <w:szCs w:val="15"/>
              </w:rPr>
            </w:pPr>
            <w:r>
              <w:rPr>
                <w:rFonts w:ascii="Times New Roman"/>
                <w:spacing w:val="-1"/>
                <w:sz w:val="15"/>
              </w:rPr>
              <w:t>1,423,939</w:t>
            </w:r>
          </w:p>
        </w:tc>
      </w:tr>
      <w:tr>
        <w:trPr>
          <w:trHeight w:val="410" w:hRule="exact"/>
        </w:trPr>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43" w:right="0"/>
              <w:jc w:val="left"/>
              <w:rPr>
                <w:rFonts w:ascii="宋体" w:hAnsi="宋体" w:cs="宋体" w:eastAsia="宋体" w:hint="default"/>
                <w:sz w:val="15"/>
                <w:szCs w:val="15"/>
              </w:rPr>
            </w:pPr>
            <w:r>
              <w:rPr>
                <w:rFonts w:ascii="宋体" w:hAnsi="宋体" w:cs="宋体" w:eastAsia="宋体" w:hint="default"/>
                <w:sz w:val="15"/>
                <w:szCs w:val="15"/>
              </w:rPr>
              <w:t>沈阳园区俱乐部改建</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31"/>
              <w:jc w:val="right"/>
              <w:rPr>
                <w:rFonts w:ascii="Times New Roman" w:hAnsi="Times New Roman" w:cs="Times New Roman" w:eastAsia="Times New Roman" w:hint="default"/>
                <w:sz w:val="15"/>
                <w:szCs w:val="15"/>
              </w:rPr>
            </w:pPr>
            <w:r>
              <w:rPr>
                <w:rFonts w:ascii="Times New Roman"/>
                <w:spacing w:val="-1"/>
                <w:sz w:val="15"/>
              </w:rPr>
              <w:t>4,000,000</w:t>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46"/>
              <w:jc w:val="right"/>
              <w:rPr>
                <w:rFonts w:ascii="Times New Roman" w:hAnsi="Times New Roman" w:cs="Times New Roman" w:eastAsia="Times New Roman" w:hint="default"/>
                <w:sz w:val="15"/>
                <w:szCs w:val="15"/>
              </w:rPr>
            </w:pPr>
            <w:r>
              <w:rPr>
                <w:rFonts w:ascii="Times New Roman"/>
                <w:spacing w:val="-1"/>
                <w:sz w:val="15"/>
              </w:rPr>
              <w:t>2,270,340</w:t>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14"/>
              <w:jc w:val="right"/>
              <w:rPr>
                <w:rFonts w:ascii="Times New Roman" w:hAnsi="Times New Roman" w:cs="Times New Roman" w:eastAsia="Times New Roman" w:hint="default"/>
                <w:sz w:val="15"/>
                <w:szCs w:val="15"/>
              </w:rPr>
            </w:pPr>
            <w:r>
              <w:rPr>
                <w:rFonts w:ascii="Times New Roman"/>
                <w:spacing w:val="-1"/>
                <w:sz w:val="15"/>
              </w:rPr>
              <w:t>718,360</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47"/>
              <w:jc w:val="right"/>
              <w:rPr>
                <w:rFonts w:ascii="Times New Roman" w:hAnsi="Times New Roman" w:cs="Times New Roman" w:eastAsia="Times New Roman" w:hint="default"/>
                <w:sz w:val="15"/>
                <w:szCs w:val="15"/>
              </w:rPr>
            </w:pPr>
            <w:r>
              <w:rPr>
                <w:rFonts w:ascii="Times New Roman"/>
                <w:spacing w:val="-1"/>
                <w:sz w:val="15"/>
              </w:rPr>
              <w:t>2,988,700</w:t>
            </w:r>
          </w:p>
        </w:tc>
        <w:tc>
          <w:tcPr>
            <w:tcW w:w="896" w:type="dxa"/>
            <w:tcBorders>
              <w:top w:val="nil" w:sz="6" w:space="0" w:color="auto"/>
              <w:left w:val="nil" w:sz="6" w:space="0" w:color="auto"/>
              <w:bottom w:val="nil" w:sz="6" w:space="0" w:color="auto"/>
              <w:right w:val="nil" w:sz="6" w:space="0" w:color="auto"/>
            </w:tcBorders>
          </w:tcPr>
          <w:p>
            <w:pPr/>
          </w:p>
        </w:tc>
        <w:tc>
          <w:tcPr>
            <w:tcW w:w="1071"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99"/>
              <w:jc w:val="right"/>
              <w:rPr>
                <w:rFonts w:ascii="Times New Roman" w:hAnsi="Times New Roman" w:cs="Times New Roman" w:eastAsia="Times New Roman" w:hint="default"/>
                <w:sz w:val="15"/>
                <w:szCs w:val="15"/>
              </w:rPr>
            </w:pPr>
            <w:r>
              <w:rPr>
                <w:rFonts w:ascii="Times New Roman"/>
                <w:sz w:val="15"/>
              </w:rPr>
              <w:t>75</w:t>
            </w:r>
          </w:p>
        </w:tc>
        <w:tc>
          <w:tcPr>
            <w:tcW w:w="64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74"/>
              <w:jc w:val="right"/>
              <w:rPr>
                <w:rFonts w:ascii="Times New Roman" w:hAnsi="Times New Roman" w:cs="Times New Roman" w:eastAsia="Times New Roman" w:hint="default"/>
                <w:sz w:val="15"/>
                <w:szCs w:val="15"/>
              </w:rPr>
            </w:pPr>
            <w:r>
              <w:rPr>
                <w:rFonts w:ascii="Times New Roman"/>
                <w:spacing w:val="-1"/>
                <w:sz w:val="15"/>
              </w:rPr>
              <w:t>100</w:t>
            </w:r>
          </w:p>
        </w:tc>
        <w:tc>
          <w:tcPr>
            <w:tcW w:w="886" w:type="dxa"/>
            <w:tcBorders>
              <w:top w:val="nil" w:sz="6" w:space="0" w:color="auto"/>
              <w:left w:val="nil" w:sz="6" w:space="0" w:color="auto"/>
              <w:bottom w:val="nil" w:sz="6" w:space="0" w:color="auto"/>
              <w:right w:val="nil" w:sz="6" w:space="0" w:color="auto"/>
            </w:tcBorders>
          </w:tcPr>
          <w:p>
            <w:pPr/>
          </w:p>
        </w:tc>
        <w:tc>
          <w:tcPr>
            <w:tcW w:w="1160"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Style w:val="TableParagraph"/>
              <w:spacing w:line="240" w:lineRule="auto" w:before="75"/>
              <w:ind w:left="96" w:right="0"/>
              <w:jc w:val="left"/>
              <w:rPr>
                <w:rFonts w:ascii="宋体" w:hAnsi="宋体" w:cs="宋体" w:eastAsia="宋体" w:hint="default"/>
                <w:sz w:val="15"/>
                <w:szCs w:val="15"/>
              </w:rPr>
            </w:pPr>
            <w:r>
              <w:rPr>
                <w:rFonts w:ascii="宋体" w:hAnsi="宋体" w:cs="宋体" w:eastAsia="宋体" w:hint="default"/>
                <w:sz w:val="15"/>
                <w:szCs w:val="15"/>
              </w:rPr>
              <w:t>自有资金</w:t>
            </w:r>
          </w:p>
        </w:tc>
        <w:tc>
          <w:tcPr>
            <w:tcW w:w="940" w:type="dxa"/>
            <w:tcBorders>
              <w:top w:val="nil" w:sz="6" w:space="0" w:color="auto"/>
              <w:left w:val="nil" w:sz="6" w:space="0" w:color="auto"/>
              <w:bottom w:val="nil" w:sz="6" w:space="0" w:color="auto"/>
              <w:right w:val="nil" w:sz="6" w:space="0" w:color="auto"/>
            </w:tcBorders>
          </w:tcPr>
          <w:p>
            <w:pPr/>
          </w:p>
        </w:tc>
      </w:tr>
      <w:tr>
        <w:trPr>
          <w:trHeight w:val="310" w:hRule="exact"/>
        </w:trPr>
        <w:tc>
          <w:tcPr>
            <w:tcW w:w="1705" w:type="dxa"/>
            <w:tcBorders>
              <w:top w:val="nil" w:sz="6" w:space="0" w:color="auto"/>
              <w:left w:val="nil" w:sz="6" w:space="0" w:color="auto"/>
              <w:bottom w:val="single" w:sz="12" w:space="0" w:color="000000"/>
              <w:right w:val="nil" w:sz="6" w:space="0" w:color="auto"/>
            </w:tcBorders>
          </w:tcPr>
          <w:p>
            <w:pPr>
              <w:pStyle w:val="TableParagraph"/>
              <w:spacing w:line="240" w:lineRule="auto" w:before="75"/>
              <w:ind w:right="17"/>
              <w:jc w:val="center"/>
              <w:rPr>
                <w:rFonts w:ascii="宋体" w:hAnsi="宋体" w:cs="宋体" w:eastAsia="宋体" w:hint="default"/>
                <w:sz w:val="15"/>
                <w:szCs w:val="15"/>
              </w:rPr>
            </w:pPr>
            <w:r>
              <w:rPr>
                <w:rFonts w:ascii="宋体" w:hAnsi="宋体" w:cs="宋体" w:eastAsia="宋体" w:hint="default"/>
                <w:sz w:val="15"/>
                <w:szCs w:val="15"/>
              </w:rPr>
              <w:t>合</w:t>
            </w:r>
            <w:r>
              <w:rPr>
                <w:rFonts w:ascii="宋体" w:hAnsi="宋体" w:cs="宋体" w:eastAsia="宋体" w:hint="default"/>
                <w:spacing w:val="73"/>
                <w:sz w:val="15"/>
                <w:szCs w:val="15"/>
              </w:rPr>
              <w:t> </w:t>
            </w:r>
            <w:r>
              <w:rPr>
                <w:rFonts w:ascii="宋体" w:hAnsi="宋体" w:cs="宋体" w:eastAsia="宋体" w:hint="default"/>
                <w:sz w:val="15"/>
                <w:szCs w:val="15"/>
              </w:rPr>
              <w:t>计</w:t>
            </w:r>
          </w:p>
        </w:tc>
        <w:tc>
          <w:tcPr>
            <w:tcW w:w="1196"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31"/>
              <w:jc w:val="right"/>
              <w:rPr>
                <w:rFonts w:ascii="Times New Roman" w:hAnsi="Times New Roman" w:cs="Times New Roman" w:eastAsia="Times New Roman" w:hint="default"/>
                <w:sz w:val="15"/>
                <w:szCs w:val="15"/>
              </w:rPr>
            </w:pPr>
            <w:r>
              <w:rPr>
                <w:rFonts w:ascii="Times New Roman"/>
                <w:spacing w:val="-1"/>
                <w:sz w:val="15"/>
              </w:rPr>
              <w:t>841,231,642</w:t>
            </w:r>
          </w:p>
        </w:tc>
        <w:tc>
          <w:tcPr>
            <w:tcW w:w="970"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47"/>
              <w:jc w:val="right"/>
              <w:rPr>
                <w:rFonts w:ascii="Times New Roman" w:hAnsi="Times New Roman" w:cs="Times New Roman" w:eastAsia="Times New Roman" w:hint="default"/>
                <w:sz w:val="15"/>
                <w:szCs w:val="15"/>
              </w:rPr>
            </w:pPr>
            <w:r>
              <w:rPr>
                <w:rFonts w:ascii="Times New Roman"/>
                <w:spacing w:val="-1"/>
                <w:sz w:val="15"/>
              </w:rPr>
              <w:t>84,731,103</w:t>
            </w:r>
          </w:p>
        </w:tc>
        <w:tc>
          <w:tcPr>
            <w:tcW w:w="1017"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14"/>
              <w:jc w:val="right"/>
              <w:rPr>
                <w:rFonts w:ascii="Times New Roman" w:hAnsi="Times New Roman" w:cs="Times New Roman" w:eastAsia="Times New Roman" w:hint="default"/>
                <w:sz w:val="15"/>
                <w:szCs w:val="15"/>
              </w:rPr>
            </w:pPr>
            <w:r>
              <w:rPr>
                <w:rFonts w:ascii="Times New Roman"/>
                <w:spacing w:val="-1"/>
                <w:sz w:val="15"/>
              </w:rPr>
              <w:t>226,847,288</w:t>
            </w:r>
          </w:p>
        </w:tc>
        <w:tc>
          <w:tcPr>
            <w:tcW w:w="1217"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47"/>
              <w:jc w:val="right"/>
              <w:rPr>
                <w:rFonts w:ascii="Times New Roman" w:hAnsi="Times New Roman" w:cs="Times New Roman" w:eastAsia="Times New Roman" w:hint="default"/>
                <w:sz w:val="15"/>
                <w:szCs w:val="15"/>
              </w:rPr>
            </w:pPr>
            <w:r>
              <w:rPr>
                <w:rFonts w:ascii="Times New Roman"/>
                <w:spacing w:val="-1"/>
                <w:sz w:val="15"/>
              </w:rPr>
              <w:t>3,779,233</w:t>
            </w:r>
          </w:p>
        </w:tc>
        <w:tc>
          <w:tcPr>
            <w:tcW w:w="896" w:type="dxa"/>
            <w:tcBorders>
              <w:top w:val="nil" w:sz="6" w:space="0" w:color="auto"/>
              <w:left w:val="nil" w:sz="6" w:space="0" w:color="auto"/>
              <w:bottom w:val="single" w:sz="12" w:space="0" w:color="000000"/>
              <w:right w:val="nil" w:sz="6" w:space="0" w:color="auto"/>
            </w:tcBorders>
          </w:tcPr>
          <w:p>
            <w:pPr/>
          </w:p>
        </w:tc>
        <w:tc>
          <w:tcPr>
            <w:tcW w:w="1071" w:type="dxa"/>
            <w:tcBorders>
              <w:top w:val="nil" w:sz="6" w:space="0" w:color="auto"/>
              <w:left w:val="nil" w:sz="6" w:space="0" w:color="auto"/>
              <w:bottom w:val="single" w:sz="12" w:space="0" w:color="000000"/>
              <w:right w:val="nil" w:sz="6" w:space="0" w:color="auto"/>
            </w:tcBorders>
          </w:tcPr>
          <w:p>
            <w:pPr/>
          </w:p>
        </w:tc>
        <w:tc>
          <w:tcPr>
            <w:tcW w:w="642" w:type="dxa"/>
            <w:tcBorders>
              <w:top w:val="nil" w:sz="6" w:space="0" w:color="auto"/>
              <w:left w:val="nil" w:sz="6" w:space="0" w:color="auto"/>
              <w:bottom w:val="single" w:sz="12" w:space="0" w:color="000000"/>
              <w:right w:val="nil" w:sz="6" w:space="0" w:color="auto"/>
            </w:tcBorders>
          </w:tcPr>
          <w:p>
            <w:pPr/>
          </w:p>
        </w:tc>
        <w:tc>
          <w:tcPr>
            <w:tcW w:w="886" w:type="dxa"/>
            <w:tcBorders>
              <w:top w:val="nil" w:sz="6" w:space="0" w:color="auto"/>
              <w:left w:val="nil" w:sz="6" w:space="0" w:color="auto"/>
              <w:bottom w:val="single" w:sz="12" w:space="0" w:color="000000"/>
              <w:right w:val="nil" w:sz="6" w:space="0" w:color="auto"/>
            </w:tcBorders>
          </w:tcPr>
          <w:p>
            <w:pPr/>
          </w:p>
        </w:tc>
        <w:tc>
          <w:tcPr>
            <w:tcW w:w="1160" w:type="dxa"/>
            <w:tcBorders>
              <w:top w:val="nil" w:sz="6" w:space="0" w:color="auto"/>
              <w:left w:val="nil" w:sz="6" w:space="0" w:color="auto"/>
              <w:bottom w:val="single" w:sz="12" w:space="0" w:color="000000"/>
              <w:right w:val="nil" w:sz="6" w:space="0" w:color="auto"/>
            </w:tcBorders>
          </w:tcPr>
          <w:p>
            <w:pPr/>
          </w:p>
        </w:tc>
        <w:tc>
          <w:tcPr>
            <w:tcW w:w="884" w:type="dxa"/>
            <w:tcBorders>
              <w:top w:val="nil" w:sz="6" w:space="0" w:color="auto"/>
              <w:left w:val="nil" w:sz="6" w:space="0" w:color="auto"/>
              <w:bottom w:val="single" w:sz="12" w:space="0" w:color="000000"/>
              <w:right w:val="nil" w:sz="6" w:space="0" w:color="auto"/>
            </w:tcBorders>
          </w:tcPr>
          <w:p>
            <w:pPr/>
          </w:p>
        </w:tc>
        <w:tc>
          <w:tcPr>
            <w:tcW w:w="852" w:type="dxa"/>
            <w:tcBorders>
              <w:top w:val="nil" w:sz="6" w:space="0" w:color="auto"/>
              <w:left w:val="nil" w:sz="6" w:space="0" w:color="auto"/>
              <w:bottom w:val="single" w:sz="12" w:space="0" w:color="000000"/>
              <w:right w:val="nil" w:sz="6" w:space="0" w:color="auto"/>
            </w:tcBorders>
          </w:tcPr>
          <w:p>
            <w:pPr/>
          </w:p>
        </w:tc>
        <w:tc>
          <w:tcPr>
            <w:tcW w:w="940"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
              <w:jc w:val="right"/>
              <w:rPr>
                <w:rFonts w:ascii="Times New Roman" w:hAnsi="Times New Roman" w:cs="Times New Roman" w:eastAsia="Times New Roman" w:hint="default"/>
                <w:sz w:val="15"/>
                <w:szCs w:val="15"/>
              </w:rPr>
            </w:pPr>
            <w:r>
              <w:rPr>
                <w:rFonts w:ascii="Times New Roman"/>
                <w:spacing w:val="-1"/>
                <w:sz w:val="15"/>
              </w:rPr>
              <w:t>307,799,158</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5"/>
          <w:szCs w:val="25"/>
        </w:rPr>
      </w:pPr>
    </w:p>
    <w:p>
      <w:pPr>
        <w:spacing w:before="44"/>
        <w:ind w:left="6301" w:right="6301" w:firstLine="0"/>
        <w:jc w:val="center"/>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199"/>
          <w:footerReference w:type="default" r:id="rId200"/>
          <w:pgSz w:w="16840" w:h="11910" w:orient="landscape"/>
          <w:pgMar w:header="0" w:footer="0" w:top="800" w:bottom="280" w:left="1100" w:right="1300"/>
        </w:sectPr>
      </w:pPr>
    </w:p>
    <w:p>
      <w:pPr>
        <w:spacing w:line="240" w:lineRule="auto" w:before="10"/>
        <w:rPr>
          <w:rFonts w:ascii="宋体" w:hAnsi="宋体" w:cs="宋体" w:eastAsia="宋体" w:hint="default"/>
          <w:sz w:val="8"/>
          <w:szCs w:val="8"/>
        </w:rPr>
      </w:pPr>
    </w:p>
    <w:p>
      <w:pPr>
        <w:pStyle w:val="Heading6"/>
        <w:tabs>
          <w:tab w:pos="977" w:val="left" w:leader="none"/>
        </w:tabs>
        <w:spacing w:line="240" w:lineRule="auto"/>
        <w:ind w:left="350" w:right="0"/>
        <w:jc w:val="left"/>
        <w:rPr>
          <w:b w:val="0"/>
          <w:bCs w:val="0"/>
        </w:rPr>
      </w:pPr>
      <w:r>
        <w:rPr>
          <w:w w:val="95"/>
        </w:rPr>
        <w:t>3、</w:t>
        <w:tab/>
      </w:r>
      <w:r>
        <w:rPr/>
        <w:t>重大在建工程的工程进度情况</w:t>
      </w:r>
      <w:r>
        <w:rPr>
          <w:b w:val="0"/>
          <w:bCs w:val="0"/>
        </w:rPr>
      </w:r>
    </w:p>
    <w:p>
      <w:pPr>
        <w:spacing w:line="240" w:lineRule="auto" w:before="7"/>
        <w:rPr>
          <w:rFonts w:ascii="宋体" w:hAnsi="宋体" w:cs="宋体" w:eastAsia="宋体" w:hint="default"/>
          <w:b/>
          <w:bCs/>
          <w:sz w:val="2"/>
          <w:szCs w:val="2"/>
        </w:rPr>
      </w:pPr>
    </w:p>
    <w:p>
      <w:pPr>
        <w:spacing w:line="1689" w:lineRule="exact"/>
        <w:ind w:left="717"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13.7pt;height:84.5pt;mso-position-horizontal-relative:char;mso-position-vertical-relative:line" coordorigin="0,0" coordsize="8274,1690">
            <v:group style="position:absolute;left:29;top:15;width:8211;height:2" coordorigin="29,15" coordsize="8211,2">
              <v:shape style="position:absolute;left:29;top:15;width:8211;height:2" coordorigin="29,15" coordsize="8211,0" path="m29,15l8240,15e" filled="false" stroked="true" strokeweight="1.5pt" strokecolor="#000000">
                <v:path arrowok="t"/>
              </v:shape>
              <v:shape style="position:absolute;left:3243;top:30;width:10;height:400" type="#_x0000_t75" stroked="false">
                <v:imagedata r:id="rId204" o:title=""/>
              </v:shape>
            </v:group>
            <v:group style="position:absolute;left:15;top:1675;width:3228;height:2" coordorigin="15,1675" coordsize="3228,2">
              <v:shape style="position:absolute;left:15;top:1675;width:3228;height:2" coordorigin="15,1675" coordsize="3228,0" path="m15,1675l3243,1675e" filled="false" stroked="true" strokeweight="1.5pt" strokecolor="#000000">
                <v:path arrowok="t"/>
              </v:shape>
              <v:shape style="position:absolute;left:1;top:401;width:8273;height:1259" type="#_x0000_t75" stroked="false">
                <v:imagedata r:id="rId205" o:title=""/>
              </v:shape>
            </v:group>
            <v:group style="position:absolute;left:3243;top:1675;width:4997;height:2" coordorigin="3243,1675" coordsize="4997,2">
              <v:shape style="position:absolute;left:3243;top:1675;width:4997;height:2" coordorigin="3243,1675" coordsize="4997,0" path="m3243,1675l8240,1675e" filled="false" stroked="true" strokeweight="1.5pt" strokecolor="#000000">
                <v:path arrowok="t"/>
              </v:shape>
              <v:shape style="position:absolute;left:1279;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1819;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5383;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工程进度</w:t>
                      </w:r>
                    </w:p>
                  </w:txbxContent>
                </v:textbox>
                <w10:wrap type="none"/>
              </v:shape>
              <v:shape style="position:absolute;left:137;top:63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北京软件园</w:t>
                      </w:r>
                    </w:p>
                  </w:txbxContent>
                </v:textbox>
                <w10:wrap type="none"/>
              </v:shape>
              <v:shape style="position:absolute;left:3355;top:631;width:1725;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建设中，工程进度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xbxContent>
                </v:textbox>
                <w10:wrap type="none"/>
              </v:shape>
              <v:shape style="position:absolute;left:137;top:104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上海软件园</w:t>
                      </w:r>
                    </w:p>
                  </w:txbxContent>
                </v:textbox>
                <w10:wrap type="none"/>
              </v:shape>
              <v:shape style="position:absolute;left:3355;top:1042;width:1815;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建设中，工程进度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90%</w:t>
                      </w:r>
                    </w:p>
                  </w:txbxContent>
                </v:textbox>
                <w10:wrap type="none"/>
              </v:shape>
              <v:shape style="position:absolute;left:137;top:1452;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广州软件园（一期）</w:t>
                      </w:r>
                    </w:p>
                  </w:txbxContent>
                </v:textbox>
                <w10:wrap type="none"/>
              </v:shape>
              <v:shape style="position:absolute;left:3355;top:1452;width:1815;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建设中，工程进度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85%</w:t>
                      </w:r>
                    </w:p>
                  </w:txbxContent>
                </v:textbox>
                <w10:wrap type="none"/>
              </v:shape>
            </v:group>
          </v:group>
        </w:pict>
      </w:r>
      <w:r>
        <w:rPr>
          <w:rFonts w:ascii="宋体" w:hAnsi="宋体" w:cs="宋体" w:eastAsia="宋体" w:hint="default"/>
          <w:position w:val="-33"/>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spacing w:before="35"/>
        <w:ind w:left="123" w:right="0" w:firstLine="0"/>
        <w:jc w:val="left"/>
        <w:rPr>
          <w:rFonts w:ascii="宋体" w:hAnsi="宋体" w:cs="宋体" w:eastAsia="宋体" w:hint="default"/>
          <w:sz w:val="21"/>
          <w:szCs w:val="21"/>
        </w:rPr>
      </w:pPr>
      <w:r>
        <w:rPr/>
        <w:pict>
          <v:group style="position:absolute;margin-left:118.919998pt;margin-top:17.133528pt;width:414.1pt;height:534pt;mso-position-horizontal-relative:page;mso-position-vertical-relative:paragraph;z-index:-1119664" coordorigin="2378,343" coordsize="8282,10680">
            <v:group style="position:absolute;left:2407;top:358;width:8226;height:2" coordorigin="2407,358" coordsize="8226,2">
              <v:shape style="position:absolute;left:2407;top:358;width:8226;height:2" coordorigin="2407,358" coordsize="8226,0" path="m2407,358l10633,358e" filled="false" stroked="true" strokeweight="1.5pt" strokecolor="#000000">
                <v:path arrowok="t"/>
              </v:shape>
              <v:shape style="position:absolute;left:4730;top:349;width:4478;height:446" type="#_x0000_t75" stroked="false">
                <v:imagedata r:id="rId206" o:title=""/>
              </v:shape>
              <v:shape style="position:absolute;left:2378;top:747;width:8281;height:10276" type="#_x0000_t75" stroked="false">
                <v:imagedata r:id="rId207" o:title=""/>
              </v:shape>
              <v:shape style="position:absolute;left:3312;top:56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5178;top:56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年初账面余额</w:t>
                      </w:r>
                    </w:p>
                  </w:txbxContent>
                </v:textbox>
                <w10:wrap type="none"/>
              </v:shape>
              <v:shape style="position:absolute;left:6944;top:56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8194;top:56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shape style="position:absolute;left:9365;top:56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期末账面余额</w:t>
                      </w:r>
                    </w:p>
                  </w:txbxContent>
                </v:textbox>
                <w10:wrap type="none"/>
              </v:shape>
            </v:group>
            <w10:wrap type="none"/>
          </v:group>
        </w:pict>
      </w:r>
      <w:r>
        <w:rPr>
          <w:rFonts w:ascii="宋体" w:hAnsi="宋体" w:cs="宋体" w:eastAsia="宋体" w:hint="default"/>
          <w:b/>
          <w:bCs/>
          <w:sz w:val="21"/>
          <w:szCs w:val="21"/>
        </w:rPr>
        <w:t>(十六)</w:t>
      </w:r>
      <w:r>
        <w:rPr>
          <w:rFonts w:ascii="宋体" w:hAnsi="宋体" w:cs="宋体" w:eastAsia="宋体" w:hint="default"/>
          <w:b/>
          <w:bCs/>
          <w:spacing w:val="-12"/>
          <w:sz w:val="21"/>
          <w:szCs w:val="21"/>
        </w:rPr>
        <w:t> </w:t>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tbl>
      <w:tblPr>
        <w:tblW w:w="0" w:type="auto"/>
        <w:jc w:val="left"/>
        <w:tblInd w:w="732" w:type="dxa"/>
        <w:tblLayout w:type="fixed"/>
        <w:tblCellMar>
          <w:top w:w="0" w:type="dxa"/>
          <w:left w:w="0" w:type="dxa"/>
          <w:bottom w:w="0" w:type="dxa"/>
          <w:right w:w="0" w:type="dxa"/>
        </w:tblCellMar>
        <w:tblLook w:val="01E0"/>
      </w:tblPr>
      <w:tblGrid>
        <w:gridCol w:w="2735"/>
        <w:gridCol w:w="1664"/>
        <w:gridCol w:w="1294"/>
        <w:gridCol w:w="1261"/>
        <w:gridCol w:w="1285"/>
      </w:tblGrid>
      <w:tr>
        <w:trPr>
          <w:trHeight w:val="405"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、账面原值合计</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16"/>
              <w:jc w:val="right"/>
              <w:rPr>
                <w:rFonts w:ascii="Times New Roman" w:hAnsi="Times New Roman" w:cs="Times New Roman" w:eastAsia="Times New Roman" w:hint="default"/>
                <w:sz w:val="18"/>
                <w:szCs w:val="18"/>
              </w:rPr>
            </w:pPr>
            <w:r>
              <w:rPr>
                <w:rFonts w:ascii="Times New Roman"/>
                <w:sz w:val="18"/>
              </w:rPr>
              <w:t>618,754,840</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62"/>
              <w:jc w:val="right"/>
              <w:rPr>
                <w:rFonts w:ascii="Times New Roman" w:hAnsi="Times New Roman" w:cs="Times New Roman" w:eastAsia="Times New Roman" w:hint="default"/>
                <w:sz w:val="18"/>
                <w:szCs w:val="18"/>
              </w:rPr>
            </w:pPr>
            <w:r>
              <w:rPr>
                <w:rFonts w:ascii="Times New Roman"/>
                <w:sz w:val="18"/>
              </w:rPr>
              <w:t>65,121,493</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74"/>
              <w:jc w:val="right"/>
              <w:rPr>
                <w:rFonts w:ascii="Times New Roman" w:hAnsi="Times New Roman" w:cs="Times New Roman" w:eastAsia="Times New Roman" w:hint="default"/>
                <w:sz w:val="18"/>
                <w:szCs w:val="18"/>
              </w:rPr>
            </w:pPr>
            <w:r>
              <w:rPr>
                <w:rFonts w:ascii="Times New Roman"/>
                <w:sz w:val="18"/>
              </w:rPr>
              <w:t>540,959</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683,335,374</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6"/>
              <w:jc w:val="right"/>
              <w:rPr>
                <w:rFonts w:ascii="Times New Roman" w:hAnsi="Times New Roman" w:cs="Times New Roman" w:eastAsia="Times New Roman" w:hint="default"/>
                <w:sz w:val="18"/>
                <w:szCs w:val="18"/>
              </w:rPr>
            </w:pPr>
            <w:r>
              <w:rPr>
                <w:rFonts w:ascii="Times New Roman"/>
                <w:sz w:val="18"/>
              </w:rPr>
              <w:t>413,142,884</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37,086,048</w:t>
            </w:r>
          </w:p>
        </w:tc>
        <w:tc>
          <w:tcPr>
            <w:tcW w:w="1261"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450,228,932</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房产使用权</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7"/>
              <w:jc w:val="right"/>
              <w:rPr>
                <w:rFonts w:ascii="Times New Roman" w:hAnsi="Times New Roman" w:cs="Times New Roman" w:eastAsia="Times New Roman" w:hint="default"/>
                <w:sz w:val="18"/>
                <w:szCs w:val="18"/>
              </w:rPr>
            </w:pPr>
            <w:r>
              <w:rPr>
                <w:rFonts w:ascii="Times New Roman"/>
                <w:sz w:val="18"/>
              </w:rPr>
              <w:t>5,000,000</w:t>
            </w:r>
          </w:p>
        </w:tc>
        <w:tc>
          <w:tcPr>
            <w:tcW w:w="1294" w:type="dxa"/>
            <w:tcBorders>
              <w:top w:val="nil" w:sz="6" w:space="0" w:color="auto"/>
              <w:left w:val="nil" w:sz="6" w:space="0" w:color="auto"/>
              <w:bottom w:val="nil" w:sz="6" w:space="0" w:color="auto"/>
              <w:right w:val="nil" w:sz="6" w:space="0" w:color="auto"/>
            </w:tcBorders>
          </w:tcPr>
          <w:p>
            <w:pPr/>
          </w:p>
        </w:tc>
        <w:tc>
          <w:tcPr>
            <w:tcW w:w="1261"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5,000,000</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外购专有技术</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6"/>
              <w:jc w:val="right"/>
              <w:rPr>
                <w:rFonts w:ascii="Times New Roman" w:hAnsi="Times New Roman" w:cs="Times New Roman" w:eastAsia="Times New Roman" w:hint="default"/>
                <w:sz w:val="18"/>
                <w:szCs w:val="18"/>
              </w:rPr>
            </w:pPr>
            <w:r>
              <w:rPr>
                <w:rFonts w:ascii="Times New Roman"/>
                <w:sz w:val="18"/>
              </w:rPr>
              <w:t>177,559,324</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23,726,237</w:t>
            </w:r>
          </w:p>
        </w:tc>
        <w:tc>
          <w:tcPr>
            <w:tcW w:w="1261"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201,285,561</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tabs>
                <w:tab w:pos="917" w:val="left" w:leader="none"/>
              </w:tabs>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w:t>
              <w:tab/>
              <w:t>他</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7"/>
              <w:jc w:val="right"/>
              <w:rPr>
                <w:rFonts w:ascii="Times New Roman" w:hAnsi="Times New Roman" w:cs="Times New Roman" w:eastAsia="Times New Roman" w:hint="default"/>
                <w:sz w:val="18"/>
                <w:szCs w:val="18"/>
              </w:rPr>
            </w:pPr>
            <w:r>
              <w:rPr>
                <w:rFonts w:ascii="Times New Roman"/>
                <w:sz w:val="18"/>
              </w:rPr>
              <w:t>23,052,632</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4,309,208</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4"/>
              <w:jc w:val="right"/>
              <w:rPr>
                <w:rFonts w:ascii="Times New Roman" w:hAnsi="Times New Roman" w:cs="Times New Roman" w:eastAsia="Times New Roman" w:hint="default"/>
                <w:sz w:val="18"/>
                <w:szCs w:val="18"/>
              </w:rPr>
            </w:pPr>
            <w:r>
              <w:rPr>
                <w:rFonts w:ascii="Times New Roman"/>
                <w:sz w:val="18"/>
              </w:rPr>
              <w:t>540,959</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26,820,881</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、累计摊销合计</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6"/>
              <w:jc w:val="right"/>
              <w:rPr>
                <w:rFonts w:ascii="Times New Roman" w:hAnsi="Times New Roman" w:cs="Times New Roman" w:eastAsia="Times New Roman" w:hint="default"/>
                <w:sz w:val="18"/>
                <w:szCs w:val="18"/>
              </w:rPr>
            </w:pPr>
            <w:r>
              <w:rPr>
                <w:rFonts w:ascii="Times New Roman"/>
                <w:sz w:val="18"/>
              </w:rPr>
              <w:t>229,715,421</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25,163,072</w:t>
            </w:r>
          </w:p>
        </w:tc>
        <w:tc>
          <w:tcPr>
            <w:tcW w:w="1261"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254,878,493</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6"/>
              <w:jc w:val="right"/>
              <w:rPr>
                <w:rFonts w:ascii="Times New Roman" w:hAnsi="Times New Roman" w:cs="Times New Roman" w:eastAsia="Times New Roman" w:hint="default"/>
                <w:sz w:val="18"/>
                <w:szCs w:val="18"/>
              </w:rPr>
            </w:pPr>
            <w:r>
              <w:rPr>
                <w:rFonts w:ascii="Times New Roman"/>
                <w:sz w:val="18"/>
              </w:rPr>
              <w:t>75,350,263</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8,833,052</w:t>
            </w:r>
          </w:p>
        </w:tc>
        <w:tc>
          <w:tcPr>
            <w:tcW w:w="1261"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84,183,315</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房产使用权</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7"/>
              <w:jc w:val="right"/>
              <w:rPr>
                <w:rFonts w:ascii="Times New Roman" w:hAnsi="Times New Roman" w:cs="Times New Roman" w:eastAsia="Times New Roman" w:hint="default"/>
                <w:sz w:val="18"/>
                <w:szCs w:val="18"/>
              </w:rPr>
            </w:pPr>
            <w:r>
              <w:rPr>
                <w:rFonts w:ascii="Times New Roman"/>
                <w:sz w:val="18"/>
              </w:rPr>
              <w:t>1,750,000</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1"/>
              <w:jc w:val="right"/>
              <w:rPr>
                <w:rFonts w:ascii="Times New Roman" w:hAnsi="Times New Roman" w:cs="Times New Roman" w:eastAsia="Times New Roman" w:hint="default"/>
                <w:sz w:val="18"/>
                <w:szCs w:val="18"/>
              </w:rPr>
            </w:pPr>
            <w:r>
              <w:rPr>
                <w:rFonts w:ascii="Times New Roman"/>
                <w:sz w:val="18"/>
              </w:rPr>
              <w:t>500,000</w:t>
            </w:r>
          </w:p>
        </w:tc>
        <w:tc>
          <w:tcPr>
            <w:tcW w:w="1261"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2,250,000</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外购专有技术</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6"/>
              <w:jc w:val="right"/>
              <w:rPr>
                <w:rFonts w:ascii="Times New Roman" w:hAnsi="Times New Roman" w:cs="Times New Roman" w:eastAsia="Times New Roman" w:hint="default"/>
                <w:sz w:val="18"/>
                <w:szCs w:val="18"/>
              </w:rPr>
            </w:pPr>
            <w:r>
              <w:rPr>
                <w:rFonts w:ascii="Times New Roman"/>
                <w:sz w:val="18"/>
              </w:rPr>
              <w:t>144,230,931</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9,317,036</w:t>
            </w:r>
          </w:p>
        </w:tc>
        <w:tc>
          <w:tcPr>
            <w:tcW w:w="1261"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153,547,967</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tabs>
                <w:tab w:pos="917" w:val="left" w:leader="none"/>
              </w:tabs>
              <w:spacing w:line="240" w:lineRule="auto" w:before="4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w:t>
              <w:tab/>
              <w:t>他</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7"/>
              <w:jc w:val="right"/>
              <w:rPr>
                <w:rFonts w:ascii="Times New Roman" w:hAnsi="Times New Roman" w:cs="Times New Roman" w:eastAsia="Times New Roman" w:hint="default"/>
                <w:sz w:val="18"/>
                <w:szCs w:val="18"/>
              </w:rPr>
            </w:pPr>
            <w:r>
              <w:rPr>
                <w:rFonts w:ascii="Times New Roman"/>
                <w:sz w:val="18"/>
              </w:rPr>
              <w:t>8,384,227</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6,512,984</w:t>
            </w:r>
          </w:p>
        </w:tc>
        <w:tc>
          <w:tcPr>
            <w:tcW w:w="1261"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1"/>
                <w:sz w:val="18"/>
              </w:rPr>
              <w:t>14,897,211</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、无形资产账面净值合计</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6"/>
              <w:jc w:val="right"/>
              <w:rPr>
                <w:rFonts w:ascii="Times New Roman" w:hAnsi="Times New Roman" w:cs="Times New Roman" w:eastAsia="Times New Roman" w:hint="default"/>
                <w:sz w:val="18"/>
                <w:szCs w:val="18"/>
              </w:rPr>
            </w:pPr>
            <w:r>
              <w:rPr>
                <w:rFonts w:ascii="Times New Roman"/>
                <w:sz w:val="18"/>
              </w:rPr>
              <w:t>389,039,419</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42,662,197</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3"/>
              <w:jc w:val="right"/>
              <w:rPr>
                <w:rFonts w:ascii="Times New Roman" w:hAnsi="Times New Roman" w:cs="Times New Roman" w:eastAsia="Times New Roman" w:hint="default"/>
                <w:sz w:val="18"/>
                <w:szCs w:val="18"/>
              </w:rPr>
            </w:pPr>
            <w:r>
              <w:rPr>
                <w:rFonts w:ascii="Times New Roman"/>
                <w:sz w:val="18"/>
              </w:rPr>
              <w:t>3,244,735</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428,456,881</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6"/>
              <w:jc w:val="right"/>
              <w:rPr>
                <w:rFonts w:ascii="Times New Roman" w:hAnsi="Times New Roman" w:cs="Times New Roman" w:eastAsia="Times New Roman" w:hint="default"/>
                <w:sz w:val="18"/>
                <w:szCs w:val="18"/>
              </w:rPr>
            </w:pPr>
            <w:r>
              <w:rPr>
                <w:rFonts w:ascii="Times New Roman"/>
                <w:sz w:val="18"/>
              </w:rPr>
              <w:t>337,792,621</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28,252,996</w:t>
            </w:r>
          </w:p>
        </w:tc>
        <w:tc>
          <w:tcPr>
            <w:tcW w:w="1261"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366,045,617</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房产使用权</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7"/>
              <w:jc w:val="right"/>
              <w:rPr>
                <w:rFonts w:ascii="Times New Roman" w:hAnsi="Times New Roman" w:cs="Times New Roman" w:eastAsia="Times New Roman" w:hint="default"/>
                <w:sz w:val="18"/>
                <w:szCs w:val="18"/>
              </w:rPr>
            </w:pPr>
            <w:r>
              <w:rPr>
                <w:rFonts w:ascii="Times New Roman"/>
                <w:sz w:val="18"/>
              </w:rPr>
              <w:t>3,250,000</w:t>
            </w:r>
          </w:p>
        </w:tc>
        <w:tc>
          <w:tcPr>
            <w:tcW w:w="1294" w:type="dxa"/>
            <w:tcBorders>
              <w:top w:val="nil" w:sz="6" w:space="0" w:color="auto"/>
              <w:left w:val="nil" w:sz="6" w:space="0" w:color="auto"/>
              <w:bottom w:val="nil" w:sz="6" w:space="0" w:color="auto"/>
              <w:right w:val="nil" w:sz="6" w:space="0" w:color="auto"/>
            </w:tcBorders>
          </w:tcPr>
          <w:p>
            <w:pP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3"/>
              <w:jc w:val="right"/>
              <w:rPr>
                <w:rFonts w:ascii="Times New Roman" w:hAnsi="Times New Roman" w:cs="Times New Roman" w:eastAsia="Times New Roman" w:hint="default"/>
                <w:sz w:val="18"/>
                <w:szCs w:val="18"/>
              </w:rPr>
            </w:pPr>
            <w:r>
              <w:rPr>
                <w:rFonts w:ascii="Times New Roman"/>
                <w:sz w:val="18"/>
              </w:rPr>
              <w:t>500,000</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2,750,000</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外购专有技术</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6"/>
              <w:jc w:val="right"/>
              <w:rPr>
                <w:rFonts w:ascii="Times New Roman" w:hAnsi="Times New Roman" w:cs="Times New Roman" w:eastAsia="Times New Roman" w:hint="default"/>
                <w:sz w:val="18"/>
                <w:szCs w:val="18"/>
              </w:rPr>
            </w:pPr>
            <w:r>
              <w:rPr>
                <w:rFonts w:ascii="Times New Roman"/>
                <w:sz w:val="18"/>
              </w:rPr>
              <w:t>33,328,393</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1"/>
              <w:jc w:val="right"/>
              <w:rPr>
                <w:rFonts w:ascii="Times New Roman" w:hAnsi="Times New Roman" w:cs="Times New Roman" w:eastAsia="Times New Roman" w:hint="default"/>
                <w:sz w:val="18"/>
                <w:szCs w:val="18"/>
              </w:rPr>
            </w:pPr>
            <w:r>
              <w:rPr>
                <w:rFonts w:ascii="Times New Roman"/>
                <w:sz w:val="18"/>
              </w:rPr>
              <w:t>14,409,201</w:t>
            </w:r>
          </w:p>
        </w:tc>
        <w:tc>
          <w:tcPr>
            <w:tcW w:w="1261"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47,737,594</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tabs>
                <w:tab w:pos="917" w:val="left" w:leader="none"/>
              </w:tabs>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w:t>
              <w:tab/>
              <w:t>他</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6"/>
              <w:jc w:val="right"/>
              <w:rPr>
                <w:rFonts w:ascii="Times New Roman" w:hAnsi="Times New Roman" w:cs="Times New Roman" w:eastAsia="Times New Roman" w:hint="default"/>
                <w:sz w:val="18"/>
                <w:szCs w:val="18"/>
              </w:rPr>
            </w:pPr>
            <w:r>
              <w:rPr>
                <w:rFonts w:ascii="Times New Roman"/>
                <w:sz w:val="18"/>
              </w:rPr>
              <w:t>14,668,405</w:t>
            </w:r>
          </w:p>
        </w:tc>
        <w:tc>
          <w:tcPr>
            <w:tcW w:w="1294" w:type="dxa"/>
            <w:tcBorders>
              <w:top w:val="nil" w:sz="6" w:space="0" w:color="auto"/>
              <w:left w:val="nil" w:sz="6" w:space="0" w:color="auto"/>
              <w:bottom w:val="nil" w:sz="6" w:space="0" w:color="auto"/>
              <w:right w:val="nil" w:sz="6" w:space="0" w:color="auto"/>
            </w:tcBorders>
          </w:tcPr>
          <w:p>
            <w:pP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3"/>
              <w:jc w:val="right"/>
              <w:rPr>
                <w:rFonts w:ascii="Times New Roman" w:hAnsi="Times New Roman" w:cs="Times New Roman" w:eastAsia="Times New Roman" w:hint="default"/>
                <w:sz w:val="18"/>
                <w:szCs w:val="18"/>
              </w:rPr>
            </w:pPr>
            <w:r>
              <w:rPr>
                <w:rFonts w:ascii="Times New Roman"/>
                <w:sz w:val="18"/>
              </w:rPr>
              <w:t>2,744,735</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1"/>
                <w:sz w:val="18"/>
              </w:rPr>
              <w:t>11,923,670</w:t>
            </w:r>
          </w:p>
        </w:tc>
      </w:tr>
      <w:tr>
        <w:trPr>
          <w:trHeight w:val="815"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396" w:lineRule="auto" w:before="49"/>
              <w:ind w:left="122" w:right="1262"/>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、减值准备合计 </w:t>
            </w: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8"/>
              <w:jc w:val="right"/>
              <w:rPr>
                <w:rFonts w:ascii="Times New Roman" w:hAnsi="Times New Roman" w:cs="Times New Roman" w:eastAsia="Times New Roman" w:hint="default"/>
                <w:sz w:val="18"/>
                <w:szCs w:val="18"/>
              </w:rPr>
            </w:pPr>
            <w:r>
              <w:rPr>
                <w:rFonts w:ascii="Times New Roman"/>
                <w:sz w:val="18"/>
              </w:rPr>
              <w:t>184,319</w:t>
            </w:r>
          </w:p>
        </w:tc>
        <w:tc>
          <w:tcPr>
            <w:tcW w:w="1294" w:type="dxa"/>
            <w:tcBorders>
              <w:top w:val="nil" w:sz="6" w:space="0" w:color="auto"/>
              <w:left w:val="nil" w:sz="6" w:space="0" w:color="auto"/>
              <w:bottom w:val="nil" w:sz="6" w:space="0" w:color="auto"/>
              <w:right w:val="nil" w:sz="6" w:space="0" w:color="auto"/>
            </w:tcBorders>
          </w:tcPr>
          <w:p>
            <w:pP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3"/>
              <w:jc w:val="right"/>
              <w:rPr>
                <w:rFonts w:ascii="Times New Roman" w:hAnsi="Times New Roman" w:cs="Times New Roman" w:eastAsia="Times New Roman" w:hint="default"/>
                <w:sz w:val="18"/>
                <w:szCs w:val="18"/>
              </w:rPr>
            </w:pPr>
            <w:r>
              <w:rPr>
                <w:rFonts w:ascii="Times New Roman"/>
                <w:sz w:val="18"/>
              </w:rPr>
              <w:t>44,079</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140,240</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房产使用权</w:t>
            </w:r>
          </w:p>
        </w:tc>
        <w:tc>
          <w:tcPr>
            <w:tcW w:w="1664" w:type="dxa"/>
            <w:tcBorders>
              <w:top w:val="nil" w:sz="6" w:space="0" w:color="auto"/>
              <w:left w:val="nil" w:sz="6" w:space="0" w:color="auto"/>
              <w:bottom w:val="nil" w:sz="6" w:space="0" w:color="auto"/>
              <w:right w:val="nil" w:sz="6" w:space="0" w:color="auto"/>
            </w:tcBorders>
          </w:tcPr>
          <w:p>
            <w:pPr/>
          </w:p>
        </w:tc>
        <w:tc>
          <w:tcPr>
            <w:tcW w:w="1294" w:type="dxa"/>
            <w:tcBorders>
              <w:top w:val="nil" w:sz="6" w:space="0" w:color="auto"/>
              <w:left w:val="nil" w:sz="6" w:space="0" w:color="auto"/>
              <w:bottom w:val="nil" w:sz="6" w:space="0" w:color="auto"/>
              <w:right w:val="nil" w:sz="6" w:space="0" w:color="auto"/>
            </w:tcBorders>
          </w:tcPr>
          <w:p>
            <w:pPr/>
          </w:p>
        </w:tc>
        <w:tc>
          <w:tcPr>
            <w:tcW w:w="1261"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
        </w:tc>
      </w:tr>
      <w:tr>
        <w:trPr>
          <w:trHeight w:val="415"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外购专有技术</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18"/>
              <w:jc w:val="right"/>
              <w:rPr>
                <w:rFonts w:ascii="Times New Roman" w:hAnsi="Times New Roman" w:cs="Times New Roman" w:eastAsia="Times New Roman" w:hint="default"/>
                <w:sz w:val="18"/>
                <w:szCs w:val="18"/>
              </w:rPr>
            </w:pPr>
            <w:r>
              <w:rPr>
                <w:rFonts w:ascii="Times New Roman"/>
                <w:sz w:val="18"/>
              </w:rPr>
              <w:t>44,079</w:t>
            </w:r>
          </w:p>
        </w:tc>
        <w:tc>
          <w:tcPr>
            <w:tcW w:w="1294" w:type="dxa"/>
            <w:tcBorders>
              <w:top w:val="nil" w:sz="6" w:space="0" w:color="auto"/>
              <w:left w:val="nil" w:sz="6" w:space="0" w:color="auto"/>
              <w:bottom w:val="nil" w:sz="6" w:space="0" w:color="auto"/>
              <w:right w:val="nil" w:sz="6" w:space="0" w:color="auto"/>
            </w:tcBorders>
          </w:tcPr>
          <w:p>
            <w:pP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73"/>
              <w:jc w:val="right"/>
              <w:rPr>
                <w:rFonts w:ascii="Times New Roman" w:hAnsi="Times New Roman" w:cs="Times New Roman" w:eastAsia="Times New Roman" w:hint="default"/>
                <w:sz w:val="18"/>
                <w:szCs w:val="18"/>
              </w:rPr>
            </w:pPr>
            <w:r>
              <w:rPr>
                <w:rFonts w:ascii="Times New Roman"/>
                <w:sz w:val="18"/>
              </w:rPr>
              <w:t>44,079</w:t>
            </w:r>
          </w:p>
        </w:tc>
        <w:tc>
          <w:tcPr>
            <w:tcW w:w="1285" w:type="dxa"/>
            <w:tcBorders>
              <w:top w:val="nil" w:sz="6" w:space="0" w:color="auto"/>
              <w:left w:val="nil" w:sz="6" w:space="0" w:color="auto"/>
              <w:bottom w:val="nil" w:sz="6" w:space="0" w:color="auto"/>
              <w:right w:val="nil" w:sz="6" w:space="0" w:color="auto"/>
            </w:tcBorders>
          </w:tcPr>
          <w:p>
            <w:pP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tabs>
                <w:tab w:pos="917" w:val="left" w:leader="none"/>
              </w:tabs>
              <w:spacing w:line="240" w:lineRule="auto" w:before="50"/>
              <w:ind w:left="2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w:t>
              <w:tab/>
              <w:t>他</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8"/>
              <w:jc w:val="right"/>
              <w:rPr>
                <w:rFonts w:ascii="Times New Roman" w:hAnsi="Times New Roman" w:cs="Times New Roman" w:eastAsia="Times New Roman" w:hint="default"/>
                <w:sz w:val="18"/>
                <w:szCs w:val="18"/>
              </w:rPr>
            </w:pPr>
            <w:r>
              <w:rPr>
                <w:rFonts w:ascii="Times New Roman"/>
                <w:sz w:val="18"/>
              </w:rPr>
              <w:t>140,240</w:t>
            </w:r>
          </w:p>
        </w:tc>
        <w:tc>
          <w:tcPr>
            <w:tcW w:w="1294" w:type="dxa"/>
            <w:tcBorders>
              <w:top w:val="nil" w:sz="6" w:space="0" w:color="auto"/>
              <w:left w:val="nil" w:sz="6" w:space="0" w:color="auto"/>
              <w:bottom w:val="nil" w:sz="6" w:space="0" w:color="auto"/>
              <w:right w:val="nil" w:sz="6" w:space="0" w:color="auto"/>
            </w:tcBorders>
          </w:tcPr>
          <w:p>
            <w:pPr/>
          </w:p>
        </w:tc>
        <w:tc>
          <w:tcPr>
            <w:tcW w:w="1261"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140,240</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、无形资产账面价值合计</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8"/>
              <w:jc w:val="right"/>
              <w:rPr>
                <w:rFonts w:ascii="Times New Roman" w:hAnsi="Times New Roman" w:cs="Times New Roman" w:eastAsia="Times New Roman" w:hint="default"/>
                <w:sz w:val="18"/>
                <w:szCs w:val="18"/>
              </w:rPr>
            </w:pPr>
            <w:r>
              <w:rPr>
                <w:rFonts w:ascii="Times New Roman"/>
                <w:sz w:val="18"/>
              </w:rPr>
              <w:t>388,855,100</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42,706,276</w:t>
            </w: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3"/>
              <w:jc w:val="right"/>
              <w:rPr>
                <w:rFonts w:ascii="Times New Roman" w:hAnsi="Times New Roman" w:cs="Times New Roman" w:eastAsia="Times New Roman" w:hint="default"/>
                <w:sz w:val="18"/>
                <w:szCs w:val="18"/>
              </w:rPr>
            </w:pPr>
            <w:r>
              <w:rPr>
                <w:rFonts w:ascii="Times New Roman"/>
                <w:sz w:val="18"/>
              </w:rPr>
              <w:t>3,244,735</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428,316,641</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8"/>
              <w:jc w:val="right"/>
              <w:rPr>
                <w:rFonts w:ascii="Times New Roman" w:hAnsi="Times New Roman" w:cs="Times New Roman" w:eastAsia="Times New Roman" w:hint="default"/>
                <w:sz w:val="18"/>
                <w:szCs w:val="18"/>
              </w:rPr>
            </w:pPr>
            <w:r>
              <w:rPr>
                <w:rFonts w:ascii="Times New Roman"/>
                <w:sz w:val="18"/>
              </w:rPr>
              <w:t>337,792,621</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28,252,996</w:t>
            </w:r>
          </w:p>
        </w:tc>
        <w:tc>
          <w:tcPr>
            <w:tcW w:w="1261"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366,045,617</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房产使用权</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8"/>
              <w:jc w:val="right"/>
              <w:rPr>
                <w:rFonts w:ascii="Times New Roman" w:hAnsi="Times New Roman" w:cs="Times New Roman" w:eastAsia="Times New Roman" w:hint="default"/>
                <w:sz w:val="18"/>
                <w:szCs w:val="18"/>
              </w:rPr>
            </w:pPr>
            <w:r>
              <w:rPr>
                <w:rFonts w:ascii="Times New Roman"/>
                <w:sz w:val="18"/>
              </w:rPr>
              <w:t>3,250,000</w:t>
            </w:r>
          </w:p>
        </w:tc>
        <w:tc>
          <w:tcPr>
            <w:tcW w:w="1294" w:type="dxa"/>
            <w:tcBorders>
              <w:top w:val="nil" w:sz="6" w:space="0" w:color="auto"/>
              <w:left w:val="nil" w:sz="6" w:space="0" w:color="auto"/>
              <w:bottom w:val="nil" w:sz="6" w:space="0" w:color="auto"/>
              <w:right w:val="nil" w:sz="6" w:space="0" w:color="auto"/>
            </w:tcBorders>
          </w:tcPr>
          <w:p>
            <w:pPr/>
          </w:p>
        </w:tc>
        <w:tc>
          <w:tcPr>
            <w:tcW w:w="12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3"/>
              <w:jc w:val="right"/>
              <w:rPr>
                <w:rFonts w:ascii="Times New Roman" w:hAnsi="Times New Roman" w:cs="Times New Roman" w:eastAsia="Times New Roman" w:hint="default"/>
                <w:sz w:val="18"/>
                <w:szCs w:val="18"/>
              </w:rPr>
            </w:pPr>
            <w:r>
              <w:rPr>
                <w:rFonts w:ascii="Times New Roman"/>
                <w:sz w:val="18"/>
              </w:rPr>
              <w:t>500,000</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2,750,000</w:t>
            </w:r>
          </w:p>
        </w:tc>
      </w:tr>
      <w:tr>
        <w:trPr>
          <w:trHeight w:val="410" w:hRule="exact"/>
        </w:trPr>
        <w:tc>
          <w:tcPr>
            <w:tcW w:w="273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外购专有技术</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8"/>
              <w:jc w:val="right"/>
              <w:rPr>
                <w:rFonts w:ascii="Times New Roman" w:hAnsi="Times New Roman" w:cs="Times New Roman" w:eastAsia="Times New Roman" w:hint="default"/>
                <w:sz w:val="18"/>
                <w:szCs w:val="18"/>
              </w:rPr>
            </w:pPr>
            <w:r>
              <w:rPr>
                <w:rFonts w:ascii="Times New Roman"/>
                <w:sz w:val="18"/>
              </w:rPr>
              <w:t>33,284,314</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2"/>
              <w:jc w:val="right"/>
              <w:rPr>
                <w:rFonts w:ascii="Times New Roman" w:hAnsi="Times New Roman" w:cs="Times New Roman" w:eastAsia="Times New Roman" w:hint="default"/>
                <w:sz w:val="18"/>
                <w:szCs w:val="18"/>
              </w:rPr>
            </w:pPr>
            <w:r>
              <w:rPr>
                <w:rFonts w:ascii="Times New Roman"/>
                <w:sz w:val="18"/>
              </w:rPr>
              <w:t>14,453,280</w:t>
            </w:r>
          </w:p>
        </w:tc>
        <w:tc>
          <w:tcPr>
            <w:tcW w:w="1261" w:type="dxa"/>
            <w:tcBorders>
              <w:top w:val="nil" w:sz="6" w:space="0" w:color="auto"/>
              <w:left w:val="nil" w:sz="6" w:space="0" w:color="auto"/>
              <w:bottom w:val="nil" w:sz="6" w:space="0" w:color="auto"/>
              <w:right w:val="nil" w:sz="6" w:space="0" w:color="auto"/>
            </w:tcBorders>
          </w:tcPr>
          <w:p>
            <w:pP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47,737,594</w:t>
            </w:r>
          </w:p>
        </w:tc>
      </w:tr>
      <w:tr>
        <w:trPr>
          <w:trHeight w:val="329" w:hRule="exact"/>
        </w:trPr>
        <w:tc>
          <w:tcPr>
            <w:tcW w:w="2735" w:type="dxa"/>
            <w:tcBorders>
              <w:top w:val="nil" w:sz="6" w:space="0" w:color="auto"/>
              <w:left w:val="nil" w:sz="6" w:space="0" w:color="auto"/>
              <w:bottom w:val="single" w:sz="12" w:space="0" w:color="000000"/>
              <w:right w:val="nil" w:sz="6" w:space="0" w:color="auto"/>
            </w:tcBorders>
          </w:tcPr>
          <w:p>
            <w:pPr>
              <w:pStyle w:val="TableParagraph"/>
              <w:tabs>
                <w:tab w:pos="917" w:val="left" w:leader="none"/>
              </w:tabs>
              <w:spacing w:line="240" w:lineRule="auto" w:before="4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w:t>
              <w:tab/>
              <w:t>他</w:t>
            </w:r>
          </w:p>
        </w:tc>
        <w:tc>
          <w:tcPr>
            <w:tcW w:w="1664"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18"/>
              <w:jc w:val="right"/>
              <w:rPr>
                <w:rFonts w:ascii="Times New Roman" w:hAnsi="Times New Roman" w:cs="Times New Roman" w:eastAsia="Times New Roman" w:hint="default"/>
                <w:sz w:val="18"/>
                <w:szCs w:val="18"/>
              </w:rPr>
            </w:pPr>
            <w:r>
              <w:rPr>
                <w:rFonts w:ascii="Times New Roman"/>
                <w:sz w:val="18"/>
              </w:rPr>
              <w:t>14,528,165</w:t>
            </w:r>
          </w:p>
        </w:tc>
        <w:tc>
          <w:tcPr>
            <w:tcW w:w="1294" w:type="dxa"/>
            <w:tcBorders>
              <w:top w:val="nil" w:sz="6" w:space="0" w:color="auto"/>
              <w:left w:val="nil" w:sz="6" w:space="0" w:color="auto"/>
              <w:bottom w:val="single" w:sz="12" w:space="0" w:color="000000"/>
              <w:right w:val="nil" w:sz="6" w:space="0" w:color="auto"/>
            </w:tcBorders>
          </w:tcPr>
          <w:p>
            <w:pPr/>
          </w:p>
        </w:tc>
        <w:tc>
          <w:tcPr>
            <w:tcW w:w="1261"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73"/>
              <w:jc w:val="right"/>
              <w:rPr>
                <w:rFonts w:ascii="Times New Roman" w:hAnsi="Times New Roman" w:cs="Times New Roman" w:eastAsia="Times New Roman" w:hint="default"/>
                <w:sz w:val="18"/>
                <w:szCs w:val="18"/>
              </w:rPr>
            </w:pPr>
            <w:r>
              <w:rPr>
                <w:rFonts w:ascii="Times New Roman"/>
                <w:sz w:val="18"/>
              </w:rPr>
              <w:t>2,744,735</w:t>
            </w:r>
          </w:p>
        </w:tc>
        <w:tc>
          <w:tcPr>
            <w:tcW w:w="128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1"/>
                <w:sz w:val="18"/>
              </w:rPr>
              <w:t>11,783,430</w:t>
            </w:r>
          </w:p>
        </w:tc>
      </w:tr>
    </w:tbl>
    <w:p>
      <w:pPr>
        <w:spacing w:after="0" w:line="240" w:lineRule="auto"/>
        <w:jc w:val="right"/>
        <w:rPr>
          <w:rFonts w:ascii="Times New Roman" w:hAnsi="Times New Roman" w:cs="Times New Roman" w:eastAsia="Times New Roman" w:hint="default"/>
          <w:sz w:val="18"/>
          <w:szCs w:val="18"/>
        </w:rPr>
        <w:sectPr>
          <w:footerReference w:type="default" r:id="rId203"/>
          <w:pgSz w:w="11910" w:h="16840"/>
          <w:pgMar w:footer="1003" w:header="0" w:top="1540" w:bottom="1200" w:left="1660" w:right="1140"/>
          <w:pgNumType w:start="57"/>
        </w:sect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9"/>
          <w:szCs w:val="19"/>
        </w:rPr>
      </w:pPr>
    </w:p>
    <w:p>
      <w:pPr>
        <w:tabs>
          <w:tab w:pos="1393" w:val="left" w:leader="none"/>
        </w:tabs>
        <w:spacing w:before="35"/>
        <w:ind w:left="855" w:right="261"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本期无形资产原值中其他项目减少全部为海外子公司汇率变动影响所致；</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393" w:val="left" w:leader="none"/>
        </w:tabs>
        <w:spacing w:before="0"/>
        <w:ind w:left="855" w:right="261"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本期无形资产摊销额</w:t>
      </w:r>
      <w:r>
        <w:rPr>
          <w:rFonts w:ascii="宋体" w:hAnsi="宋体" w:cs="宋体" w:eastAsia="宋体" w:hint="default"/>
          <w:b/>
          <w:bCs/>
          <w:spacing w:val="-63"/>
          <w:sz w:val="21"/>
          <w:szCs w:val="21"/>
        </w:rPr>
        <w:t> </w:t>
      </w:r>
      <w:r>
        <w:rPr>
          <w:rFonts w:ascii="宋体" w:hAnsi="宋体" w:cs="宋体" w:eastAsia="宋体" w:hint="default"/>
          <w:b/>
          <w:bCs/>
          <w:sz w:val="21"/>
          <w:szCs w:val="21"/>
        </w:rPr>
        <w:t>25,163,072</w:t>
      </w:r>
      <w:r>
        <w:rPr>
          <w:rFonts w:ascii="宋体" w:hAnsi="宋体" w:cs="宋体" w:eastAsia="宋体" w:hint="default"/>
          <w:b/>
          <w:bCs/>
          <w:spacing w:val="-61"/>
          <w:sz w:val="21"/>
          <w:szCs w:val="21"/>
        </w:rPr>
        <w:t> </w:t>
      </w:r>
      <w:r>
        <w:rPr>
          <w:rFonts w:ascii="宋体" w:hAnsi="宋体" w:cs="宋体" w:eastAsia="宋体" w:hint="default"/>
          <w:b/>
          <w:bCs/>
          <w:sz w:val="21"/>
          <w:szCs w:val="21"/>
        </w:rPr>
        <w:t>元；</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382" w:val="left" w:leader="none"/>
        </w:tabs>
        <w:spacing w:line="698" w:lineRule="auto" w:before="0"/>
        <w:ind w:left="123" w:right="1192" w:firstLine="732"/>
        <w:jc w:val="left"/>
        <w:rPr>
          <w:rFonts w:ascii="宋体" w:hAnsi="宋体" w:cs="宋体" w:eastAsia="宋体" w:hint="default"/>
          <w:sz w:val="21"/>
          <w:szCs w:val="21"/>
        </w:rPr>
      </w:pPr>
      <w:r>
        <w:rPr/>
        <w:pict>
          <v:group style="position:absolute;margin-left:119.339996pt;margin-top:70.762047pt;width:424.2pt;height:327.55pt;mso-position-horizontal-relative:page;mso-position-vertical-relative:paragraph;z-index:-1119640" coordorigin="2387,1415" coordsize="8484,6551">
            <v:group style="position:absolute;left:2406;top:1430;width:8446;height:2" coordorigin="2406,1430" coordsize="8446,2">
              <v:shape style="position:absolute;left:2406;top:1430;width:8446;height:2" coordorigin="2406,1430" coordsize="8446,0" path="m2406,1430l10852,1430e" filled="false" stroked="true" strokeweight="1.5pt" strokecolor="#000000">
                <v:path arrowok="t"/>
              </v:shape>
              <v:shape style="position:absolute;left:5320;top:1420;width:4597;height:451" type="#_x0000_t75" stroked="false">
                <v:imagedata r:id="rId208" o:title=""/>
              </v:shape>
              <v:shape style="position:absolute;left:2387;top:1827;width:8484;height:6139" type="#_x0000_t75" stroked="false">
                <v:imagedata r:id="rId209" o:title=""/>
              </v:shape>
            </v:group>
            <w10:wrap type="none"/>
          </v:group>
        </w:pict>
      </w:r>
      <w:r>
        <w:rPr>
          <w:rFonts w:ascii="宋体" w:hAnsi="宋体" w:cs="宋体" w:eastAsia="宋体" w:hint="default"/>
          <w:b/>
          <w:bCs/>
          <w:w w:val="99"/>
          <w:sz w:val="21"/>
          <w:szCs w:val="21"/>
        </w:rPr>
        <w:t>3、</w:t>
        <w:tab/>
      </w:r>
      <w:r>
        <w:rPr>
          <w:rFonts w:ascii="宋体" w:hAnsi="宋体" w:cs="宋体" w:eastAsia="宋体" w:hint="default"/>
          <w:b/>
          <w:bCs/>
          <w:w w:val="99"/>
          <w:sz w:val="21"/>
          <w:szCs w:val="21"/>
        </w:rPr>
        <w:t>截至</w:t>
      </w:r>
      <w:r>
        <w:rPr>
          <w:rFonts w:ascii="宋体" w:hAnsi="宋体" w:cs="宋体" w:eastAsia="宋体" w:hint="default"/>
          <w:b/>
          <w:bCs/>
          <w:spacing w:val="-52"/>
          <w:w w:val="99"/>
          <w:sz w:val="21"/>
          <w:szCs w:val="21"/>
        </w:rPr>
        <w:t> </w:t>
      </w:r>
      <w:r>
        <w:rPr>
          <w:rFonts w:ascii="宋体" w:hAnsi="宋体" w:cs="宋体" w:eastAsia="宋体" w:hint="default"/>
          <w:b/>
          <w:bCs/>
          <w:w w:val="99"/>
          <w:sz w:val="21"/>
          <w:szCs w:val="21"/>
        </w:rPr>
        <w:t>2011</w:t>
      </w:r>
      <w:r>
        <w:rPr>
          <w:rFonts w:ascii="宋体" w:hAnsi="宋体" w:cs="宋体" w:eastAsia="宋体" w:hint="default"/>
          <w:b/>
          <w:bCs/>
          <w:spacing w:val="-50"/>
          <w:w w:val="99"/>
          <w:sz w:val="21"/>
          <w:szCs w:val="21"/>
        </w:rPr>
        <w:t> </w:t>
      </w:r>
      <w:r>
        <w:rPr>
          <w:rFonts w:ascii="宋体" w:hAnsi="宋体" w:cs="宋体" w:eastAsia="宋体" w:hint="default"/>
          <w:b/>
          <w:bCs/>
          <w:w w:val="99"/>
          <w:sz w:val="21"/>
          <w:szCs w:val="21"/>
        </w:rPr>
        <w:t>年</w:t>
      </w:r>
      <w:r>
        <w:rPr>
          <w:rFonts w:ascii="宋体" w:hAnsi="宋体" w:cs="宋体" w:eastAsia="宋体" w:hint="default"/>
          <w:b/>
          <w:bCs/>
          <w:spacing w:val="-52"/>
          <w:w w:val="99"/>
          <w:sz w:val="21"/>
          <w:szCs w:val="21"/>
        </w:rPr>
        <w:t> </w:t>
      </w:r>
      <w:r>
        <w:rPr>
          <w:rFonts w:ascii="宋体" w:hAnsi="宋体" w:cs="宋体" w:eastAsia="宋体" w:hint="default"/>
          <w:b/>
          <w:bCs/>
          <w:w w:val="99"/>
          <w:sz w:val="21"/>
          <w:szCs w:val="21"/>
        </w:rPr>
        <w:t>12</w:t>
      </w:r>
      <w:r>
        <w:rPr>
          <w:rFonts w:ascii="宋体" w:hAnsi="宋体" w:cs="宋体" w:eastAsia="宋体" w:hint="default"/>
          <w:b/>
          <w:bCs/>
          <w:spacing w:val="-50"/>
          <w:w w:val="99"/>
          <w:sz w:val="21"/>
          <w:szCs w:val="21"/>
        </w:rPr>
        <w:t> </w:t>
      </w:r>
      <w:r>
        <w:rPr>
          <w:rFonts w:ascii="宋体" w:hAnsi="宋体" w:cs="宋体" w:eastAsia="宋体" w:hint="default"/>
          <w:b/>
          <w:bCs/>
          <w:w w:val="99"/>
          <w:sz w:val="21"/>
          <w:szCs w:val="21"/>
        </w:rPr>
        <w:t>月</w:t>
      </w:r>
      <w:r>
        <w:rPr>
          <w:rFonts w:ascii="宋体" w:hAnsi="宋体" w:cs="宋体" w:eastAsia="宋体" w:hint="default"/>
          <w:b/>
          <w:bCs/>
          <w:spacing w:val="-52"/>
          <w:w w:val="99"/>
          <w:sz w:val="21"/>
          <w:szCs w:val="21"/>
        </w:rPr>
        <w:t> </w:t>
      </w:r>
      <w:r>
        <w:rPr>
          <w:rFonts w:ascii="宋体" w:hAnsi="宋体" w:cs="宋体" w:eastAsia="宋体" w:hint="default"/>
          <w:b/>
          <w:bCs/>
          <w:w w:val="99"/>
          <w:sz w:val="21"/>
          <w:szCs w:val="21"/>
        </w:rPr>
        <w:t>31</w:t>
      </w:r>
      <w:r>
        <w:rPr>
          <w:rFonts w:ascii="宋体" w:hAnsi="宋体" w:cs="宋体" w:eastAsia="宋体" w:hint="default"/>
          <w:b/>
          <w:bCs/>
          <w:spacing w:val="-50"/>
          <w:w w:val="99"/>
          <w:sz w:val="21"/>
          <w:szCs w:val="21"/>
        </w:rPr>
        <w:t> </w:t>
      </w:r>
      <w:r>
        <w:rPr>
          <w:rFonts w:ascii="宋体" w:hAnsi="宋体" w:cs="宋体" w:eastAsia="宋体" w:hint="default"/>
          <w:b/>
          <w:bCs/>
          <w:spacing w:val="-5"/>
          <w:w w:val="99"/>
          <w:sz w:val="21"/>
          <w:szCs w:val="21"/>
        </w:rPr>
        <w:t>日，无形资产抵押担保情况参见附注五（三十一）。</w:t>
      </w:r>
      <w:r>
        <w:rPr>
          <w:rFonts w:ascii="宋体" w:hAnsi="宋体" w:cs="宋体" w:eastAsia="宋体" w:hint="default"/>
          <w:b/>
          <w:bCs/>
          <w:w w:val="99"/>
          <w:sz w:val="21"/>
          <w:szCs w:val="21"/>
        </w:rPr>
        <w:t> </w:t>
      </w:r>
      <w:r>
        <w:rPr>
          <w:rFonts w:ascii="宋体" w:hAnsi="宋体" w:cs="宋体" w:eastAsia="宋体" w:hint="default"/>
          <w:b/>
          <w:bCs/>
          <w:sz w:val="21"/>
          <w:szCs w:val="21"/>
        </w:rPr>
        <w:t>(十七)</w:t>
      </w:r>
      <w:r>
        <w:rPr>
          <w:rFonts w:ascii="宋体" w:hAnsi="宋体" w:cs="宋体" w:eastAsia="宋体" w:hint="default"/>
          <w:b/>
          <w:bCs/>
          <w:spacing w:val="-13"/>
          <w:sz w:val="21"/>
          <w:szCs w:val="21"/>
        </w:rPr>
        <w:t> </w:t>
      </w:r>
      <w:r>
        <w:rPr>
          <w:rFonts w:ascii="宋体" w:hAnsi="宋体" w:cs="宋体" w:eastAsia="宋体" w:hint="default"/>
          <w:b/>
          <w:bCs/>
          <w:sz w:val="21"/>
          <w:szCs w:val="21"/>
        </w:rPr>
        <w:t>商誉</w:t>
      </w:r>
      <w:r>
        <w:rPr>
          <w:rFonts w:ascii="宋体" w:hAnsi="宋体" w:cs="宋体" w:eastAsia="宋体" w:hint="default"/>
          <w:sz w:val="21"/>
          <w:szCs w:val="21"/>
        </w:rPr>
      </w:r>
    </w:p>
    <w:p>
      <w:pPr>
        <w:spacing w:line="240" w:lineRule="auto" w:before="13"/>
        <w:rPr>
          <w:rFonts w:ascii="宋体" w:hAnsi="宋体" w:cs="宋体" w:eastAsia="宋体" w:hint="default"/>
          <w:b/>
          <w:bCs/>
          <w:sz w:val="8"/>
          <w:szCs w:val="8"/>
        </w:rPr>
      </w:pPr>
    </w:p>
    <w:tbl>
      <w:tblPr>
        <w:tblW w:w="0" w:type="auto"/>
        <w:jc w:val="left"/>
        <w:tblInd w:w="731" w:type="dxa"/>
        <w:tblLayout w:type="fixed"/>
        <w:tblCellMar>
          <w:top w:w="0" w:type="dxa"/>
          <w:left w:w="0" w:type="dxa"/>
          <w:bottom w:w="0" w:type="dxa"/>
          <w:right w:w="0" w:type="dxa"/>
        </w:tblCellMar>
        <w:tblLook w:val="01E0"/>
      </w:tblPr>
      <w:tblGrid>
        <w:gridCol w:w="2999"/>
        <w:gridCol w:w="955"/>
        <w:gridCol w:w="864"/>
        <w:gridCol w:w="750"/>
        <w:gridCol w:w="1021"/>
        <w:gridCol w:w="901"/>
        <w:gridCol w:w="970"/>
      </w:tblGrid>
      <w:tr>
        <w:trPr>
          <w:trHeight w:val="788" w:hRule="exact"/>
        </w:trPr>
        <w:tc>
          <w:tcPr>
            <w:tcW w:w="299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11" w:right="0"/>
              <w:jc w:val="left"/>
              <w:rPr>
                <w:rFonts w:ascii="宋体" w:hAnsi="宋体" w:cs="宋体" w:eastAsia="宋体" w:hint="default"/>
                <w:sz w:val="13"/>
                <w:szCs w:val="13"/>
              </w:rPr>
            </w:pPr>
            <w:r>
              <w:rPr>
                <w:rFonts w:ascii="宋体" w:hAnsi="宋体" w:cs="宋体" w:eastAsia="宋体" w:hint="default"/>
                <w:sz w:val="13"/>
                <w:szCs w:val="13"/>
              </w:rPr>
              <w:t>被投资单位名称或形成商誉的事项</w:t>
            </w:r>
          </w:p>
          <w:p>
            <w:pPr>
              <w:pStyle w:val="TableParagraph"/>
              <w:spacing w:line="240" w:lineRule="auto"/>
              <w:ind w:right="0"/>
              <w:jc w:val="left"/>
              <w:rPr>
                <w:rFonts w:ascii="宋体" w:hAnsi="宋体" w:cs="宋体" w:eastAsia="宋体" w:hint="default"/>
                <w:b/>
                <w:bCs/>
                <w:sz w:val="12"/>
                <w:szCs w:val="12"/>
              </w:rPr>
            </w:pPr>
          </w:p>
          <w:p>
            <w:pPr>
              <w:pStyle w:val="TableParagraph"/>
              <w:tabs>
                <w:tab w:pos="1802" w:val="left" w:leader="none"/>
              </w:tabs>
              <w:spacing w:line="240" w:lineRule="auto" w:before="83"/>
              <w:ind w:left="31" w:right="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东软（日本）有限公司</w:t>
              <w:tab/>
            </w:r>
            <w:r>
              <w:rPr>
                <w:rFonts w:ascii="Times New Roman" w:hAnsi="Times New Roman" w:cs="Times New Roman" w:eastAsia="Times New Roman" w:hint="default"/>
                <w:sz w:val="13"/>
                <w:szCs w:val="13"/>
              </w:rPr>
              <w:t>(</w:t>
            </w:r>
            <w:r>
              <w:rPr>
                <w:rFonts w:ascii="宋体" w:hAnsi="宋体" w:cs="宋体" w:eastAsia="宋体" w:hint="default"/>
                <w:sz w:val="13"/>
                <w:szCs w:val="13"/>
              </w:rPr>
              <w:t>注</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1)</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7" w:right="0"/>
              <w:jc w:val="left"/>
              <w:rPr>
                <w:rFonts w:ascii="宋体" w:hAnsi="宋体" w:cs="宋体" w:eastAsia="宋体" w:hint="default"/>
                <w:sz w:val="13"/>
                <w:szCs w:val="13"/>
              </w:rPr>
            </w:pPr>
            <w:r>
              <w:rPr>
                <w:rFonts w:ascii="宋体" w:hAnsi="宋体" w:cs="宋体" w:eastAsia="宋体" w:hint="default"/>
                <w:sz w:val="13"/>
                <w:szCs w:val="13"/>
              </w:rPr>
              <w:t>年初余额</w:t>
            </w: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left="244" w:right="0"/>
              <w:jc w:val="left"/>
              <w:rPr>
                <w:rFonts w:ascii="Times New Roman" w:hAnsi="Times New Roman" w:cs="Times New Roman" w:eastAsia="Times New Roman" w:hint="default"/>
                <w:sz w:val="13"/>
                <w:szCs w:val="13"/>
              </w:rPr>
            </w:pPr>
            <w:r>
              <w:rPr>
                <w:rFonts w:ascii="Times New Roman"/>
                <w:sz w:val="13"/>
              </w:rPr>
              <w:t>3,928,116</w:t>
            </w:r>
          </w:p>
        </w:tc>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9" w:right="0"/>
              <w:jc w:val="left"/>
              <w:rPr>
                <w:rFonts w:ascii="宋体" w:hAnsi="宋体" w:cs="宋体" w:eastAsia="宋体" w:hint="default"/>
                <w:sz w:val="13"/>
                <w:szCs w:val="13"/>
              </w:rPr>
            </w:pPr>
            <w:r>
              <w:rPr>
                <w:rFonts w:ascii="宋体" w:hAnsi="宋体" w:cs="宋体" w:eastAsia="宋体" w:hint="default"/>
                <w:sz w:val="13"/>
                <w:szCs w:val="13"/>
              </w:rPr>
              <w:t>本期增加</w:t>
            </w: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06"/>
              <w:jc w:val="right"/>
              <w:rPr>
                <w:rFonts w:ascii="宋体" w:hAnsi="宋体" w:cs="宋体" w:eastAsia="宋体" w:hint="default"/>
                <w:sz w:val="13"/>
                <w:szCs w:val="13"/>
              </w:rPr>
            </w:pPr>
            <w:r>
              <w:rPr>
                <w:rFonts w:ascii="宋体" w:hAnsi="宋体" w:cs="宋体" w:eastAsia="宋体" w:hint="default"/>
                <w:w w:val="95"/>
                <w:sz w:val="13"/>
                <w:szCs w:val="13"/>
              </w:rPr>
              <w:t>本期减少</w:t>
            </w:r>
            <w:r>
              <w:rPr>
                <w:rFonts w:ascii="宋体" w:hAnsi="宋体" w:cs="宋体" w:eastAsia="宋体" w:hint="default"/>
                <w:sz w:val="13"/>
                <w:szCs w:val="13"/>
              </w:rPr>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45"/>
              <w:jc w:val="right"/>
              <w:rPr>
                <w:rFonts w:ascii="宋体" w:hAnsi="宋体" w:cs="宋体" w:eastAsia="宋体" w:hint="default"/>
                <w:sz w:val="13"/>
                <w:szCs w:val="13"/>
              </w:rPr>
            </w:pPr>
            <w:r>
              <w:rPr>
                <w:rFonts w:ascii="宋体" w:hAnsi="宋体" w:cs="宋体" w:eastAsia="宋体" w:hint="default"/>
                <w:w w:val="95"/>
                <w:sz w:val="13"/>
                <w:szCs w:val="13"/>
              </w:rPr>
              <w:t>汇率变动影响</w:t>
            </w:r>
            <w:r>
              <w:rPr>
                <w:rFonts w:ascii="宋体" w:hAnsi="宋体" w:cs="宋体" w:eastAsia="宋体" w:hint="default"/>
                <w:sz w:val="13"/>
                <w:szCs w:val="13"/>
              </w:rPr>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59" w:right="0"/>
              <w:jc w:val="left"/>
              <w:rPr>
                <w:rFonts w:ascii="宋体" w:hAnsi="宋体" w:cs="宋体" w:eastAsia="宋体" w:hint="default"/>
                <w:sz w:val="13"/>
                <w:szCs w:val="13"/>
              </w:rPr>
            </w:pPr>
            <w:r>
              <w:rPr>
                <w:rFonts w:ascii="宋体" w:hAnsi="宋体" w:cs="宋体" w:eastAsia="宋体" w:hint="default"/>
                <w:sz w:val="13"/>
                <w:szCs w:val="13"/>
              </w:rPr>
              <w:t>期末余额</w:t>
            </w: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left="283" w:right="0"/>
              <w:jc w:val="left"/>
              <w:rPr>
                <w:rFonts w:ascii="Times New Roman" w:hAnsi="Times New Roman" w:cs="Times New Roman" w:eastAsia="Times New Roman" w:hint="default"/>
                <w:sz w:val="13"/>
                <w:szCs w:val="13"/>
              </w:rPr>
            </w:pPr>
            <w:r>
              <w:rPr>
                <w:rFonts w:ascii="Times New Roman"/>
                <w:sz w:val="13"/>
              </w:rPr>
              <w:t>3,928,116</w:t>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84"/>
              <w:jc w:val="right"/>
              <w:rPr>
                <w:rFonts w:ascii="宋体" w:hAnsi="宋体" w:cs="宋体" w:eastAsia="宋体" w:hint="default"/>
                <w:sz w:val="13"/>
                <w:szCs w:val="13"/>
              </w:rPr>
            </w:pPr>
            <w:r>
              <w:rPr>
                <w:rFonts w:ascii="宋体" w:hAnsi="宋体" w:cs="宋体" w:eastAsia="宋体" w:hint="default"/>
                <w:w w:val="95"/>
                <w:sz w:val="13"/>
                <w:szCs w:val="13"/>
              </w:rPr>
              <w:t>期末减值准备</w:t>
            </w:r>
            <w:r>
              <w:rPr>
                <w:rFonts w:ascii="宋体" w:hAnsi="宋体" w:cs="宋体" w:eastAsia="宋体" w:hint="default"/>
                <w:sz w:val="13"/>
                <w:szCs w:val="13"/>
              </w:rPr>
            </w:r>
          </w:p>
        </w:tc>
      </w:tr>
      <w:tr>
        <w:trPr>
          <w:trHeight w:val="410" w:hRule="exact"/>
        </w:trPr>
        <w:tc>
          <w:tcPr>
            <w:tcW w:w="2999" w:type="dxa"/>
            <w:tcBorders>
              <w:top w:val="nil" w:sz="6" w:space="0" w:color="auto"/>
              <w:left w:val="nil" w:sz="6" w:space="0" w:color="auto"/>
              <w:bottom w:val="nil" w:sz="6" w:space="0" w:color="auto"/>
              <w:right w:val="nil" w:sz="6" w:space="0" w:color="auto"/>
            </w:tcBorders>
          </w:tcPr>
          <w:p>
            <w:pPr>
              <w:pStyle w:val="TableParagraph"/>
              <w:tabs>
                <w:tab w:pos="2222" w:val="left" w:leader="none"/>
              </w:tabs>
              <w:spacing w:line="240" w:lineRule="auto" w:before="92"/>
              <w:ind w:left="31" w:right="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大连东软金融信息技术有限公司</w:t>
              <w:tab/>
            </w:r>
            <w:r>
              <w:rPr>
                <w:rFonts w:ascii="Times New Roman" w:hAnsi="Times New Roman" w:cs="Times New Roman" w:eastAsia="Times New Roman" w:hint="default"/>
                <w:sz w:val="13"/>
                <w:szCs w:val="13"/>
              </w:rPr>
              <w:t>(</w:t>
            </w:r>
            <w:r>
              <w:rPr>
                <w:rFonts w:ascii="宋体" w:hAnsi="宋体" w:cs="宋体" w:eastAsia="宋体" w:hint="default"/>
                <w:sz w:val="13"/>
                <w:szCs w:val="13"/>
              </w:rPr>
              <w:t>注</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2)</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0"/>
                <w:szCs w:val="10"/>
              </w:rPr>
            </w:pPr>
          </w:p>
          <w:p>
            <w:pPr>
              <w:pStyle w:val="TableParagraph"/>
              <w:spacing w:line="240" w:lineRule="auto"/>
              <w:ind w:left="239" w:right="0"/>
              <w:jc w:val="left"/>
              <w:rPr>
                <w:rFonts w:ascii="Times New Roman" w:hAnsi="Times New Roman" w:cs="Times New Roman" w:eastAsia="Times New Roman" w:hint="default"/>
                <w:sz w:val="13"/>
                <w:szCs w:val="13"/>
              </w:rPr>
            </w:pPr>
            <w:r>
              <w:rPr>
                <w:rFonts w:ascii="Times New Roman"/>
                <w:sz w:val="13"/>
              </w:rPr>
              <w:t>1,420,366</w:t>
            </w:r>
          </w:p>
        </w:tc>
        <w:tc>
          <w:tcPr>
            <w:tcW w:w="864"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0"/>
                <w:szCs w:val="10"/>
              </w:rPr>
            </w:pPr>
          </w:p>
          <w:p>
            <w:pPr>
              <w:pStyle w:val="TableParagraph"/>
              <w:spacing w:line="240" w:lineRule="auto"/>
              <w:ind w:right="102"/>
              <w:jc w:val="right"/>
              <w:rPr>
                <w:rFonts w:ascii="Times New Roman" w:hAnsi="Times New Roman" w:cs="Times New Roman" w:eastAsia="Times New Roman" w:hint="default"/>
                <w:sz w:val="13"/>
                <w:szCs w:val="13"/>
              </w:rPr>
            </w:pPr>
            <w:r>
              <w:rPr>
                <w:rFonts w:ascii="Times New Roman"/>
                <w:w w:val="95"/>
                <w:sz w:val="13"/>
              </w:rPr>
              <w:t>1,420,366</w:t>
            </w:r>
            <w:r>
              <w:rPr>
                <w:rFonts w:ascii="Times New Roman"/>
                <w:sz w:val="13"/>
              </w:rPr>
            </w:r>
          </w:p>
        </w:tc>
        <w:tc>
          <w:tcPr>
            <w:tcW w:w="970" w:type="dxa"/>
            <w:tcBorders>
              <w:top w:val="nil" w:sz="6" w:space="0" w:color="auto"/>
              <w:left w:val="nil" w:sz="6" w:space="0" w:color="auto"/>
              <w:bottom w:val="nil" w:sz="6" w:space="0" w:color="auto"/>
              <w:right w:val="nil" w:sz="6" w:space="0" w:color="auto"/>
            </w:tcBorders>
          </w:tcPr>
          <w:p>
            <w:pPr/>
          </w:p>
        </w:tc>
      </w:tr>
      <w:tr>
        <w:trPr>
          <w:trHeight w:val="410" w:hRule="exact"/>
        </w:trPr>
        <w:tc>
          <w:tcPr>
            <w:tcW w:w="2999" w:type="dxa"/>
            <w:tcBorders>
              <w:top w:val="nil" w:sz="6" w:space="0" w:color="auto"/>
              <w:left w:val="nil" w:sz="6" w:space="0" w:color="auto"/>
              <w:bottom w:val="nil" w:sz="6" w:space="0" w:color="auto"/>
              <w:right w:val="nil" w:sz="6" w:space="0" w:color="auto"/>
            </w:tcBorders>
          </w:tcPr>
          <w:p>
            <w:pPr>
              <w:pStyle w:val="TableParagraph"/>
              <w:tabs>
                <w:tab w:pos="2222" w:val="left" w:leader="none"/>
              </w:tabs>
              <w:spacing w:line="240" w:lineRule="auto" w:before="91"/>
              <w:ind w:left="31" w:right="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辽宁东软创业投资有限公司</w:t>
              <w:tab/>
            </w:r>
            <w:r>
              <w:rPr>
                <w:rFonts w:ascii="Times New Roman" w:hAnsi="Times New Roman" w:cs="Times New Roman" w:eastAsia="Times New Roman" w:hint="default"/>
                <w:sz w:val="13"/>
                <w:szCs w:val="13"/>
              </w:rPr>
              <w:t>(</w:t>
            </w:r>
            <w:r>
              <w:rPr>
                <w:rFonts w:ascii="宋体" w:hAnsi="宋体" w:cs="宋体" w:eastAsia="宋体" w:hint="default"/>
                <w:sz w:val="13"/>
                <w:szCs w:val="13"/>
              </w:rPr>
              <w:t>注</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3)</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left="401" w:right="0"/>
              <w:jc w:val="left"/>
              <w:rPr>
                <w:rFonts w:ascii="Times New Roman" w:hAnsi="Times New Roman" w:cs="Times New Roman" w:eastAsia="Times New Roman" w:hint="default"/>
                <w:sz w:val="13"/>
                <w:szCs w:val="13"/>
              </w:rPr>
            </w:pPr>
            <w:r>
              <w:rPr>
                <w:rFonts w:ascii="Times New Roman"/>
                <w:sz w:val="13"/>
              </w:rPr>
              <w:t>77,123</w:t>
            </w:r>
          </w:p>
        </w:tc>
        <w:tc>
          <w:tcPr>
            <w:tcW w:w="864"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right="102"/>
              <w:jc w:val="right"/>
              <w:rPr>
                <w:rFonts w:ascii="Times New Roman" w:hAnsi="Times New Roman" w:cs="Times New Roman" w:eastAsia="Times New Roman" w:hint="default"/>
                <w:sz w:val="13"/>
                <w:szCs w:val="13"/>
              </w:rPr>
            </w:pPr>
            <w:r>
              <w:rPr>
                <w:rFonts w:ascii="Times New Roman"/>
                <w:w w:val="95"/>
                <w:sz w:val="13"/>
              </w:rPr>
              <w:t>77,123</w:t>
            </w:r>
            <w:r>
              <w:rPr>
                <w:rFonts w:ascii="Times New Roman"/>
                <w:sz w:val="13"/>
              </w:rPr>
            </w:r>
          </w:p>
        </w:tc>
        <w:tc>
          <w:tcPr>
            <w:tcW w:w="970" w:type="dxa"/>
            <w:tcBorders>
              <w:top w:val="nil" w:sz="6" w:space="0" w:color="auto"/>
              <w:left w:val="nil" w:sz="6" w:space="0" w:color="auto"/>
              <w:bottom w:val="nil" w:sz="6" w:space="0" w:color="auto"/>
              <w:right w:val="nil" w:sz="6" w:space="0" w:color="auto"/>
            </w:tcBorders>
          </w:tcPr>
          <w:p>
            <w:pPr/>
          </w:p>
        </w:tc>
      </w:tr>
      <w:tr>
        <w:trPr>
          <w:trHeight w:val="410" w:hRule="exact"/>
        </w:trPr>
        <w:tc>
          <w:tcPr>
            <w:tcW w:w="2999" w:type="dxa"/>
            <w:tcBorders>
              <w:top w:val="nil" w:sz="6" w:space="0" w:color="auto"/>
              <w:left w:val="nil" w:sz="6" w:space="0" w:color="auto"/>
              <w:bottom w:val="nil" w:sz="6" w:space="0" w:color="auto"/>
              <w:right w:val="nil" w:sz="6" w:space="0" w:color="auto"/>
            </w:tcBorders>
          </w:tcPr>
          <w:p>
            <w:pPr>
              <w:pStyle w:val="TableParagraph"/>
              <w:tabs>
                <w:tab w:pos="2222" w:val="left" w:leader="none"/>
              </w:tabs>
              <w:spacing w:line="240" w:lineRule="auto" w:before="92"/>
              <w:ind w:left="31" w:right="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北京兰瑞科创信息技术有限公司</w:t>
              <w:tab/>
            </w:r>
            <w:r>
              <w:rPr>
                <w:rFonts w:ascii="Times New Roman" w:hAnsi="Times New Roman" w:cs="Times New Roman" w:eastAsia="Times New Roman" w:hint="default"/>
                <w:sz w:val="13"/>
                <w:szCs w:val="13"/>
              </w:rPr>
              <w:t>(</w:t>
            </w:r>
            <w:r>
              <w:rPr>
                <w:rFonts w:ascii="宋体" w:hAnsi="宋体" w:cs="宋体" w:eastAsia="宋体" w:hint="default"/>
                <w:sz w:val="13"/>
                <w:szCs w:val="13"/>
              </w:rPr>
              <w:t>注</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4)</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0"/>
                <w:szCs w:val="10"/>
              </w:rPr>
            </w:pPr>
          </w:p>
          <w:p>
            <w:pPr>
              <w:pStyle w:val="TableParagraph"/>
              <w:spacing w:line="240" w:lineRule="auto"/>
              <w:ind w:left="336" w:right="0"/>
              <w:jc w:val="left"/>
              <w:rPr>
                <w:rFonts w:ascii="Times New Roman" w:hAnsi="Times New Roman" w:cs="Times New Roman" w:eastAsia="Times New Roman" w:hint="default"/>
                <w:sz w:val="13"/>
                <w:szCs w:val="13"/>
              </w:rPr>
            </w:pPr>
            <w:r>
              <w:rPr>
                <w:rFonts w:ascii="Times New Roman"/>
                <w:sz w:val="13"/>
              </w:rPr>
              <w:t>315,360</w:t>
            </w:r>
          </w:p>
        </w:tc>
        <w:tc>
          <w:tcPr>
            <w:tcW w:w="864"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0"/>
                <w:szCs w:val="10"/>
              </w:rPr>
            </w:pPr>
          </w:p>
          <w:p>
            <w:pPr>
              <w:pStyle w:val="TableParagraph"/>
              <w:spacing w:line="240" w:lineRule="auto"/>
              <w:ind w:right="102"/>
              <w:jc w:val="right"/>
              <w:rPr>
                <w:rFonts w:ascii="Times New Roman" w:hAnsi="Times New Roman" w:cs="Times New Roman" w:eastAsia="Times New Roman" w:hint="default"/>
                <w:sz w:val="13"/>
                <w:szCs w:val="13"/>
              </w:rPr>
            </w:pPr>
            <w:r>
              <w:rPr>
                <w:rFonts w:ascii="Times New Roman"/>
                <w:w w:val="95"/>
                <w:sz w:val="13"/>
              </w:rPr>
              <w:t>315,360</w:t>
            </w:r>
            <w:r>
              <w:rPr>
                <w:rFonts w:ascii="Times New Roman"/>
                <w:sz w:val="13"/>
              </w:rPr>
            </w:r>
          </w:p>
        </w:tc>
        <w:tc>
          <w:tcPr>
            <w:tcW w:w="970" w:type="dxa"/>
            <w:tcBorders>
              <w:top w:val="nil" w:sz="6" w:space="0" w:color="auto"/>
              <w:left w:val="nil" w:sz="6" w:space="0" w:color="auto"/>
              <w:bottom w:val="nil" w:sz="6" w:space="0" w:color="auto"/>
              <w:right w:val="nil" w:sz="6" w:space="0" w:color="auto"/>
            </w:tcBorders>
          </w:tcPr>
          <w:p>
            <w:pPr/>
          </w:p>
        </w:tc>
      </w:tr>
      <w:tr>
        <w:trPr>
          <w:trHeight w:val="410" w:hRule="exact"/>
        </w:trPr>
        <w:tc>
          <w:tcPr>
            <w:tcW w:w="2999" w:type="dxa"/>
            <w:tcBorders>
              <w:top w:val="nil" w:sz="6" w:space="0" w:color="auto"/>
              <w:left w:val="nil" w:sz="6" w:space="0" w:color="auto"/>
              <w:bottom w:val="nil" w:sz="6" w:space="0" w:color="auto"/>
              <w:right w:val="nil" w:sz="6" w:space="0" w:color="auto"/>
            </w:tcBorders>
          </w:tcPr>
          <w:p>
            <w:pPr>
              <w:pStyle w:val="TableParagraph"/>
              <w:tabs>
                <w:tab w:pos="2333" w:val="left" w:leader="none"/>
              </w:tabs>
              <w:spacing w:line="240" w:lineRule="auto" w:before="92"/>
              <w:ind w:left="31" w:right="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北京源越通软件技术有限公司</w:t>
              <w:tab/>
            </w:r>
            <w:r>
              <w:rPr>
                <w:rFonts w:ascii="Times New Roman" w:hAnsi="Times New Roman" w:cs="Times New Roman" w:eastAsia="Times New Roman" w:hint="default"/>
                <w:sz w:val="13"/>
                <w:szCs w:val="13"/>
              </w:rPr>
              <w:t>(</w:t>
            </w:r>
            <w:r>
              <w:rPr>
                <w:rFonts w:ascii="宋体" w:hAnsi="宋体" w:cs="宋体" w:eastAsia="宋体" w:hint="default"/>
                <w:sz w:val="13"/>
                <w:szCs w:val="13"/>
              </w:rPr>
              <w:t>注</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5)</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0"/>
                <w:szCs w:val="10"/>
              </w:rPr>
            </w:pPr>
          </w:p>
          <w:p>
            <w:pPr>
              <w:pStyle w:val="TableParagraph"/>
              <w:spacing w:line="240" w:lineRule="auto"/>
              <w:ind w:left="239" w:right="0"/>
              <w:jc w:val="left"/>
              <w:rPr>
                <w:rFonts w:ascii="Times New Roman" w:hAnsi="Times New Roman" w:cs="Times New Roman" w:eastAsia="Times New Roman" w:hint="default"/>
                <w:sz w:val="13"/>
                <w:szCs w:val="13"/>
              </w:rPr>
            </w:pPr>
            <w:r>
              <w:rPr>
                <w:rFonts w:ascii="Times New Roman"/>
                <w:sz w:val="13"/>
              </w:rPr>
              <w:t>1,151,846</w:t>
            </w:r>
          </w:p>
        </w:tc>
        <w:tc>
          <w:tcPr>
            <w:tcW w:w="864"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0"/>
                <w:szCs w:val="10"/>
              </w:rPr>
            </w:pPr>
          </w:p>
          <w:p>
            <w:pPr>
              <w:pStyle w:val="TableParagraph"/>
              <w:spacing w:line="240" w:lineRule="auto"/>
              <w:ind w:right="92"/>
              <w:jc w:val="right"/>
              <w:rPr>
                <w:rFonts w:ascii="Times New Roman" w:hAnsi="Times New Roman" w:cs="Times New Roman" w:eastAsia="Times New Roman" w:hint="default"/>
                <w:sz w:val="13"/>
                <w:szCs w:val="13"/>
              </w:rPr>
            </w:pPr>
            <w:r>
              <w:rPr>
                <w:rFonts w:ascii="Times New Roman"/>
                <w:w w:val="95"/>
                <w:sz w:val="13"/>
              </w:rPr>
              <w:t>1,151,846</w:t>
            </w:r>
            <w:r>
              <w:rPr>
                <w:rFonts w:ascii="Times New Roman"/>
                <w:sz w:val="13"/>
              </w:rPr>
            </w:r>
          </w:p>
        </w:tc>
        <w:tc>
          <w:tcPr>
            <w:tcW w:w="1021"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
        </w:tc>
      </w:tr>
      <w:tr>
        <w:trPr>
          <w:trHeight w:val="401" w:hRule="exact"/>
        </w:trPr>
        <w:tc>
          <w:tcPr>
            <w:tcW w:w="2999"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1"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NMSG</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业务及资产</w:t>
            </w:r>
            <w:r>
              <w:rPr>
                <w:rFonts w:ascii="Times New Roman" w:hAnsi="Times New Roman" w:cs="Times New Roman" w:eastAsia="Times New Roman" w:hint="default"/>
                <w:sz w:val="13"/>
                <w:szCs w:val="13"/>
              </w:rPr>
              <w:t>(</w:t>
            </w:r>
            <w:r>
              <w:rPr>
                <w:rFonts w:ascii="宋体" w:hAnsi="宋体" w:cs="宋体" w:eastAsia="宋体" w:hint="default"/>
                <w:sz w:val="13"/>
                <w:szCs w:val="13"/>
              </w:rPr>
              <w:t>含</w:t>
            </w:r>
            <w:r>
              <w:rPr>
                <w:rFonts w:ascii="宋体" w:hAnsi="宋体" w:cs="宋体" w:eastAsia="宋体" w:hint="default"/>
                <w:spacing w:val="-48"/>
                <w:sz w:val="13"/>
                <w:szCs w:val="13"/>
              </w:rPr>
              <w:t> </w:t>
            </w:r>
            <w:r>
              <w:rPr>
                <w:rFonts w:ascii="Times New Roman" w:hAnsi="Times New Roman" w:cs="Times New Roman" w:eastAsia="Times New Roman" w:hint="default"/>
                <w:spacing w:val="-6"/>
                <w:sz w:val="13"/>
                <w:szCs w:val="13"/>
              </w:rPr>
              <w:t>Neusoft</w:t>
            </w:r>
            <w:r>
              <w:rPr>
                <w:rFonts w:ascii="Times New Roman" w:hAnsi="Times New Roman" w:cs="Times New Roman" w:eastAsia="Times New Roman" w:hint="default"/>
                <w:spacing w:val="-14"/>
                <w:sz w:val="13"/>
                <w:szCs w:val="13"/>
              </w:rPr>
              <w:t> </w:t>
            </w:r>
            <w:r>
              <w:rPr>
                <w:rFonts w:ascii="Times New Roman" w:hAnsi="Times New Roman" w:cs="Times New Roman" w:eastAsia="Times New Roman" w:hint="default"/>
                <w:sz w:val="13"/>
                <w:szCs w:val="13"/>
              </w:rPr>
              <w:t>Mobile</w:t>
            </w:r>
            <w:r>
              <w:rPr>
                <w:rFonts w:ascii="Times New Roman" w:hAnsi="Times New Roman" w:cs="Times New Roman" w:eastAsia="Times New Roman" w:hint="default"/>
                <w:spacing w:val="-3"/>
                <w:sz w:val="13"/>
                <w:szCs w:val="13"/>
              </w:rPr>
              <w:t> </w:t>
            </w:r>
            <w:r>
              <w:rPr>
                <w:rFonts w:ascii="Times New Roman" w:hAnsi="Times New Roman" w:cs="Times New Roman" w:eastAsia="Times New Roman" w:hint="default"/>
                <w:sz w:val="13"/>
                <w:szCs w:val="13"/>
              </w:rPr>
              <w:t>Solutions</w:t>
            </w:r>
            <w:r>
              <w:rPr>
                <w:rFonts w:ascii="Times New Roman" w:hAnsi="Times New Roman" w:cs="Times New Roman" w:eastAsia="Times New Roman" w:hint="default"/>
                <w:spacing w:val="-3"/>
                <w:sz w:val="13"/>
                <w:szCs w:val="13"/>
              </w:rPr>
              <w:t> </w:t>
            </w:r>
            <w:r>
              <w:rPr>
                <w:rFonts w:ascii="Times New Roman" w:hAnsi="Times New Roman" w:cs="Times New Roman" w:eastAsia="Times New Roman" w:hint="default"/>
                <w:sz w:val="13"/>
                <w:szCs w:val="13"/>
              </w:rPr>
              <w:t>Oy</w:t>
            </w:r>
            <w:r>
              <w:rPr>
                <w:rFonts w:ascii="宋体" w:hAnsi="宋体" w:cs="宋体" w:eastAsia="宋体" w:hint="default"/>
                <w:sz w:val="13"/>
                <w:szCs w:val="13"/>
              </w:rPr>
              <w:t>、</w:t>
            </w:r>
          </w:p>
        </w:tc>
        <w:tc>
          <w:tcPr>
            <w:tcW w:w="955" w:type="dxa"/>
            <w:tcBorders>
              <w:top w:val="nil" w:sz="6" w:space="0" w:color="auto"/>
              <w:left w:val="nil" w:sz="6" w:space="0" w:color="auto"/>
              <w:bottom w:val="nil" w:sz="6" w:space="0" w:color="auto"/>
              <w:right w:val="nil" w:sz="6" w:space="0" w:color="auto"/>
            </w:tcBorders>
          </w:tcPr>
          <w:p>
            <w:pPr/>
          </w:p>
        </w:tc>
        <w:tc>
          <w:tcPr>
            <w:tcW w:w="864"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
        </w:tc>
      </w:tr>
      <w:tr>
        <w:trPr>
          <w:trHeight w:val="404" w:hRule="exact"/>
        </w:trPr>
        <w:tc>
          <w:tcPr>
            <w:tcW w:w="2999"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1" w:right="0"/>
              <w:jc w:val="left"/>
              <w:rPr>
                <w:rFonts w:ascii="Times New Roman" w:hAnsi="Times New Roman" w:cs="Times New Roman" w:eastAsia="Times New Roman" w:hint="default"/>
                <w:sz w:val="13"/>
                <w:szCs w:val="13"/>
              </w:rPr>
            </w:pPr>
            <w:r>
              <w:rPr>
                <w:rFonts w:ascii="宋体" w:hAnsi="宋体" w:cs="宋体" w:eastAsia="宋体" w:hint="default"/>
                <w:sz w:val="13"/>
                <w:szCs w:val="13"/>
              </w:rPr>
              <w:t>原</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Almitas Oy</w:t>
            </w:r>
            <w:r>
              <w:rPr>
                <w:rFonts w:ascii="宋体" w:hAnsi="宋体" w:cs="宋体" w:eastAsia="宋体" w:hint="default"/>
                <w:sz w:val="13"/>
                <w:szCs w:val="13"/>
              </w:rPr>
              <w:t>、</w:t>
            </w:r>
            <w:r>
              <w:rPr>
                <w:rFonts w:ascii="Times New Roman" w:hAnsi="Times New Roman" w:cs="Times New Roman" w:eastAsia="Times New Roman" w:hint="default"/>
                <w:sz w:val="13"/>
                <w:szCs w:val="13"/>
              </w:rPr>
              <w:t>Neusoft</w:t>
            </w:r>
            <w:r>
              <w:rPr>
                <w:rFonts w:ascii="Times New Roman" w:hAnsi="Times New Roman" w:cs="Times New Roman" w:eastAsia="Times New Roman" w:hint="default"/>
                <w:spacing w:val="-2"/>
                <w:sz w:val="13"/>
                <w:szCs w:val="13"/>
              </w:rPr>
              <w:t> </w:t>
            </w:r>
            <w:r>
              <w:rPr>
                <w:rFonts w:ascii="Times New Roman" w:hAnsi="Times New Roman" w:cs="Times New Roman" w:eastAsia="Times New Roman" w:hint="default"/>
                <w:sz w:val="13"/>
                <w:szCs w:val="13"/>
              </w:rPr>
              <w:t>Mobile</w:t>
            </w:r>
            <w:r>
              <w:rPr>
                <w:rFonts w:ascii="Times New Roman" w:hAnsi="Times New Roman" w:cs="Times New Roman" w:eastAsia="Times New Roman" w:hint="default"/>
                <w:spacing w:val="-2"/>
                <w:sz w:val="13"/>
                <w:szCs w:val="13"/>
              </w:rPr>
              <w:t> </w:t>
            </w:r>
            <w:r>
              <w:rPr>
                <w:rFonts w:ascii="Times New Roman" w:hAnsi="Times New Roman" w:cs="Times New Roman" w:eastAsia="Times New Roman" w:hint="default"/>
                <w:sz w:val="13"/>
                <w:szCs w:val="13"/>
              </w:rPr>
              <w:t>Solutions</w:t>
            </w:r>
            <w:r>
              <w:rPr>
                <w:rFonts w:ascii="Times New Roman" w:hAnsi="Times New Roman" w:cs="Times New Roman" w:eastAsia="Times New Roman" w:hint="default"/>
                <w:spacing w:val="-2"/>
                <w:sz w:val="13"/>
                <w:szCs w:val="13"/>
              </w:rPr>
              <w:t> </w:t>
            </w:r>
            <w:r>
              <w:rPr>
                <w:rFonts w:ascii="Times New Roman" w:hAnsi="Times New Roman" w:cs="Times New Roman" w:eastAsia="Times New Roman" w:hint="default"/>
                <w:sz w:val="13"/>
                <w:szCs w:val="13"/>
              </w:rPr>
              <w:t>SRL</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left="174" w:right="0"/>
              <w:jc w:val="left"/>
              <w:rPr>
                <w:rFonts w:ascii="Times New Roman" w:hAnsi="Times New Roman" w:cs="Times New Roman" w:eastAsia="Times New Roman" w:hint="default"/>
                <w:sz w:val="13"/>
                <w:szCs w:val="13"/>
              </w:rPr>
            </w:pPr>
            <w:r>
              <w:rPr>
                <w:rFonts w:ascii="Times New Roman"/>
                <w:sz w:val="13"/>
              </w:rPr>
              <w:t>85,148,351</w:t>
            </w:r>
          </w:p>
        </w:tc>
        <w:tc>
          <w:tcPr>
            <w:tcW w:w="864"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right="192"/>
              <w:jc w:val="right"/>
              <w:rPr>
                <w:rFonts w:ascii="Times New Roman" w:hAnsi="Times New Roman" w:cs="Times New Roman" w:eastAsia="Times New Roman" w:hint="default"/>
                <w:sz w:val="13"/>
                <w:szCs w:val="13"/>
              </w:rPr>
            </w:pPr>
            <w:r>
              <w:rPr>
                <w:rFonts w:ascii="Times New Roman"/>
                <w:w w:val="95"/>
                <w:sz w:val="13"/>
              </w:rPr>
              <w:t>-6,226,712</w:t>
            </w:r>
            <w:r>
              <w:rPr>
                <w:rFonts w:ascii="Times New Roman"/>
                <w:sz w:val="13"/>
              </w:rPr>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right="102"/>
              <w:jc w:val="right"/>
              <w:rPr>
                <w:rFonts w:ascii="Times New Roman" w:hAnsi="Times New Roman" w:cs="Times New Roman" w:eastAsia="Times New Roman" w:hint="default"/>
                <w:sz w:val="13"/>
                <w:szCs w:val="13"/>
              </w:rPr>
            </w:pPr>
            <w:r>
              <w:rPr>
                <w:rFonts w:ascii="Times New Roman"/>
                <w:w w:val="95"/>
                <w:sz w:val="13"/>
              </w:rPr>
              <w:t>78,921,639</w:t>
            </w:r>
            <w:r>
              <w:rPr>
                <w:rFonts w:ascii="Times New Roman"/>
                <w:sz w:val="13"/>
              </w:rPr>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right="108"/>
              <w:jc w:val="right"/>
              <w:rPr>
                <w:rFonts w:ascii="Times New Roman" w:hAnsi="Times New Roman" w:cs="Times New Roman" w:eastAsia="Times New Roman" w:hint="default"/>
                <w:sz w:val="13"/>
                <w:szCs w:val="13"/>
              </w:rPr>
            </w:pPr>
            <w:r>
              <w:rPr>
                <w:rFonts w:ascii="Times New Roman"/>
                <w:w w:val="95"/>
                <w:sz w:val="13"/>
              </w:rPr>
              <w:t>14,065,480</w:t>
            </w:r>
            <w:r>
              <w:rPr>
                <w:rFonts w:ascii="Times New Roman"/>
                <w:sz w:val="13"/>
              </w:rPr>
            </w:r>
          </w:p>
        </w:tc>
      </w:tr>
      <w:tr>
        <w:trPr>
          <w:trHeight w:val="409" w:hRule="exact"/>
        </w:trPr>
        <w:tc>
          <w:tcPr>
            <w:tcW w:w="2999" w:type="dxa"/>
            <w:tcBorders>
              <w:top w:val="nil" w:sz="6" w:space="0" w:color="auto"/>
              <w:left w:val="nil" w:sz="6" w:space="0" w:color="auto"/>
              <w:bottom w:val="nil" w:sz="6" w:space="0" w:color="auto"/>
              <w:right w:val="nil" w:sz="6" w:space="0" w:color="auto"/>
            </w:tcBorders>
          </w:tcPr>
          <w:p>
            <w:pPr>
              <w:pStyle w:val="TableParagraph"/>
              <w:tabs>
                <w:tab w:pos="1460" w:val="left" w:leader="none"/>
              </w:tabs>
              <w:spacing w:line="240" w:lineRule="auto" w:before="86"/>
              <w:ind w:left="31" w:right="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三家子公司的商誉）</w:t>
              <w:tab/>
            </w:r>
            <w:r>
              <w:rPr>
                <w:rFonts w:ascii="Times New Roman" w:hAnsi="Times New Roman" w:cs="Times New Roman" w:eastAsia="Times New Roman" w:hint="default"/>
                <w:sz w:val="13"/>
                <w:szCs w:val="13"/>
              </w:rPr>
              <w:t>(</w:t>
            </w:r>
            <w:r>
              <w:rPr>
                <w:rFonts w:ascii="宋体" w:hAnsi="宋体" w:cs="宋体" w:eastAsia="宋体" w:hint="default"/>
                <w:sz w:val="13"/>
                <w:szCs w:val="13"/>
              </w:rPr>
              <w:t>注</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6)</w:t>
            </w:r>
          </w:p>
        </w:tc>
        <w:tc>
          <w:tcPr>
            <w:tcW w:w="955" w:type="dxa"/>
            <w:tcBorders>
              <w:top w:val="nil" w:sz="6" w:space="0" w:color="auto"/>
              <w:left w:val="nil" w:sz="6" w:space="0" w:color="auto"/>
              <w:bottom w:val="nil" w:sz="6" w:space="0" w:color="auto"/>
              <w:right w:val="nil" w:sz="6" w:space="0" w:color="auto"/>
            </w:tcBorders>
          </w:tcPr>
          <w:p>
            <w:pPr/>
          </w:p>
        </w:tc>
        <w:tc>
          <w:tcPr>
            <w:tcW w:w="864"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
        </w:tc>
      </w:tr>
      <w:tr>
        <w:trPr>
          <w:trHeight w:val="309" w:hRule="exact"/>
        </w:trPr>
        <w:tc>
          <w:tcPr>
            <w:tcW w:w="299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9"/>
                <w:szCs w:val="9"/>
              </w:rPr>
            </w:pPr>
          </w:p>
          <w:p>
            <w:pPr>
              <w:pStyle w:val="TableParagraph"/>
              <w:spacing w:line="240" w:lineRule="auto"/>
              <w:ind w:left="31" w:right="0"/>
              <w:jc w:val="left"/>
              <w:rPr>
                <w:rFonts w:ascii="Times New Roman" w:hAnsi="Times New Roman" w:cs="Times New Roman" w:eastAsia="Times New Roman" w:hint="default"/>
                <w:sz w:val="13"/>
                <w:szCs w:val="13"/>
              </w:rPr>
            </w:pPr>
            <w:r>
              <w:rPr>
                <w:rFonts w:ascii="Times New Roman"/>
                <w:sz w:val="13"/>
              </w:rPr>
              <w:t>Neusoft Technology Solutions</w:t>
            </w:r>
            <w:r>
              <w:rPr>
                <w:rFonts w:ascii="Times New Roman"/>
                <w:spacing w:val="-17"/>
                <w:sz w:val="13"/>
              </w:rPr>
              <w:t> </w:t>
            </w:r>
            <w:r>
              <w:rPr>
                <w:rFonts w:ascii="Times New Roman"/>
                <w:sz w:val="13"/>
              </w:rPr>
              <w:t>GmbH</w:t>
            </w:r>
          </w:p>
        </w:tc>
        <w:tc>
          <w:tcPr>
            <w:tcW w:w="955" w:type="dxa"/>
            <w:tcBorders>
              <w:top w:val="nil" w:sz="6" w:space="0" w:color="auto"/>
              <w:left w:val="nil" w:sz="6" w:space="0" w:color="auto"/>
              <w:bottom w:val="nil" w:sz="6" w:space="0" w:color="auto"/>
              <w:right w:val="nil" w:sz="6" w:space="0" w:color="auto"/>
            </w:tcBorders>
          </w:tcPr>
          <w:p>
            <w:pPr/>
          </w:p>
        </w:tc>
        <w:tc>
          <w:tcPr>
            <w:tcW w:w="864"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
        </w:tc>
        <w:tc>
          <w:tcPr>
            <w:tcW w:w="970" w:type="dxa"/>
            <w:tcBorders>
              <w:top w:val="nil" w:sz="6" w:space="0" w:color="auto"/>
              <w:left w:val="nil" w:sz="6" w:space="0" w:color="auto"/>
              <w:bottom w:val="nil" w:sz="6" w:space="0" w:color="auto"/>
              <w:right w:val="nil" w:sz="6" w:space="0" w:color="auto"/>
            </w:tcBorders>
          </w:tcPr>
          <w:p>
            <w:pPr/>
          </w:p>
        </w:tc>
      </w:tr>
      <w:tr>
        <w:trPr>
          <w:trHeight w:val="493" w:hRule="exact"/>
        </w:trPr>
        <w:tc>
          <w:tcPr>
            <w:tcW w:w="299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tabs>
                <w:tab w:pos="1447" w:val="left" w:leader="none"/>
              </w:tabs>
              <w:spacing w:line="240" w:lineRule="auto"/>
              <w:ind w:left="31"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sz w:val="13"/>
                <w:szCs w:val="13"/>
              </w:rPr>
              <w:t>(</w:t>
            </w:r>
            <w:r>
              <w:rPr>
                <w:rFonts w:ascii="宋体" w:hAnsi="宋体" w:cs="宋体" w:eastAsia="宋体" w:hint="default"/>
                <w:sz w:val="13"/>
                <w:szCs w:val="13"/>
              </w:rPr>
              <w:t>简称</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NTS)</w:t>
              <w:tab/>
            </w:r>
            <w:r>
              <w:rPr>
                <w:rFonts w:ascii="宋体" w:hAnsi="宋体" w:cs="宋体" w:eastAsia="宋体" w:hint="default"/>
                <w:sz w:val="13"/>
                <w:szCs w:val="13"/>
              </w:rPr>
              <w:t>（注</w:t>
            </w:r>
            <w:r>
              <w:rPr>
                <w:rFonts w:ascii="宋体" w:hAnsi="宋体" w:cs="宋体" w:eastAsia="宋体" w:hint="default"/>
                <w:spacing w:val="-35"/>
                <w:sz w:val="13"/>
                <w:szCs w:val="13"/>
              </w:rPr>
              <w:t> </w:t>
            </w:r>
            <w:r>
              <w:rPr>
                <w:rFonts w:ascii="Times New Roman" w:hAnsi="Times New Roman" w:cs="Times New Roman" w:eastAsia="Times New Roman" w:hint="default"/>
                <w:sz w:val="13"/>
                <w:szCs w:val="13"/>
              </w:rPr>
              <w:t>7)</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7"/>
              <w:ind w:left="401" w:right="0"/>
              <w:jc w:val="left"/>
              <w:rPr>
                <w:rFonts w:ascii="Times New Roman" w:hAnsi="Times New Roman" w:cs="Times New Roman" w:eastAsia="Times New Roman" w:hint="default"/>
                <w:sz w:val="13"/>
                <w:szCs w:val="13"/>
              </w:rPr>
            </w:pPr>
            <w:r>
              <w:rPr>
                <w:rFonts w:ascii="Times New Roman"/>
                <w:sz w:val="13"/>
              </w:rPr>
              <w:t>35,226</w:t>
            </w:r>
          </w:p>
        </w:tc>
        <w:tc>
          <w:tcPr>
            <w:tcW w:w="864"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92"/>
              <w:jc w:val="right"/>
              <w:rPr>
                <w:rFonts w:ascii="Times New Roman" w:hAnsi="Times New Roman" w:cs="Times New Roman" w:eastAsia="Times New Roman" w:hint="default"/>
                <w:sz w:val="13"/>
                <w:szCs w:val="13"/>
              </w:rPr>
            </w:pPr>
            <w:r>
              <w:rPr>
                <w:rFonts w:ascii="Times New Roman"/>
                <w:w w:val="95"/>
                <w:sz w:val="13"/>
              </w:rPr>
              <w:t>-2,576</w:t>
            </w:r>
            <w:r>
              <w:rPr>
                <w:rFonts w:ascii="Times New Roman"/>
                <w:sz w:val="13"/>
              </w:rPr>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2"/>
              <w:jc w:val="right"/>
              <w:rPr>
                <w:rFonts w:ascii="Times New Roman" w:hAnsi="Times New Roman" w:cs="Times New Roman" w:eastAsia="Times New Roman" w:hint="default"/>
                <w:sz w:val="13"/>
                <w:szCs w:val="13"/>
              </w:rPr>
            </w:pPr>
            <w:r>
              <w:rPr>
                <w:rFonts w:ascii="Times New Roman"/>
                <w:w w:val="95"/>
                <w:sz w:val="13"/>
              </w:rPr>
              <w:t>32,650</w:t>
            </w:r>
            <w:r>
              <w:rPr>
                <w:rFonts w:ascii="Times New Roman"/>
                <w:sz w:val="13"/>
              </w:rPr>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8"/>
              <w:jc w:val="right"/>
              <w:rPr>
                <w:rFonts w:ascii="Times New Roman" w:hAnsi="Times New Roman" w:cs="Times New Roman" w:eastAsia="Times New Roman" w:hint="default"/>
                <w:sz w:val="13"/>
                <w:szCs w:val="13"/>
              </w:rPr>
            </w:pPr>
            <w:r>
              <w:rPr>
                <w:rFonts w:ascii="Times New Roman"/>
                <w:w w:val="95"/>
                <w:sz w:val="13"/>
              </w:rPr>
              <w:t>32,650</w:t>
            </w:r>
            <w:r>
              <w:rPr>
                <w:rFonts w:ascii="Times New Roman"/>
                <w:sz w:val="13"/>
              </w:rPr>
            </w:r>
          </w:p>
        </w:tc>
      </w:tr>
      <w:tr>
        <w:trPr>
          <w:trHeight w:val="414" w:hRule="exact"/>
        </w:trPr>
        <w:tc>
          <w:tcPr>
            <w:tcW w:w="2999" w:type="dxa"/>
            <w:tcBorders>
              <w:top w:val="nil" w:sz="6" w:space="0" w:color="auto"/>
              <w:left w:val="nil" w:sz="6" w:space="0" w:color="auto"/>
              <w:bottom w:val="nil" w:sz="6" w:space="0" w:color="auto"/>
              <w:right w:val="nil" w:sz="6" w:space="0" w:color="auto"/>
            </w:tcBorders>
          </w:tcPr>
          <w:p>
            <w:pPr>
              <w:pStyle w:val="TableParagraph"/>
              <w:tabs>
                <w:tab w:pos="1576" w:val="left" w:leader="none"/>
              </w:tabs>
              <w:spacing w:line="240" w:lineRule="auto" w:before="96"/>
              <w:ind w:left="31"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sz w:val="13"/>
                <w:szCs w:val="13"/>
              </w:rPr>
              <w:t>VND</w:t>
            </w:r>
            <w:r>
              <w:rPr>
                <w:rFonts w:ascii="Times New Roman" w:hAnsi="Times New Roman" w:cs="Times New Roman" w:eastAsia="Times New Roman" w:hint="default"/>
                <w:spacing w:val="30"/>
                <w:sz w:val="13"/>
                <w:szCs w:val="13"/>
              </w:rPr>
              <w:t> </w:t>
            </w:r>
            <w:r>
              <w:rPr>
                <w:rFonts w:ascii="宋体" w:hAnsi="宋体" w:cs="宋体" w:eastAsia="宋体" w:hint="default"/>
                <w:sz w:val="13"/>
                <w:szCs w:val="13"/>
              </w:rPr>
              <w:t>业务及资产</w:t>
              <w:tab/>
            </w:r>
            <w:r>
              <w:rPr>
                <w:rFonts w:ascii="Times New Roman" w:hAnsi="Times New Roman" w:cs="Times New Roman" w:eastAsia="Times New Roman" w:hint="default"/>
                <w:sz w:val="13"/>
                <w:szCs w:val="13"/>
              </w:rPr>
              <w:t>(</w:t>
            </w:r>
            <w:r>
              <w:rPr>
                <w:rFonts w:ascii="宋体" w:hAnsi="宋体" w:cs="宋体" w:eastAsia="宋体" w:hint="default"/>
                <w:sz w:val="13"/>
                <w:szCs w:val="13"/>
              </w:rPr>
              <w:t>注</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8)</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left="174" w:right="0"/>
              <w:jc w:val="left"/>
              <w:rPr>
                <w:rFonts w:ascii="Times New Roman" w:hAnsi="Times New Roman" w:cs="Times New Roman" w:eastAsia="Times New Roman" w:hint="default"/>
                <w:sz w:val="13"/>
                <w:szCs w:val="13"/>
              </w:rPr>
            </w:pPr>
            <w:r>
              <w:rPr>
                <w:rFonts w:ascii="Times New Roman"/>
                <w:sz w:val="13"/>
              </w:rPr>
              <w:t>50,964,360</w:t>
            </w:r>
          </w:p>
        </w:tc>
        <w:tc>
          <w:tcPr>
            <w:tcW w:w="864"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92"/>
              <w:jc w:val="right"/>
              <w:rPr>
                <w:rFonts w:ascii="Times New Roman" w:hAnsi="Times New Roman" w:cs="Times New Roman" w:eastAsia="Times New Roman" w:hint="default"/>
                <w:sz w:val="13"/>
                <w:szCs w:val="13"/>
              </w:rPr>
            </w:pPr>
            <w:r>
              <w:rPr>
                <w:rFonts w:ascii="Times New Roman"/>
                <w:spacing w:val="-1"/>
                <w:sz w:val="13"/>
              </w:rPr>
              <w:t>-3,726,911</w:t>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2"/>
              <w:jc w:val="right"/>
              <w:rPr>
                <w:rFonts w:ascii="Times New Roman" w:hAnsi="Times New Roman" w:cs="Times New Roman" w:eastAsia="Times New Roman" w:hint="default"/>
                <w:sz w:val="13"/>
                <w:szCs w:val="13"/>
              </w:rPr>
            </w:pPr>
            <w:r>
              <w:rPr>
                <w:rFonts w:ascii="Times New Roman"/>
                <w:w w:val="95"/>
                <w:sz w:val="13"/>
              </w:rPr>
              <w:t>47,237,449</w:t>
            </w:r>
            <w:r>
              <w:rPr>
                <w:rFonts w:ascii="Times New Roman"/>
                <w:sz w:val="13"/>
              </w:rPr>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08"/>
              <w:jc w:val="right"/>
              <w:rPr>
                <w:rFonts w:ascii="Times New Roman" w:hAnsi="Times New Roman" w:cs="Times New Roman" w:eastAsia="Times New Roman" w:hint="default"/>
                <w:sz w:val="13"/>
                <w:szCs w:val="13"/>
              </w:rPr>
            </w:pPr>
            <w:r>
              <w:rPr>
                <w:rFonts w:ascii="Times New Roman"/>
                <w:w w:val="95"/>
                <w:sz w:val="13"/>
              </w:rPr>
              <w:t>4,283,792</w:t>
            </w:r>
            <w:r>
              <w:rPr>
                <w:rFonts w:ascii="Times New Roman"/>
                <w:sz w:val="13"/>
              </w:rPr>
            </w:r>
          </w:p>
        </w:tc>
      </w:tr>
      <w:tr>
        <w:trPr>
          <w:trHeight w:val="410" w:hRule="exact"/>
        </w:trPr>
        <w:tc>
          <w:tcPr>
            <w:tcW w:w="2999" w:type="dxa"/>
            <w:tcBorders>
              <w:top w:val="nil" w:sz="6" w:space="0" w:color="auto"/>
              <w:left w:val="nil" w:sz="6" w:space="0" w:color="auto"/>
              <w:bottom w:val="nil" w:sz="6" w:space="0" w:color="auto"/>
              <w:right w:val="nil" w:sz="6" w:space="0" w:color="auto"/>
            </w:tcBorders>
          </w:tcPr>
          <w:p>
            <w:pPr>
              <w:pStyle w:val="TableParagraph"/>
              <w:tabs>
                <w:tab w:pos="1867" w:val="left" w:leader="none"/>
              </w:tabs>
              <w:spacing w:line="240" w:lineRule="auto" w:before="91"/>
              <w:ind w:left="31"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sz w:val="13"/>
                <w:szCs w:val="13"/>
              </w:rPr>
              <w:t>Taproot</w:t>
            </w:r>
            <w:r>
              <w:rPr>
                <w:rFonts w:ascii="Times New Roman" w:hAnsi="Times New Roman" w:cs="Times New Roman" w:eastAsia="Times New Roman" w:hint="default"/>
                <w:spacing w:val="-12"/>
                <w:sz w:val="13"/>
                <w:szCs w:val="13"/>
              </w:rPr>
              <w:t> </w:t>
            </w:r>
            <w:r>
              <w:rPr>
                <w:rFonts w:ascii="宋体" w:hAnsi="宋体" w:cs="宋体" w:eastAsia="宋体" w:hint="default"/>
                <w:sz w:val="13"/>
                <w:szCs w:val="13"/>
              </w:rPr>
              <w:t>业务及资产</w:t>
              <w:tab/>
            </w:r>
            <w:r>
              <w:rPr>
                <w:rFonts w:ascii="Times New Roman" w:hAnsi="Times New Roman" w:cs="Times New Roman" w:eastAsia="Times New Roman" w:hint="default"/>
                <w:sz w:val="13"/>
                <w:szCs w:val="13"/>
              </w:rPr>
              <w:t>(</w:t>
            </w:r>
            <w:r>
              <w:rPr>
                <w:rFonts w:ascii="宋体" w:hAnsi="宋体" w:cs="宋体" w:eastAsia="宋体" w:hint="default"/>
                <w:sz w:val="13"/>
                <w:szCs w:val="13"/>
              </w:rPr>
              <w:t>注</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9)</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left="174" w:right="0"/>
              <w:jc w:val="left"/>
              <w:rPr>
                <w:rFonts w:ascii="Times New Roman" w:hAnsi="Times New Roman" w:cs="Times New Roman" w:eastAsia="Times New Roman" w:hint="default"/>
                <w:sz w:val="13"/>
                <w:szCs w:val="13"/>
              </w:rPr>
            </w:pPr>
            <w:r>
              <w:rPr>
                <w:rFonts w:ascii="Times New Roman"/>
                <w:sz w:val="13"/>
              </w:rPr>
              <w:t>19,482,458</w:t>
            </w:r>
          </w:p>
        </w:tc>
        <w:tc>
          <w:tcPr>
            <w:tcW w:w="864" w:type="dxa"/>
            <w:tcBorders>
              <w:top w:val="nil" w:sz="6" w:space="0" w:color="auto"/>
              <w:left w:val="nil" w:sz="6" w:space="0" w:color="auto"/>
              <w:bottom w:val="nil" w:sz="6" w:space="0" w:color="auto"/>
              <w:right w:val="nil" w:sz="6" w:space="0" w:color="auto"/>
            </w:tcBorders>
          </w:tcPr>
          <w:p>
            <w:pPr/>
          </w:p>
        </w:tc>
        <w:tc>
          <w:tcPr>
            <w:tcW w:w="750" w:type="dxa"/>
            <w:tcBorders>
              <w:top w:val="nil" w:sz="6" w:space="0" w:color="auto"/>
              <w:left w:val="nil" w:sz="6" w:space="0" w:color="auto"/>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right="192"/>
              <w:jc w:val="right"/>
              <w:rPr>
                <w:rFonts w:ascii="Times New Roman" w:hAnsi="Times New Roman" w:cs="Times New Roman" w:eastAsia="Times New Roman" w:hint="default"/>
                <w:sz w:val="13"/>
                <w:szCs w:val="13"/>
              </w:rPr>
            </w:pPr>
            <w:r>
              <w:rPr>
                <w:rFonts w:ascii="Times New Roman"/>
                <w:w w:val="95"/>
                <w:sz w:val="13"/>
              </w:rPr>
              <w:t>-946,661</w:t>
            </w:r>
            <w:r>
              <w:rPr>
                <w:rFonts w:ascii="Times New Roman"/>
                <w:sz w:val="13"/>
              </w:rPr>
            </w: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right="102"/>
              <w:jc w:val="right"/>
              <w:rPr>
                <w:rFonts w:ascii="Times New Roman" w:hAnsi="Times New Roman" w:cs="Times New Roman" w:eastAsia="Times New Roman" w:hint="default"/>
                <w:sz w:val="13"/>
                <w:szCs w:val="13"/>
              </w:rPr>
            </w:pPr>
            <w:r>
              <w:rPr>
                <w:rFonts w:ascii="Times New Roman"/>
                <w:w w:val="95"/>
                <w:sz w:val="13"/>
              </w:rPr>
              <w:t>18,535,797</w:t>
            </w:r>
            <w:r>
              <w:rPr>
                <w:rFonts w:ascii="Times New Roman"/>
                <w:sz w:val="13"/>
              </w:rPr>
            </w:r>
          </w:p>
        </w:tc>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right="108"/>
              <w:jc w:val="right"/>
              <w:rPr>
                <w:rFonts w:ascii="Times New Roman" w:hAnsi="Times New Roman" w:cs="Times New Roman" w:eastAsia="Times New Roman" w:hint="default"/>
                <w:sz w:val="13"/>
                <w:szCs w:val="13"/>
              </w:rPr>
            </w:pPr>
            <w:r>
              <w:rPr>
                <w:rFonts w:ascii="Times New Roman"/>
                <w:w w:val="95"/>
                <w:sz w:val="13"/>
              </w:rPr>
              <w:t>6,472,744</w:t>
            </w:r>
            <w:r>
              <w:rPr>
                <w:rFonts w:ascii="Times New Roman"/>
                <w:sz w:val="13"/>
              </w:rPr>
            </w:r>
          </w:p>
        </w:tc>
      </w:tr>
      <w:tr>
        <w:trPr>
          <w:trHeight w:val="410" w:hRule="exact"/>
        </w:trPr>
        <w:tc>
          <w:tcPr>
            <w:tcW w:w="2999" w:type="dxa"/>
            <w:tcBorders>
              <w:top w:val="nil" w:sz="6" w:space="0" w:color="auto"/>
              <w:left w:val="nil" w:sz="6" w:space="0" w:color="auto"/>
              <w:bottom w:val="nil" w:sz="6" w:space="0" w:color="auto"/>
              <w:right w:val="nil" w:sz="6" w:space="0" w:color="auto"/>
            </w:tcBorders>
          </w:tcPr>
          <w:p>
            <w:pPr>
              <w:pStyle w:val="TableParagraph"/>
              <w:tabs>
                <w:tab w:pos="2240" w:val="left" w:leader="none"/>
              </w:tabs>
              <w:spacing w:line="240" w:lineRule="auto" w:before="92"/>
              <w:ind w:left="31" w:right="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北京利博赛社保信息技术有限公司</w:t>
              <w:tab/>
            </w:r>
            <w:r>
              <w:rPr>
                <w:rFonts w:ascii="Times New Roman" w:hAnsi="Times New Roman" w:cs="Times New Roman" w:eastAsia="Times New Roman" w:hint="default"/>
                <w:sz w:val="13"/>
                <w:szCs w:val="13"/>
              </w:rPr>
              <w:t>(</w:t>
            </w:r>
            <w:r>
              <w:rPr>
                <w:rFonts w:ascii="宋体" w:hAnsi="宋体" w:cs="宋体" w:eastAsia="宋体" w:hint="default"/>
                <w:sz w:val="13"/>
                <w:szCs w:val="13"/>
              </w:rPr>
              <w:t>注</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10)</w:t>
            </w:r>
          </w:p>
        </w:tc>
        <w:tc>
          <w:tcPr>
            <w:tcW w:w="955" w:type="dxa"/>
            <w:tcBorders>
              <w:top w:val="nil" w:sz="6" w:space="0" w:color="auto"/>
              <w:left w:val="nil" w:sz="6" w:space="0" w:color="auto"/>
              <w:bottom w:val="nil" w:sz="6" w:space="0" w:color="auto"/>
              <w:right w:val="nil" w:sz="6" w:space="0" w:color="auto"/>
            </w:tcBorders>
          </w:tcPr>
          <w:p>
            <w:pPr/>
          </w:p>
        </w:tc>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0"/>
                <w:szCs w:val="10"/>
              </w:rPr>
            </w:pPr>
          </w:p>
          <w:p>
            <w:pPr>
              <w:pStyle w:val="TableParagraph"/>
              <w:spacing w:line="240" w:lineRule="auto"/>
              <w:ind w:right="121"/>
              <w:jc w:val="right"/>
              <w:rPr>
                <w:rFonts w:ascii="Times New Roman" w:hAnsi="Times New Roman" w:cs="Times New Roman" w:eastAsia="Times New Roman" w:hint="default"/>
                <w:sz w:val="13"/>
                <w:szCs w:val="13"/>
              </w:rPr>
            </w:pPr>
            <w:r>
              <w:rPr>
                <w:rFonts w:ascii="Times New Roman"/>
                <w:w w:val="95"/>
                <w:sz w:val="13"/>
              </w:rPr>
              <w:t>1,809,071</w:t>
            </w:r>
            <w:r>
              <w:rPr>
                <w:rFonts w:ascii="Times New Roman"/>
                <w:sz w:val="13"/>
              </w:rPr>
            </w:r>
          </w:p>
        </w:tc>
        <w:tc>
          <w:tcPr>
            <w:tcW w:w="750" w:type="dxa"/>
            <w:tcBorders>
              <w:top w:val="nil" w:sz="6" w:space="0" w:color="auto"/>
              <w:left w:val="nil" w:sz="6" w:space="0" w:color="auto"/>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0"/>
                <w:szCs w:val="10"/>
              </w:rPr>
            </w:pPr>
          </w:p>
          <w:p>
            <w:pPr>
              <w:pStyle w:val="TableParagraph"/>
              <w:spacing w:line="240" w:lineRule="auto"/>
              <w:ind w:right="102"/>
              <w:jc w:val="right"/>
              <w:rPr>
                <w:rFonts w:ascii="Times New Roman" w:hAnsi="Times New Roman" w:cs="Times New Roman" w:eastAsia="Times New Roman" w:hint="default"/>
                <w:sz w:val="13"/>
                <w:szCs w:val="13"/>
              </w:rPr>
            </w:pPr>
            <w:r>
              <w:rPr>
                <w:rFonts w:ascii="Times New Roman"/>
                <w:w w:val="95"/>
                <w:sz w:val="13"/>
              </w:rPr>
              <w:t>1,809,071</w:t>
            </w:r>
            <w:r>
              <w:rPr>
                <w:rFonts w:ascii="Times New Roman"/>
                <w:sz w:val="13"/>
              </w:rPr>
            </w:r>
          </w:p>
        </w:tc>
        <w:tc>
          <w:tcPr>
            <w:tcW w:w="970" w:type="dxa"/>
            <w:tcBorders>
              <w:top w:val="nil" w:sz="6" w:space="0" w:color="auto"/>
              <w:left w:val="nil" w:sz="6" w:space="0" w:color="auto"/>
              <w:bottom w:val="nil" w:sz="6" w:space="0" w:color="auto"/>
              <w:right w:val="nil" w:sz="6" w:space="0" w:color="auto"/>
            </w:tcBorders>
          </w:tcPr>
          <w:p>
            <w:pPr/>
          </w:p>
        </w:tc>
      </w:tr>
      <w:tr>
        <w:trPr>
          <w:trHeight w:val="410" w:hRule="exact"/>
        </w:trPr>
        <w:tc>
          <w:tcPr>
            <w:tcW w:w="2999" w:type="dxa"/>
            <w:tcBorders>
              <w:top w:val="nil" w:sz="6" w:space="0" w:color="auto"/>
              <w:left w:val="nil" w:sz="6" w:space="0" w:color="auto"/>
              <w:bottom w:val="nil" w:sz="6" w:space="0" w:color="auto"/>
              <w:right w:val="nil" w:sz="6" w:space="0" w:color="auto"/>
            </w:tcBorders>
          </w:tcPr>
          <w:p>
            <w:pPr>
              <w:pStyle w:val="TableParagraph"/>
              <w:tabs>
                <w:tab w:pos="2109" w:val="left" w:leader="none"/>
              </w:tabs>
              <w:spacing w:line="240" w:lineRule="auto" w:before="92"/>
              <w:ind w:left="31" w:right="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北京东软望海科技有限公司</w:t>
              <w:tab/>
            </w:r>
            <w:r>
              <w:rPr>
                <w:rFonts w:ascii="Times New Roman" w:hAnsi="Times New Roman" w:cs="Times New Roman" w:eastAsia="Times New Roman" w:hint="default"/>
                <w:sz w:val="13"/>
                <w:szCs w:val="13"/>
              </w:rPr>
              <w:t>(</w:t>
            </w:r>
            <w:r>
              <w:rPr>
                <w:rFonts w:ascii="宋体" w:hAnsi="宋体" w:cs="宋体" w:eastAsia="宋体" w:hint="default"/>
                <w:sz w:val="13"/>
                <w:szCs w:val="13"/>
              </w:rPr>
              <w:t>注</w:t>
            </w:r>
            <w:r>
              <w:rPr>
                <w:rFonts w:ascii="宋体" w:hAnsi="宋体" w:cs="宋体" w:eastAsia="宋体" w:hint="default"/>
                <w:spacing w:val="-38"/>
                <w:sz w:val="13"/>
                <w:szCs w:val="13"/>
              </w:rPr>
              <w:t> </w:t>
            </w:r>
            <w:r>
              <w:rPr>
                <w:rFonts w:ascii="Times New Roman" w:hAnsi="Times New Roman" w:cs="Times New Roman" w:eastAsia="Times New Roman" w:hint="default"/>
                <w:sz w:val="13"/>
                <w:szCs w:val="13"/>
              </w:rPr>
              <w:t>11)</w:t>
            </w:r>
          </w:p>
        </w:tc>
        <w:tc>
          <w:tcPr>
            <w:tcW w:w="955" w:type="dxa"/>
            <w:tcBorders>
              <w:top w:val="nil" w:sz="6" w:space="0" w:color="auto"/>
              <w:left w:val="nil" w:sz="6" w:space="0" w:color="auto"/>
              <w:bottom w:val="nil" w:sz="6" w:space="0" w:color="auto"/>
              <w:right w:val="nil" w:sz="6" w:space="0" w:color="auto"/>
            </w:tcBorders>
          </w:tcPr>
          <w:p>
            <w:pPr/>
          </w:p>
        </w:tc>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0"/>
                <w:szCs w:val="10"/>
              </w:rPr>
            </w:pPr>
          </w:p>
          <w:p>
            <w:pPr>
              <w:pStyle w:val="TableParagraph"/>
              <w:spacing w:line="240" w:lineRule="auto"/>
              <w:ind w:right="121"/>
              <w:jc w:val="right"/>
              <w:rPr>
                <w:rFonts w:ascii="Times New Roman" w:hAnsi="Times New Roman" w:cs="Times New Roman" w:eastAsia="Times New Roman" w:hint="default"/>
                <w:sz w:val="13"/>
                <w:szCs w:val="13"/>
              </w:rPr>
            </w:pPr>
            <w:r>
              <w:rPr>
                <w:rFonts w:ascii="Times New Roman"/>
                <w:w w:val="95"/>
                <w:sz w:val="13"/>
              </w:rPr>
              <w:t>99,953,597</w:t>
            </w:r>
            <w:r>
              <w:rPr>
                <w:rFonts w:ascii="Times New Roman"/>
                <w:sz w:val="13"/>
              </w:rPr>
            </w:r>
          </w:p>
        </w:tc>
        <w:tc>
          <w:tcPr>
            <w:tcW w:w="750" w:type="dxa"/>
            <w:tcBorders>
              <w:top w:val="nil" w:sz="6" w:space="0" w:color="auto"/>
              <w:left w:val="nil" w:sz="6" w:space="0" w:color="auto"/>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
        </w:tc>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0"/>
                <w:szCs w:val="10"/>
              </w:rPr>
            </w:pPr>
          </w:p>
          <w:p>
            <w:pPr>
              <w:pStyle w:val="TableParagraph"/>
              <w:spacing w:line="240" w:lineRule="auto"/>
              <w:ind w:right="102"/>
              <w:jc w:val="right"/>
              <w:rPr>
                <w:rFonts w:ascii="Times New Roman" w:hAnsi="Times New Roman" w:cs="Times New Roman" w:eastAsia="Times New Roman" w:hint="default"/>
                <w:sz w:val="13"/>
                <w:szCs w:val="13"/>
              </w:rPr>
            </w:pPr>
            <w:r>
              <w:rPr>
                <w:rFonts w:ascii="Times New Roman"/>
                <w:w w:val="95"/>
                <w:sz w:val="13"/>
              </w:rPr>
              <w:t>99,953,597</w:t>
            </w:r>
            <w:r>
              <w:rPr>
                <w:rFonts w:ascii="Times New Roman"/>
                <w:sz w:val="13"/>
              </w:rPr>
            </w:r>
          </w:p>
        </w:tc>
        <w:tc>
          <w:tcPr>
            <w:tcW w:w="970" w:type="dxa"/>
            <w:tcBorders>
              <w:top w:val="nil" w:sz="6" w:space="0" w:color="auto"/>
              <w:left w:val="nil" w:sz="6" w:space="0" w:color="auto"/>
              <w:bottom w:val="nil" w:sz="6" w:space="0" w:color="auto"/>
              <w:right w:val="nil" w:sz="6" w:space="0" w:color="auto"/>
            </w:tcBorders>
          </w:tcPr>
          <w:p>
            <w:pPr/>
          </w:p>
        </w:tc>
      </w:tr>
      <w:tr>
        <w:trPr>
          <w:trHeight w:val="299" w:hRule="exact"/>
        </w:trPr>
        <w:tc>
          <w:tcPr>
            <w:tcW w:w="2999"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225"/>
              <w:jc w:val="center"/>
              <w:rPr>
                <w:rFonts w:ascii="宋体" w:hAnsi="宋体" w:cs="宋体" w:eastAsia="宋体" w:hint="default"/>
                <w:sz w:val="13"/>
                <w:szCs w:val="13"/>
              </w:rPr>
            </w:pPr>
            <w:r>
              <w:rPr>
                <w:rFonts w:ascii="宋体" w:hAnsi="宋体" w:cs="宋体" w:eastAsia="宋体" w:hint="default"/>
                <w:sz w:val="13"/>
                <w:szCs w:val="13"/>
              </w:rPr>
              <w:t>合</w:t>
            </w:r>
            <w:r>
              <w:rPr>
                <w:rFonts w:ascii="宋体" w:hAnsi="宋体" w:cs="宋体" w:eastAsia="宋体" w:hint="default"/>
                <w:spacing w:val="63"/>
                <w:sz w:val="13"/>
                <w:szCs w:val="13"/>
              </w:rPr>
              <w:t> </w:t>
            </w:r>
            <w:r>
              <w:rPr>
                <w:rFonts w:ascii="宋体" w:hAnsi="宋体" w:cs="宋体" w:eastAsia="宋体" w:hint="default"/>
                <w:sz w:val="13"/>
                <w:szCs w:val="13"/>
              </w:rPr>
              <w:t>计</w:t>
            </w:r>
          </w:p>
        </w:tc>
        <w:tc>
          <w:tcPr>
            <w:tcW w:w="955"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left="214" w:right="0"/>
              <w:jc w:val="left"/>
              <w:rPr>
                <w:rFonts w:ascii="Times New Roman" w:hAnsi="Times New Roman" w:cs="Times New Roman" w:eastAsia="Times New Roman" w:hint="default"/>
                <w:sz w:val="13"/>
                <w:szCs w:val="13"/>
              </w:rPr>
            </w:pPr>
            <w:r>
              <w:rPr>
                <w:rFonts w:ascii="Times New Roman"/>
                <w:sz w:val="13"/>
              </w:rPr>
              <w:t>162,523,206</w:t>
            </w:r>
          </w:p>
        </w:tc>
        <w:tc>
          <w:tcPr>
            <w:tcW w:w="864"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right="121"/>
              <w:jc w:val="right"/>
              <w:rPr>
                <w:rFonts w:ascii="Times New Roman" w:hAnsi="Times New Roman" w:cs="Times New Roman" w:eastAsia="Times New Roman" w:hint="default"/>
                <w:sz w:val="13"/>
                <w:szCs w:val="13"/>
              </w:rPr>
            </w:pPr>
            <w:r>
              <w:rPr>
                <w:rFonts w:ascii="Times New Roman"/>
                <w:w w:val="95"/>
                <w:sz w:val="13"/>
              </w:rPr>
              <w:t>101,762,668</w:t>
            </w:r>
            <w:r>
              <w:rPr>
                <w:rFonts w:ascii="Times New Roman"/>
                <w:sz w:val="13"/>
              </w:rPr>
            </w:r>
          </w:p>
        </w:tc>
        <w:tc>
          <w:tcPr>
            <w:tcW w:w="75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right="92"/>
              <w:jc w:val="right"/>
              <w:rPr>
                <w:rFonts w:ascii="Times New Roman" w:hAnsi="Times New Roman" w:cs="Times New Roman" w:eastAsia="Times New Roman" w:hint="default"/>
                <w:sz w:val="13"/>
                <w:szCs w:val="13"/>
              </w:rPr>
            </w:pPr>
            <w:r>
              <w:rPr>
                <w:rFonts w:ascii="Times New Roman"/>
                <w:w w:val="95"/>
                <w:sz w:val="13"/>
              </w:rPr>
              <w:t>1,151,846</w:t>
            </w:r>
            <w:r>
              <w:rPr>
                <w:rFonts w:ascii="Times New Roman"/>
                <w:sz w:val="13"/>
              </w:rPr>
            </w:r>
          </w:p>
        </w:tc>
        <w:tc>
          <w:tcPr>
            <w:tcW w:w="102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right="192"/>
              <w:jc w:val="right"/>
              <w:rPr>
                <w:rFonts w:ascii="Times New Roman" w:hAnsi="Times New Roman" w:cs="Times New Roman" w:eastAsia="Times New Roman" w:hint="default"/>
                <w:sz w:val="13"/>
                <w:szCs w:val="13"/>
              </w:rPr>
            </w:pPr>
            <w:r>
              <w:rPr>
                <w:rFonts w:ascii="Times New Roman"/>
                <w:w w:val="95"/>
                <w:sz w:val="13"/>
              </w:rPr>
              <w:t>-10,902,860</w:t>
            </w:r>
            <w:r>
              <w:rPr>
                <w:rFonts w:ascii="Times New Roman"/>
                <w:sz w:val="13"/>
              </w:rPr>
            </w:r>
          </w:p>
        </w:tc>
        <w:tc>
          <w:tcPr>
            <w:tcW w:w="901"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right="102"/>
              <w:jc w:val="right"/>
              <w:rPr>
                <w:rFonts w:ascii="Times New Roman" w:hAnsi="Times New Roman" w:cs="Times New Roman" w:eastAsia="Times New Roman" w:hint="default"/>
                <w:sz w:val="13"/>
                <w:szCs w:val="13"/>
              </w:rPr>
            </w:pPr>
            <w:r>
              <w:rPr>
                <w:rFonts w:ascii="Times New Roman"/>
                <w:w w:val="95"/>
                <w:sz w:val="13"/>
              </w:rPr>
              <w:t>252,231,168</w:t>
            </w:r>
            <w:r>
              <w:rPr>
                <w:rFonts w:ascii="Times New Roman"/>
                <w:sz w:val="13"/>
              </w:rPr>
            </w:r>
          </w:p>
        </w:tc>
        <w:tc>
          <w:tcPr>
            <w:tcW w:w="970"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9"/>
                <w:szCs w:val="9"/>
              </w:rPr>
            </w:pPr>
          </w:p>
          <w:p>
            <w:pPr>
              <w:pStyle w:val="TableParagraph"/>
              <w:spacing w:line="240" w:lineRule="auto"/>
              <w:ind w:right="108"/>
              <w:jc w:val="right"/>
              <w:rPr>
                <w:rFonts w:ascii="Times New Roman" w:hAnsi="Times New Roman" w:cs="Times New Roman" w:eastAsia="Times New Roman" w:hint="default"/>
                <w:sz w:val="13"/>
                <w:szCs w:val="13"/>
              </w:rPr>
            </w:pPr>
            <w:r>
              <w:rPr>
                <w:rFonts w:ascii="Times New Roman"/>
                <w:w w:val="95"/>
                <w:sz w:val="13"/>
              </w:rPr>
              <w:t>24,854,666</w:t>
            </w:r>
            <w:r>
              <w:rPr>
                <w:rFonts w:ascii="Times New Roman"/>
                <w:sz w:val="13"/>
              </w:rPr>
            </w:r>
          </w:p>
        </w:tc>
      </w:tr>
    </w:tbl>
    <w:p>
      <w:pPr>
        <w:spacing w:line="240" w:lineRule="auto" w:before="9"/>
        <w:rPr>
          <w:rFonts w:ascii="宋体" w:hAnsi="宋体" w:cs="宋体" w:eastAsia="宋体" w:hint="default"/>
          <w:b/>
          <w:bCs/>
          <w:sz w:val="29"/>
          <w:szCs w:val="29"/>
        </w:rPr>
      </w:pPr>
    </w:p>
    <w:p>
      <w:pPr>
        <w:pStyle w:val="BodyText"/>
        <w:spacing w:line="350" w:lineRule="auto" w:before="0"/>
        <w:ind w:left="855" w:right="261"/>
        <w:jc w:val="left"/>
      </w:pPr>
      <w:r>
        <w:rPr>
          <w:spacing w:val="-3"/>
        </w:rPr>
        <w:t>公司于本期末对商誉进行减值测试，对相关资产组和资产组组合的可收回金额采用预计未</w:t>
      </w:r>
      <w:r>
        <w:rPr>
          <w:spacing w:val="-81"/>
        </w:rPr>
        <w:t> </w:t>
      </w:r>
      <w:r>
        <w:rPr>
          <w:spacing w:val="-81"/>
        </w:rPr>
      </w:r>
      <w:r>
        <w:rPr/>
        <w:t>来现金流量的现值，根据管理层批准的</w:t>
      </w:r>
      <w:r>
        <w:rPr>
          <w:spacing w:val="-54"/>
        </w:rPr>
        <w:t> </w:t>
      </w:r>
      <w:r>
        <w:rPr/>
        <w:t>5</w:t>
      </w:r>
      <w:r>
        <w:rPr>
          <w:spacing w:val="-53"/>
        </w:rPr>
        <w:t> </w:t>
      </w:r>
      <w:r>
        <w:rPr/>
        <w:t>年期的财务预算基础上的现金流量预测来确定，</w:t>
      </w:r>
      <w:r>
        <w:rPr/>
        <w:t> 将商誉账面价值高于相关资产组的预计可收回金额的部分计提商誉减值准备。本期末对 NMSG、Taproot</w:t>
      </w:r>
      <w:r>
        <w:rPr>
          <w:spacing w:val="-62"/>
        </w:rPr>
        <w:t> </w:t>
      </w:r>
      <w:r>
        <w:rPr/>
        <w:t>业务及资产计提了商誉减值损失</w:t>
      </w:r>
      <w:r>
        <w:rPr>
          <w:spacing w:val="-62"/>
        </w:rPr>
        <w:t> </w:t>
      </w:r>
      <w:r>
        <w:rPr/>
        <w:t>8,981,071</w:t>
      </w:r>
      <w:r>
        <w:rPr>
          <w:spacing w:val="-62"/>
        </w:rPr>
        <w:t> </w:t>
      </w:r>
      <w:r>
        <w:rPr/>
        <w:t>元，其他商誉减值准备的变动</w:t>
      </w:r>
      <w:r>
        <w:rPr/>
        <w:t> 为汇率折算的影响。</w:t>
      </w:r>
    </w:p>
    <w:p>
      <w:pPr>
        <w:spacing w:after="0" w:line="350" w:lineRule="auto"/>
        <w:jc w:val="left"/>
        <w:sectPr>
          <w:pgSz w:w="11910" w:h="16840"/>
          <w:pgMar w:header="0" w:footer="1003" w:top="1540" w:bottom="1200" w:left="1660" w:right="920"/>
        </w:sectPr>
      </w:pPr>
    </w:p>
    <w:p>
      <w:pPr>
        <w:spacing w:line="240" w:lineRule="auto" w:before="7"/>
        <w:rPr>
          <w:rFonts w:ascii="宋体" w:hAnsi="宋体" w:cs="宋体" w:eastAsia="宋体" w:hint="default"/>
          <w:sz w:val="3"/>
          <w:szCs w:val="3"/>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52.3pt;height:.5pt;mso-position-horizontal-relative:char;mso-position-vertical-relative:line" coordorigin="0,0" coordsize="9046,10">
            <v:group style="position:absolute;left:5;top:5;width:9036;height:2" coordorigin="5,5" coordsize="9036,2">
              <v:shape style="position:absolute;left:5;top:5;width:9036;height:2" coordorigin="5,5" coordsize="9036,0" path="m5,5l9041,5e" filled="false" stroked="true" strokeweight=".4799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spacing w:line="328" w:lineRule="auto"/>
        <w:ind w:left="855" w:right="206" w:hanging="1"/>
        <w:jc w:val="both"/>
        <w:rPr>
          <w:rFonts w:ascii="Times New Roman" w:hAnsi="Times New Roman" w:cs="Times New Roman" w:eastAsia="Times New Roman" w:hint="default"/>
        </w:rPr>
      </w:pPr>
      <w:r>
        <w:rPr/>
        <w:t>注</w:t>
      </w:r>
      <w:r>
        <w:rPr>
          <w:spacing w:val="-48"/>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2001</w:t>
      </w:r>
      <w:r>
        <w:rPr>
          <w:rFonts w:ascii="Times New Roman" w:hAnsi="Times New Roman" w:cs="Times New Roman" w:eastAsia="Times New Roman" w:hint="default"/>
          <w:spacing w:val="4"/>
        </w:rPr>
        <w:t> </w:t>
      </w:r>
      <w:r>
        <w:rPr/>
        <w:t>年</w:t>
      </w:r>
      <w:r>
        <w:rPr>
          <w:spacing w:val="-48"/>
        </w:rPr>
        <w:t> </w:t>
      </w:r>
      <w:r>
        <w:rPr>
          <w:rFonts w:ascii="Times New Roman" w:hAnsi="Times New Roman" w:cs="Times New Roman" w:eastAsia="Times New Roman" w:hint="default"/>
        </w:rPr>
        <w:t>6</w:t>
      </w:r>
      <w:r>
        <w:rPr>
          <w:rFonts w:ascii="Times New Roman" w:hAnsi="Times New Roman" w:cs="Times New Roman" w:eastAsia="Times New Roman" w:hint="default"/>
          <w:spacing w:val="5"/>
        </w:rPr>
        <w:t> </w:t>
      </w:r>
      <w:r>
        <w:rPr/>
        <w:t>月本公司出资设立东软（日本）有限公司</w:t>
      </w:r>
      <w:r>
        <w:rPr>
          <w:rFonts w:ascii="Times New Roman" w:hAnsi="Times New Roman" w:cs="Times New Roman" w:eastAsia="Times New Roman" w:hint="default"/>
        </w:rPr>
        <w:t>,</w:t>
      </w:r>
      <w:r>
        <w:rPr/>
        <w:t>持股比例</w:t>
      </w:r>
      <w:r>
        <w:rPr>
          <w:spacing w:val="-48"/>
        </w:rPr>
        <w:t> </w:t>
      </w:r>
      <w:r>
        <w:rPr>
          <w:rFonts w:ascii="Times New Roman" w:hAnsi="Times New Roman" w:cs="Times New Roman" w:eastAsia="Times New Roman" w:hint="default"/>
        </w:rPr>
        <w:t>60%</w:t>
      </w:r>
      <w:r>
        <w:rPr/>
        <w:t>，</w:t>
      </w:r>
      <w:r>
        <w:rPr>
          <w:rFonts w:ascii="Times New Roman" w:hAnsi="Times New Roman" w:cs="Times New Roman" w:eastAsia="Times New Roman" w:hint="default"/>
        </w:rPr>
        <w:t>2003</w:t>
      </w:r>
      <w:r>
        <w:rPr>
          <w:rFonts w:ascii="Times New Roman" w:hAnsi="Times New Roman" w:cs="Times New Roman" w:eastAsia="Times New Roman" w:hint="default"/>
          <w:spacing w:val="5"/>
        </w:rPr>
        <w:t> </w:t>
      </w:r>
      <w:r>
        <w:rPr/>
        <w:t>年</w:t>
      </w:r>
      <w:r>
        <w:rPr>
          <w:spacing w:val="-49"/>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月本 公司出资收购了东软（日本）有限公司剩余</w:t>
      </w:r>
      <w:r>
        <w:rPr>
          <w:spacing w:val="19"/>
        </w:rPr>
        <w:t> </w:t>
      </w:r>
      <w:r>
        <w:rPr>
          <w:rFonts w:ascii="Times New Roman" w:hAnsi="Times New Roman" w:cs="Times New Roman" w:eastAsia="Times New Roman" w:hint="default"/>
        </w:rPr>
        <w:t>40%</w:t>
      </w:r>
      <w:r>
        <w:rPr/>
        <w:t>股权</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购买价高于应享有的净资产份额之</w:t>
      </w:r>
      <w:r>
        <w:rPr>
          <w:spacing w:val="-103"/>
        </w:rPr>
        <w:t> </w:t>
      </w:r>
      <w:r>
        <w:rPr>
          <w:spacing w:val="-103"/>
        </w:rPr>
      </w:r>
      <w:r>
        <w:rPr/>
        <w:t>差额部分确认为股权投资差额，并自</w:t>
      </w:r>
      <w:r>
        <w:rPr>
          <w:spacing w:val="-48"/>
        </w:rPr>
        <w:t> </w:t>
      </w:r>
      <w:r>
        <w:rPr>
          <w:rFonts w:ascii="Times New Roman" w:hAnsi="Times New Roman" w:cs="Times New Roman" w:eastAsia="Times New Roman" w:hint="default"/>
        </w:rPr>
        <w:t>2004</w:t>
      </w:r>
      <w:r>
        <w:rPr>
          <w:rFonts w:ascii="Times New Roman" w:hAnsi="Times New Roman" w:cs="Times New Roman" w:eastAsia="Times New Roman" w:hint="default"/>
          <w:spacing w:val="5"/>
        </w:rPr>
        <w:t> </w:t>
      </w:r>
      <w:r>
        <w:rPr/>
        <w:t>年</w:t>
      </w:r>
      <w:r>
        <w:rPr>
          <w:spacing w:val="-48"/>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月起按</w:t>
      </w:r>
      <w:r>
        <w:rPr>
          <w:spacing w:val="-48"/>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t>年进行平均摊销，</w:t>
      </w: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t>年</w:t>
      </w:r>
      <w:r>
        <w:rPr>
          <w:spacing w:val="-48"/>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月</w:t>
      </w:r>
      <w:r>
        <w:rPr>
          <w:spacing w:val="-48"/>
        </w:rPr>
        <w:t> </w:t>
      </w:r>
      <w:r>
        <w:rPr>
          <w:rFonts w:ascii="Times New Roman" w:hAnsi="Times New Roman" w:cs="Times New Roman" w:eastAsia="Times New Roman" w:hint="default"/>
        </w:rPr>
        <w:t>1</w:t>
      </w:r>
    </w:p>
    <w:p>
      <w:pPr>
        <w:pStyle w:val="BodyText"/>
        <w:spacing w:line="328" w:lineRule="auto" w:before="24"/>
        <w:ind w:left="855" w:right="208"/>
        <w:jc w:val="both"/>
      </w:pPr>
      <w:r>
        <w:rPr/>
        <w:t>日根据《企业会计准则第</w:t>
      </w:r>
      <w:r>
        <w:rPr>
          <w:spacing w:val="-37"/>
        </w:rPr>
        <w:t> </w:t>
      </w:r>
      <w:r>
        <w:rPr>
          <w:rFonts w:ascii="Times New Roman" w:hAnsi="Times New Roman" w:cs="Times New Roman" w:eastAsia="Times New Roman" w:hint="default"/>
        </w:rPr>
        <w:t>38</w:t>
      </w:r>
      <w:r>
        <w:rPr>
          <w:rFonts w:ascii="Times New Roman" w:hAnsi="Times New Roman" w:cs="Times New Roman" w:eastAsia="Times New Roman" w:hint="default"/>
          <w:spacing w:val="16"/>
        </w:rPr>
        <w:t> </w:t>
      </w:r>
      <w:r>
        <w:rPr/>
        <w:t>号－首次执行企业会计准则》的规定，本公司将截止</w:t>
      </w:r>
      <w:r>
        <w:rPr>
          <w:spacing w:val="-37"/>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6"/>
        </w:rPr>
        <w:t> </w:t>
      </w:r>
      <w:r>
        <w:rPr/>
        <w:t>年 末的该股权投资差额的借方摊销余额在编制合并财务报表时列报为商誉；</w:t>
      </w:r>
    </w:p>
    <w:p>
      <w:pPr>
        <w:pStyle w:val="BodyText"/>
        <w:spacing w:line="331" w:lineRule="auto" w:before="47"/>
        <w:ind w:left="855" w:right="206"/>
        <w:jc w:val="both"/>
      </w:pPr>
      <w:r>
        <w:rPr/>
        <w:t>注</w:t>
      </w:r>
      <w:r>
        <w:rPr>
          <w:spacing w:val="-53"/>
        </w:rPr>
        <w:t> </w:t>
      </w:r>
      <w:r>
        <w:rPr>
          <w:rFonts w:ascii="Times New Roman" w:hAnsi="Times New Roman" w:cs="Times New Roman" w:eastAsia="Times New Roman" w:hint="default"/>
        </w:rPr>
        <w:t>2</w:t>
      </w:r>
      <w:r>
        <w:rPr/>
        <w:t>：</w:t>
      </w:r>
      <w:r>
        <w:rPr>
          <w:spacing w:val="-29"/>
        </w:rPr>
        <w:t> </w:t>
      </w:r>
      <w:r>
        <w:rPr>
          <w:spacing w:val="-4"/>
        </w:rPr>
        <w:t>本公司之子公司东软（日本）有限公司于</w:t>
      </w:r>
      <w:r>
        <w:rPr>
          <w:spacing w:val="-53"/>
        </w:rPr>
        <w:t> </w:t>
      </w:r>
      <w:r>
        <w:rPr>
          <w:rFonts w:ascii="Times New Roman" w:hAnsi="Times New Roman" w:cs="Times New Roman" w:eastAsia="Times New Roman" w:hint="default"/>
        </w:rPr>
        <w:t>2004 </w:t>
      </w:r>
      <w:r>
        <w:rPr/>
        <w:t>年</w:t>
      </w:r>
      <w:r>
        <w:rPr>
          <w:spacing w:val="-54"/>
        </w:rPr>
        <w:t> </w:t>
      </w:r>
      <w:r>
        <w:rPr>
          <w:rFonts w:ascii="Times New Roman" w:hAnsi="Times New Roman" w:cs="Times New Roman" w:eastAsia="Times New Roman" w:hint="default"/>
        </w:rPr>
        <w:t>4 </w:t>
      </w:r>
      <w:r>
        <w:rPr/>
        <w:t>月收购了大连东软金融信息技术 有限公司</w:t>
      </w:r>
      <w:r>
        <w:rPr>
          <w:spacing w:val="19"/>
        </w:rPr>
        <w:t> </w:t>
      </w:r>
      <w:r>
        <w:rPr>
          <w:rFonts w:ascii="Times New Roman" w:hAnsi="Times New Roman" w:cs="Times New Roman" w:eastAsia="Times New Roman" w:hint="default"/>
        </w:rPr>
        <w:t>31%</w:t>
      </w:r>
      <w:r>
        <w:rPr/>
        <w:t>的股权</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购买价高于应享有的净资产份额之差额部分确认为股权投资差额，</w:t>
      </w:r>
      <w:r>
        <w:rPr>
          <w:spacing w:val="-102"/>
        </w:rPr>
        <w:t> </w:t>
      </w:r>
      <w:r>
        <w:rPr>
          <w:spacing w:val="-102"/>
        </w:rPr>
      </w:r>
      <w:r>
        <w:rPr/>
        <w:t>并自</w:t>
      </w:r>
      <w:r>
        <w:rPr>
          <w:spacing w:val="-53"/>
        </w:rPr>
        <w:t> </w:t>
      </w:r>
      <w:r>
        <w:rPr>
          <w:rFonts w:ascii="Times New Roman" w:hAnsi="Times New Roman" w:cs="Times New Roman" w:eastAsia="Times New Roman" w:hint="default"/>
        </w:rPr>
        <w:t>2004 </w:t>
      </w:r>
      <w:r>
        <w:rPr/>
        <w:t>年</w:t>
      </w:r>
      <w:r>
        <w:rPr>
          <w:spacing w:val="-54"/>
        </w:rPr>
        <w:t> </w:t>
      </w:r>
      <w:r>
        <w:rPr>
          <w:rFonts w:ascii="Times New Roman" w:hAnsi="Times New Roman" w:cs="Times New Roman" w:eastAsia="Times New Roman" w:hint="default"/>
        </w:rPr>
        <w:t>5 </w:t>
      </w:r>
      <w:r>
        <w:rPr/>
        <w:t>月起按</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spacing w:val="-4"/>
        </w:rPr>
        <w:t>年进行平均摊销，</w:t>
      </w:r>
      <w:r>
        <w:rPr>
          <w:rFonts w:ascii="Times New Roman" w:hAnsi="Times New Roman" w:cs="Times New Roman" w:eastAsia="Times New Roman" w:hint="default"/>
          <w:spacing w:val="-4"/>
        </w:rPr>
        <w:t>2007</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1 </w:t>
      </w:r>
      <w:r>
        <w:rPr/>
        <w:t>月</w:t>
      </w:r>
      <w:r>
        <w:rPr>
          <w:spacing w:val="-54"/>
        </w:rPr>
        <w:t> </w:t>
      </w:r>
      <w:r>
        <w:rPr>
          <w:rFonts w:ascii="Times New Roman" w:hAnsi="Times New Roman" w:cs="Times New Roman" w:eastAsia="Times New Roman" w:hint="default"/>
        </w:rPr>
        <w:t>1 </w:t>
      </w:r>
      <w:r>
        <w:rPr>
          <w:spacing w:val="-5"/>
        </w:rPr>
        <w:t>日根据《企业会计准则第</w:t>
      </w:r>
      <w:r>
        <w:rPr>
          <w:spacing w:val="-53"/>
        </w:rPr>
        <w:t> </w:t>
      </w:r>
      <w:r>
        <w:rPr>
          <w:rFonts w:ascii="Times New Roman" w:hAnsi="Times New Roman" w:cs="Times New Roman" w:eastAsia="Times New Roman" w:hint="default"/>
        </w:rPr>
        <w:t>38</w:t>
      </w:r>
      <w:r>
        <w:rPr>
          <w:rFonts w:ascii="Times New Roman" w:hAnsi="Times New Roman" w:cs="Times New Roman" w:eastAsia="Times New Roman" w:hint="default"/>
          <w:spacing w:val="-1"/>
        </w:rPr>
        <w:t> </w:t>
      </w:r>
      <w:r>
        <w:rPr/>
        <w:t>号－</w:t>
      </w:r>
    </w:p>
    <w:p>
      <w:pPr>
        <w:pStyle w:val="BodyText"/>
        <w:spacing w:line="331" w:lineRule="auto" w:before="20"/>
        <w:ind w:left="855" w:right="210"/>
        <w:jc w:val="both"/>
      </w:pPr>
      <w:r>
        <w:rPr>
          <w:spacing w:val="-3"/>
        </w:rPr>
        <w:t>首次执行企业会计准则》的规定，将截止</w:t>
      </w:r>
      <w:r>
        <w:rPr>
          <w:spacing w:val="-48"/>
        </w:rPr>
        <w:t> </w:t>
      </w:r>
      <w:r>
        <w:rPr>
          <w:rFonts w:ascii="Times New Roman" w:hAnsi="Times New Roman" w:cs="Times New Roman" w:eastAsia="Times New Roman" w:hint="default"/>
        </w:rPr>
        <w:t>2006</w:t>
      </w:r>
      <w:r>
        <w:rPr>
          <w:rFonts w:ascii="Times New Roman" w:hAnsi="Times New Roman" w:cs="Times New Roman" w:eastAsia="Times New Roman" w:hint="default"/>
          <w:spacing w:val="5"/>
        </w:rPr>
        <w:t> </w:t>
      </w:r>
      <w:r>
        <w:rPr/>
        <w:t>年末的股权投资差额的借方摊销余额在编制 合并财务报表时列报为商誉；</w:t>
      </w:r>
    </w:p>
    <w:p>
      <w:pPr>
        <w:pStyle w:val="BodyText"/>
        <w:spacing w:line="331" w:lineRule="auto" w:before="45"/>
        <w:ind w:left="855" w:right="208"/>
        <w:jc w:val="both"/>
      </w:pPr>
      <w:r>
        <w:rPr/>
        <w:t>注</w:t>
      </w:r>
      <w:r>
        <w:rPr>
          <w:spacing w:val="-45"/>
        </w:rPr>
        <w:t> </w:t>
      </w:r>
      <w:r>
        <w:rPr>
          <w:rFonts w:ascii="Times New Roman" w:hAnsi="Times New Roman" w:cs="Times New Roman" w:eastAsia="Times New Roman" w:hint="default"/>
        </w:rPr>
        <w:t>3</w:t>
      </w:r>
      <w:r>
        <w:rPr/>
        <w:t>：</w:t>
      </w:r>
      <w:r>
        <w:rPr>
          <w:rFonts w:ascii="Times New Roman" w:hAnsi="Times New Roman" w:cs="Times New Roman" w:eastAsia="Times New Roman" w:hint="default"/>
        </w:rPr>
        <w:t>2004</w:t>
      </w:r>
      <w:r>
        <w:rPr>
          <w:rFonts w:ascii="Times New Roman" w:hAnsi="Times New Roman" w:cs="Times New Roman" w:eastAsia="Times New Roman" w:hint="default"/>
          <w:spacing w:val="7"/>
        </w:rPr>
        <w:t> </w:t>
      </w:r>
      <w:r>
        <w:rPr/>
        <w:t>年</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45"/>
        </w:rPr>
        <w:t> </w:t>
      </w:r>
      <w:r>
        <w:rPr>
          <w:rFonts w:ascii="Times New Roman" w:hAnsi="Times New Roman" w:cs="Times New Roman" w:eastAsia="Times New Roman" w:hint="default"/>
        </w:rPr>
        <w:t>27</w:t>
      </w:r>
      <w:r>
        <w:rPr>
          <w:rFonts w:ascii="Times New Roman" w:hAnsi="Times New Roman" w:cs="Times New Roman" w:eastAsia="Times New Roman" w:hint="default"/>
          <w:spacing w:val="7"/>
        </w:rPr>
        <w:t> </w:t>
      </w:r>
      <w:r>
        <w:rPr/>
        <w:t>日，本公司对辽宁东软创业投资有限公司增加投资</w:t>
      </w:r>
      <w:r>
        <w:rPr>
          <w:spacing w:val="-45"/>
        </w:rPr>
        <w:t> </w:t>
      </w:r>
      <w:r>
        <w:rPr>
          <w:rFonts w:ascii="Times New Roman" w:hAnsi="Times New Roman" w:cs="Times New Roman" w:eastAsia="Times New Roman" w:hint="default"/>
        </w:rPr>
        <w:t>500</w:t>
      </w:r>
      <w:r>
        <w:rPr>
          <w:rFonts w:ascii="Times New Roman" w:hAnsi="Times New Roman" w:cs="Times New Roman" w:eastAsia="Times New Roman" w:hint="default"/>
          <w:spacing w:val="8"/>
        </w:rPr>
        <w:t> </w:t>
      </w:r>
      <w:r>
        <w:rPr/>
        <w:t>万元，取得 </w:t>
      </w:r>
      <w:r>
        <w:rPr>
          <w:rFonts w:ascii="Times New Roman" w:hAnsi="Times New Roman" w:cs="Times New Roman" w:eastAsia="Times New Roman" w:hint="default"/>
          <w:spacing w:val="-2"/>
        </w:rPr>
        <w:t>4.76%</w:t>
      </w:r>
      <w:r>
        <w:rPr>
          <w:spacing w:val="-2"/>
        </w:rPr>
        <w:t>股权，购买价高于应享有的可辨认净资产的公允价值之差额部分在编制合并财务报表</w:t>
      </w:r>
      <w:r>
        <w:rPr>
          <w:spacing w:val="-78"/>
        </w:rPr>
        <w:t> </w:t>
      </w:r>
      <w:r>
        <w:rPr>
          <w:spacing w:val="-78"/>
        </w:rPr>
      </w:r>
      <w:r>
        <w:rPr>
          <w:spacing w:val="-3"/>
        </w:rPr>
        <w:t>时列报为商誉，</w:t>
      </w:r>
      <w:r>
        <w:rPr>
          <w:rFonts w:ascii="Times New Roman" w:hAnsi="Times New Roman" w:cs="Times New Roman" w:eastAsia="Times New Roman" w:hint="default"/>
          <w:spacing w:val="-3"/>
        </w:rPr>
        <w:t>2007</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3"/>
        </w:rPr>
        <w:t>日根据《企业会计准则第</w:t>
      </w:r>
      <w:r>
        <w:rPr>
          <w:spacing w:val="-52"/>
        </w:rPr>
        <w:t> </w:t>
      </w:r>
      <w:r>
        <w:rPr>
          <w:rFonts w:ascii="Times New Roman" w:hAnsi="Times New Roman" w:cs="Times New Roman" w:eastAsia="Times New Roman" w:hint="default"/>
        </w:rPr>
        <w:t>38</w:t>
      </w:r>
      <w:r>
        <w:rPr>
          <w:rFonts w:ascii="Times New Roman" w:hAnsi="Times New Roman" w:cs="Times New Roman" w:eastAsia="Times New Roman" w:hint="default"/>
          <w:spacing w:val="1"/>
        </w:rPr>
        <w:t> </w:t>
      </w:r>
      <w:r>
        <w:rPr>
          <w:spacing w:val="-3"/>
        </w:rPr>
        <w:t>号－首次执行企业会计准则》的</w:t>
      </w:r>
    </w:p>
    <w:p>
      <w:pPr>
        <w:pStyle w:val="BodyText"/>
        <w:spacing w:line="331" w:lineRule="auto" w:before="20"/>
        <w:ind w:left="855" w:right="98" w:hanging="1"/>
        <w:jc w:val="left"/>
      </w:pPr>
      <w:r>
        <w:rPr>
          <w:spacing w:val="-18"/>
        </w:rPr>
        <w:t>规定，将截止</w:t>
      </w:r>
      <w:r>
        <w:rPr>
          <w:spacing w:val="-58"/>
        </w:rPr>
        <w:t> </w:t>
      </w:r>
      <w:r>
        <w:rPr>
          <w:rFonts w:ascii="Times New Roman" w:hAnsi="Times New Roman" w:cs="Times New Roman" w:eastAsia="Times New Roman" w:hint="default"/>
          <w:spacing w:val="-1"/>
        </w:rPr>
        <w:t>2006</w:t>
      </w:r>
      <w:r>
        <w:rPr>
          <w:rFonts w:ascii="Times New Roman" w:hAnsi="Times New Roman" w:cs="Times New Roman" w:eastAsia="Times New Roman" w:hint="default"/>
          <w:spacing w:val="-4"/>
        </w:rPr>
        <w:t> </w:t>
      </w:r>
      <w:r>
        <w:rPr>
          <w:spacing w:val="-1"/>
        </w:rPr>
        <w:t>年末的股权投资差额的借方摊销余额在编制合并财务报表时列报为商誉；</w:t>
      </w:r>
      <w:r>
        <w:rPr>
          <w:spacing w:val="-99"/>
        </w:rPr>
        <w:t> </w:t>
      </w:r>
      <w:r>
        <w:rPr>
          <w:spacing w:val="-99"/>
        </w:rPr>
      </w:r>
      <w:r>
        <w:rPr/>
        <w:t>注</w:t>
      </w:r>
      <w:r>
        <w:rPr>
          <w:spacing w:val="-44"/>
        </w:rPr>
        <w:t> </w:t>
      </w:r>
      <w:r>
        <w:rPr>
          <w:rFonts w:ascii="Times New Roman" w:hAnsi="Times New Roman" w:cs="Times New Roman" w:eastAsia="Times New Roman" w:hint="default"/>
        </w:rPr>
        <w:t>4</w:t>
      </w:r>
      <w:r>
        <w:rPr/>
        <w:t>：</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w:t>
      </w:r>
      <w:r>
        <w:rPr>
          <w:spacing w:val="-44"/>
        </w:rPr>
        <w:t> </w:t>
      </w:r>
      <w:r>
        <w:rPr>
          <w:rFonts w:ascii="Times New Roman" w:hAnsi="Times New Roman" w:cs="Times New Roman" w:eastAsia="Times New Roman" w:hint="default"/>
        </w:rPr>
        <w:t>4</w:t>
      </w:r>
      <w:r>
        <w:rPr>
          <w:rFonts w:ascii="Times New Roman" w:hAnsi="Times New Roman" w:cs="Times New Roman" w:eastAsia="Times New Roman" w:hint="default"/>
          <w:spacing w:val="9"/>
        </w:rPr>
        <w:t> </w:t>
      </w:r>
      <w:r>
        <w:rPr/>
        <w:t>月本公司收购北京兰瑞科创信息技术有限公司</w:t>
      </w:r>
      <w:r>
        <w:rPr>
          <w:spacing w:val="-44"/>
        </w:rPr>
        <w:t> </w:t>
      </w:r>
      <w:r>
        <w:rPr>
          <w:rFonts w:ascii="Times New Roman" w:hAnsi="Times New Roman" w:cs="Times New Roman" w:eastAsia="Times New Roman" w:hint="default"/>
        </w:rPr>
        <w:t>14%</w:t>
      </w:r>
      <w:r>
        <w:rPr/>
        <w:t>的股权，购买价高于应 享有的可辨认净资产的公允价值之差额部分在编制合并财务报表时列报为商誉；</w:t>
      </w:r>
    </w:p>
    <w:p>
      <w:pPr>
        <w:pStyle w:val="BodyText"/>
        <w:spacing w:line="340" w:lineRule="auto" w:before="45"/>
        <w:ind w:left="855" w:right="207"/>
        <w:jc w:val="both"/>
      </w:pPr>
      <w:r>
        <w:rPr/>
        <w:t>注</w:t>
      </w:r>
      <w:r>
        <w:rPr>
          <w:spacing w:val="-56"/>
        </w:rPr>
        <w:t> </w:t>
      </w:r>
      <w:r>
        <w:rPr>
          <w:rFonts w:ascii="Times New Roman" w:hAnsi="Times New Roman" w:cs="Times New Roman" w:eastAsia="Times New Roman" w:hint="default"/>
          <w:spacing w:val="-4"/>
        </w:rPr>
        <w:t>5</w:t>
      </w:r>
      <w:r>
        <w:rPr>
          <w:spacing w:val="-4"/>
        </w:rPr>
        <w:t>：</w:t>
      </w:r>
      <w:r>
        <w:rPr>
          <w:rFonts w:ascii="Times New Roman" w:hAnsi="Times New Roman" w:cs="Times New Roman" w:eastAsia="Times New Roman" w:hint="default"/>
          <w:spacing w:val="-4"/>
        </w:rPr>
        <w:t>2009 </w:t>
      </w:r>
      <w:r>
        <w:rPr/>
        <w:t>年</w:t>
      </w:r>
      <w:r>
        <w:rPr>
          <w:spacing w:val="-56"/>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月，本公司之间接控股子公司北京东软越通软件技术有限公司以</w:t>
      </w:r>
      <w:r>
        <w:rPr>
          <w:spacing w:val="-56"/>
        </w:rPr>
        <w:t> </w:t>
      </w:r>
      <w:r>
        <w:rPr>
          <w:rFonts w:ascii="Times New Roman" w:hAnsi="Times New Roman" w:cs="Times New Roman" w:eastAsia="Times New Roman" w:hint="default"/>
        </w:rPr>
        <w:t>299</w:t>
      </w:r>
      <w:r>
        <w:rPr>
          <w:rFonts w:ascii="Times New Roman" w:hAnsi="Times New Roman" w:cs="Times New Roman" w:eastAsia="Times New Roman" w:hint="default"/>
          <w:spacing w:val="-3"/>
        </w:rPr>
        <w:t> </w:t>
      </w:r>
      <w:r>
        <w:rPr/>
        <w:t>万元 取得北京源越通软件技术有限公司</w:t>
      </w:r>
      <w:r>
        <w:rPr>
          <w:spacing w:val="-4"/>
        </w:rPr>
        <w:t> </w:t>
      </w:r>
      <w:r>
        <w:rPr>
          <w:rFonts w:ascii="Times New Roman" w:hAnsi="Times New Roman" w:cs="Times New Roman" w:eastAsia="Times New Roman" w:hint="default"/>
        </w:rPr>
        <w:t>74%</w:t>
      </w:r>
      <w:r>
        <w:rPr/>
        <w:t>的股权，购买价高于应享有的可辨认净资产的公允 价值之差额部分在编制合并财务报表时列报为商誉，本报告期，北京源越通软件技术有限</w:t>
      </w:r>
      <w:r>
        <w:rPr>
          <w:spacing w:val="-49"/>
        </w:rPr>
        <w:t> </w:t>
      </w:r>
      <w:r>
        <w:rPr>
          <w:spacing w:val="-49"/>
        </w:rPr>
      </w:r>
      <w:r>
        <w:rPr/>
        <w:t>公司进行清算，商誉部分与长期股权投资一并考虑可收回性，并计提长期股权投资的减值</w:t>
      </w:r>
      <w:r>
        <w:rPr>
          <w:spacing w:val="-49"/>
        </w:rPr>
        <w:t> </w:t>
      </w:r>
      <w:r>
        <w:rPr>
          <w:spacing w:val="-49"/>
        </w:rPr>
      </w:r>
      <w:r>
        <w:rPr/>
        <w:t>准备；</w:t>
      </w:r>
    </w:p>
    <w:p>
      <w:pPr>
        <w:pStyle w:val="BodyText"/>
        <w:spacing w:line="328" w:lineRule="auto" w:before="38"/>
        <w:ind w:left="855" w:right="208"/>
        <w:jc w:val="both"/>
        <w:rPr>
          <w:rFonts w:ascii="Times New Roman" w:hAnsi="Times New Roman" w:cs="Times New Roman" w:eastAsia="Times New Roman" w:hint="default"/>
        </w:rPr>
      </w:pPr>
      <w:r>
        <w:rPr/>
        <w:t>注</w:t>
      </w:r>
      <w:r>
        <w:rPr>
          <w:spacing w:val="-58"/>
        </w:rPr>
        <w:t> </w:t>
      </w:r>
      <w:r>
        <w:rPr>
          <w:rFonts w:ascii="Times New Roman" w:hAnsi="Times New Roman" w:cs="Times New Roman" w:eastAsia="Times New Roman" w:hint="default"/>
        </w:rPr>
        <w:t>6</w:t>
      </w:r>
      <w:r>
        <w:rPr/>
        <w:t>：</w:t>
      </w:r>
      <w:r>
        <w:rPr>
          <w:rFonts w:ascii="Times New Roman" w:hAnsi="Times New Roman" w:cs="Times New Roman" w:eastAsia="Times New Roman" w:hint="default"/>
        </w:rPr>
        <w:t>2009</w:t>
      </w:r>
      <w:r>
        <w:rPr>
          <w:rFonts w:ascii="Times New Roman" w:hAnsi="Times New Roman" w:cs="Times New Roman" w:eastAsia="Times New Roman" w:hint="default"/>
          <w:spacing w:val="-6"/>
        </w:rPr>
        <w:t> </w:t>
      </w:r>
      <w:r>
        <w:rPr/>
        <w:t>年</w:t>
      </w:r>
      <w:r>
        <w:rPr>
          <w:spacing w:val="-58"/>
        </w:rPr>
        <w:t> </w:t>
      </w:r>
      <w:r>
        <w:rPr>
          <w:rFonts w:ascii="Times New Roman" w:hAnsi="Times New Roman" w:cs="Times New Roman" w:eastAsia="Times New Roman" w:hint="default"/>
        </w:rPr>
        <w:t>10</w:t>
      </w:r>
      <w:r>
        <w:rPr>
          <w:rFonts w:ascii="Times New Roman" w:hAnsi="Times New Roman" w:cs="Times New Roman" w:eastAsia="Times New Roman" w:hint="default"/>
          <w:spacing w:val="-6"/>
        </w:rPr>
        <w:t> </w:t>
      </w:r>
      <w:r>
        <w:rPr/>
        <w:t>月，本公司之子公司东软（欧洲）有限公司（以下简称</w:t>
      </w:r>
      <w:r>
        <w:rPr>
          <w:rFonts w:ascii="Times New Roman" w:hAnsi="Times New Roman" w:cs="Times New Roman" w:eastAsia="Times New Roman" w:hint="default"/>
        </w:rPr>
        <w:t>“</w:t>
      </w:r>
      <w:r>
        <w:rPr/>
        <w:t>东软欧洲</w:t>
      </w:r>
      <w:r>
        <w:rPr>
          <w:rFonts w:ascii="Times New Roman" w:hAnsi="Times New Roman" w:cs="Times New Roman" w:eastAsia="Times New Roman" w:hint="default"/>
        </w:rPr>
        <w:t>”</w:t>
      </w:r>
      <w:r>
        <w:rPr/>
        <w:t>）购买 </w:t>
      </w:r>
      <w:r>
        <w:rPr>
          <w:rFonts w:ascii="Times New Roman" w:hAnsi="Times New Roman" w:cs="Times New Roman" w:eastAsia="Times New Roman" w:hint="default"/>
        </w:rPr>
        <w:t>Sesca</w:t>
      </w:r>
      <w:r>
        <w:rPr>
          <w:rFonts w:ascii="Times New Roman" w:hAnsi="Times New Roman" w:cs="Times New Roman" w:eastAsia="Times New Roman" w:hint="default"/>
          <w:spacing w:val="-2"/>
        </w:rPr>
        <w:t> </w:t>
      </w:r>
      <w:r>
        <w:rPr>
          <w:rFonts w:ascii="Times New Roman" w:hAnsi="Times New Roman" w:cs="Times New Roman" w:eastAsia="Times New Roman" w:hint="default"/>
        </w:rPr>
        <w:t>Mobile</w:t>
      </w:r>
      <w:r>
        <w:rPr>
          <w:rFonts w:ascii="Times New Roman" w:hAnsi="Times New Roman" w:cs="Times New Roman" w:eastAsia="Times New Roman" w:hint="default"/>
          <w:spacing w:val="-2"/>
        </w:rPr>
        <w:t> </w:t>
      </w:r>
      <w:r>
        <w:rPr>
          <w:rFonts w:ascii="Times New Roman" w:hAnsi="Times New Roman" w:cs="Times New Roman" w:eastAsia="Times New Roman" w:hint="default"/>
        </w:rPr>
        <w:t>Software</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3"/>
        </w:rPr>
        <w:t>Oy</w:t>
      </w:r>
      <w:r>
        <w:rPr>
          <w:spacing w:val="-3"/>
        </w:rPr>
        <w:t>（后更名为</w:t>
      </w:r>
      <w:r>
        <w:rPr>
          <w:spacing w:val="-54"/>
        </w:rPr>
        <w:t> </w:t>
      </w:r>
      <w:r>
        <w:rPr>
          <w:rFonts w:ascii="Times New Roman" w:hAnsi="Times New Roman" w:cs="Times New Roman" w:eastAsia="Times New Roman" w:hint="default"/>
        </w:rPr>
        <w:t>Neusoft</w:t>
      </w:r>
      <w:r>
        <w:rPr>
          <w:rFonts w:ascii="Times New Roman" w:hAnsi="Times New Roman" w:cs="Times New Roman" w:eastAsia="Times New Roman" w:hint="default"/>
          <w:spacing w:val="-2"/>
        </w:rPr>
        <w:t> </w:t>
      </w:r>
      <w:r>
        <w:rPr>
          <w:rFonts w:ascii="Times New Roman" w:hAnsi="Times New Roman" w:cs="Times New Roman" w:eastAsia="Times New Roman" w:hint="default"/>
        </w:rPr>
        <w:t>Mobile</w:t>
      </w:r>
      <w:r>
        <w:rPr>
          <w:rFonts w:ascii="Times New Roman" w:hAnsi="Times New Roman" w:cs="Times New Roman" w:eastAsia="Times New Roman" w:hint="default"/>
          <w:spacing w:val="-2"/>
        </w:rPr>
        <w:t> </w:t>
      </w:r>
      <w:r>
        <w:rPr>
          <w:rFonts w:ascii="Times New Roman" w:hAnsi="Times New Roman" w:cs="Times New Roman" w:eastAsia="Times New Roman" w:hint="default"/>
        </w:rPr>
        <w:t>Solutions</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5"/>
        </w:rPr>
        <w:t>Oy</w:t>
      </w:r>
      <w:r>
        <w:rPr>
          <w:spacing w:val="-5"/>
        </w:rPr>
        <w:t>）、</w:t>
      </w:r>
      <w:r>
        <w:rPr>
          <w:rFonts w:ascii="Times New Roman" w:hAnsi="Times New Roman" w:cs="Times New Roman" w:eastAsia="Times New Roman" w:hint="default"/>
          <w:spacing w:val="-5"/>
        </w:rPr>
        <w:t>Almitas</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4"/>
        </w:rPr>
        <w:t>Oy</w:t>
      </w:r>
      <w:r>
        <w:rPr>
          <w:spacing w:val="-4"/>
        </w:rPr>
        <w:t>（</w:t>
      </w:r>
      <w:r>
        <w:rPr>
          <w:rFonts w:ascii="Times New Roman" w:hAnsi="Times New Roman" w:cs="Times New Roman" w:eastAsia="Times New Roman" w:hint="default"/>
          <w:spacing w:val="-4"/>
        </w:rPr>
        <w:t>2010</w:t>
      </w:r>
      <w:r>
        <w:rPr>
          <w:rFonts w:ascii="Times New Roman" w:hAnsi="Times New Roman" w:cs="Times New Roman" w:eastAsia="Times New Roman" w:hint="default"/>
          <w:spacing w:val="-2"/>
        </w:rPr>
        <w:t> </w:t>
      </w:r>
      <w:r>
        <w:rPr/>
        <w:t>年注 销，所有相关业务及人员归并入 </w:t>
      </w:r>
      <w:r>
        <w:rPr>
          <w:rFonts w:ascii="Times New Roman" w:hAnsi="Times New Roman" w:cs="Times New Roman" w:eastAsia="Times New Roman" w:hint="default"/>
        </w:rPr>
        <w:t>Neusoft Mobile Solutions Oy</w:t>
      </w:r>
      <w:r>
        <w:rPr/>
        <w:t>） 和 </w:t>
      </w:r>
      <w:r>
        <w:rPr>
          <w:rFonts w:ascii="Times New Roman" w:hAnsi="Times New Roman" w:cs="Times New Roman" w:eastAsia="Times New Roman" w:hint="default"/>
        </w:rPr>
        <w:t>Sesca Technologies</w:t>
      </w:r>
      <w:r>
        <w:rPr>
          <w:rFonts w:ascii="Times New Roman" w:hAnsi="Times New Roman" w:cs="Times New Roman" w:eastAsia="Times New Roman" w:hint="default"/>
          <w:spacing w:val="-10"/>
        </w:rPr>
        <w:t> </w:t>
      </w:r>
      <w:r>
        <w:rPr>
          <w:rFonts w:ascii="Times New Roman" w:hAnsi="Times New Roman" w:cs="Times New Roman" w:eastAsia="Times New Roman" w:hint="default"/>
        </w:rPr>
        <w:t>SRL</w:t>
      </w:r>
    </w:p>
    <w:p>
      <w:pPr>
        <w:pStyle w:val="BodyText"/>
        <w:spacing w:line="338" w:lineRule="auto" w:before="24"/>
        <w:ind w:left="855" w:right="89"/>
        <w:jc w:val="left"/>
      </w:pPr>
      <w:r>
        <w:rPr/>
        <w:t>（后更名为</w:t>
      </w:r>
      <w:r>
        <w:rPr>
          <w:spacing w:val="-55"/>
        </w:rPr>
        <w:t> </w:t>
      </w:r>
      <w:r>
        <w:rPr>
          <w:rFonts w:ascii="Times New Roman" w:hAnsi="Times New Roman" w:cs="Times New Roman" w:eastAsia="Times New Roman" w:hint="default"/>
        </w:rPr>
        <w:t>Neusoft</w:t>
      </w:r>
      <w:r>
        <w:rPr>
          <w:rFonts w:ascii="Times New Roman" w:hAnsi="Times New Roman" w:cs="Times New Roman" w:eastAsia="Times New Roman" w:hint="default"/>
          <w:spacing w:val="3"/>
        </w:rPr>
        <w:t> </w:t>
      </w:r>
      <w:r>
        <w:rPr>
          <w:rFonts w:ascii="Times New Roman" w:hAnsi="Times New Roman" w:cs="Times New Roman" w:eastAsia="Times New Roman" w:hint="default"/>
        </w:rPr>
        <w:t>Mobile</w:t>
      </w:r>
      <w:r>
        <w:rPr>
          <w:rFonts w:ascii="Times New Roman" w:hAnsi="Times New Roman" w:cs="Times New Roman" w:eastAsia="Times New Roman" w:hint="default"/>
          <w:spacing w:val="3"/>
        </w:rPr>
        <w:t> </w:t>
      </w:r>
      <w:r>
        <w:rPr>
          <w:rFonts w:ascii="Times New Roman" w:hAnsi="Times New Roman" w:cs="Times New Roman" w:eastAsia="Times New Roman" w:hint="default"/>
        </w:rPr>
        <w:t>Solutions</w:t>
      </w:r>
      <w:r>
        <w:rPr>
          <w:rFonts w:ascii="Times New Roman" w:hAnsi="Times New Roman" w:cs="Times New Roman" w:eastAsia="Times New Roman" w:hint="default"/>
          <w:spacing w:val="3"/>
        </w:rPr>
        <w:t> </w:t>
      </w:r>
      <w:r>
        <w:rPr>
          <w:rFonts w:ascii="Times New Roman" w:hAnsi="Times New Roman" w:cs="Times New Roman" w:eastAsia="Times New Roman" w:hint="default"/>
        </w:rPr>
        <w:t>SRL</w:t>
      </w:r>
      <w:r>
        <w:rPr/>
        <w:t>）三家公司</w:t>
      </w:r>
      <w:r>
        <w:rPr>
          <w:spacing w:val="-55"/>
        </w:rPr>
        <w:t> </w:t>
      </w:r>
      <w:r>
        <w:rPr>
          <w:rFonts w:ascii="Times New Roman" w:hAnsi="Times New Roman" w:cs="Times New Roman" w:eastAsia="Times New Roman" w:hint="default"/>
        </w:rPr>
        <w:t>100%</w:t>
      </w:r>
      <w:r>
        <w:rPr/>
        <w:t>的股权，交易对价合计</w:t>
      </w:r>
      <w:r>
        <w:rPr>
          <w:spacing w:val="-55"/>
        </w:rPr>
        <w:t> </w:t>
      </w:r>
      <w:r>
        <w:rPr>
          <w:rFonts w:ascii="Times New Roman" w:hAnsi="Times New Roman" w:cs="Times New Roman" w:eastAsia="Times New Roman" w:hint="default"/>
        </w:rPr>
        <w:t>900</w:t>
      </w:r>
      <w:r>
        <w:rPr>
          <w:rFonts w:ascii="Times New Roman" w:hAnsi="Times New Roman" w:cs="Times New Roman" w:eastAsia="Times New Roman" w:hint="default"/>
          <w:spacing w:val="-3"/>
        </w:rPr>
        <w:t> </w:t>
      </w:r>
      <w:r>
        <w:rPr/>
        <w:t>万欧 </w:t>
      </w:r>
      <w:r>
        <w:rPr>
          <w:spacing w:val="-1"/>
        </w:rPr>
        <w:t>元，购买价高于应享有的可辨认净资产公允价值之差额在编制合并财务报表时列报为商誉。</w:t>
      </w:r>
      <w:r>
        <w:rPr>
          <w:spacing w:val="-103"/>
        </w:rPr>
        <w:t> </w:t>
      </w:r>
      <w:r>
        <w:rPr>
          <w:spacing w:val="-103"/>
        </w:rPr>
      </w:r>
      <w:r>
        <w:rPr/>
        <w:t>因</w:t>
      </w:r>
      <w:r>
        <w:rPr>
          <w:spacing w:val="-55"/>
        </w:rPr>
        <w:t> </w:t>
      </w:r>
      <w:r>
        <w:rPr>
          <w:rFonts w:ascii="Times New Roman" w:hAnsi="Times New Roman" w:cs="Times New Roman" w:eastAsia="Times New Roman" w:hint="default"/>
        </w:rPr>
        <w:t>Neusoft</w:t>
      </w:r>
      <w:r>
        <w:rPr>
          <w:rFonts w:ascii="Times New Roman" w:hAnsi="Times New Roman" w:cs="Times New Roman" w:eastAsia="Times New Roman" w:hint="default"/>
          <w:spacing w:val="11"/>
        </w:rPr>
        <w:t> </w:t>
      </w:r>
      <w:r>
        <w:rPr>
          <w:rFonts w:ascii="Times New Roman" w:hAnsi="Times New Roman" w:cs="Times New Roman" w:eastAsia="Times New Roman" w:hint="default"/>
        </w:rPr>
        <w:t>Mobile</w:t>
      </w:r>
      <w:r>
        <w:rPr>
          <w:rFonts w:ascii="Times New Roman" w:hAnsi="Times New Roman" w:cs="Times New Roman" w:eastAsia="Times New Roman" w:hint="default"/>
          <w:spacing w:val="10"/>
        </w:rPr>
        <w:t> </w:t>
      </w:r>
      <w:r>
        <w:rPr>
          <w:rFonts w:ascii="Times New Roman" w:hAnsi="Times New Roman" w:cs="Times New Roman" w:eastAsia="Times New Roman" w:hint="default"/>
        </w:rPr>
        <w:t>Solutions</w:t>
      </w:r>
      <w:r>
        <w:rPr>
          <w:rFonts w:ascii="Times New Roman" w:hAnsi="Times New Roman" w:cs="Times New Roman" w:eastAsia="Times New Roman" w:hint="default"/>
          <w:spacing w:val="11"/>
        </w:rPr>
        <w:t> </w:t>
      </w:r>
      <w:r>
        <w:rPr>
          <w:rFonts w:ascii="Times New Roman" w:hAnsi="Times New Roman" w:cs="Times New Roman" w:eastAsia="Times New Roman" w:hint="default"/>
        </w:rPr>
        <w:t>Oy</w:t>
      </w:r>
      <w:r>
        <w:rPr/>
        <w:t>（含</w:t>
      </w:r>
      <w:r>
        <w:rPr>
          <w:spacing w:val="-55"/>
        </w:rPr>
        <w:t> </w:t>
      </w:r>
      <w:r>
        <w:rPr>
          <w:rFonts w:ascii="Times New Roman" w:hAnsi="Times New Roman" w:cs="Times New Roman" w:eastAsia="Times New Roman" w:hint="default"/>
        </w:rPr>
        <w:t>Almitas</w:t>
      </w:r>
      <w:r>
        <w:rPr>
          <w:rFonts w:ascii="Times New Roman" w:hAnsi="Times New Roman" w:cs="Times New Roman" w:eastAsia="Times New Roman" w:hint="default"/>
          <w:spacing w:val="11"/>
        </w:rPr>
        <w:t> </w:t>
      </w:r>
      <w:r>
        <w:rPr>
          <w:rFonts w:ascii="Times New Roman" w:hAnsi="Times New Roman" w:cs="Times New Roman" w:eastAsia="Times New Roman" w:hint="default"/>
        </w:rPr>
        <w:t>Oy</w:t>
      </w:r>
      <w:r>
        <w:rPr/>
        <w:t>）和</w:t>
      </w:r>
      <w:r>
        <w:rPr>
          <w:spacing w:val="-55"/>
        </w:rPr>
        <w:t> </w:t>
      </w:r>
      <w:r>
        <w:rPr>
          <w:rFonts w:ascii="Times New Roman" w:hAnsi="Times New Roman" w:cs="Times New Roman" w:eastAsia="Times New Roman" w:hint="default"/>
        </w:rPr>
        <w:t>Neusoft</w:t>
      </w:r>
      <w:r>
        <w:rPr>
          <w:rFonts w:ascii="Times New Roman" w:hAnsi="Times New Roman" w:cs="Times New Roman" w:eastAsia="Times New Roman" w:hint="default"/>
          <w:spacing w:val="11"/>
        </w:rPr>
        <w:t> </w:t>
      </w:r>
      <w:r>
        <w:rPr>
          <w:rFonts w:ascii="Times New Roman" w:hAnsi="Times New Roman" w:cs="Times New Roman" w:eastAsia="Times New Roman" w:hint="default"/>
        </w:rPr>
        <w:t>Mobile</w:t>
      </w:r>
      <w:r>
        <w:rPr>
          <w:rFonts w:ascii="Times New Roman" w:hAnsi="Times New Roman" w:cs="Times New Roman" w:eastAsia="Times New Roman" w:hint="default"/>
          <w:spacing w:val="10"/>
        </w:rPr>
        <w:t> </w:t>
      </w:r>
      <w:r>
        <w:rPr>
          <w:rFonts w:ascii="Times New Roman" w:hAnsi="Times New Roman" w:cs="Times New Roman" w:eastAsia="Times New Roman" w:hint="default"/>
        </w:rPr>
        <w:t>Solutions</w:t>
      </w:r>
      <w:r>
        <w:rPr>
          <w:rFonts w:ascii="Times New Roman" w:hAnsi="Times New Roman" w:cs="Times New Roman" w:eastAsia="Times New Roman" w:hint="default"/>
          <w:spacing w:val="11"/>
        </w:rPr>
        <w:t> </w:t>
      </w:r>
      <w:r>
        <w:rPr>
          <w:rFonts w:ascii="Times New Roman" w:hAnsi="Times New Roman" w:cs="Times New Roman" w:eastAsia="Times New Roman" w:hint="default"/>
        </w:rPr>
        <w:t>SRL</w:t>
      </w:r>
      <w:r>
        <w:rPr>
          <w:rFonts w:ascii="Times New Roman" w:hAnsi="Times New Roman" w:cs="Times New Roman" w:eastAsia="Times New Roman" w:hint="default"/>
          <w:spacing w:val="-3"/>
        </w:rPr>
        <w:t> </w:t>
      </w:r>
      <w:r>
        <w:rPr/>
        <w:t>两家公司 的主要客户、业务内容、管理层团队基本一致，因而将其作为一个资产组组合进行商誉减</w:t>
      </w:r>
      <w:r>
        <w:rPr>
          <w:spacing w:val="-49"/>
        </w:rPr>
        <w:t> </w:t>
      </w:r>
      <w:r>
        <w:rPr>
          <w:spacing w:val="-49"/>
        </w:rPr>
      </w:r>
      <w:r>
        <w:rPr/>
        <w:t>值测试，报告期内商誉减值准备较年初变动金额中</w:t>
      </w:r>
      <w:r>
        <w:rPr>
          <w:spacing w:val="-63"/>
        </w:rPr>
        <w:t> </w:t>
      </w:r>
      <w:r>
        <w:rPr>
          <w:rFonts w:ascii="Times New Roman" w:hAnsi="Times New Roman" w:cs="Times New Roman" w:eastAsia="Times New Roman" w:hint="default"/>
        </w:rPr>
        <w:t>4,551,431</w:t>
      </w:r>
      <w:r>
        <w:rPr>
          <w:rFonts w:ascii="Times New Roman" w:hAnsi="Times New Roman" w:cs="Times New Roman" w:eastAsia="Times New Roman" w:hint="default"/>
          <w:spacing w:val="-11"/>
        </w:rPr>
        <w:t> </w:t>
      </w:r>
      <w:r>
        <w:rPr/>
        <w:t>元为通过减值测试计提增加的 商誉减值准备，其余变动金额为汇率变动影响。</w:t>
      </w:r>
    </w:p>
    <w:p>
      <w:pPr>
        <w:pStyle w:val="BodyText"/>
        <w:spacing w:line="328" w:lineRule="auto" w:before="40"/>
        <w:ind w:left="855" w:right="208"/>
        <w:jc w:val="both"/>
      </w:pPr>
      <w:r>
        <w:rPr/>
        <w:t>注</w:t>
      </w:r>
      <w:r>
        <w:rPr>
          <w:spacing w:val="-55"/>
        </w:rPr>
        <w:t> </w:t>
      </w:r>
      <w:r>
        <w:rPr>
          <w:rFonts w:ascii="Times New Roman" w:hAnsi="Times New Roman" w:cs="Times New Roman" w:eastAsia="Times New Roman" w:hint="default"/>
        </w:rPr>
        <w:t>7</w:t>
      </w:r>
      <w:r>
        <w:rPr/>
        <w:t>：</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月，东软欧洲购买</w:t>
      </w:r>
      <w:r>
        <w:rPr>
          <w:spacing w:val="-55"/>
        </w:rPr>
        <w:t> </w:t>
      </w:r>
      <w:r>
        <w:rPr>
          <w:rFonts w:ascii="Times New Roman" w:hAnsi="Times New Roman" w:cs="Times New Roman" w:eastAsia="Times New Roman" w:hint="default"/>
        </w:rPr>
        <w:t>Johanna</w:t>
      </w:r>
      <w:r>
        <w:rPr>
          <w:rFonts w:ascii="Times New Roman" w:hAnsi="Times New Roman" w:cs="Times New Roman" w:eastAsia="Times New Roman" w:hint="default"/>
          <w:spacing w:val="8"/>
        </w:rPr>
        <w:t> </w:t>
      </w:r>
      <w:r>
        <w:rPr>
          <w:rFonts w:ascii="Times New Roman" w:hAnsi="Times New Roman" w:cs="Times New Roman" w:eastAsia="Times New Roman" w:hint="default"/>
        </w:rPr>
        <w:t>GmbH</w:t>
      </w:r>
      <w:r>
        <w:rPr/>
        <w:t>（后更名为</w:t>
      </w:r>
      <w:r>
        <w:rPr>
          <w:rFonts w:ascii="Times New Roman" w:hAnsi="Times New Roman" w:cs="Times New Roman" w:eastAsia="Times New Roman" w:hint="default"/>
        </w:rPr>
        <w:t>“Neusoft</w:t>
      </w:r>
      <w:r>
        <w:rPr>
          <w:rFonts w:ascii="Times New Roman" w:hAnsi="Times New Roman" w:cs="Times New Roman" w:eastAsia="Times New Roman" w:hint="default"/>
          <w:spacing w:val="8"/>
        </w:rPr>
        <w:t> </w:t>
      </w:r>
      <w:r>
        <w:rPr>
          <w:rFonts w:ascii="Times New Roman" w:hAnsi="Times New Roman" w:cs="Times New Roman" w:eastAsia="Times New Roman" w:hint="default"/>
        </w:rPr>
        <w:t>Technology</w:t>
      </w:r>
      <w:r>
        <w:rPr>
          <w:rFonts w:ascii="Times New Roman" w:hAnsi="Times New Roman" w:cs="Times New Roman" w:eastAsia="Times New Roman" w:hint="default"/>
          <w:spacing w:val="7"/>
        </w:rPr>
        <w:t> </w:t>
      </w:r>
      <w:r>
        <w:rPr>
          <w:rFonts w:ascii="Times New Roman" w:hAnsi="Times New Roman" w:cs="Times New Roman" w:eastAsia="Times New Roman" w:hint="default"/>
        </w:rPr>
        <w:t>Solutions</w:t>
      </w:r>
      <w:r>
        <w:rPr>
          <w:rFonts w:ascii="Times New Roman" w:hAnsi="Times New Roman" w:cs="Times New Roman" w:eastAsia="Times New Roman" w:hint="default"/>
          <w:w w:val="99"/>
        </w:rPr>
        <w:t> </w:t>
      </w:r>
      <w:r>
        <w:rPr>
          <w:rFonts w:ascii="Times New Roman" w:hAnsi="Times New Roman" w:cs="Times New Roman" w:eastAsia="Times New Roman" w:hint="default"/>
        </w:rPr>
        <w:t>GmbH</w:t>
      </w:r>
      <w:r>
        <w:rPr>
          <w:rFonts w:ascii="Times New Roman" w:hAnsi="Times New Roman" w:cs="Times New Roman" w:eastAsia="Times New Roman" w:hint="default"/>
          <w:spacing w:val="-15"/>
        </w:rPr>
        <w:t> </w:t>
      </w:r>
      <w:r>
        <w:rPr>
          <w:rFonts w:ascii="Times New Roman" w:hAnsi="Times New Roman" w:cs="Times New Roman" w:eastAsia="Times New Roman" w:hint="default"/>
        </w:rPr>
        <w:t>”</w:t>
      </w:r>
      <w:r>
        <w:rPr/>
        <w:t>）</w:t>
      </w:r>
      <w:r>
        <w:rPr>
          <w:rFonts w:ascii="Times New Roman" w:hAnsi="Times New Roman" w:cs="Times New Roman" w:eastAsia="Times New Roman" w:hint="default"/>
        </w:rPr>
        <w:t>100%</w:t>
      </w:r>
      <w:r>
        <w:rPr/>
        <w:t>的股权，交易对价共</w:t>
      </w:r>
      <w:r>
        <w:rPr>
          <w:spacing w:val="-67"/>
        </w:rPr>
        <w:t> </w:t>
      </w:r>
      <w:r>
        <w:rPr>
          <w:rFonts w:ascii="Times New Roman" w:hAnsi="Times New Roman" w:cs="Times New Roman" w:eastAsia="Times New Roman" w:hint="default"/>
        </w:rPr>
        <w:t>2.9</w:t>
      </w:r>
      <w:r>
        <w:rPr>
          <w:rFonts w:ascii="Times New Roman" w:hAnsi="Times New Roman" w:cs="Times New Roman" w:eastAsia="Times New Roman" w:hint="default"/>
          <w:spacing w:val="-14"/>
        </w:rPr>
        <w:t> </w:t>
      </w:r>
      <w:r>
        <w:rPr/>
        <w:t>万欧元，购买价高于应享有的可辨认净资产公允价</w:t>
      </w:r>
      <w:r>
        <w:rPr>
          <w:w w:val="99"/>
        </w:rPr>
        <w:t> </w:t>
      </w:r>
      <w:r>
        <w:rPr/>
        <w:t>值之差额在编制合并财务报表时列报为商誉。</w:t>
      </w:r>
    </w:p>
    <w:p>
      <w:pPr>
        <w:spacing w:after="0" w:line="328" w:lineRule="auto"/>
        <w:jc w:val="both"/>
        <w:sectPr>
          <w:pgSz w:w="11910" w:h="16840"/>
          <w:pgMar w:header="0" w:footer="1003" w:top="1540" w:bottom="1200" w:left="1660" w:right="920"/>
        </w:sectPr>
      </w:pPr>
    </w:p>
    <w:p>
      <w:pPr>
        <w:spacing w:line="240" w:lineRule="auto" w:before="13"/>
        <w:rPr>
          <w:rFonts w:ascii="宋体" w:hAnsi="宋体" w:cs="宋体" w:eastAsia="宋体" w:hint="default"/>
          <w:sz w:val="7"/>
          <w:szCs w:val="7"/>
        </w:rPr>
      </w:pPr>
    </w:p>
    <w:p>
      <w:pPr>
        <w:pStyle w:val="BodyText"/>
        <w:spacing w:line="328" w:lineRule="auto"/>
        <w:ind w:left="855" w:right="148"/>
        <w:jc w:val="both"/>
      </w:pPr>
      <w:r>
        <w:rPr/>
        <w:t>注</w:t>
      </w:r>
      <w:r>
        <w:rPr>
          <w:spacing w:val="-55"/>
        </w:rPr>
        <w:t> </w:t>
      </w:r>
      <w:r>
        <w:rPr>
          <w:rFonts w:ascii="Times New Roman" w:hAnsi="Times New Roman" w:cs="Times New Roman" w:eastAsia="Times New Roman" w:hint="default"/>
        </w:rPr>
        <w:t>8</w:t>
      </w:r>
      <w:r>
        <w:rPr/>
        <w:t>：</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t>月，东软欧洲之德国子公司</w:t>
      </w:r>
      <w:r>
        <w:rPr>
          <w:spacing w:val="-55"/>
        </w:rPr>
        <w:t> </w:t>
      </w:r>
      <w:r>
        <w:rPr>
          <w:rFonts w:ascii="Times New Roman" w:hAnsi="Times New Roman" w:cs="Times New Roman" w:eastAsia="Times New Roman" w:hint="default"/>
        </w:rPr>
        <w:t>Neusoft</w:t>
      </w:r>
      <w:r>
        <w:rPr>
          <w:rFonts w:ascii="Times New Roman" w:hAnsi="Times New Roman" w:cs="Times New Roman" w:eastAsia="Times New Roman" w:hint="default"/>
          <w:spacing w:val="24"/>
        </w:rPr>
        <w:t> </w:t>
      </w:r>
      <w:r>
        <w:rPr>
          <w:rFonts w:ascii="Times New Roman" w:hAnsi="Times New Roman" w:cs="Times New Roman" w:eastAsia="Times New Roman" w:hint="default"/>
        </w:rPr>
        <w:t>Technology</w:t>
      </w:r>
      <w:r>
        <w:rPr>
          <w:rFonts w:ascii="Times New Roman" w:hAnsi="Times New Roman" w:cs="Times New Roman" w:eastAsia="Times New Roman" w:hint="default"/>
          <w:spacing w:val="24"/>
        </w:rPr>
        <w:t> </w:t>
      </w:r>
      <w:r>
        <w:rPr>
          <w:rFonts w:ascii="Times New Roman" w:hAnsi="Times New Roman" w:cs="Times New Roman" w:eastAsia="Times New Roman" w:hint="default"/>
        </w:rPr>
        <w:t>Solutions</w:t>
      </w:r>
      <w:r>
        <w:rPr>
          <w:rFonts w:ascii="Times New Roman" w:hAnsi="Times New Roman" w:cs="Times New Roman" w:eastAsia="Times New Roman" w:hint="default"/>
          <w:spacing w:val="23"/>
        </w:rPr>
        <w:t> </w:t>
      </w:r>
      <w:r>
        <w:rPr>
          <w:rFonts w:ascii="Times New Roman" w:hAnsi="Times New Roman" w:cs="Times New Roman" w:eastAsia="Times New Roman" w:hint="default"/>
        </w:rPr>
        <w:t>GmbH</w:t>
      </w:r>
      <w:r>
        <w:rPr>
          <w:rFonts w:ascii="Times New Roman" w:hAnsi="Times New Roman" w:cs="Times New Roman" w:eastAsia="Times New Roman" w:hint="default"/>
          <w:spacing w:val="49"/>
        </w:rPr>
        <w:t> </w:t>
      </w:r>
      <w:r>
        <w:rPr/>
        <w:t>（以下简 称</w:t>
      </w:r>
      <w:r>
        <w:rPr>
          <w:rFonts w:ascii="Times New Roman" w:hAnsi="Times New Roman" w:cs="Times New Roman" w:eastAsia="Times New Roman" w:hint="default"/>
        </w:rPr>
        <w:t>“NTS”</w:t>
      </w:r>
      <w:r>
        <w:rPr/>
        <w:t>）完成收购</w:t>
      </w:r>
      <w:r>
        <w:rPr>
          <w:spacing w:val="-72"/>
        </w:rPr>
        <w:t> </w:t>
      </w:r>
      <w:r>
        <w:rPr>
          <w:rFonts w:ascii="Times New Roman" w:hAnsi="Times New Roman" w:cs="Times New Roman" w:eastAsia="Times New Roman" w:hint="default"/>
        </w:rPr>
        <w:t>Harman</w:t>
      </w:r>
      <w:r>
        <w:rPr>
          <w:rFonts w:ascii="Times New Roman" w:hAnsi="Times New Roman" w:cs="Times New Roman" w:eastAsia="Times New Roman" w:hint="default"/>
          <w:spacing w:val="-19"/>
        </w:rPr>
        <w:t> </w:t>
      </w:r>
      <w:r>
        <w:rPr/>
        <w:t>子公司所拥有的与汽车导航系统相关的电子硬件、机械硬件和 应用软件开发业务，及所拥有的支持以上业务运行的所有有形固定资产、存货、权利、合</w:t>
      </w:r>
      <w:r>
        <w:rPr>
          <w:spacing w:val="-49"/>
        </w:rPr>
        <w:t> </w:t>
      </w:r>
      <w:r>
        <w:rPr>
          <w:spacing w:val="-49"/>
        </w:rPr>
      </w:r>
      <w:r>
        <w:rPr/>
        <w:t>同、员工合同关系和雇佣关系（以上合称</w:t>
      </w:r>
      <w:r>
        <w:rPr>
          <w:rFonts w:ascii="Times New Roman" w:hAnsi="Times New Roman" w:cs="Times New Roman" w:eastAsia="Times New Roman" w:hint="default"/>
        </w:rPr>
        <w:t>“VND </w:t>
      </w:r>
      <w:r>
        <w:rPr/>
        <w:t>业务及资产</w:t>
      </w:r>
      <w:r>
        <w:rPr>
          <w:rFonts w:ascii="Times New Roman" w:hAnsi="Times New Roman" w:cs="Times New Roman" w:eastAsia="Times New Roman" w:hint="default"/>
        </w:rPr>
        <w:t>”</w:t>
      </w:r>
      <w:r>
        <w:rPr/>
        <w:t>），交易对价为</w:t>
      </w:r>
      <w:r>
        <w:rPr>
          <w:spacing w:val="-52"/>
        </w:rPr>
        <w:t> </w:t>
      </w:r>
      <w:r>
        <w:rPr>
          <w:rFonts w:ascii="Times New Roman" w:hAnsi="Times New Roman" w:cs="Times New Roman" w:eastAsia="Times New Roman" w:hint="default"/>
        </w:rPr>
        <w:t>600</w:t>
      </w:r>
      <w:r>
        <w:rPr>
          <w:rFonts w:ascii="Times New Roman" w:hAnsi="Times New Roman" w:cs="Times New Roman" w:eastAsia="Times New Roman" w:hint="default"/>
          <w:spacing w:val="-1"/>
        </w:rPr>
        <w:t> </w:t>
      </w:r>
      <w:r>
        <w:rPr/>
        <w:t>万欧元， 购买价高于应享有的可辨认净资产公允价值之差额在编制合并财务报表时列报为商誉，报</w:t>
      </w:r>
      <w:r>
        <w:rPr>
          <w:spacing w:val="-49"/>
        </w:rPr>
        <w:t> </w:t>
      </w:r>
      <w:r>
        <w:rPr>
          <w:spacing w:val="-49"/>
        </w:rPr>
      </w:r>
      <w:r>
        <w:rPr/>
        <w:t>告期内根据商誉减值测试结果未计提商誉减值准备，较年初变动金额为汇率变动影响。</w:t>
      </w:r>
    </w:p>
    <w:p>
      <w:pPr>
        <w:pStyle w:val="BodyText"/>
        <w:spacing w:line="326" w:lineRule="auto" w:before="37"/>
        <w:ind w:left="855" w:right="147"/>
        <w:jc w:val="both"/>
      </w:pPr>
      <w:r>
        <w:rPr/>
        <w:t>注</w:t>
      </w:r>
      <w:r>
        <w:rPr>
          <w:spacing w:val="-56"/>
        </w:rPr>
        <w:t> </w:t>
      </w:r>
      <w:r>
        <w:rPr>
          <w:rFonts w:ascii="Times New Roman" w:hAnsi="Times New Roman" w:cs="Times New Roman" w:eastAsia="Times New Roman" w:hint="default"/>
        </w:rPr>
        <w:t>9</w:t>
      </w:r>
      <w:r>
        <w:rPr/>
        <w:t>：</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2</w:t>
      </w:r>
      <w:r>
        <w:rPr>
          <w:rFonts w:ascii="Times New Roman" w:hAnsi="Times New Roman" w:cs="Times New Roman" w:eastAsia="Times New Roman" w:hint="default"/>
          <w:spacing w:val="-3"/>
        </w:rPr>
        <w:t> </w:t>
      </w:r>
      <w:r>
        <w:rPr/>
        <w:t>月，本公司全资子公司东软科技有限公司完成收购美国</w:t>
      </w:r>
      <w:r>
        <w:rPr>
          <w:spacing w:val="-56"/>
        </w:rPr>
        <w:t> </w:t>
      </w:r>
      <w:r>
        <w:rPr>
          <w:rFonts w:ascii="Times New Roman" w:hAnsi="Times New Roman" w:cs="Times New Roman" w:eastAsia="Times New Roman" w:hint="default"/>
        </w:rPr>
        <w:t>Taproot</w:t>
      </w:r>
      <w:r>
        <w:rPr>
          <w:rFonts w:ascii="Times New Roman" w:hAnsi="Times New Roman" w:cs="Times New Roman" w:eastAsia="Times New Roman" w:hint="default"/>
          <w:spacing w:val="-4"/>
        </w:rPr>
        <w:t> </w:t>
      </w:r>
      <w:r>
        <w:rPr>
          <w:rFonts w:ascii="Times New Roman" w:hAnsi="Times New Roman" w:cs="Times New Roman" w:eastAsia="Times New Roman" w:hint="default"/>
        </w:rPr>
        <w:t>System</w:t>
      </w:r>
      <w:r>
        <w:rPr>
          <w:rFonts w:ascii="Times New Roman" w:hAnsi="Times New Roman" w:cs="Times New Roman" w:eastAsia="Times New Roman" w:hint="default"/>
          <w:spacing w:val="-6"/>
        </w:rPr>
        <w:t> </w:t>
      </w:r>
      <w:r>
        <w:rPr>
          <w:rFonts w:ascii="Times New Roman" w:hAnsi="Times New Roman" w:cs="Times New Roman" w:eastAsia="Times New Roman" w:hint="default"/>
        </w:rPr>
        <w:t>Inc.</w:t>
      </w:r>
      <w:r>
        <w:rPr>
          <w:rFonts w:ascii="Times New Roman" w:hAnsi="Times New Roman" w:cs="Times New Roman" w:eastAsia="Times New Roman" w:hint="default"/>
          <w:spacing w:val="1"/>
        </w:rPr>
        <w:t> </w:t>
      </w:r>
      <w:r>
        <w:rPr/>
        <w:t>从事高端智能手机嵌入式软件开发服务业务，交易总对价为 </w:t>
      </w:r>
      <w:r>
        <w:rPr>
          <w:rFonts w:ascii="Times New Roman" w:hAnsi="Times New Roman" w:cs="Times New Roman" w:eastAsia="Times New Roman" w:hint="default"/>
        </w:rPr>
        <w:t>310</w:t>
      </w:r>
      <w:r>
        <w:rPr>
          <w:rFonts w:ascii="Times New Roman" w:hAnsi="Times New Roman" w:cs="Times New Roman" w:eastAsia="Times New Roman" w:hint="default"/>
          <w:spacing w:val="13"/>
        </w:rPr>
        <w:t> </w:t>
      </w:r>
      <w:r>
        <w:rPr/>
        <w:t>万美元，购买价高于应享 有的可辨认净资产公允价值之差额在编制合并财务报表时列报为商誉，报告期内商誉减值</w:t>
      </w:r>
      <w:r>
        <w:rPr>
          <w:spacing w:val="-49"/>
        </w:rPr>
        <w:t> </w:t>
      </w:r>
      <w:r>
        <w:rPr>
          <w:spacing w:val="-49"/>
        </w:rPr>
      </w:r>
      <w:r>
        <w:rPr/>
        <w:t>准备较年初变动金额中</w:t>
      </w:r>
      <w:r>
        <w:rPr>
          <w:spacing w:val="-72"/>
        </w:rPr>
        <w:t> </w:t>
      </w:r>
      <w:r>
        <w:rPr>
          <w:rFonts w:ascii="Times New Roman" w:hAnsi="Times New Roman" w:cs="Times New Roman" w:eastAsia="Times New Roman" w:hint="default"/>
        </w:rPr>
        <w:t>4,429,640</w:t>
      </w:r>
      <w:r>
        <w:rPr>
          <w:rFonts w:ascii="Times New Roman" w:hAnsi="Times New Roman" w:cs="Times New Roman" w:eastAsia="Times New Roman" w:hint="default"/>
          <w:spacing w:val="-19"/>
        </w:rPr>
        <w:t> </w:t>
      </w:r>
      <w:r>
        <w:rPr/>
        <w:t>元为通过减值测试计提的商誉减值准备，其余变动金额为 汇率变动影响。</w:t>
      </w:r>
    </w:p>
    <w:p>
      <w:pPr>
        <w:pStyle w:val="BodyText"/>
        <w:spacing w:line="321" w:lineRule="auto" w:before="39"/>
        <w:ind w:left="855" w:right="146" w:hanging="1"/>
        <w:jc w:val="both"/>
        <w:rPr>
          <w:rFonts w:ascii="Times New Roman" w:hAnsi="Times New Roman" w:cs="Times New Roman" w:eastAsia="Times New Roman" w:hint="default"/>
        </w:rPr>
      </w:pPr>
      <w:r>
        <w:rPr/>
        <w:t>注</w:t>
      </w:r>
      <w:r>
        <w:rPr>
          <w:spacing w:val="-39"/>
        </w:rPr>
        <w:t> </w:t>
      </w:r>
      <w:r>
        <w:rPr>
          <w:rFonts w:ascii="Times New Roman" w:hAnsi="Times New Roman" w:cs="Times New Roman" w:eastAsia="Times New Roman" w:hint="default"/>
        </w:rPr>
        <w:t>10</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39"/>
        </w:rPr>
        <w:t> </w:t>
      </w:r>
      <w:r>
        <w:rPr>
          <w:rFonts w:ascii="Times New Roman" w:hAnsi="Times New Roman" w:cs="Times New Roman" w:eastAsia="Times New Roman" w:hint="default"/>
        </w:rPr>
        <w:t>8</w:t>
      </w:r>
      <w:r>
        <w:rPr>
          <w:rFonts w:ascii="Times New Roman" w:hAnsi="Times New Roman" w:cs="Times New Roman" w:eastAsia="Times New Roman" w:hint="default"/>
          <w:spacing w:val="14"/>
        </w:rPr>
        <w:t> </w:t>
      </w:r>
      <w:r>
        <w:rPr/>
        <w:t>月，本公司以</w:t>
      </w:r>
      <w:r>
        <w:rPr>
          <w:spacing w:val="-39"/>
        </w:rPr>
        <w:t> </w:t>
      </w:r>
      <w:r>
        <w:rPr>
          <w:rFonts w:ascii="Times New Roman" w:hAnsi="Times New Roman" w:cs="Times New Roman" w:eastAsia="Times New Roman" w:hint="default"/>
        </w:rPr>
        <w:t>539</w:t>
      </w:r>
      <w:r>
        <w:rPr>
          <w:rFonts w:ascii="Times New Roman" w:hAnsi="Times New Roman" w:cs="Times New Roman" w:eastAsia="Times New Roman" w:hint="default"/>
          <w:spacing w:val="13"/>
        </w:rPr>
        <w:t> </w:t>
      </w:r>
      <w:r>
        <w:rPr/>
        <w:t>万元取得北京利博赛社保信息技术有限公司</w:t>
      </w:r>
      <w:r>
        <w:rPr>
          <w:spacing w:val="-39"/>
        </w:rPr>
        <w:t> </w:t>
      </w:r>
      <w:r>
        <w:rPr>
          <w:rFonts w:ascii="Times New Roman" w:hAnsi="Times New Roman" w:cs="Times New Roman" w:eastAsia="Times New Roman" w:hint="default"/>
        </w:rPr>
        <w:t>28.33%</w:t>
      </w:r>
      <w:r>
        <w:rPr/>
        <w:t>的 </w:t>
      </w:r>
      <w:r>
        <w:rPr>
          <w:spacing w:val="-4"/>
        </w:rPr>
        <w:t>权益，加上之前持有的</w:t>
      </w:r>
      <w:r>
        <w:rPr>
          <w:spacing w:val="-72"/>
        </w:rPr>
        <w:t> </w:t>
      </w:r>
      <w:r>
        <w:rPr>
          <w:rFonts w:ascii="Times New Roman" w:hAnsi="Times New Roman" w:cs="Times New Roman" w:eastAsia="Times New Roman" w:hint="default"/>
        </w:rPr>
        <w:t>33.33%</w:t>
      </w:r>
      <w:r>
        <w:rPr/>
        <w:t>的权益，合计持有北京利博赛社保信息技术有限公司</w:t>
      </w:r>
      <w:r>
        <w:rPr>
          <w:spacing w:val="-72"/>
        </w:rPr>
        <w:t> </w:t>
      </w:r>
      <w:r>
        <w:rPr>
          <w:rFonts w:ascii="Times New Roman" w:hAnsi="Times New Roman" w:cs="Times New Roman" w:eastAsia="Times New Roman" w:hint="default"/>
        </w:rPr>
        <w:t>61.67%</w:t>
      </w:r>
    </w:p>
    <w:p>
      <w:pPr>
        <w:pStyle w:val="BodyText"/>
        <w:spacing w:line="321" w:lineRule="auto" w:before="20"/>
        <w:ind w:left="855" w:right="150"/>
        <w:jc w:val="both"/>
      </w:pPr>
      <w:r>
        <w:rPr/>
        <w:t>的权益，合并成本高于应享有的可辨认净资产的公允价值之差额</w:t>
      </w:r>
      <w:r>
        <w:rPr>
          <w:spacing w:val="-73"/>
        </w:rPr>
        <w:t> </w:t>
      </w:r>
      <w:r>
        <w:rPr>
          <w:rFonts w:ascii="Times New Roman" w:hAnsi="Times New Roman" w:cs="Times New Roman" w:eastAsia="Times New Roman" w:hint="default"/>
        </w:rPr>
        <w:t>1,809,071</w:t>
      </w:r>
      <w:r>
        <w:rPr>
          <w:rFonts w:ascii="Times New Roman" w:hAnsi="Times New Roman" w:cs="Times New Roman" w:eastAsia="Times New Roman" w:hint="default"/>
          <w:spacing w:val="-20"/>
        </w:rPr>
        <w:t> </w:t>
      </w:r>
      <w:r>
        <w:rPr/>
        <w:t>元在编制合并财 务报表时列报为商誉。</w:t>
      </w:r>
    </w:p>
    <w:p>
      <w:pPr>
        <w:pStyle w:val="BodyText"/>
        <w:spacing w:line="321" w:lineRule="auto" w:before="43"/>
        <w:ind w:left="855" w:right="147" w:hanging="1"/>
        <w:jc w:val="both"/>
      </w:pPr>
      <w:r>
        <w:rPr/>
        <w:t>注</w:t>
      </w:r>
      <w:r>
        <w:rPr>
          <w:spacing w:val="-43"/>
        </w:rPr>
        <w:t> </w:t>
      </w:r>
      <w:r>
        <w:rPr>
          <w:rFonts w:ascii="Times New Roman" w:hAnsi="Times New Roman" w:cs="Times New Roman" w:eastAsia="Times New Roman" w:hint="default"/>
        </w:rPr>
        <w:t>11</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9"/>
        </w:rPr>
        <w:t> </w:t>
      </w:r>
      <w:r>
        <w:rPr/>
        <w:t>年</w:t>
      </w:r>
      <w:r>
        <w:rPr>
          <w:spacing w:val="-43"/>
        </w:rPr>
        <w:t> </w:t>
      </w:r>
      <w:r>
        <w:rPr>
          <w:rFonts w:ascii="Times New Roman" w:hAnsi="Times New Roman" w:cs="Times New Roman" w:eastAsia="Times New Roman" w:hint="default"/>
        </w:rPr>
        <w:t>8</w:t>
      </w:r>
      <w:r>
        <w:rPr>
          <w:rFonts w:ascii="Times New Roman" w:hAnsi="Times New Roman" w:cs="Times New Roman" w:eastAsia="Times New Roman" w:hint="default"/>
          <w:spacing w:val="10"/>
        </w:rPr>
        <w:t> </w:t>
      </w:r>
      <w:r>
        <w:rPr/>
        <w:t>月，本公司之全资子公司东软集团（北京）有限公司以</w:t>
      </w:r>
      <w:r>
        <w:rPr>
          <w:spacing w:val="-43"/>
        </w:rPr>
        <w:t> </w:t>
      </w:r>
      <w:r>
        <w:rPr>
          <w:rFonts w:ascii="Times New Roman" w:hAnsi="Times New Roman" w:cs="Times New Roman" w:eastAsia="Times New Roman" w:hint="default"/>
        </w:rPr>
        <w:t>114,101,440</w:t>
      </w:r>
      <w:r>
        <w:rPr>
          <w:rFonts w:ascii="Times New Roman" w:hAnsi="Times New Roman" w:cs="Times New Roman" w:eastAsia="Times New Roman" w:hint="default"/>
          <w:spacing w:val="10"/>
        </w:rPr>
        <w:t> </w:t>
      </w:r>
      <w:r>
        <w:rPr/>
        <w:t>元取 得北京望海康信科技有限公司（收购后更名为“北京东软望海科技有限公司”）</w:t>
      </w:r>
      <w:r>
        <w:rPr>
          <w:rFonts w:ascii="Times New Roman" w:hAnsi="Times New Roman" w:cs="Times New Roman" w:eastAsia="Times New Roman" w:hint="default"/>
        </w:rPr>
        <w:t>73.14%</w:t>
      </w:r>
      <w:r>
        <w:rPr/>
        <w:t>的</w:t>
      </w:r>
      <w:r>
        <w:rPr>
          <w:spacing w:val="-66"/>
        </w:rPr>
        <w:t> </w:t>
      </w:r>
      <w:r>
        <w:rPr/>
        <w:t>股权，购买价高于应享有的可辨认净资产的公允价值之差额 </w:t>
      </w:r>
      <w:r>
        <w:rPr>
          <w:rFonts w:ascii="Times New Roman" w:hAnsi="Times New Roman" w:cs="Times New Roman" w:eastAsia="Times New Roman" w:hint="default"/>
        </w:rPr>
        <w:t>99,953,597</w:t>
      </w:r>
      <w:r>
        <w:rPr>
          <w:rFonts w:ascii="Times New Roman" w:hAnsi="Times New Roman" w:cs="Times New Roman" w:eastAsia="Times New Roman" w:hint="default"/>
          <w:spacing w:val="10"/>
        </w:rPr>
        <w:t> </w:t>
      </w:r>
      <w:r>
        <w:rPr/>
        <w:t>元在编制合并财务 报表时列报为商誉。</w:t>
      </w:r>
    </w:p>
    <w:p>
      <w:pPr>
        <w:spacing w:line="240" w:lineRule="auto" w:before="0"/>
        <w:rPr>
          <w:rFonts w:ascii="宋体" w:hAnsi="宋体" w:cs="宋体" w:eastAsia="宋体" w:hint="default"/>
          <w:sz w:val="20"/>
          <w:szCs w:val="20"/>
        </w:rPr>
      </w:pPr>
    </w:p>
    <w:p>
      <w:pPr>
        <w:pStyle w:val="Heading6"/>
        <w:spacing w:line="240" w:lineRule="auto" w:before="172"/>
        <w:ind w:left="123" w:right="2718"/>
        <w:jc w:val="left"/>
        <w:rPr>
          <w:b w:val="0"/>
          <w:bCs w:val="0"/>
        </w:rPr>
      </w:pPr>
      <w:r>
        <w:rPr/>
        <w:pict>
          <v:group style="position:absolute;margin-left:118.919998pt;margin-top:23.931931pt;width:419.05pt;height:121.05pt;mso-position-horizontal-relative:page;mso-position-vertical-relative:paragraph;z-index:-1119448" coordorigin="2378,479" coordsize="8381,2421">
            <v:group style="position:absolute;left:2407;top:494;width:8325;height:2" coordorigin="2407,494" coordsize="8325,2">
              <v:shape style="position:absolute;left:2407;top:494;width:8325;height:2" coordorigin="2407,494" coordsize="8325,0" path="m2407,494l10732,494e" filled="false" stroked="true" strokeweight="1.5pt" strokecolor="#000000">
                <v:path arrowok="t"/>
              </v:shape>
              <v:shape style="position:absolute;left:4520;top:480;width:4952;height:448" type="#_x0000_t75" stroked="false">
                <v:imagedata r:id="rId210" o:title=""/>
              </v:shape>
              <v:shape style="position:absolute;left:2378;top:879;width:8381;height:2020" type="#_x0000_t75" stroked="false">
                <v:imagedata r:id="rId211" o:title=""/>
              </v:shape>
              <v:shape style="position:absolute;left:3210;top:69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4763;top:69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5858;top:69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本期增加额</w:t>
                      </w:r>
                    </w:p>
                  </w:txbxContent>
                </v:textbox>
                <w10:wrap type="none"/>
              </v:shape>
              <v:shape style="position:absolute;left:7124;top:69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本期摊销额</w:t>
                      </w:r>
                    </w:p>
                  </w:txbxContent>
                </v:textbox>
                <w10:wrap type="none"/>
              </v:shape>
              <v:shape style="position:absolute;left:8382;top:69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其他减少额</w:t>
                      </w:r>
                    </w:p>
                  </w:txbxContent>
                </v:textbox>
                <w10:wrap type="none"/>
              </v:shape>
              <v:shape style="position:absolute;left:9725;top:69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group>
            <w10:wrap type="none"/>
          </v:group>
        </w:pict>
      </w:r>
      <w:r>
        <w:rPr/>
        <w:t>(十八)</w:t>
      </w:r>
      <w:r>
        <w:rPr>
          <w:spacing w:val="-15"/>
        </w:rPr>
        <w:t> </w:t>
      </w:r>
      <w:r>
        <w:rPr/>
        <w:t>长期待摊费用</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1"/>
          <w:szCs w:val="21"/>
        </w:rPr>
      </w:pPr>
    </w:p>
    <w:tbl>
      <w:tblPr>
        <w:tblW w:w="0" w:type="auto"/>
        <w:jc w:val="left"/>
        <w:tblInd w:w="732" w:type="dxa"/>
        <w:tblLayout w:type="fixed"/>
        <w:tblCellMar>
          <w:top w:w="0" w:type="dxa"/>
          <w:left w:w="0" w:type="dxa"/>
          <w:bottom w:w="0" w:type="dxa"/>
          <w:right w:w="0" w:type="dxa"/>
        </w:tblCellMar>
        <w:tblLook w:val="01E0"/>
      </w:tblPr>
      <w:tblGrid>
        <w:gridCol w:w="2152"/>
        <w:gridCol w:w="1252"/>
        <w:gridCol w:w="1267"/>
        <w:gridCol w:w="1903"/>
        <w:gridCol w:w="1766"/>
      </w:tblGrid>
      <w:tr>
        <w:trPr>
          <w:trHeight w:val="400" w:hRule="exact"/>
        </w:trPr>
        <w:tc>
          <w:tcPr>
            <w:tcW w:w="215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09"/>
              <w:jc w:val="right"/>
              <w:rPr>
                <w:rFonts w:ascii="Times New Roman" w:hAnsi="Times New Roman" w:cs="Times New Roman" w:eastAsia="Times New Roman" w:hint="default"/>
                <w:sz w:val="18"/>
                <w:szCs w:val="18"/>
              </w:rPr>
            </w:pPr>
            <w:r>
              <w:rPr>
                <w:rFonts w:ascii="Times New Roman"/>
                <w:sz w:val="18"/>
              </w:rPr>
              <w:t>38,346,103</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42"/>
              <w:jc w:val="right"/>
              <w:rPr>
                <w:rFonts w:ascii="Times New Roman" w:hAnsi="Times New Roman" w:cs="Times New Roman" w:eastAsia="Times New Roman" w:hint="default"/>
                <w:sz w:val="18"/>
                <w:szCs w:val="18"/>
              </w:rPr>
            </w:pPr>
            <w:r>
              <w:rPr>
                <w:rFonts w:ascii="Times New Roman"/>
                <w:sz w:val="18"/>
              </w:rPr>
              <w:t>8,714,705</w:t>
            </w: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96"/>
              <w:ind w:left="333" w:right="0"/>
              <w:jc w:val="left"/>
              <w:rPr>
                <w:rFonts w:ascii="Times New Roman" w:hAnsi="Times New Roman" w:cs="Times New Roman" w:eastAsia="Times New Roman" w:hint="default"/>
                <w:sz w:val="18"/>
                <w:szCs w:val="18"/>
              </w:rPr>
            </w:pPr>
            <w:r>
              <w:rPr>
                <w:rFonts w:ascii="Times New Roman"/>
                <w:sz w:val="18"/>
              </w:rPr>
              <w:t>8,607,314</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z w:val="18"/>
              </w:rPr>
              <w:t>38,453,494</w:t>
            </w:r>
          </w:p>
        </w:tc>
      </w:tr>
      <w:tr>
        <w:trPr>
          <w:trHeight w:val="400" w:hRule="exact"/>
        </w:trPr>
        <w:tc>
          <w:tcPr>
            <w:tcW w:w="215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景观绿化费</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09"/>
              <w:jc w:val="right"/>
              <w:rPr>
                <w:rFonts w:ascii="Times New Roman" w:hAnsi="Times New Roman" w:cs="Times New Roman" w:eastAsia="Times New Roman" w:hint="default"/>
                <w:sz w:val="18"/>
                <w:szCs w:val="18"/>
              </w:rPr>
            </w:pPr>
            <w:r>
              <w:rPr>
                <w:rFonts w:ascii="Times New Roman"/>
                <w:sz w:val="18"/>
              </w:rPr>
              <w:t>8,565,073</w:t>
            </w:r>
          </w:p>
        </w:tc>
        <w:tc>
          <w:tcPr>
            <w:tcW w:w="1267" w:type="dxa"/>
            <w:tcBorders>
              <w:top w:val="nil" w:sz="6" w:space="0" w:color="auto"/>
              <w:left w:val="nil" w:sz="6" w:space="0" w:color="auto"/>
              <w:bottom w:val="nil" w:sz="6" w:space="0" w:color="auto"/>
              <w:right w:val="nil" w:sz="6" w:space="0" w:color="auto"/>
            </w:tcBorders>
          </w:tcPr>
          <w:p>
            <w:pP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96"/>
              <w:ind w:left="334" w:right="0"/>
              <w:jc w:val="left"/>
              <w:rPr>
                <w:rFonts w:ascii="Times New Roman" w:hAnsi="Times New Roman" w:cs="Times New Roman" w:eastAsia="Times New Roman" w:hint="default"/>
                <w:sz w:val="18"/>
                <w:szCs w:val="18"/>
              </w:rPr>
            </w:pPr>
            <w:r>
              <w:rPr>
                <w:rFonts w:ascii="Times New Roman"/>
                <w:sz w:val="18"/>
              </w:rPr>
              <w:t>3,442,646</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z w:val="18"/>
              </w:rPr>
              <w:t>5,122,427</w:t>
            </w:r>
          </w:p>
        </w:tc>
      </w:tr>
      <w:tr>
        <w:trPr>
          <w:trHeight w:val="400" w:hRule="exact"/>
        </w:trPr>
        <w:tc>
          <w:tcPr>
            <w:tcW w:w="215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经营租入固定资产改良</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09"/>
              <w:jc w:val="right"/>
              <w:rPr>
                <w:rFonts w:ascii="Times New Roman" w:hAnsi="Times New Roman" w:cs="Times New Roman" w:eastAsia="Times New Roman" w:hint="default"/>
                <w:sz w:val="18"/>
                <w:szCs w:val="18"/>
              </w:rPr>
            </w:pPr>
            <w:r>
              <w:rPr>
                <w:rFonts w:ascii="Times New Roman"/>
                <w:sz w:val="18"/>
              </w:rPr>
              <w:t>3,099,456</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41"/>
              <w:jc w:val="right"/>
              <w:rPr>
                <w:rFonts w:ascii="Times New Roman" w:hAnsi="Times New Roman" w:cs="Times New Roman" w:eastAsia="Times New Roman" w:hint="default"/>
                <w:sz w:val="18"/>
                <w:szCs w:val="18"/>
              </w:rPr>
            </w:pPr>
            <w:r>
              <w:rPr>
                <w:rFonts w:ascii="Times New Roman"/>
                <w:sz w:val="18"/>
              </w:rPr>
              <w:t>725,415</w:t>
            </w: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96"/>
              <w:ind w:left="334" w:right="0"/>
              <w:jc w:val="left"/>
              <w:rPr>
                <w:rFonts w:ascii="Times New Roman" w:hAnsi="Times New Roman" w:cs="Times New Roman" w:eastAsia="Times New Roman" w:hint="default"/>
                <w:sz w:val="18"/>
                <w:szCs w:val="18"/>
              </w:rPr>
            </w:pPr>
            <w:r>
              <w:rPr>
                <w:rFonts w:ascii="Times New Roman"/>
                <w:sz w:val="18"/>
              </w:rPr>
              <w:t>1,009,534</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z w:val="18"/>
              </w:rPr>
              <w:t>2,815,337</w:t>
            </w:r>
          </w:p>
        </w:tc>
      </w:tr>
      <w:tr>
        <w:trPr>
          <w:trHeight w:val="400" w:hRule="exact"/>
        </w:trPr>
        <w:tc>
          <w:tcPr>
            <w:tcW w:w="215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2" w:right="0"/>
              <w:jc w:val="left"/>
              <w:rPr>
                <w:rFonts w:ascii="宋体" w:hAnsi="宋体" w:cs="宋体" w:eastAsia="宋体" w:hint="default"/>
                <w:sz w:val="18"/>
                <w:szCs w:val="18"/>
              </w:rPr>
            </w:pPr>
            <w:r>
              <w:rPr>
                <w:rFonts w:ascii="宋体" w:hAnsi="宋体" w:cs="宋体" w:eastAsia="宋体" w:hint="default"/>
                <w:sz w:val="18"/>
                <w:szCs w:val="18"/>
              </w:rPr>
              <w:t>其  他</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09"/>
              <w:jc w:val="right"/>
              <w:rPr>
                <w:rFonts w:ascii="Times New Roman" w:hAnsi="Times New Roman" w:cs="Times New Roman" w:eastAsia="Times New Roman" w:hint="default"/>
                <w:sz w:val="18"/>
                <w:szCs w:val="18"/>
              </w:rPr>
            </w:pPr>
            <w:r>
              <w:rPr>
                <w:rFonts w:ascii="Times New Roman"/>
                <w:sz w:val="18"/>
              </w:rPr>
              <w:t>4,906,575</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42"/>
              <w:jc w:val="right"/>
              <w:rPr>
                <w:rFonts w:ascii="Times New Roman" w:hAnsi="Times New Roman" w:cs="Times New Roman" w:eastAsia="Times New Roman" w:hint="default"/>
                <w:sz w:val="18"/>
                <w:szCs w:val="18"/>
              </w:rPr>
            </w:pPr>
            <w:r>
              <w:rPr>
                <w:rFonts w:ascii="Times New Roman"/>
                <w:sz w:val="18"/>
              </w:rPr>
              <w:t>4,132,293</w:t>
            </w:r>
          </w:p>
        </w:tc>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97"/>
              <w:ind w:left="333" w:right="0"/>
              <w:jc w:val="left"/>
              <w:rPr>
                <w:rFonts w:ascii="Times New Roman" w:hAnsi="Times New Roman" w:cs="Times New Roman" w:eastAsia="Times New Roman" w:hint="default"/>
                <w:sz w:val="18"/>
                <w:szCs w:val="18"/>
              </w:rPr>
            </w:pPr>
            <w:r>
              <w:rPr>
                <w:rFonts w:ascii="Times New Roman"/>
                <w:sz w:val="18"/>
              </w:rPr>
              <w:t>1,735,980</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4"/>
              <w:jc w:val="right"/>
              <w:rPr>
                <w:rFonts w:ascii="Times New Roman" w:hAnsi="Times New Roman" w:cs="Times New Roman" w:eastAsia="Times New Roman" w:hint="default"/>
                <w:sz w:val="18"/>
                <w:szCs w:val="18"/>
              </w:rPr>
            </w:pPr>
            <w:r>
              <w:rPr>
                <w:rFonts w:ascii="Times New Roman"/>
                <w:sz w:val="18"/>
              </w:rPr>
              <w:t>7,302,888</w:t>
            </w:r>
          </w:p>
        </w:tc>
      </w:tr>
      <w:tr>
        <w:trPr>
          <w:trHeight w:val="323" w:hRule="exact"/>
        </w:trPr>
        <w:tc>
          <w:tcPr>
            <w:tcW w:w="2152"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22"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90"/>
                <w:sz w:val="18"/>
                <w:szCs w:val="18"/>
              </w:rPr>
              <w:t> </w:t>
            </w:r>
            <w:r>
              <w:rPr>
                <w:rFonts w:ascii="宋体" w:hAnsi="宋体" w:cs="宋体" w:eastAsia="宋体" w:hint="default"/>
                <w:sz w:val="18"/>
                <w:szCs w:val="18"/>
              </w:rPr>
              <w:t>计</w:t>
            </w:r>
          </w:p>
        </w:tc>
        <w:tc>
          <w:tcPr>
            <w:tcW w:w="1252"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209"/>
              <w:jc w:val="right"/>
              <w:rPr>
                <w:rFonts w:ascii="Times New Roman" w:hAnsi="Times New Roman" w:cs="Times New Roman" w:eastAsia="Times New Roman" w:hint="default"/>
                <w:sz w:val="18"/>
                <w:szCs w:val="18"/>
              </w:rPr>
            </w:pPr>
            <w:r>
              <w:rPr>
                <w:rFonts w:ascii="Times New Roman"/>
                <w:sz w:val="18"/>
              </w:rPr>
              <w:t>54,917,207</w:t>
            </w:r>
          </w:p>
        </w:tc>
        <w:tc>
          <w:tcPr>
            <w:tcW w:w="1267"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242"/>
              <w:jc w:val="right"/>
              <w:rPr>
                <w:rFonts w:ascii="Times New Roman" w:hAnsi="Times New Roman" w:cs="Times New Roman" w:eastAsia="Times New Roman" w:hint="default"/>
                <w:sz w:val="18"/>
                <w:szCs w:val="18"/>
              </w:rPr>
            </w:pPr>
            <w:r>
              <w:rPr>
                <w:rFonts w:ascii="Times New Roman"/>
                <w:sz w:val="18"/>
              </w:rPr>
              <w:t>13,572,413</w:t>
            </w:r>
          </w:p>
        </w:tc>
        <w:tc>
          <w:tcPr>
            <w:tcW w:w="1903"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left="243" w:right="0"/>
              <w:jc w:val="left"/>
              <w:rPr>
                <w:rFonts w:ascii="Times New Roman" w:hAnsi="Times New Roman" w:cs="Times New Roman" w:eastAsia="Times New Roman" w:hint="default"/>
                <w:sz w:val="18"/>
                <w:szCs w:val="18"/>
              </w:rPr>
            </w:pPr>
            <w:r>
              <w:rPr>
                <w:rFonts w:ascii="Times New Roman"/>
                <w:sz w:val="18"/>
              </w:rPr>
              <w:t>14,795,474</w:t>
            </w:r>
          </w:p>
        </w:tc>
        <w:tc>
          <w:tcPr>
            <w:tcW w:w="1766"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z w:val="18"/>
              </w:rPr>
              <w:t>53,694,146</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tabs>
          <w:tab w:pos="1393" w:val="left" w:leader="none"/>
        </w:tabs>
        <w:spacing w:line="340" w:lineRule="auto" w:before="0"/>
        <w:ind w:left="855" w:right="2718" w:hanging="732"/>
        <w:jc w:val="left"/>
        <w:rPr>
          <w:rFonts w:ascii="宋体" w:hAnsi="宋体" w:cs="宋体" w:eastAsia="宋体" w:hint="default"/>
          <w:sz w:val="21"/>
          <w:szCs w:val="21"/>
        </w:rPr>
      </w:pPr>
      <w:r>
        <w:rPr/>
        <w:pict>
          <v:group style="position:absolute;margin-left:118.889999pt;margin-top:54.324421pt;width:419.35pt;height:82.5pt;mso-position-horizontal-relative:page;mso-position-vertical-relative:paragraph;z-index:-1119184" coordorigin="2378,1086" coordsize="8387,1650">
            <v:group style="position:absolute;left:2407;top:1101;width:8325;height:2" coordorigin="2407,1101" coordsize="8325,2">
              <v:shape style="position:absolute;left:2407;top:1101;width:8325;height:2" coordorigin="2407,1101" coordsize="8325,0" path="m2407,1101l10732,1101e" filled="false" stroked="true" strokeweight="1.5pt" strokecolor="#000000">
                <v:path arrowok="t"/>
              </v:shape>
              <v:shape style="position:absolute;left:7327;top:1088;width:1747;height:448" type="#_x0000_t75" stroked="false">
                <v:imagedata r:id="rId212" o:title=""/>
              </v:shape>
            </v:group>
            <v:group style="position:absolute;left:2393;top:2721;width:4964;height:2" coordorigin="2393,2721" coordsize="4964,2">
              <v:shape style="position:absolute;left:2393;top:2721;width:4964;height:2" coordorigin="2393,2721" coordsize="4964,0" path="m2393,2721l7356,2721e" filled="false" stroked="true" strokeweight="1.5pt" strokecolor="#000000">
                <v:path arrowok="t"/>
              </v:shape>
            </v:group>
            <v:group style="position:absolute;left:7356;top:2721;width:1680;height:2" coordorigin="7356,2721" coordsize="1680,2">
              <v:shape style="position:absolute;left:7356;top:2721;width:1680;height:2" coordorigin="7356,2721" coordsize="1680,0" path="m7356,2721l9036,2721e" filled="false" stroked="true" strokeweight="1.5pt" strokecolor="#000000">
                <v:path arrowok="t"/>
              </v:shape>
              <v:shape style="position:absolute;left:2378;top:1478;width:8386;height:1229" type="#_x0000_t75" stroked="false">
                <v:imagedata r:id="rId213" o:title=""/>
              </v:shape>
            </v:group>
            <v:group style="position:absolute;left:9036;top:2721;width:1696;height:2" coordorigin="9036,2721" coordsize="1696,2">
              <v:shape style="position:absolute;left:9036;top:2721;width:1696;height:2" coordorigin="9036,2721" coordsize="1696,0" path="m9036,2721l10732,2721e" filled="false" stroked="true" strokeweight="1.5pt" strokecolor="#000000">
                <v:path arrowok="t"/>
              </v:shape>
              <v:shape style="position:absolute;left:4464;top:1265;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5094;top:1265;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7825;top:129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9511;top:129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515;top:1699;width:1445;height:58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递延所得税资产：</w:t>
                      </w:r>
                      <w:r>
                        <w:rPr>
                          <w:rFonts w:ascii="宋体" w:hAnsi="宋体" w:cs="宋体" w:eastAsia="宋体" w:hint="default"/>
                          <w:sz w:val="18"/>
                          <w:szCs w:val="18"/>
                        </w:rPr>
                      </w:r>
                    </w:p>
                    <w:p>
                      <w:pPr>
                        <w:spacing w:line="240" w:lineRule="auto" w:before="8"/>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政府补助</w:t>
                      </w:r>
                    </w:p>
                  </w:txbxContent>
                </v:textbox>
                <w10:wrap type="none"/>
              </v:shape>
              <v:shape style="position:absolute;left:8120;top:211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15,889,963</w:t>
                      </w:r>
                    </w:p>
                  </w:txbxContent>
                </v:textbox>
                <w10:wrap type="none"/>
              </v:shape>
              <v:shape style="position:absolute;left:9902;top:2119;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9,922,524</w:t>
                      </w:r>
                    </w:p>
                  </w:txbxContent>
                </v:textbox>
                <w10:wrap type="none"/>
              </v:shape>
              <v:shape style="position:absolute;left:2515;top:249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预提费用</w:t>
                      </w:r>
                    </w:p>
                  </w:txbxContent>
                </v:textbox>
                <w10:wrap type="none"/>
              </v:shape>
              <v:shape style="position:absolute;left:8128;top:2518;width:804;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13,432,311</w:t>
                      </w:r>
                    </w:p>
                  </w:txbxContent>
                </v:textbox>
                <w10:wrap type="none"/>
              </v:shape>
              <v:shape style="position:absolute;left:9812;top:251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12,285,848</w:t>
                      </w:r>
                    </w:p>
                  </w:txbxContent>
                </v:textbox>
                <w10:wrap type="none"/>
              </v:shape>
            </v:group>
            <w10:wrap type="none"/>
          </v:group>
        </w:pict>
      </w:r>
      <w:r>
        <w:rPr>
          <w:rFonts w:ascii="宋体" w:hAnsi="宋体" w:cs="宋体" w:eastAsia="宋体" w:hint="default"/>
          <w:b/>
          <w:bCs/>
          <w:sz w:val="21"/>
          <w:szCs w:val="21"/>
        </w:rPr>
        <w:t>(十九)</w:t>
      </w:r>
      <w:r>
        <w:rPr>
          <w:rFonts w:ascii="宋体" w:hAnsi="宋体" w:cs="宋体" w:eastAsia="宋体" w:hint="default"/>
          <w:b/>
          <w:bCs/>
          <w:spacing w:val="30"/>
          <w:sz w:val="21"/>
          <w:szCs w:val="21"/>
        </w:rPr>
        <w:t> </w:t>
      </w:r>
      <w:r>
        <w:rPr>
          <w:rFonts w:ascii="宋体" w:hAnsi="宋体" w:cs="宋体" w:eastAsia="宋体" w:hint="default"/>
          <w:b/>
          <w:bCs/>
          <w:sz w:val="21"/>
          <w:szCs w:val="21"/>
        </w:rPr>
        <w:t>递延所得税资产和递延所得税负债</w:t>
      </w:r>
      <w:r>
        <w:rPr>
          <w:rFonts w:ascii="宋体" w:hAnsi="宋体" w:cs="宋体" w:eastAsia="宋体" w:hint="default"/>
          <w:b/>
          <w:bCs/>
          <w:w w:val="99"/>
          <w:sz w:val="21"/>
          <w:szCs w:val="21"/>
        </w:rPr>
        <w:t> </w:t>
      </w:r>
      <w:r>
        <w:rPr>
          <w:rFonts w:ascii="宋体" w:hAnsi="宋体" w:cs="宋体" w:eastAsia="宋体" w:hint="default"/>
          <w:b/>
          <w:bCs/>
          <w:sz w:val="21"/>
          <w:szCs w:val="21"/>
        </w:rPr>
        <w:t>公司递延所得税资产和递延所得税负债不以抵销后的净额列示</w:t>
      </w:r>
      <w:r>
        <w:rPr>
          <w:rFonts w:ascii="宋体" w:hAnsi="宋体" w:cs="宋体" w:eastAsia="宋体" w:hint="default"/>
          <w:b/>
          <w:bCs/>
          <w:w w:val="99"/>
          <w:sz w:val="21"/>
          <w:szCs w:val="21"/>
        </w:rPr>
        <w:t> </w:t>
      </w:r>
      <w:r>
        <w:rPr>
          <w:rFonts w:ascii="宋体" w:hAnsi="宋体" w:cs="宋体" w:eastAsia="宋体" w:hint="default"/>
          <w:b/>
          <w:bCs/>
          <w:w w:val="95"/>
          <w:sz w:val="21"/>
          <w:szCs w:val="21"/>
        </w:rPr>
        <w:t>1、</w:t>
        <w:tab/>
      </w:r>
      <w:r>
        <w:rPr>
          <w:rFonts w:ascii="宋体" w:hAnsi="宋体" w:cs="宋体" w:eastAsia="宋体" w:hint="default"/>
          <w:b/>
          <w:bCs/>
          <w:sz w:val="21"/>
          <w:szCs w:val="21"/>
        </w:rPr>
        <w:t>已确认的递延所得税资产和递延所得税负债</w:t>
      </w:r>
      <w:r>
        <w:rPr>
          <w:rFonts w:ascii="宋体" w:hAnsi="宋体" w:cs="宋体" w:eastAsia="宋体" w:hint="default"/>
          <w:sz w:val="21"/>
          <w:szCs w:val="21"/>
        </w:rPr>
      </w:r>
    </w:p>
    <w:p>
      <w:pPr>
        <w:spacing w:after="0" w:line="340" w:lineRule="auto"/>
        <w:jc w:val="left"/>
        <w:rPr>
          <w:rFonts w:ascii="宋体" w:hAnsi="宋体" w:cs="宋体" w:eastAsia="宋体" w:hint="default"/>
          <w:sz w:val="21"/>
          <w:szCs w:val="21"/>
        </w:rPr>
        <w:sectPr>
          <w:pgSz w:w="11910" w:h="16840"/>
          <w:pgMar w:header="0" w:footer="1003" w:top="1540" w:bottom="1200" w:left="1660" w:right="980"/>
        </w:sectPr>
      </w:pPr>
    </w:p>
    <w:p>
      <w:pPr>
        <w:spacing w:line="240" w:lineRule="auto" w:before="4"/>
        <w:rPr>
          <w:rFonts w:ascii="宋体" w:hAnsi="宋体" w:cs="宋体" w:eastAsia="宋体" w:hint="default"/>
          <w:b/>
          <w:bCs/>
          <w:sz w:val="10"/>
          <w:szCs w:val="10"/>
        </w:rPr>
      </w:pPr>
    </w:p>
    <w:tbl>
      <w:tblPr>
        <w:tblW w:w="0" w:type="auto"/>
        <w:jc w:val="left"/>
        <w:tblInd w:w="732" w:type="dxa"/>
        <w:tblLayout w:type="fixed"/>
        <w:tblCellMar>
          <w:top w:w="0" w:type="dxa"/>
          <w:left w:w="0" w:type="dxa"/>
          <w:bottom w:w="0" w:type="dxa"/>
          <w:right w:w="0" w:type="dxa"/>
        </w:tblCellMar>
        <w:tblLook w:val="01E0"/>
      </w:tblPr>
      <w:tblGrid>
        <w:gridCol w:w="2686"/>
        <w:gridCol w:w="1486"/>
        <w:gridCol w:w="2657"/>
        <w:gridCol w:w="1510"/>
      </w:tblGrid>
      <w:tr>
        <w:trPr>
          <w:trHeight w:val="834"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03"/>
              <w:jc w:val="right"/>
              <w:rPr>
                <w:rFonts w:ascii="宋体" w:hAnsi="宋体" w:cs="宋体" w:eastAsia="宋体" w:hint="default"/>
                <w:sz w:val="21"/>
                <w:szCs w:val="21"/>
              </w:rPr>
            </w:pPr>
            <w:r>
              <w:rPr>
                <w:rFonts w:ascii="宋体" w:hAnsi="宋体" w:cs="宋体" w:eastAsia="宋体" w:hint="default"/>
                <w:sz w:val="21"/>
                <w:szCs w:val="21"/>
              </w:rPr>
              <w:t>项</w:t>
            </w:r>
          </w:p>
          <w:p>
            <w:pPr>
              <w:pStyle w:val="TableParagraph"/>
              <w:spacing w:line="240" w:lineRule="auto" w:before="169"/>
              <w:ind w:left="122" w:right="0"/>
              <w:jc w:val="left"/>
              <w:rPr>
                <w:rFonts w:ascii="宋体" w:hAnsi="宋体" w:cs="宋体" w:eastAsia="宋体" w:hint="default"/>
                <w:sz w:val="18"/>
                <w:szCs w:val="18"/>
              </w:rPr>
            </w:pPr>
            <w:r>
              <w:rPr>
                <w:rFonts w:ascii="宋体" w:hAnsi="宋体" w:cs="宋体" w:eastAsia="宋体" w:hint="default"/>
                <w:sz w:val="18"/>
                <w:szCs w:val="18"/>
              </w:rPr>
              <w:t>超过税法标准计提的减值准备</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 w:right="0"/>
              <w:jc w:val="left"/>
              <w:rPr>
                <w:rFonts w:ascii="宋体" w:hAnsi="宋体" w:cs="宋体" w:eastAsia="宋体" w:hint="default"/>
                <w:sz w:val="21"/>
                <w:szCs w:val="21"/>
              </w:rPr>
            </w:pPr>
            <w:r>
              <w:rPr>
                <w:rFonts w:ascii="宋体" w:hAnsi="宋体" w:cs="宋体" w:eastAsia="宋体" w:hint="default"/>
                <w:sz w:val="21"/>
                <w:szCs w:val="21"/>
              </w:rPr>
              <w:t>目</w:t>
            </w:r>
          </w:p>
        </w:tc>
        <w:tc>
          <w:tcPr>
            <w:tcW w:w="2657"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260"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1645" w:right="0"/>
              <w:jc w:val="left"/>
              <w:rPr>
                <w:rFonts w:ascii="Times New Roman" w:hAnsi="Times New Roman" w:cs="Times New Roman" w:eastAsia="Times New Roman" w:hint="default"/>
                <w:sz w:val="18"/>
                <w:szCs w:val="18"/>
              </w:rPr>
            </w:pPr>
            <w:r>
              <w:rPr>
                <w:rFonts w:ascii="Times New Roman"/>
                <w:sz w:val="18"/>
              </w:rPr>
              <w:t>7,134,586</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78"/>
              <w:ind w:left="289"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680" w:right="0"/>
              <w:jc w:val="left"/>
              <w:rPr>
                <w:rFonts w:ascii="Times New Roman" w:hAnsi="Times New Roman" w:cs="Times New Roman" w:eastAsia="Times New Roman" w:hint="default"/>
                <w:sz w:val="18"/>
                <w:szCs w:val="18"/>
              </w:rPr>
            </w:pPr>
            <w:r>
              <w:rPr>
                <w:rFonts w:ascii="Times New Roman"/>
                <w:sz w:val="18"/>
              </w:rPr>
              <w:t>5,096,663</w:t>
            </w:r>
          </w:p>
        </w:tc>
      </w:tr>
      <w:tr>
        <w:trPr>
          <w:trHeight w:val="395"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1486" w:type="dxa"/>
            <w:tcBorders>
              <w:top w:val="nil" w:sz="6" w:space="0" w:color="auto"/>
              <w:left w:val="nil" w:sz="6" w:space="0" w:color="auto"/>
              <w:bottom w:val="nil" w:sz="6" w:space="0" w:color="auto"/>
              <w:right w:val="nil" w:sz="6" w:space="0" w:color="auto"/>
            </w:tcBorders>
          </w:tcPr>
          <w:p>
            <w:pPr/>
          </w:p>
        </w:tc>
        <w:tc>
          <w:tcPr>
            <w:tcW w:w="265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87"/>
              <w:jc w:val="right"/>
              <w:rPr>
                <w:rFonts w:ascii="Times New Roman" w:hAnsi="Times New Roman" w:cs="Times New Roman" w:eastAsia="Times New Roman" w:hint="default"/>
                <w:sz w:val="18"/>
                <w:szCs w:val="18"/>
              </w:rPr>
            </w:pPr>
            <w:r>
              <w:rPr>
                <w:rFonts w:ascii="Times New Roman"/>
                <w:sz w:val="18"/>
              </w:rPr>
              <w:t>2,312,947</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z w:val="18"/>
              </w:rPr>
              <w:t>1,805,233</w:t>
            </w:r>
          </w:p>
        </w:tc>
      </w:tr>
      <w:tr>
        <w:trPr>
          <w:trHeight w:val="389"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486" w:type="dxa"/>
            <w:tcBorders>
              <w:top w:val="nil" w:sz="6" w:space="0" w:color="auto"/>
              <w:left w:val="nil" w:sz="6" w:space="0" w:color="auto"/>
              <w:bottom w:val="nil" w:sz="6" w:space="0" w:color="auto"/>
              <w:right w:val="nil" w:sz="6" w:space="0" w:color="auto"/>
            </w:tcBorders>
          </w:tcPr>
          <w:p>
            <w:pPr/>
          </w:p>
        </w:tc>
        <w:tc>
          <w:tcPr>
            <w:tcW w:w="265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87"/>
              <w:jc w:val="right"/>
              <w:rPr>
                <w:rFonts w:ascii="Times New Roman" w:hAnsi="Times New Roman" w:cs="Times New Roman" w:eastAsia="Times New Roman" w:hint="default"/>
                <w:sz w:val="18"/>
                <w:szCs w:val="18"/>
              </w:rPr>
            </w:pPr>
            <w:r>
              <w:rPr>
                <w:rFonts w:ascii="Times New Roman"/>
                <w:sz w:val="18"/>
              </w:rPr>
              <w:t>1,758,432</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z w:val="18"/>
              </w:rPr>
              <w:t>1,536,661</w:t>
            </w:r>
          </w:p>
        </w:tc>
      </w:tr>
      <w:tr>
        <w:trPr>
          <w:trHeight w:val="390"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未到期的未弥补亏损</w:t>
            </w:r>
          </w:p>
        </w:tc>
        <w:tc>
          <w:tcPr>
            <w:tcW w:w="1486" w:type="dxa"/>
            <w:tcBorders>
              <w:top w:val="nil" w:sz="6" w:space="0" w:color="auto"/>
              <w:left w:val="nil" w:sz="6" w:space="0" w:color="auto"/>
              <w:bottom w:val="nil" w:sz="6" w:space="0" w:color="auto"/>
              <w:right w:val="nil" w:sz="6" w:space="0" w:color="auto"/>
            </w:tcBorders>
          </w:tcPr>
          <w:p>
            <w:pPr/>
          </w:p>
        </w:tc>
        <w:tc>
          <w:tcPr>
            <w:tcW w:w="265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87"/>
              <w:jc w:val="right"/>
              <w:rPr>
                <w:rFonts w:ascii="Times New Roman" w:hAnsi="Times New Roman" w:cs="Times New Roman" w:eastAsia="Times New Roman" w:hint="default"/>
                <w:sz w:val="18"/>
                <w:szCs w:val="18"/>
              </w:rPr>
            </w:pPr>
            <w:r>
              <w:rPr>
                <w:rFonts w:ascii="Times New Roman"/>
                <w:sz w:val="18"/>
              </w:rPr>
              <w:t>1,588,528</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z w:val="18"/>
              </w:rPr>
              <w:t>1,588,528</w:t>
            </w:r>
          </w:p>
        </w:tc>
      </w:tr>
      <w:tr>
        <w:trPr>
          <w:trHeight w:val="390"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长期资产减值</w:t>
            </w:r>
          </w:p>
        </w:tc>
        <w:tc>
          <w:tcPr>
            <w:tcW w:w="1486" w:type="dxa"/>
            <w:tcBorders>
              <w:top w:val="nil" w:sz="6" w:space="0" w:color="auto"/>
              <w:left w:val="nil" w:sz="6" w:space="0" w:color="auto"/>
              <w:bottom w:val="nil" w:sz="6" w:space="0" w:color="auto"/>
              <w:right w:val="nil" w:sz="6" w:space="0" w:color="auto"/>
            </w:tcBorders>
          </w:tcPr>
          <w:p>
            <w:pPr/>
          </w:p>
        </w:tc>
        <w:tc>
          <w:tcPr>
            <w:tcW w:w="265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89"/>
              <w:jc w:val="right"/>
              <w:rPr>
                <w:rFonts w:ascii="Times New Roman" w:hAnsi="Times New Roman" w:cs="Times New Roman" w:eastAsia="Times New Roman" w:hint="default"/>
                <w:sz w:val="18"/>
                <w:szCs w:val="18"/>
              </w:rPr>
            </w:pPr>
            <w:r>
              <w:rPr>
                <w:rFonts w:ascii="Times New Roman"/>
                <w:sz w:val="18"/>
              </w:rPr>
              <w:t>1,122,869</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z w:val="18"/>
              </w:rPr>
              <w:t>610,616</w:t>
            </w:r>
          </w:p>
        </w:tc>
      </w:tr>
      <w:tr>
        <w:trPr>
          <w:trHeight w:val="390"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资产公允价值变动</w:t>
            </w:r>
          </w:p>
        </w:tc>
        <w:tc>
          <w:tcPr>
            <w:tcW w:w="1486" w:type="dxa"/>
            <w:tcBorders>
              <w:top w:val="nil" w:sz="6" w:space="0" w:color="auto"/>
              <w:left w:val="nil" w:sz="6" w:space="0" w:color="auto"/>
              <w:bottom w:val="nil" w:sz="6" w:space="0" w:color="auto"/>
              <w:right w:val="nil" w:sz="6" w:space="0" w:color="auto"/>
            </w:tcBorders>
          </w:tcPr>
          <w:p>
            <w:pPr/>
          </w:p>
        </w:tc>
        <w:tc>
          <w:tcPr>
            <w:tcW w:w="265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87"/>
              <w:jc w:val="right"/>
              <w:rPr>
                <w:rFonts w:ascii="Times New Roman" w:hAnsi="Times New Roman" w:cs="Times New Roman" w:eastAsia="Times New Roman" w:hint="default"/>
                <w:sz w:val="18"/>
                <w:szCs w:val="18"/>
              </w:rPr>
            </w:pPr>
            <w:r>
              <w:rPr>
                <w:rFonts w:ascii="Times New Roman"/>
                <w:sz w:val="18"/>
              </w:rPr>
              <w:t>17,057</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z w:val="18"/>
              </w:rPr>
              <w:t>122,730</w:t>
            </w:r>
          </w:p>
        </w:tc>
      </w:tr>
      <w:tr>
        <w:trPr>
          <w:trHeight w:val="390"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固定资产折旧及其他资产摊销</w:t>
            </w:r>
          </w:p>
        </w:tc>
        <w:tc>
          <w:tcPr>
            <w:tcW w:w="1486" w:type="dxa"/>
            <w:tcBorders>
              <w:top w:val="nil" w:sz="6" w:space="0" w:color="auto"/>
              <w:left w:val="nil" w:sz="6" w:space="0" w:color="auto"/>
              <w:bottom w:val="nil" w:sz="6" w:space="0" w:color="auto"/>
              <w:right w:val="nil" w:sz="6" w:space="0" w:color="auto"/>
            </w:tcBorders>
          </w:tcPr>
          <w:p>
            <w:pPr/>
          </w:p>
        </w:tc>
        <w:tc>
          <w:tcPr>
            <w:tcW w:w="265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87"/>
              <w:jc w:val="right"/>
              <w:rPr>
                <w:rFonts w:ascii="Times New Roman" w:hAnsi="Times New Roman" w:cs="Times New Roman" w:eastAsia="Times New Roman" w:hint="default"/>
                <w:sz w:val="18"/>
                <w:szCs w:val="18"/>
              </w:rPr>
            </w:pPr>
            <w:r>
              <w:rPr>
                <w:rFonts w:ascii="Times New Roman"/>
                <w:sz w:val="18"/>
              </w:rPr>
              <w:t>10,144</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z w:val="18"/>
              </w:rPr>
              <w:t>19,721</w:t>
            </w:r>
          </w:p>
        </w:tc>
      </w:tr>
      <w:tr>
        <w:trPr>
          <w:trHeight w:val="390"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开办费摊销</w:t>
            </w:r>
          </w:p>
        </w:tc>
        <w:tc>
          <w:tcPr>
            <w:tcW w:w="1486" w:type="dxa"/>
            <w:tcBorders>
              <w:top w:val="nil" w:sz="6" w:space="0" w:color="auto"/>
              <w:left w:val="nil" w:sz="6" w:space="0" w:color="auto"/>
              <w:bottom w:val="nil" w:sz="6" w:space="0" w:color="auto"/>
              <w:right w:val="nil" w:sz="6" w:space="0" w:color="auto"/>
            </w:tcBorders>
          </w:tcPr>
          <w:p>
            <w:pPr/>
          </w:p>
        </w:tc>
        <w:tc>
          <w:tcPr>
            <w:tcW w:w="2657"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z w:val="18"/>
              </w:rPr>
              <w:t>6,259</w:t>
            </w:r>
          </w:p>
        </w:tc>
      </w:tr>
      <w:tr>
        <w:trPr>
          <w:trHeight w:val="390"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86" w:type="dxa"/>
            <w:tcBorders>
              <w:top w:val="nil" w:sz="6" w:space="0" w:color="auto"/>
              <w:left w:val="nil" w:sz="6" w:space="0" w:color="auto"/>
              <w:bottom w:val="nil" w:sz="6" w:space="0" w:color="auto"/>
              <w:right w:val="nil" w:sz="6" w:space="0" w:color="auto"/>
            </w:tcBorders>
          </w:tcPr>
          <w:p>
            <w:pPr/>
          </w:p>
        </w:tc>
        <w:tc>
          <w:tcPr>
            <w:tcW w:w="265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87"/>
              <w:jc w:val="right"/>
              <w:rPr>
                <w:rFonts w:ascii="Times New Roman" w:hAnsi="Times New Roman" w:cs="Times New Roman" w:eastAsia="Times New Roman" w:hint="default"/>
                <w:sz w:val="18"/>
                <w:szCs w:val="18"/>
              </w:rPr>
            </w:pPr>
            <w:r>
              <w:rPr>
                <w:rFonts w:ascii="Times New Roman"/>
                <w:sz w:val="18"/>
              </w:rPr>
              <w:t>2,324,685</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7"/>
              <w:jc w:val="right"/>
              <w:rPr>
                <w:rFonts w:ascii="Times New Roman" w:hAnsi="Times New Roman" w:cs="Times New Roman" w:eastAsia="Times New Roman" w:hint="default"/>
                <w:sz w:val="18"/>
                <w:szCs w:val="18"/>
              </w:rPr>
            </w:pPr>
            <w:r>
              <w:rPr>
                <w:rFonts w:ascii="Times New Roman"/>
                <w:sz w:val="18"/>
              </w:rPr>
              <w:t>1,772,375</w:t>
            </w:r>
          </w:p>
        </w:tc>
      </w:tr>
      <w:tr>
        <w:trPr>
          <w:trHeight w:val="770"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
              <w:jc w:val="right"/>
              <w:rPr>
                <w:rFonts w:ascii="宋体" w:hAnsi="宋体" w:cs="宋体" w:eastAsia="宋体" w:hint="default"/>
                <w:sz w:val="18"/>
                <w:szCs w:val="18"/>
              </w:rPr>
            </w:pPr>
            <w:r>
              <w:rPr>
                <w:rFonts w:ascii="宋体" w:hAnsi="宋体" w:cs="宋体" w:eastAsia="宋体" w:hint="default"/>
                <w:sz w:val="18"/>
                <w:szCs w:val="18"/>
              </w:rPr>
              <w:t>小计</w:t>
            </w:r>
          </w:p>
          <w:p>
            <w:pPr>
              <w:pStyle w:val="TableParagraph"/>
              <w:spacing w:line="240" w:lineRule="auto" w:before="154"/>
              <w:ind w:left="122" w:right="0"/>
              <w:jc w:val="left"/>
              <w:rPr>
                <w:rFonts w:ascii="宋体" w:hAnsi="宋体" w:cs="宋体" w:eastAsia="宋体" w:hint="default"/>
                <w:sz w:val="18"/>
                <w:szCs w:val="18"/>
              </w:rPr>
            </w:pPr>
            <w:r>
              <w:rPr>
                <w:rFonts w:ascii="宋体" w:hAnsi="宋体" w:cs="宋体" w:eastAsia="宋体" w:hint="default"/>
                <w:b/>
                <w:bCs/>
                <w:sz w:val="18"/>
                <w:szCs w:val="18"/>
              </w:rPr>
              <w:t>递延所得税负债：</w:t>
            </w:r>
            <w:r>
              <w:rPr>
                <w:rFonts w:ascii="宋体" w:hAnsi="宋体" w:cs="宋体" w:eastAsia="宋体" w:hint="default"/>
                <w:sz w:val="18"/>
                <w:szCs w:val="18"/>
              </w:rPr>
            </w:r>
          </w:p>
        </w:tc>
        <w:tc>
          <w:tcPr>
            <w:tcW w:w="1486" w:type="dxa"/>
            <w:tcBorders>
              <w:top w:val="nil" w:sz="6" w:space="0" w:color="auto"/>
              <w:left w:val="nil" w:sz="6" w:space="0" w:color="auto"/>
              <w:bottom w:val="nil" w:sz="6" w:space="0" w:color="auto"/>
              <w:right w:val="nil" w:sz="6" w:space="0" w:color="auto"/>
            </w:tcBorders>
          </w:tcPr>
          <w:p>
            <w:pPr/>
          </w:p>
        </w:tc>
        <w:tc>
          <w:tcPr>
            <w:tcW w:w="265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87"/>
              <w:jc w:val="right"/>
              <w:rPr>
                <w:rFonts w:ascii="Times New Roman" w:hAnsi="Times New Roman" w:cs="Times New Roman" w:eastAsia="Times New Roman" w:hint="default"/>
                <w:sz w:val="18"/>
                <w:szCs w:val="18"/>
              </w:rPr>
            </w:pPr>
            <w:r>
              <w:rPr>
                <w:rFonts w:ascii="Times New Roman"/>
                <w:sz w:val="18"/>
              </w:rPr>
              <w:t>45,591,522</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7"/>
              <w:jc w:val="right"/>
              <w:rPr>
                <w:rFonts w:ascii="Times New Roman" w:hAnsi="Times New Roman" w:cs="Times New Roman" w:eastAsia="Times New Roman" w:hint="default"/>
                <w:sz w:val="18"/>
                <w:szCs w:val="18"/>
              </w:rPr>
            </w:pPr>
            <w:r>
              <w:rPr>
                <w:rFonts w:ascii="Times New Roman"/>
                <w:sz w:val="18"/>
              </w:rPr>
              <w:t>34,767,158</w:t>
            </w:r>
          </w:p>
        </w:tc>
      </w:tr>
      <w:tr>
        <w:trPr>
          <w:trHeight w:val="400"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资产公允价值变动</w:t>
            </w:r>
          </w:p>
        </w:tc>
        <w:tc>
          <w:tcPr>
            <w:tcW w:w="1486" w:type="dxa"/>
            <w:tcBorders>
              <w:top w:val="nil" w:sz="6" w:space="0" w:color="auto"/>
              <w:left w:val="nil" w:sz="6" w:space="0" w:color="auto"/>
              <w:bottom w:val="nil" w:sz="6" w:space="0" w:color="auto"/>
              <w:right w:val="nil" w:sz="6" w:space="0" w:color="auto"/>
            </w:tcBorders>
          </w:tcPr>
          <w:p>
            <w:pPr/>
          </w:p>
        </w:tc>
        <w:tc>
          <w:tcPr>
            <w:tcW w:w="26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87"/>
              <w:jc w:val="right"/>
              <w:rPr>
                <w:rFonts w:ascii="Times New Roman" w:hAnsi="Times New Roman" w:cs="Times New Roman" w:eastAsia="Times New Roman" w:hint="default"/>
                <w:sz w:val="18"/>
                <w:szCs w:val="18"/>
              </w:rPr>
            </w:pPr>
            <w:r>
              <w:rPr>
                <w:rFonts w:ascii="Times New Roman"/>
                <w:sz w:val="18"/>
              </w:rPr>
              <w:t>86,317</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96,935</w:t>
            </w:r>
          </w:p>
        </w:tc>
      </w:tr>
      <w:tr>
        <w:trPr>
          <w:trHeight w:val="390"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86" w:type="dxa"/>
            <w:tcBorders>
              <w:top w:val="nil" w:sz="6" w:space="0" w:color="auto"/>
              <w:left w:val="nil" w:sz="6" w:space="0" w:color="auto"/>
              <w:bottom w:val="nil" w:sz="6" w:space="0" w:color="auto"/>
              <w:right w:val="nil" w:sz="6" w:space="0" w:color="auto"/>
            </w:tcBorders>
          </w:tcPr>
          <w:p>
            <w:pPr/>
          </w:p>
        </w:tc>
        <w:tc>
          <w:tcPr>
            <w:tcW w:w="265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87"/>
              <w:jc w:val="right"/>
              <w:rPr>
                <w:rFonts w:ascii="Times New Roman" w:hAnsi="Times New Roman" w:cs="Times New Roman" w:eastAsia="Times New Roman" w:hint="default"/>
                <w:sz w:val="18"/>
                <w:szCs w:val="18"/>
              </w:rPr>
            </w:pPr>
            <w:r>
              <w:rPr>
                <w:rFonts w:ascii="Times New Roman"/>
                <w:sz w:val="18"/>
              </w:rPr>
              <w:t>2,323,464</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7"/>
              <w:jc w:val="right"/>
              <w:rPr>
                <w:rFonts w:ascii="Times New Roman" w:hAnsi="Times New Roman" w:cs="Times New Roman" w:eastAsia="Times New Roman" w:hint="default"/>
                <w:sz w:val="18"/>
                <w:szCs w:val="18"/>
              </w:rPr>
            </w:pPr>
            <w:r>
              <w:rPr>
                <w:rFonts w:ascii="Times New Roman"/>
                <w:sz w:val="18"/>
              </w:rPr>
              <w:t>2,532,458</w:t>
            </w:r>
          </w:p>
        </w:tc>
      </w:tr>
      <w:tr>
        <w:trPr>
          <w:trHeight w:val="319" w:hRule="exact"/>
        </w:trPr>
        <w:tc>
          <w:tcPr>
            <w:tcW w:w="2686"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3"/>
              <w:jc w:val="right"/>
              <w:rPr>
                <w:rFonts w:ascii="宋体" w:hAnsi="宋体" w:cs="宋体" w:eastAsia="宋体" w:hint="default"/>
                <w:sz w:val="18"/>
                <w:szCs w:val="18"/>
              </w:rPr>
            </w:pPr>
            <w:r>
              <w:rPr>
                <w:rFonts w:ascii="宋体" w:hAnsi="宋体" w:cs="宋体" w:eastAsia="宋体" w:hint="default"/>
                <w:sz w:val="18"/>
                <w:szCs w:val="18"/>
              </w:rPr>
              <w:t>小计</w:t>
            </w:r>
          </w:p>
        </w:tc>
        <w:tc>
          <w:tcPr>
            <w:tcW w:w="1486" w:type="dxa"/>
            <w:tcBorders>
              <w:top w:val="nil" w:sz="6" w:space="0" w:color="auto"/>
              <w:left w:val="nil" w:sz="6" w:space="0" w:color="auto"/>
              <w:bottom w:val="single" w:sz="12" w:space="0" w:color="000000"/>
              <w:right w:val="nil" w:sz="6" w:space="0" w:color="auto"/>
            </w:tcBorders>
          </w:tcPr>
          <w:p>
            <w:pPr/>
          </w:p>
        </w:tc>
        <w:tc>
          <w:tcPr>
            <w:tcW w:w="2657"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287"/>
              <w:jc w:val="right"/>
              <w:rPr>
                <w:rFonts w:ascii="Times New Roman" w:hAnsi="Times New Roman" w:cs="Times New Roman" w:eastAsia="Times New Roman" w:hint="default"/>
                <w:sz w:val="18"/>
                <w:szCs w:val="18"/>
              </w:rPr>
            </w:pPr>
            <w:r>
              <w:rPr>
                <w:rFonts w:ascii="Times New Roman"/>
                <w:sz w:val="18"/>
              </w:rPr>
              <w:t>2,409,781</w:t>
            </w:r>
          </w:p>
        </w:tc>
        <w:tc>
          <w:tcPr>
            <w:tcW w:w="1510"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107"/>
              <w:jc w:val="right"/>
              <w:rPr>
                <w:rFonts w:ascii="Times New Roman" w:hAnsi="Times New Roman" w:cs="Times New Roman" w:eastAsia="Times New Roman" w:hint="default"/>
                <w:sz w:val="18"/>
                <w:szCs w:val="18"/>
              </w:rPr>
            </w:pPr>
            <w:r>
              <w:rPr>
                <w:rFonts w:ascii="Times New Roman"/>
                <w:sz w:val="18"/>
              </w:rPr>
              <w:t>2,629,393</w:t>
            </w:r>
          </w:p>
        </w:tc>
      </w:tr>
    </w:tbl>
    <w:p>
      <w:pPr>
        <w:spacing w:line="240" w:lineRule="auto" w:before="0"/>
        <w:rPr>
          <w:rFonts w:ascii="宋体" w:hAnsi="宋体" w:cs="宋体" w:eastAsia="宋体" w:hint="default"/>
          <w:b/>
          <w:bCs/>
          <w:sz w:val="20"/>
          <w:szCs w:val="20"/>
        </w:rPr>
      </w:pPr>
    </w:p>
    <w:p>
      <w:pPr>
        <w:tabs>
          <w:tab w:pos="1393" w:val="left" w:leader="none"/>
        </w:tabs>
        <w:spacing w:before="176"/>
        <w:ind w:left="855" w:right="2718" w:firstLine="0"/>
        <w:jc w:val="left"/>
        <w:rPr>
          <w:rFonts w:ascii="宋体" w:hAnsi="宋体" w:cs="宋体" w:eastAsia="宋体" w:hint="default"/>
          <w:sz w:val="21"/>
          <w:szCs w:val="21"/>
        </w:rPr>
      </w:pPr>
      <w:r>
        <w:rPr/>
        <w:pict>
          <v:group style="position:absolute;margin-left:88.140007pt;margin-top:-310.855560pt;width:452.3pt;height:295.5pt;mso-position-horizontal-relative:page;mso-position-vertical-relative:paragraph;z-index:-1119160" coordorigin="1763,-6217" coordsize="9046,5910">
            <v:group style="position:absolute;left:1768;top:-6212;width:9036;height:2" coordorigin="1768,-6212" coordsize="9036,2">
              <v:shape style="position:absolute;left:1768;top:-6212;width:9036;height:2" coordorigin="1768,-6212" coordsize="9036,0" path="m1768,-6212l10804,-6212e" filled="false" stroked="true" strokeweight=".47998pt" strokecolor="#000000">
                <v:path arrowok="t"/>
              </v:shape>
            </v:group>
            <v:group style="position:absolute;left:2407;top:-6193;width:8325;height:2" coordorigin="2407,-6193" coordsize="8325,2">
              <v:shape style="position:absolute;left:2407;top:-6193;width:8325;height:2" coordorigin="2407,-6193" coordsize="8325,0" path="m2407,-6193l10732,-6193e" filled="false" stroked="true" strokeweight="1.5pt" strokecolor="#000000">
                <v:path arrowok="t"/>
              </v:shape>
              <v:shape style="position:absolute;left:7327;top:-6206;width:1747;height:448" type="#_x0000_t75" stroked="false">
                <v:imagedata r:id="rId214" o:title=""/>
              </v:shape>
              <v:shape style="position:absolute;left:2378;top:-5816;width:8386;height:5509" type="#_x0000_t75" stroked="false">
                <v:imagedata r:id="rId215" o:title=""/>
              </v:shape>
            </v:group>
            <w10:wrap type="none"/>
          </v:group>
        </w:pict>
      </w:r>
      <w:r>
        <w:rPr/>
        <w:pict>
          <v:group style="position:absolute;margin-left:118.919998pt;margin-top:24.124424pt;width:421pt;height:332.55pt;mso-position-horizontal-relative:page;mso-position-vertical-relative:paragraph;z-index:-1119064" coordorigin="2378,482" coordsize="8420,6651">
            <v:group style="position:absolute;left:2407;top:497;width:8355;height:2" coordorigin="2407,497" coordsize="8355,2">
              <v:shape style="position:absolute;left:2407;top:497;width:8355;height:2" coordorigin="2407,497" coordsize="8355,0" path="m2407,497l10762,497e" filled="false" stroked="true" strokeweight="1.5pt" strokecolor="#000000">
                <v:path arrowok="t"/>
              </v:shape>
              <v:shape style="position:absolute;left:7265;top:512;width:10;height:380" type="#_x0000_t75" stroked="false">
                <v:imagedata r:id="rId107" o:title=""/>
              </v:shape>
              <v:shape style="position:absolute;left:2378;top:864;width:8419;height:6269" type="#_x0000_t75" stroked="false">
                <v:imagedata r:id="rId216" o:title=""/>
              </v:shape>
              <v:shape style="position:absolute;left:4478;top:684;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5018;top:684;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8836;top:68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z w:val="21"/>
          <w:szCs w:val="21"/>
        </w:rPr>
        <w:t>应纳税差异和可抵扣差异项目明细:</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9"/>
          <w:szCs w:val="19"/>
        </w:rPr>
      </w:pPr>
    </w:p>
    <w:tbl>
      <w:tblPr>
        <w:tblW w:w="0" w:type="auto"/>
        <w:jc w:val="left"/>
        <w:tblInd w:w="732" w:type="dxa"/>
        <w:tblLayout w:type="fixed"/>
        <w:tblCellMar>
          <w:top w:w="0" w:type="dxa"/>
          <w:left w:w="0" w:type="dxa"/>
          <w:bottom w:w="0" w:type="dxa"/>
          <w:right w:w="0" w:type="dxa"/>
        </w:tblCellMar>
        <w:tblLook w:val="01E0"/>
      </w:tblPr>
      <w:tblGrid>
        <w:gridCol w:w="4993"/>
        <w:gridCol w:w="3376"/>
      </w:tblGrid>
      <w:tr>
        <w:trPr>
          <w:trHeight w:val="785" w:hRule="exact"/>
        </w:trPr>
        <w:tc>
          <w:tcPr>
            <w:tcW w:w="4993" w:type="dxa"/>
            <w:tcBorders>
              <w:top w:val="nil" w:sz="6" w:space="0" w:color="auto"/>
              <w:left w:val="nil" w:sz="6" w:space="0" w:color="auto"/>
              <w:bottom w:val="nil" w:sz="6" w:space="0" w:color="auto"/>
              <w:right w:val="nil" w:sz="6" w:space="0" w:color="auto"/>
            </w:tcBorders>
          </w:tcPr>
          <w:p>
            <w:pPr>
              <w:pStyle w:val="TableParagraph"/>
              <w:spacing w:line="398" w:lineRule="auto" w:before="44"/>
              <w:ind w:left="122" w:right="3605"/>
              <w:jc w:val="left"/>
              <w:rPr>
                <w:rFonts w:ascii="宋体" w:hAnsi="宋体" w:cs="宋体" w:eastAsia="宋体" w:hint="default"/>
                <w:sz w:val="18"/>
                <w:szCs w:val="18"/>
              </w:rPr>
            </w:pPr>
            <w:r>
              <w:rPr>
                <w:rFonts w:ascii="宋体" w:hAnsi="宋体" w:cs="宋体" w:eastAsia="宋体" w:hint="default"/>
                <w:b/>
                <w:bCs/>
                <w:sz w:val="18"/>
                <w:szCs w:val="18"/>
              </w:rPr>
              <w:t>可抵扣差异项目</w:t>
            </w:r>
            <w:r>
              <w:rPr>
                <w:rFonts w:ascii="宋体" w:hAnsi="宋体" w:cs="宋体" w:eastAsia="宋体" w:hint="default"/>
                <w:b/>
                <w:bCs/>
                <w:w w:val="99"/>
                <w:sz w:val="18"/>
                <w:szCs w:val="18"/>
              </w:rPr>
              <w:t> </w:t>
            </w:r>
            <w:r>
              <w:rPr>
                <w:rFonts w:ascii="宋体" w:hAnsi="宋体" w:cs="宋体" w:eastAsia="宋体" w:hint="default"/>
                <w:sz w:val="18"/>
                <w:szCs w:val="18"/>
              </w:rPr>
              <w:t>政府补助</w:t>
            </w:r>
          </w:p>
        </w:tc>
        <w:tc>
          <w:tcPr>
            <w:tcW w:w="33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146,661,733</w:t>
            </w:r>
          </w:p>
        </w:tc>
      </w:tr>
      <w:tr>
        <w:trPr>
          <w:trHeight w:val="390" w:hRule="exact"/>
        </w:trPr>
        <w:tc>
          <w:tcPr>
            <w:tcW w:w="499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预提费用</w:t>
            </w:r>
          </w:p>
        </w:tc>
        <w:tc>
          <w:tcPr>
            <w:tcW w:w="337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125,696,411</w:t>
            </w:r>
          </w:p>
        </w:tc>
      </w:tr>
      <w:tr>
        <w:trPr>
          <w:trHeight w:val="390" w:hRule="exact"/>
        </w:trPr>
        <w:tc>
          <w:tcPr>
            <w:tcW w:w="499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超过税法标准计提的减值准备</w:t>
            </w:r>
          </w:p>
        </w:tc>
        <w:tc>
          <w:tcPr>
            <w:tcW w:w="337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54,536,844</w:t>
            </w:r>
          </w:p>
        </w:tc>
      </w:tr>
      <w:tr>
        <w:trPr>
          <w:trHeight w:val="390" w:hRule="exact"/>
        </w:trPr>
        <w:tc>
          <w:tcPr>
            <w:tcW w:w="499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337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23,129,472</w:t>
            </w:r>
          </w:p>
        </w:tc>
      </w:tr>
      <w:tr>
        <w:trPr>
          <w:trHeight w:val="390" w:hRule="exact"/>
        </w:trPr>
        <w:tc>
          <w:tcPr>
            <w:tcW w:w="499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7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15,686,425</w:t>
            </w:r>
          </w:p>
        </w:tc>
      </w:tr>
      <w:tr>
        <w:trPr>
          <w:trHeight w:val="390" w:hRule="exact"/>
        </w:trPr>
        <w:tc>
          <w:tcPr>
            <w:tcW w:w="499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未到期的未弥补亏损</w:t>
            </w:r>
          </w:p>
        </w:tc>
        <w:tc>
          <w:tcPr>
            <w:tcW w:w="337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6,354,112</w:t>
            </w:r>
          </w:p>
        </w:tc>
      </w:tr>
      <w:tr>
        <w:trPr>
          <w:trHeight w:val="390" w:hRule="exact"/>
        </w:trPr>
        <w:tc>
          <w:tcPr>
            <w:tcW w:w="499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长期资产减值</w:t>
            </w:r>
          </w:p>
        </w:tc>
        <w:tc>
          <w:tcPr>
            <w:tcW w:w="337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8,056,326</w:t>
            </w:r>
          </w:p>
        </w:tc>
      </w:tr>
      <w:tr>
        <w:trPr>
          <w:trHeight w:val="390" w:hRule="exact"/>
        </w:trPr>
        <w:tc>
          <w:tcPr>
            <w:tcW w:w="499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资产公允价值变动</w:t>
            </w:r>
          </w:p>
        </w:tc>
        <w:tc>
          <w:tcPr>
            <w:tcW w:w="337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170,567</w:t>
            </w:r>
          </w:p>
        </w:tc>
      </w:tr>
      <w:tr>
        <w:trPr>
          <w:trHeight w:val="390" w:hRule="exact"/>
        </w:trPr>
        <w:tc>
          <w:tcPr>
            <w:tcW w:w="499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固定资产折旧及其他资产摊销</w:t>
            </w:r>
          </w:p>
        </w:tc>
        <w:tc>
          <w:tcPr>
            <w:tcW w:w="337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70,396</w:t>
            </w:r>
          </w:p>
        </w:tc>
      </w:tr>
      <w:tr>
        <w:trPr>
          <w:trHeight w:val="390" w:hRule="exact"/>
        </w:trPr>
        <w:tc>
          <w:tcPr>
            <w:tcW w:w="499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37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5,656,031</w:t>
            </w:r>
          </w:p>
        </w:tc>
      </w:tr>
      <w:tr>
        <w:trPr>
          <w:trHeight w:val="770" w:hRule="exact"/>
        </w:trPr>
        <w:tc>
          <w:tcPr>
            <w:tcW w:w="499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1"/>
              <w:jc w:val="center"/>
              <w:rPr>
                <w:rFonts w:ascii="宋体" w:hAnsi="宋体" w:cs="宋体" w:eastAsia="宋体" w:hint="default"/>
                <w:sz w:val="18"/>
                <w:szCs w:val="18"/>
              </w:rPr>
            </w:pPr>
            <w:r>
              <w:rPr>
                <w:rFonts w:ascii="宋体" w:hAnsi="宋体" w:cs="宋体" w:eastAsia="宋体" w:hint="default"/>
                <w:sz w:val="18"/>
                <w:szCs w:val="18"/>
              </w:rPr>
              <w:t>小计</w:t>
            </w:r>
          </w:p>
          <w:p>
            <w:pPr>
              <w:pStyle w:val="TableParagraph"/>
              <w:spacing w:line="240" w:lineRule="auto" w:before="154"/>
              <w:ind w:left="122" w:right="0"/>
              <w:jc w:val="left"/>
              <w:rPr>
                <w:rFonts w:ascii="宋体" w:hAnsi="宋体" w:cs="宋体" w:eastAsia="宋体" w:hint="default"/>
                <w:sz w:val="18"/>
                <w:szCs w:val="18"/>
              </w:rPr>
            </w:pPr>
            <w:r>
              <w:rPr>
                <w:rFonts w:ascii="宋体" w:hAnsi="宋体" w:cs="宋体" w:eastAsia="宋体" w:hint="default"/>
                <w:b/>
                <w:bCs/>
                <w:sz w:val="18"/>
                <w:szCs w:val="18"/>
              </w:rPr>
              <w:t>应纳税差异项目</w:t>
            </w:r>
            <w:r>
              <w:rPr>
                <w:rFonts w:ascii="宋体" w:hAnsi="宋体" w:cs="宋体" w:eastAsia="宋体" w:hint="default"/>
                <w:sz w:val="18"/>
                <w:szCs w:val="18"/>
              </w:rPr>
            </w:r>
          </w:p>
        </w:tc>
        <w:tc>
          <w:tcPr>
            <w:tcW w:w="337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386,018,317</w:t>
            </w:r>
          </w:p>
        </w:tc>
      </w:tr>
      <w:tr>
        <w:trPr>
          <w:trHeight w:val="400" w:hRule="exact"/>
        </w:trPr>
        <w:tc>
          <w:tcPr>
            <w:tcW w:w="499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资产公允价值变动</w:t>
            </w:r>
          </w:p>
        </w:tc>
        <w:tc>
          <w:tcPr>
            <w:tcW w:w="337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863,170</w:t>
            </w:r>
          </w:p>
        </w:tc>
      </w:tr>
      <w:tr>
        <w:trPr>
          <w:trHeight w:val="390" w:hRule="exact"/>
        </w:trPr>
        <w:tc>
          <w:tcPr>
            <w:tcW w:w="499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376"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15,489,758</w:t>
            </w:r>
          </w:p>
        </w:tc>
      </w:tr>
      <w:tr>
        <w:trPr>
          <w:trHeight w:val="319" w:hRule="exact"/>
        </w:trPr>
        <w:tc>
          <w:tcPr>
            <w:tcW w:w="4993"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1"/>
              <w:jc w:val="center"/>
              <w:rPr>
                <w:rFonts w:ascii="宋体" w:hAnsi="宋体" w:cs="宋体" w:eastAsia="宋体" w:hint="default"/>
                <w:sz w:val="18"/>
                <w:szCs w:val="18"/>
              </w:rPr>
            </w:pPr>
            <w:r>
              <w:rPr>
                <w:rFonts w:ascii="宋体" w:hAnsi="宋体" w:cs="宋体" w:eastAsia="宋体" w:hint="default"/>
                <w:sz w:val="18"/>
                <w:szCs w:val="18"/>
              </w:rPr>
              <w:t>小计</w:t>
            </w:r>
          </w:p>
        </w:tc>
        <w:tc>
          <w:tcPr>
            <w:tcW w:w="3376"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z w:val="18"/>
              </w:rPr>
              <w:t>16,352,928</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03" w:top="1540" w:bottom="1200" w:left="1660" w:right="980"/>
        </w:sectPr>
      </w:pPr>
    </w:p>
    <w:p>
      <w:pPr>
        <w:spacing w:line="240" w:lineRule="auto" w:before="7"/>
        <w:rPr>
          <w:rFonts w:ascii="宋体" w:hAnsi="宋体" w:cs="宋体" w:eastAsia="宋体" w:hint="default"/>
          <w:b/>
          <w:bCs/>
          <w:sz w:val="3"/>
          <w:szCs w:val="3"/>
        </w:rPr>
      </w:pPr>
    </w:p>
    <w:p>
      <w:pPr>
        <w:spacing w:line="20" w:lineRule="exact"/>
        <w:ind w:left="122" w:right="0" w:firstLine="0"/>
        <w:rPr>
          <w:rFonts w:ascii="宋体" w:hAnsi="宋体" w:cs="宋体" w:eastAsia="宋体" w:hint="default"/>
          <w:sz w:val="2"/>
          <w:szCs w:val="2"/>
        </w:rPr>
      </w:pPr>
      <w:r>
        <w:rPr>
          <w:rFonts w:ascii="宋体" w:hAnsi="宋体" w:cs="宋体" w:eastAsia="宋体" w:hint="default"/>
          <w:sz w:val="2"/>
          <w:szCs w:val="2"/>
        </w:rPr>
        <w:pict>
          <v:group style="width:452.3pt;height:.5pt;mso-position-horizontal-relative:char;mso-position-vertical-relative:line" coordorigin="0,0" coordsize="9046,10">
            <v:group style="position:absolute;left:5;top:5;width:9036;height:2" coordorigin="5,5" coordsize="9036,2">
              <v:shape style="position:absolute;left:5;top:5;width:9036;height:2" coordorigin="5,5" coordsize="9036,0" path="m5,5l9041,5e" filled="false" stroked="true" strokeweight=".4799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108" w:type="dxa"/>
        <w:tblLayout w:type="fixed"/>
        <w:tblCellMar>
          <w:top w:w="0" w:type="dxa"/>
          <w:left w:w="0" w:type="dxa"/>
          <w:bottom w:w="0" w:type="dxa"/>
          <w:right w:w="0" w:type="dxa"/>
        </w:tblCellMar>
        <w:tblLook w:val="01E0"/>
      </w:tblPr>
      <w:tblGrid>
        <w:gridCol w:w="2736"/>
        <w:gridCol w:w="1187"/>
        <w:gridCol w:w="1072"/>
        <w:gridCol w:w="1732"/>
        <w:gridCol w:w="1096"/>
        <w:gridCol w:w="1199"/>
      </w:tblGrid>
      <w:tr>
        <w:trPr>
          <w:trHeight w:val="357" w:hRule="exact"/>
        </w:trPr>
        <w:tc>
          <w:tcPr>
            <w:tcW w:w="2736"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(二十)</w:t>
            </w:r>
            <w:r>
              <w:rPr>
                <w:rFonts w:ascii="宋体" w:hAnsi="宋体" w:cs="宋体" w:eastAsia="宋体" w:hint="default"/>
                <w:b/>
                <w:bCs/>
                <w:spacing w:val="-15"/>
                <w:sz w:val="21"/>
                <w:szCs w:val="21"/>
              </w:rPr>
              <w:t> </w:t>
            </w:r>
            <w:r>
              <w:rPr>
                <w:rFonts w:ascii="宋体" w:hAnsi="宋体" w:cs="宋体" w:eastAsia="宋体" w:hint="default"/>
                <w:b/>
                <w:bCs/>
                <w:sz w:val="21"/>
                <w:szCs w:val="21"/>
              </w:rPr>
              <w:t>资产减值准备</w:t>
            </w:r>
            <w:r>
              <w:rPr>
                <w:rFonts w:ascii="宋体" w:hAnsi="宋体" w:cs="宋体" w:eastAsia="宋体" w:hint="default"/>
                <w:sz w:val="21"/>
                <w:szCs w:val="21"/>
              </w:rPr>
            </w:r>
          </w:p>
        </w:tc>
        <w:tc>
          <w:tcPr>
            <w:tcW w:w="6287" w:type="dxa"/>
            <w:gridSpan w:val="5"/>
            <w:tcBorders>
              <w:top w:val="nil" w:sz="6" w:space="0" w:color="auto"/>
              <w:left w:val="nil" w:sz="6" w:space="0" w:color="auto"/>
              <w:bottom w:val="single" w:sz="12" w:space="0" w:color="000000"/>
              <w:right w:val="nil" w:sz="6" w:space="0" w:color="auto"/>
            </w:tcBorders>
          </w:tcPr>
          <w:p>
            <w:pPr/>
          </w:p>
        </w:tc>
      </w:tr>
      <w:tr>
        <w:trPr>
          <w:trHeight w:val="888" w:hRule="exact"/>
        </w:trPr>
        <w:tc>
          <w:tcPr>
            <w:tcW w:w="2736" w:type="dxa"/>
            <w:tcBorders>
              <w:top w:val="single" w:sz="12" w:space="0" w:color="000000"/>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25"/>
                <w:szCs w:val="25"/>
              </w:rPr>
            </w:pPr>
          </w:p>
          <w:p>
            <w:pPr>
              <w:pStyle w:val="TableParagraph"/>
              <w:tabs>
                <w:tab w:pos="1839" w:val="left" w:leader="none"/>
              </w:tabs>
              <w:spacing w:line="240" w:lineRule="auto"/>
              <w:ind w:left="1389"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187" w:type="dxa"/>
            <w:tcBorders>
              <w:top w:val="single" w:sz="12" w:space="0" w:color="000000"/>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25"/>
                <w:szCs w:val="25"/>
              </w:rPr>
            </w:pPr>
          </w:p>
          <w:p>
            <w:pPr>
              <w:pStyle w:val="TableParagraph"/>
              <w:spacing w:line="240" w:lineRule="auto"/>
              <w:ind w:left="236"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072" w:type="dxa"/>
            <w:tcBorders>
              <w:top w:val="single" w:sz="12" w:space="0" w:color="000000"/>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25"/>
                <w:szCs w:val="25"/>
              </w:rPr>
            </w:pPr>
          </w:p>
          <w:p>
            <w:pPr>
              <w:pStyle w:val="TableParagraph"/>
              <w:spacing w:line="240" w:lineRule="auto"/>
              <w:ind w:right="197"/>
              <w:jc w:val="right"/>
              <w:rPr>
                <w:rFonts w:ascii="宋体" w:hAnsi="宋体" w:cs="宋体" w:eastAsia="宋体" w:hint="default"/>
                <w:sz w:val="18"/>
                <w:szCs w:val="18"/>
              </w:rPr>
            </w:pPr>
            <w:r>
              <w:rPr>
                <w:rFonts w:ascii="宋体" w:hAnsi="宋体" w:cs="宋体" w:eastAsia="宋体" w:hint="default"/>
                <w:sz w:val="18"/>
                <w:szCs w:val="18"/>
              </w:rPr>
              <w:t>本期增加</w:t>
            </w:r>
          </w:p>
        </w:tc>
        <w:tc>
          <w:tcPr>
            <w:tcW w:w="1732" w:type="dxa"/>
            <w:tcBorders>
              <w:top w:val="single" w:sz="12" w:space="0" w:color="000000"/>
              <w:left w:val="nil" w:sz="6" w:space="0" w:color="auto"/>
              <w:bottom w:val="nil" w:sz="6" w:space="0" w:color="auto"/>
              <w:right w:val="nil" w:sz="6" w:space="0" w:color="auto"/>
            </w:tcBorders>
          </w:tcPr>
          <w:p>
            <w:pPr>
              <w:pStyle w:val="TableParagraph"/>
              <w:spacing w:line="240" w:lineRule="auto" w:before="127"/>
              <w:ind w:right="37"/>
              <w:jc w:val="center"/>
              <w:rPr>
                <w:rFonts w:ascii="宋体" w:hAnsi="宋体" w:cs="宋体" w:eastAsia="宋体" w:hint="default"/>
                <w:sz w:val="18"/>
                <w:szCs w:val="18"/>
              </w:rPr>
            </w:pPr>
            <w:r>
              <w:rPr>
                <w:rFonts w:ascii="宋体" w:hAnsi="宋体" w:cs="宋体" w:eastAsia="宋体" w:hint="default"/>
                <w:sz w:val="18"/>
                <w:szCs w:val="18"/>
              </w:rPr>
              <w:t>本期减少</w:t>
            </w:r>
          </w:p>
          <w:p>
            <w:pPr>
              <w:pStyle w:val="TableParagraph"/>
              <w:spacing w:line="240" w:lineRule="auto" w:before="8"/>
              <w:ind w:right="0"/>
              <w:jc w:val="left"/>
              <w:rPr>
                <w:rFonts w:ascii="宋体" w:hAnsi="宋体" w:cs="宋体" w:eastAsia="宋体" w:hint="default"/>
                <w:b/>
                <w:bCs/>
                <w:sz w:val="12"/>
                <w:szCs w:val="12"/>
              </w:rPr>
            </w:pPr>
          </w:p>
          <w:p>
            <w:pPr>
              <w:pStyle w:val="TableParagraph"/>
              <w:tabs>
                <w:tab w:pos="839" w:val="left" w:leader="none"/>
              </w:tabs>
              <w:spacing w:line="240" w:lineRule="auto"/>
              <w:ind w:right="153"/>
              <w:jc w:val="center"/>
              <w:rPr>
                <w:rFonts w:ascii="宋体" w:hAnsi="宋体" w:cs="宋体" w:eastAsia="宋体" w:hint="default"/>
                <w:sz w:val="18"/>
                <w:szCs w:val="18"/>
              </w:rPr>
            </w:pPr>
            <w:r>
              <w:rPr>
                <w:rFonts w:ascii="宋体" w:hAnsi="宋体" w:cs="宋体" w:eastAsia="宋体" w:hint="default"/>
                <w:sz w:val="18"/>
                <w:szCs w:val="18"/>
              </w:rPr>
              <w:t>转回</w:t>
              <w:tab/>
              <w:t>转 销</w:t>
            </w:r>
          </w:p>
        </w:tc>
        <w:tc>
          <w:tcPr>
            <w:tcW w:w="1096" w:type="dxa"/>
            <w:tcBorders>
              <w:top w:val="single" w:sz="12" w:space="0" w:color="000000"/>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25"/>
                <w:szCs w:val="25"/>
              </w:rPr>
            </w:pP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spacing w:val="-3"/>
                <w:sz w:val="18"/>
                <w:szCs w:val="18"/>
              </w:rPr>
              <w:t>其他（注）</w:t>
            </w:r>
          </w:p>
        </w:tc>
        <w:tc>
          <w:tcPr>
            <w:tcW w:w="1199" w:type="dxa"/>
            <w:tcBorders>
              <w:top w:val="single" w:sz="12" w:space="0" w:color="000000"/>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25"/>
                <w:szCs w:val="25"/>
              </w:rPr>
            </w:pPr>
          </w:p>
          <w:p>
            <w:pPr>
              <w:pStyle w:val="TableParagraph"/>
              <w:spacing w:line="240" w:lineRule="auto"/>
              <w:ind w:left="19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9" w:hRule="exact"/>
        </w:trPr>
        <w:tc>
          <w:tcPr>
            <w:tcW w:w="273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76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15"/>
              <w:jc w:val="right"/>
              <w:rPr>
                <w:rFonts w:ascii="Times New Roman" w:hAnsi="Times New Roman" w:cs="Times New Roman" w:eastAsia="Times New Roman" w:hint="default"/>
                <w:sz w:val="18"/>
                <w:szCs w:val="18"/>
              </w:rPr>
            </w:pPr>
            <w:r>
              <w:rPr>
                <w:rFonts w:ascii="Times New Roman"/>
                <w:sz w:val="18"/>
              </w:rPr>
              <w:t>51,310,416</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41"/>
              <w:jc w:val="right"/>
              <w:rPr>
                <w:rFonts w:ascii="Times New Roman" w:hAnsi="Times New Roman" w:cs="Times New Roman" w:eastAsia="Times New Roman" w:hint="default"/>
                <w:sz w:val="18"/>
                <w:szCs w:val="18"/>
              </w:rPr>
            </w:pPr>
            <w:r>
              <w:rPr>
                <w:rFonts w:ascii="Times New Roman"/>
                <w:sz w:val="18"/>
              </w:rPr>
              <w:t>25,898,767</w:t>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4"/>
              <w:jc w:val="right"/>
              <w:rPr>
                <w:rFonts w:ascii="Times New Roman" w:hAnsi="Times New Roman" w:cs="Times New Roman" w:eastAsia="Times New Roman" w:hint="default"/>
                <w:sz w:val="18"/>
                <w:szCs w:val="18"/>
              </w:rPr>
            </w:pPr>
            <w:r>
              <w:rPr>
                <w:rFonts w:ascii="Times New Roman"/>
                <w:sz w:val="18"/>
              </w:rPr>
              <w:t>607,439</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321" w:right="0"/>
              <w:jc w:val="left"/>
              <w:rPr>
                <w:rFonts w:ascii="Times New Roman" w:hAnsi="Times New Roman" w:cs="Times New Roman" w:eastAsia="Times New Roman" w:hint="default"/>
                <w:sz w:val="18"/>
                <w:szCs w:val="18"/>
              </w:rPr>
            </w:pPr>
            <w:r>
              <w:rPr>
                <w:rFonts w:ascii="Times New Roman"/>
                <w:sz w:val="18"/>
              </w:rPr>
              <w:t>518,952</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6"/>
              <w:jc w:val="right"/>
              <w:rPr>
                <w:rFonts w:ascii="Times New Roman" w:hAnsi="Times New Roman" w:cs="Times New Roman" w:eastAsia="Times New Roman" w:hint="default"/>
                <w:sz w:val="18"/>
                <w:szCs w:val="18"/>
              </w:rPr>
            </w:pPr>
            <w:r>
              <w:rPr>
                <w:rFonts w:ascii="Times New Roman"/>
                <w:sz w:val="18"/>
              </w:rPr>
              <w:t>77,120,696</w:t>
            </w:r>
          </w:p>
        </w:tc>
      </w:tr>
      <w:tr>
        <w:trPr>
          <w:trHeight w:val="400" w:hRule="exact"/>
        </w:trPr>
        <w:tc>
          <w:tcPr>
            <w:tcW w:w="273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7"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4"/>
              <w:jc w:val="right"/>
              <w:rPr>
                <w:rFonts w:ascii="Times New Roman" w:hAnsi="Times New Roman" w:cs="Times New Roman" w:eastAsia="Times New Roman" w:hint="default"/>
                <w:sz w:val="18"/>
                <w:szCs w:val="18"/>
              </w:rPr>
            </w:pPr>
            <w:r>
              <w:rPr>
                <w:rFonts w:ascii="Times New Roman"/>
                <w:sz w:val="18"/>
              </w:rPr>
              <w:t>18,256,674</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1"/>
              <w:jc w:val="right"/>
              <w:rPr>
                <w:rFonts w:ascii="Times New Roman" w:hAnsi="Times New Roman" w:cs="Times New Roman" w:eastAsia="Times New Roman" w:hint="default"/>
                <w:sz w:val="18"/>
                <w:szCs w:val="18"/>
              </w:rPr>
            </w:pPr>
            <w:r>
              <w:rPr>
                <w:rFonts w:ascii="Times New Roman"/>
                <w:sz w:val="18"/>
              </w:rPr>
              <w:t>5,077,146</w:t>
            </w:r>
          </w:p>
        </w:tc>
        <w:tc>
          <w:tcPr>
            <w:tcW w:w="1732" w:type="dxa"/>
            <w:tcBorders>
              <w:top w:val="nil" w:sz="6" w:space="0" w:color="auto"/>
              <w:left w:val="nil" w:sz="6" w:space="0" w:color="auto"/>
              <w:bottom w:val="nil" w:sz="6" w:space="0" w:color="auto"/>
              <w:right w:val="nil" w:sz="6" w:space="0" w:color="auto"/>
            </w:tcBorders>
          </w:tcPr>
          <w:p>
            <w:pPr/>
          </w:p>
        </w:tc>
        <w:tc>
          <w:tcPr>
            <w:tcW w:w="1096" w:type="dxa"/>
            <w:tcBorders>
              <w:top w:val="nil" w:sz="6" w:space="0" w:color="auto"/>
              <w:left w:val="nil" w:sz="6" w:space="0" w:color="auto"/>
              <w:bottom w:val="nil" w:sz="6" w:space="0" w:color="auto"/>
              <w:right w:val="nil" w:sz="6" w:space="0" w:color="auto"/>
            </w:tcBorders>
          </w:tcPr>
          <w:p>
            <w:pP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z w:val="18"/>
              </w:rPr>
              <w:t>23,333,820</w:t>
            </w:r>
          </w:p>
        </w:tc>
      </w:tr>
      <w:tr>
        <w:trPr>
          <w:trHeight w:val="400" w:hRule="exact"/>
        </w:trPr>
        <w:tc>
          <w:tcPr>
            <w:tcW w:w="273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767" w:right="0"/>
              <w:jc w:val="left"/>
              <w:rPr>
                <w:rFonts w:ascii="宋体" w:hAnsi="宋体" w:cs="宋体" w:eastAsia="宋体" w:hint="default"/>
                <w:sz w:val="18"/>
                <w:szCs w:val="18"/>
              </w:rPr>
            </w:pPr>
            <w:r>
              <w:rPr>
                <w:rFonts w:ascii="宋体" w:hAnsi="宋体" w:cs="宋体" w:eastAsia="宋体" w:hint="default"/>
                <w:sz w:val="18"/>
                <w:szCs w:val="18"/>
              </w:rPr>
              <w:t>商誉减值准备</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4"/>
              <w:jc w:val="right"/>
              <w:rPr>
                <w:rFonts w:ascii="Times New Roman" w:hAnsi="Times New Roman" w:cs="Times New Roman" w:eastAsia="Times New Roman" w:hint="default"/>
                <w:sz w:val="18"/>
                <w:szCs w:val="18"/>
              </w:rPr>
            </w:pPr>
            <w:r>
              <w:rPr>
                <w:rFonts w:ascii="Times New Roman"/>
                <w:sz w:val="18"/>
              </w:rPr>
              <w:t>17,642,750</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41"/>
              <w:jc w:val="right"/>
              <w:rPr>
                <w:rFonts w:ascii="Times New Roman" w:hAnsi="Times New Roman" w:cs="Times New Roman" w:eastAsia="Times New Roman" w:hint="default"/>
                <w:sz w:val="18"/>
                <w:szCs w:val="18"/>
              </w:rPr>
            </w:pPr>
            <w:r>
              <w:rPr>
                <w:rFonts w:ascii="Times New Roman"/>
                <w:sz w:val="18"/>
              </w:rPr>
              <w:t>8,981,071</w:t>
            </w:r>
          </w:p>
        </w:tc>
        <w:tc>
          <w:tcPr>
            <w:tcW w:w="1732" w:type="dxa"/>
            <w:tcBorders>
              <w:top w:val="nil" w:sz="6" w:space="0" w:color="auto"/>
              <w:left w:val="nil" w:sz="6" w:space="0" w:color="auto"/>
              <w:bottom w:val="nil" w:sz="6" w:space="0" w:color="auto"/>
              <w:right w:val="nil" w:sz="6" w:space="0" w:color="auto"/>
            </w:tcBorders>
          </w:tcPr>
          <w:p>
            <w:pP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25" w:right="0"/>
              <w:jc w:val="left"/>
              <w:rPr>
                <w:rFonts w:ascii="Times New Roman" w:hAnsi="Times New Roman" w:cs="Times New Roman" w:eastAsia="Times New Roman" w:hint="default"/>
                <w:sz w:val="18"/>
                <w:szCs w:val="18"/>
              </w:rPr>
            </w:pPr>
            <w:r>
              <w:rPr>
                <w:rFonts w:ascii="Times New Roman"/>
                <w:sz w:val="18"/>
              </w:rPr>
              <w:t>-1,769,155</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z w:val="18"/>
              </w:rPr>
              <w:t>24,854,666</w:t>
            </w:r>
          </w:p>
        </w:tc>
      </w:tr>
      <w:tr>
        <w:trPr>
          <w:trHeight w:val="400" w:hRule="exact"/>
        </w:trPr>
        <w:tc>
          <w:tcPr>
            <w:tcW w:w="273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7" w:right="0"/>
              <w:jc w:val="left"/>
              <w:rPr>
                <w:rFonts w:ascii="宋体" w:hAnsi="宋体" w:cs="宋体" w:eastAsia="宋体" w:hint="default"/>
                <w:sz w:val="18"/>
                <w:szCs w:val="18"/>
              </w:rPr>
            </w:pPr>
            <w:r>
              <w:rPr>
                <w:rFonts w:ascii="宋体" w:hAnsi="宋体" w:cs="宋体" w:eastAsia="宋体" w:hint="default"/>
                <w:sz w:val="18"/>
                <w:szCs w:val="18"/>
              </w:rPr>
              <w:t>长期股权投资减值准备</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4"/>
              <w:jc w:val="right"/>
              <w:rPr>
                <w:rFonts w:ascii="Times New Roman" w:hAnsi="Times New Roman" w:cs="Times New Roman" w:eastAsia="Times New Roman" w:hint="default"/>
                <w:sz w:val="18"/>
                <w:szCs w:val="18"/>
              </w:rPr>
            </w:pPr>
            <w:r>
              <w:rPr>
                <w:rFonts w:ascii="Times New Roman"/>
                <w:sz w:val="18"/>
              </w:rPr>
              <w:t>10,920,000</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1"/>
              <w:jc w:val="right"/>
              <w:rPr>
                <w:rFonts w:ascii="Times New Roman" w:hAnsi="Times New Roman" w:cs="Times New Roman" w:eastAsia="Times New Roman" w:hint="default"/>
                <w:sz w:val="18"/>
                <w:szCs w:val="18"/>
              </w:rPr>
            </w:pPr>
            <w:r>
              <w:rPr>
                <w:rFonts w:ascii="Times New Roman"/>
                <w:sz w:val="18"/>
              </w:rPr>
              <w:t>1,448,028</w:t>
            </w:r>
          </w:p>
        </w:tc>
        <w:tc>
          <w:tcPr>
            <w:tcW w:w="1732" w:type="dxa"/>
            <w:tcBorders>
              <w:top w:val="nil" w:sz="6" w:space="0" w:color="auto"/>
              <w:left w:val="nil" w:sz="6" w:space="0" w:color="auto"/>
              <w:bottom w:val="nil" w:sz="6" w:space="0" w:color="auto"/>
              <w:right w:val="nil" w:sz="6" w:space="0" w:color="auto"/>
            </w:tcBorders>
          </w:tcPr>
          <w:p>
            <w:pPr/>
          </w:p>
        </w:tc>
        <w:tc>
          <w:tcPr>
            <w:tcW w:w="1096" w:type="dxa"/>
            <w:tcBorders>
              <w:top w:val="nil" w:sz="6" w:space="0" w:color="auto"/>
              <w:left w:val="nil" w:sz="6" w:space="0" w:color="auto"/>
              <w:bottom w:val="nil" w:sz="6" w:space="0" w:color="auto"/>
              <w:right w:val="nil" w:sz="6" w:space="0" w:color="auto"/>
            </w:tcBorders>
          </w:tcPr>
          <w:p>
            <w:pP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z w:val="18"/>
              </w:rPr>
              <w:t>12,368,028</w:t>
            </w:r>
          </w:p>
        </w:tc>
      </w:tr>
      <w:tr>
        <w:trPr>
          <w:trHeight w:val="400" w:hRule="exact"/>
        </w:trPr>
        <w:tc>
          <w:tcPr>
            <w:tcW w:w="273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7" w:right="0"/>
              <w:jc w:val="left"/>
              <w:rPr>
                <w:rFonts w:ascii="宋体" w:hAnsi="宋体" w:cs="宋体" w:eastAsia="宋体" w:hint="default"/>
                <w:sz w:val="18"/>
                <w:szCs w:val="18"/>
              </w:rPr>
            </w:pPr>
            <w:r>
              <w:rPr>
                <w:rFonts w:ascii="宋体" w:hAnsi="宋体" w:cs="宋体" w:eastAsia="宋体" w:hint="default"/>
                <w:sz w:val="18"/>
                <w:szCs w:val="18"/>
              </w:rPr>
              <w:t>固定资产减值准备</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5"/>
              <w:jc w:val="right"/>
              <w:rPr>
                <w:rFonts w:ascii="Times New Roman" w:hAnsi="Times New Roman" w:cs="Times New Roman" w:eastAsia="Times New Roman" w:hint="default"/>
                <w:sz w:val="18"/>
                <w:szCs w:val="18"/>
              </w:rPr>
            </w:pPr>
            <w:r>
              <w:rPr>
                <w:rFonts w:ascii="Times New Roman"/>
                <w:sz w:val="18"/>
              </w:rPr>
              <w:t>2,325,001</w:t>
            </w:r>
          </w:p>
        </w:tc>
        <w:tc>
          <w:tcPr>
            <w:tcW w:w="1072" w:type="dxa"/>
            <w:tcBorders>
              <w:top w:val="nil" w:sz="6" w:space="0" w:color="auto"/>
              <w:left w:val="nil" w:sz="6" w:space="0" w:color="auto"/>
              <w:bottom w:val="nil" w:sz="6" w:space="0" w:color="auto"/>
              <w:right w:val="nil" w:sz="6" w:space="0" w:color="auto"/>
            </w:tcBorders>
          </w:tcPr>
          <w:p>
            <w:pP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z w:val="18"/>
              </w:rPr>
              <w:t>574,087</w:t>
            </w:r>
          </w:p>
        </w:tc>
        <w:tc>
          <w:tcPr>
            <w:tcW w:w="1096" w:type="dxa"/>
            <w:tcBorders>
              <w:top w:val="nil" w:sz="6" w:space="0" w:color="auto"/>
              <w:left w:val="nil" w:sz="6" w:space="0" w:color="auto"/>
              <w:bottom w:val="nil" w:sz="6" w:space="0" w:color="auto"/>
              <w:right w:val="nil" w:sz="6" w:space="0" w:color="auto"/>
            </w:tcBorders>
          </w:tcPr>
          <w:p>
            <w:pP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1,750,914</w:t>
            </w:r>
          </w:p>
        </w:tc>
      </w:tr>
      <w:tr>
        <w:trPr>
          <w:trHeight w:val="400" w:hRule="exact"/>
        </w:trPr>
        <w:tc>
          <w:tcPr>
            <w:tcW w:w="273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767" w:right="0"/>
              <w:jc w:val="left"/>
              <w:rPr>
                <w:rFonts w:ascii="宋体" w:hAnsi="宋体" w:cs="宋体" w:eastAsia="宋体" w:hint="default"/>
                <w:sz w:val="18"/>
                <w:szCs w:val="18"/>
              </w:rPr>
            </w:pPr>
            <w:r>
              <w:rPr>
                <w:rFonts w:ascii="宋体" w:hAnsi="宋体" w:cs="宋体" w:eastAsia="宋体" w:hint="default"/>
                <w:sz w:val="18"/>
                <w:szCs w:val="18"/>
              </w:rPr>
              <w:t>无形资产减值准备</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4"/>
              <w:jc w:val="right"/>
              <w:rPr>
                <w:rFonts w:ascii="Times New Roman" w:hAnsi="Times New Roman" w:cs="Times New Roman" w:eastAsia="Times New Roman" w:hint="default"/>
                <w:sz w:val="18"/>
                <w:szCs w:val="18"/>
              </w:rPr>
            </w:pPr>
            <w:r>
              <w:rPr>
                <w:rFonts w:ascii="Times New Roman"/>
                <w:sz w:val="18"/>
              </w:rPr>
              <w:t>184,319</w:t>
            </w:r>
          </w:p>
        </w:tc>
        <w:tc>
          <w:tcPr>
            <w:tcW w:w="1072" w:type="dxa"/>
            <w:tcBorders>
              <w:top w:val="nil" w:sz="6" w:space="0" w:color="auto"/>
              <w:left w:val="nil" w:sz="6" w:space="0" w:color="auto"/>
              <w:bottom w:val="nil" w:sz="6" w:space="0" w:color="auto"/>
              <w:right w:val="nil" w:sz="6" w:space="0" w:color="auto"/>
            </w:tcBorders>
          </w:tcPr>
          <w:p>
            <w:pP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4"/>
              <w:jc w:val="right"/>
              <w:rPr>
                <w:rFonts w:ascii="Times New Roman" w:hAnsi="Times New Roman" w:cs="Times New Roman" w:eastAsia="Times New Roman" w:hint="default"/>
                <w:sz w:val="18"/>
                <w:szCs w:val="18"/>
              </w:rPr>
            </w:pPr>
            <w:r>
              <w:rPr>
                <w:rFonts w:ascii="Times New Roman"/>
                <w:sz w:val="18"/>
              </w:rPr>
              <w:t>44,079</w:t>
            </w:r>
          </w:p>
        </w:tc>
        <w:tc>
          <w:tcPr>
            <w:tcW w:w="1096" w:type="dxa"/>
            <w:tcBorders>
              <w:top w:val="nil" w:sz="6" w:space="0" w:color="auto"/>
              <w:left w:val="nil" w:sz="6" w:space="0" w:color="auto"/>
              <w:bottom w:val="nil" w:sz="6" w:space="0" w:color="auto"/>
              <w:right w:val="nil" w:sz="6" w:space="0" w:color="auto"/>
            </w:tcBorders>
          </w:tcPr>
          <w:p>
            <w:pP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5"/>
              <w:jc w:val="right"/>
              <w:rPr>
                <w:rFonts w:ascii="Times New Roman" w:hAnsi="Times New Roman" w:cs="Times New Roman" w:eastAsia="Times New Roman" w:hint="default"/>
                <w:sz w:val="18"/>
                <w:szCs w:val="18"/>
              </w:rPr>
            </w:pPr>
            <w:r>
              <w:rPr>
                <w:rFonts w:ascii="Times New Roman"/>
                <w:sz w:val="18"/>
              </w:rPr>
              <w:t>140,240</w:t>
            </w:r>
          </w:p>
        </w:tc>
      </w:tr>
      <w:tr>
        <w:trPr>
          <w:trHeight w:val="323" w:hRule="exact"/>
        </w:trPr>
        <w:tc>
          <w:tcPr>
            <w:tcW w:w="2736" w:type="dxa"/>
            <w:tcBorders>
              <w:top w:val="nil" w:sz="6" w:space="0" w:color="auto"/>
              <w:left w:val="nil" w:sz="6" w:space="0" w:color="auto"/>
              <w:bottom w:val="single" w:sz="12" w:space="0" w:color="000000"/>
              <w:right w:val="nil" w:sz="6" w:space="0" w:color="auto"/>
            </w:tcBorders>
          </w:tcPr>
          <w:p>
            <w:pPr>
              <w:pStyle w:val="TableParagraph"/>
              <w:tabs>
                <w:tab w:pos="1885" w:val="left" w:leader="none"/>
              </w:tabs>
              <w:spacing w:line="240" w:lineRule="auto" w:before="44"/>
              <w:ind w:left="1345"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187"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14"/>
              <w:jc w:val="right"/>
              <w:rPr>
                <w:rFonts w:ascii="Times New Roman" w:hAnsi="Times New Roman" w:cs="Times New Roman" w:eastAsia="Times New Roman" w:hint="default"/>
                <w:sz w:val="18"/>
                <w:szCs w:val="18"/>
              </w:rPr>
            </w:pPr>
            <w:r>
              <w:rPr>
                <w:rFonts w:ascii="Times New Roman"/>
                <w:sz w:val="18"/>
              </w:rPr>
              <w:t>100,639,160</w:t>
            </w:r>
          </w:p>
        </w:tc>
        <w:tc>
          <w:tcPr>
            <w:tcW w:w="1072"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41"/>
              <w:jc w:val="right"/>
              <w:rPr>
                <w:rFonts w:ascii="Times New Roman" w:hAnsi="Times New Roman" w:cs="Times New Roman" w:eastAsia="Times New Roman" w:hint="default"/>
                <w:sz w:val="18"/>
                <w:szCs w:val="18"/>
              </w:rPr>
            </w:pPr>
            <w:r>
              <w:rPr>
                <w:rFonts w:ascii="Times New Roman"/>
                <w:sz w:val="18"/>
              </w:rPr>
              <w:t>41,405,012</w:t>
            </w:r>
          </w:p>
        </w:tc>
        <w:tc>
          <w:tcPr>
            <w:tcW w:w="1732"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1,225,605</w:t>
            </w:r>
          </w:p>
        </w:tc>
        <w:tc>
          <w:tcPr>
            <w:tcW w:w="1096"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left="125" w:right="0"/>
              <w:jc w:val="left"/>
              <w:rPr>
                <w:rFonts w:ascii="Times New Roman" w:hAnsi="Times New Roman" w:cs="Times New Roman" w:eastAsia="Times New Roman" w:hint="default"/>
                <w:sz w:val="18"/>
                <w:szCs w:val="18"/>
              </w:rPr>
            </w:pPr>
            <w:r>
              <w:rPr>
                <w:rFonts w:ascii="Times New Roman"/>
                <w:sz w:val="18"/>
              </w:rPr>
              <w:t>-1,250,203</w:t>
            </w:r>
          </w:p>
        </w:tc>
        <w:tc>
          <w:tcPr>
            <w:tcW w:w="1199"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left="100" w:right="0"/>
              <w:jc w:val="left"/>
              <w:rPr>
                <w:rFonts w:ascii="Times New Roman" w:hAnsi="Times New Roman" w:cs="Times New Roman" w:eastAsia="Times New Roman" w:hint="default"/>
                <w:sz w:val="18"/>
                <w:szCs w:val="18"/>
              </w:rPr>
            </w:pPr>
            <w:r>
              <w:rPr>
                <w:rFonts w:ascii="Times New Roman"/>
                <w:sz w:val="18"/>
              </w:rPr>
              <w:t>139,568,364</w:t>
            </w:r>
          </w:p>
        </w:tc>
      </w:tr>
    </w:tbl>
    <w:p>
      <w:pPr>
        <w:spacing w:line="681" w:lineRule="auto" w:before="68"/>
        <w:ind w:left="143" w:right="3559" w:firstLine="732"/>
        <w:jc w:val="left"/>
        <w:rPr>
          <w:rFonts w:ascii="宋体" w:hAnsi="宋体" w:cs="宋体" w:eastAsia="宋体" w:hint="default"/>
          <w:sz w:val="21"/>
          <w:szCs w:val="21"/>
        </w:rPr>
      </w:pPr>
      <w:r>
        <w:rPr/>
        <w:pict>
          <v:group style="position:absolute;margin-left:119.400002pt;margin-top:-183.236023pt;width:420.2pt;height:181pt;mso-position-horizontal-relative:page;mso-position-vertical-relative:paragraph;z-index:-1118728" coordorigin="2388,-3665" coordsize="8404,3620">
            <v:shape style="position:absolute;left:4468;top:-3665;width:5057;height:839" type="#_x0000_t75" stroked="false">
              <v:imagedata r:id="rId217" o:title=""/>
            </v:shape>
            <v:shape style="position:absolute;left:2388;top:-2864;width:8404;height:2819" type="#_x0000_t75" stroked="false">
              <v:imagedata r:id="rId218" o:title=""/>
            </v:shape>
            <w10:wrap type="none"/>
          </v:group>
        </w:pict>
      </w:r>
      <w:r>
        <w:rPr/>
        <w:pict>
          <v:shape style="position:absolute;margin-left:120.360001pt;margin-top:60.138889pt;width:416.25pt;height:102pt;mso-position-horizontal-relative:page;mso-position-vertical-relative:paragraph;z-index:159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83"/>
                    <w:gridCol w:w="2351"/>
                    <w:gridCol w:w="1990"/>
                  </w:tblGrid>
                  <w:tr>
                    <w:trPr>
                      <w:trHeight w:val="357" w:hRule="exact"/>
                    </w:trPr>
                    <w:tc>
                      <w:tcPr>
                        <w:tcW w:w="3983" w:type="dxa"/>
                        <w:tcBorders>
                          <w:top w:val="nil" w:sz="6" w:space="0" w:color="auto"/>
                          <w:left w:val="nil" w:sz="6" w:space="0" w:color="auto"/>
                          <w:bottom w:val="single" w:sz="12" w:space="0" w:color="000000"/>
                          <w:right w:val="nil" w:sz="6" w:space="0" w:color="auto"/>
                        </w:tcBorders>
                      </w:tcPr>
                      <w:p>
                        <w:pPr>
                          <w:pStyle w:val="TableParagraph"/>
                          <w:tabs>
                            <w:tab w:pos="646" w:val="left" w:leader="none"/>
                          </w:tabs>
                          <w:spacing w:line="240" w:lineRule="auto" w:before="35"/>
                          <w:ind w:left="107" w:right="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短期借款分类</w:t>
                        </w:r>
                        <w:r>
                          <w:rPr>
                            <w:rFonts w:ascii="宋体" w:hAnsi="宋体" w:cs="宋体" w:eastAsia="宋体" w:hint="default"/>
                            <w:sz w:val="21"/>
                            <w:szCs w:val="21"/>
                          </w:rPr>
                        </w:r>
                      </w:p>
                    </w:tc>
                    <w:tc>
                      <w:tcPr>
                        <w:tcW w:w="4341" w:type="dxa"/>
                        <w:gridSpan w:val="2"/>
                        <w:tcBorders>
                          <w:top w:val="nil" w:sz="6" w:space="0" w:color="auto"/>
                          <w:left w:val="nil" w:sz="6" w:space="0" w:color="auto"/>
                          <w:bottom w:val="single" w:sz="12" w:space="0" w:color="000000"/>
                          <w:right w:val="nil" w:sz="6" w:space="0" w:color="auto"/>
                        </w:tcBorders>
                      </w:tcPr>
                      <w:p>
                        <w:pPr/>
                      </w:p>
                    </w:tc>
                  </w:tr>
                  <w:tr>
                    <w:trPr>
                      <w:trHeight w:val="487" w:hRule="exact"/>
                    </w:trPr>
                    <w:tc>
                      <w:tcPr>
                        <w:tcW w:w="3983" w:type="dxa"/>
                        <w:tcBorders>
                          <w:top w:val="single" w:sz="12" w:space="0" w:color="000000"/>
                          <w:left w:val="nil" w:sz="6" w:space="0" w:color="auto"/>
                          <w:bottom w:val="nil" w:sz="6" w:space="0" w:color="auto"/>
                          <w:right w:val="nil" w:sz="6" w:space="0" w:color="auto"/>
                        </w:tcBorders>
                      </w:tcPr>
                      <w:p>
                        <w:pPr>
                          <w:pStyle w:val="TableParagraph"/>
                          <w:spacing w:line="240" w:lineRule="auto" w:before="127"/>
                          <w:ind w:right="542"/>
                          <w:jc w:val="center"/>
                          <w:rPr>
                            <w:rFonts w:ascii="宋体" w:hAnsi="宋体" w:cs="宋体" w:eastAsia="宋体" w:hint="default"/>
                            <w:sz w:val="18"/>
                            <w:szCs w:val="18"/>
                          </w:rPr>
                        </w:pPr>
                        <w:r>
                          <w:rPr>
                            <w:rFonts w:ascii="宋体" w:hAnsi="宋体" w:cs="宋体" w:eastAsia="宋体" w:hint="default"/>
                            <w:sz w:val="18"/>
                            <w:szCs w:val="18"/>
                          </w:rPr>
                          <w:t>项目</w:t>
                        </w:r>
                      </w:p>
                    </w:tc>
                    <w:tc>
                      <w:tcPr>
                        <w:tcW w:w="2351" w:type="dxa"/>
                        <w:tcBorders>
                          <w:top w:val="single" w:sz="12" w:space="0" w:color="000000"/>
                          <w:left w:val="nil" w:sz="6" w:space="0" w:color="auto"/>
                          <w:bottom w:val="nil" w:sz="6" w:space="0" w:color="auto"/>
                          <w:right w:val="nil" w:sz="6" w:space="0" w:color="auto"/>
                        </w:tcBorders>
                      </w:tcPr>
                      <w:p>
                        <w:pPr>
                          <w:pStyle w:val="TableParagraph"/>
                          <w:spacing w:line="240" w:lineRule="auto" w:before="127"/>
                          <w:ind w:left="36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90" w:type="dxa"/>
                        <w:tcBorders>
                          <w:top w:val="single" w:sz="12" w:space="0" w:color="000000"/>
                          <w:left w:val="nil" w:sz="6" w:space="0" w:color="auto"/>
                          <w:bottom w:val="nil" w:sz="6" w:space="0" w:color="auto"/>
                          <w:right w:val="nil" w:sz="6" w:space="0" w:color="auto"/>
                        </w:tcBorders>
                      </w:tcPr>
                      <w:p>
                        <w:pPr>
                          <w:pStyle w:val="TableParagraph"/>
                          <w:spacing w:line="240" w:lineRule="auto" w:before="127"/>
                          <w:ind w:left="459"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32" w:hRule="exact"/>
                    </w:trPr>
                    <w:tc>
                      <w:tcPr>
                        <w:tcW w:w="3983"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2351" w:type="dxa"/>
                        <w:tcBorders>
                          <w:top w:val="nil" w:sz="6" w:space="0" w:color="auto"/>
                          <w:left w:val="nil" w:sz="6" w:space="0" w:color="auto"/>
                          <w:bottom w:val="single" w:sz="12" w:space="0" w:color="000000"/>
                          <w:right w:val="nil" w:sz="6" w:space="0" w:color="auto"/>
                        </w:tcBorders>
                      </w:tcPr>
                      <w:p>
                        <w:pPr>
                          <w:pStyle w:val="TableParagraph"/>
                          <w:spacing w:line="240" w:lineRule="auto" w:before="106"/>
                          <w:ind w:left="990" w:right="0"/>
                          <w:jc w:val="left"/>
                          <w:rPr>
                            <w:rFonts w:ascii="Times New Roman" w:hAnsi="Times New Roman" w:cs="Times New Roman" w:eastAsia="Times New Roman" w:hint="default"/>
                            <w:sz w:val="18"/>
                            <w:szCs w:val="18"/>
                          </w:rPr>
                        </w:pPr>
                        <w:r>
                          <w:rPr>
                            <w:rFonts w:ascii="Times New Roman"/>
                            <w:sz w:val="18"/>
                          </w:rPr>
                          <w:t>470,000,000</w:t>
                        </w:r>
                      </w:p>
                    </w:tc>
                    <w:tc>
                      <w:tcPr>
                        <w:tcW w:w="1990" w:type="dxa"/>
                        <w:tcBorders>
                          <w:top w:val="nil" w:sz="6" w:space="0" w:color="auto"/>
                          <w:left w:val="nil" w:sz="6" w:space="0" w:color="auto"/>
                          <w:bottom w:val="single" w:sz="12" w:space="0" w:color="000000"/>
                          <w:right w:val="nil" w:sz="6" w:space="0" w:color="auto"/>
                        </w:tcBorders>
                      </w:tcPr>
                      <w:p>
                        <w:pPr>
                          <w:pStyle w:val="TableParagraph"/>
                          <w:spacing w:line="240" w:lineRule="auto" w:before="106"/>
                          <w:ind w:left="982" w:right="0"/>
                          <w:jc w:val="left"/>
                          <w:rPr>
                            <w:rFonts w:ascii="Times New Roman" w:hAnsi="Times New Roman" w:cs="Times New Roman" w:eastAsia="Times New Roman" w:hint="default"/>
                            <w:sz w:val="18"/>
                            <w:szCs w:val="18"/>
                          </w:rPr>
                        </w:pPr>
                        <w:r>
                          <w:rPr>
                            <w:rFonts w:ascii="Times New Roman"/>
                            <w:sz w:val="18"/>
                          </w:rPr>
                          <w:t>160,000,000</w:t>
                        </w:r>
                      </w:p>
                    </w:tc>
                  </w:tr>
                  <w:tr>
                    <w:trPr>
                      <w:trHeight w:val="863" w:hRule="exact"/>
                    </w:trPr>
                    <w:tc>
                      <w:tcPr>
                        <w:tcW w:w="398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6"/>
                            <w:szCs w:val="16"/>
                          </w:rPr>
                        </w:pPr>
                      </w:p>
                      <w:p>
                        <w:pPr>
                          <w:pStyle w:val="TableParagraph"/>
                          <w:tabs>
                            <w:tab w:pos="663" w:val="left" w:leader="none"/>
                          </w:tabs>
                          <w:spacing w:line="240" w:lineRule="auto"/>
                          <w:ind w:left="108" w:right="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本期无已到期未偿还的短期借款</w:t>
                        </w:r>
                        <w:r>
                          <w:rPr>
                            <w:rFonts w:ascii="宋体" w:hAnsi="宋体" w:cs="宋体" w:eastAsia="宋体" w:hint="default"/>
                            <w:sz w:val="21"/>
                            <w:szCs w:val="21"/>
                          </w:rPr>
                        </w:r>
                      </w:p>
                    </w:tc>
                    <w:tc>
                      <w:tcPr>
                        <w:tcW w:w="2351" w:type="dxa"/>
                        <w:tcBorders>
                          <w:top w:val="single" w:sz="12" w:space="0" w:color="000000"/>
                          <w:left w:val="nil" w:sz="6" w:space="0" w:color="auto"/>
                          <w:bottom w:val="nil" w:sz="6" w:space="0" w:color="auto"/>
                          <w:right w:val="nil" w:sz="6" w:space="0" w:color="auto"/>
                        </w:tcBorders>
                      </w:tcPr>
                      <w:p>
                        <w:pPr/>
                      </w:p>
                    </w:tc>
                    <w:tc>
                      <w:tcPr>
                        <w:tcW w:w="1990" w:type="dxa"/>
                        <w:tcBorders>
                          <w:top w:val="single" w:sz="12" w:space="0" w:color="000000"/>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sz w:val="21"/>
          <w:szCs w:val="21"/>
        </w:rPr>
        <w:t>注：其他主要为合并范围变化及汇率变动影响所致。 </w:t>
      </w:r>
      <w:r>
        <w:rPr>
          <w:rFonts w:ascii="宋体" w:hAnsi="宋体" w:cs="宋体" w:eastAsia="宋体" w:hint="default"/>
          <w:b/>
          <w:bCs/>
          <w:sz w:val="21"/>
          <w:szCs w:val="21"/>
        </w:rPr>
        <w:t>(二十一)短期借款</w:t>
      </w:r>
      <w:r>
        <w:rPr>
          <w:rFonts w:ascii="宋体" w:hAnsi="宋体" w:cs="宋体" w:eastAsia="宋体" w:hint="default"/>
          <w:sz w:val="21"/>
          <w:szCs w:val="21"/>
        </w:rPr>
      </w:r>
    </w:p>
    <w:p>
      <w:pPr>
        <w:spacing w:line="240" w:lineRule="auto" w:before="10"/>
        <w:rPr>
          <w:rFonts w:ascii="宋体" w:hAnsi="宋体" w:cs="宋体" w:eastAsia="宋体" w:hint="default"/>
          <w:b/>
          <w:bCs/>
          <w:sz w:val="2"/>
          <w:szCs w:val="2"/>
        </w:rPr>
      </w:pPr>
    </w:p>
    <w:p>
      <w:pPr>
        <w:spacing w:line="816" w:lineRule="exact"/>
        <w:ind w:left="738" w:right="0" w:firstLine="0"/>
        <w:rPr>
          <w:rFonts w:ascii="宋体" w:hAnsi="宋体" w:cs="宋体" w:eastAsia="宋体" w:hint="default"/>
          <w:sz w:val="20"/>
          <w:szCs w:val="20"/>
        </w:rPr>
      </w:pPr>
      <w:r>
        <w:rPr>
          <w:rFonts w:ascii="宋体" w:hAnsi="宋体" w:cs="宋体" w:eastAsia="宋体" w:hint="default"/>
          <w:position w:val="-15"/>
          <w:sz w:val="20"/>
          <w:szCs w:val="20"/>
        </w:rPr>
        <w:drawing>
          <wp:inline distT="0" distB="0" distL="0" distR="0">
            <wp:extent cx="5298603" cy="518160"/>
            <wp:effectExtent l="0" t="0" r="0" b="0"/>
            <wp:docPr id="5" name="image177.png" descr=""/>
            <wp:cNvGraphicFramePr>
              <a:graphicFrameLocks noChangeAspect="1"/>
            </wp:cNvGraphicFramePr>
            <a:graphic>
              <a:graphicData uri="http://schemas.openxmlformats.org/drawingml/2006/picture">
                <pic:pic>
                  <pic:nvPicPr>
                    <pic:cNvPr id="6" name="image177.png"/>
                    <pic:cNvPicPr/>
                  </pic:nvPicPr>
                  <pic:blipFill>
                    <a:blip r:embed="rId219" cstate="print"/>
                    <a:stretch>
                      <a:fillRect/>
                    </a:stretch>
                  </pic:blipFill>
                  <pic:spPr>
                    <a:xfrm>
                      <a:off x="0" y="0"/>
                      <a:ext cx="5298603" cy="518160"/>
                    </a:xfrm>
                    <a:prstGeom prst="rect">
                      <a:avLst/>
                    </a:prstGeom>
                  </pic:spPr>
                </pic:pic>
              </a:graphicData>
            </a:graphic>
          </wp:inline>
        </w:drawing>
      </w:r>
      <w:r>
        <w:rPr>
          <w:rFonts w:ascii="宋体" w:hAnsi="宋体" w:cs="宋体" w:eastAsia="宋体" w:hint="default"/>
          <w:position w:val="-15"/>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5"/>
          <w:szCs w:val="15"/>
        </w:rPr>
      </w:pPr>
    </w:p>
    <w:p>
      <w:pPr>
        <w:pStyle w:val="Heading6"/>
        <w:spacing w:line="240" w:lineRule="auto"/>
        <w:ind w:left="143" w:right="3559"/>
        <w:jc w:val="left"/>
        <w:rPr>
          <w:b w:val="0"/>
          <w:bCs w:val="0"/>
        </w:rPr>
      </w:pPr>
      <w:r>
        <w:rPr/>
        <w:t>(二十二)交易性金融负债</w:t>
      </w:r>
      <w:r>
        <w:rPr>
          <w:b w:val="0"/>
          <w:bCs w:val="0"/>
        </w:rPr>
      </w:r>
    </w:p>
    <w:p>
      <w:pPr>
        <w:spacing w:line="240" w:lineRule="auto" w:before="6"/>
        <w:rPr>
          <w:rFonts w:ascii="宋体" w:hAnsi="宋体" w:cs="宋体" w:eastAsia="宋体" w:hint="default"/>
          <w:b/>
          <w:bCs/>
          <w:sz w:val="2"/>
          <w:szCs w:val="2"/>
        </w:rPr>
      </w:pPr>
    </w:p>
    <w:p>
      <w:pPr>
        <w:spacing w:line="1650" w:lineRule="exact"/>
        <w:ind w:left="737"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20.75pt;height:82.5pt;mso-position-horizontal-relative:char;mso-position-vertical-relative:line" coordorigin="0,0" coordsize="8415,1650">
            <v:group style="position:absolute;left:29;top:15;width:8355;height:2" coordorigin="29,15" coordsize="8355,2">
              <v:shape style="position:absolute;left:29;top:15;width:8355;height:2" coordorigin="29,15" coordsize="8355,0" path="m29,15l8384,15e" filled="false" stroked="true" strokeweight="1.5pt" strokecolor="#000000">
                <v:path arrowok="t"/>
              </v:shape>
              <v:shape style="position:absolute;left:3436;top:1;width:2723;height:448" type="#_x0000_t75" stroked="false">
                <v:imagedata r:id="rId220" o:title=""/>
              </v:shape>
            </v:group>
            <v:group style="position:absolute;left:15;top:1635;width:3450;height:2" coordorigin="15,1635" coordsize="3450,2">
              <v:shape style="position:absolute;left:15;top:1635;width:3450;height:2" coordorigin="15,1635" coordsize="3450,0" path="m15,1635l3465,1635e" filled="false" stroked="true" strokeweight="1.5pt" strokecolor="#000000">
                <v:path arrowok="t"/>
              </v:shape>
            </v:group>
            <v:group style="position:absolute;left:3465;top:1635;width:2656;height:2" coordorigin="3465,1635" coordsize="2656,2">
              <v:shape style="position:absolute;left:3465;top:1635;width:2656;height:2" coordorigin="3465,1635" coordsize="2656,0" path="m3465,1635l6121,1635e" filled="false" stroked="true" strokeweight="1.5pt" strokecolor="#000000">
                <v:path arrowok="t"/>
              </v:shape>
              <v:shape style="position:absolute;left:1;top:391;width:8414;height:1229" type="#_x0000_t75" stroked="false">
                <v:imagedata r:id="rId221" o:title=""/>
              </v:shape>
            </v:group>
            <v:group style="position:absolute;left:6121;top:1635;width:2264;height:2" coordorigin="6121,1635" coordsize="2264,2">
              <v:shape style="position:absolute;left:6121;top:1635;width:2264;height:2" coordorigin="6121,1635" coordsize="2264,0" path="m6121,1635l8384,1635e" filled="false" stroked="true" strokeweight="1.5pt" strokecolor="#000000">
                <v:path arrowok="t"/>
              </v:shape>
              <v:shape style="position:absolute;left:1389;top:21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1929;top:21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4437;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893;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613;width:2400;height:5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交易性金融负债</w:t>
                      </w:r>
                    </w:p>
                    <w:p>
                      <w:pPr>
                        <w:spacing w:line="240" w:lineRule="auto" w:before="7"/>
                        <w:rPr>
                          <w:rFonts w:ascii="宋体" w:hAnsi="宋体" w:cs="宋体" w:eastAsia="宋体" w:hint="default"/>
                          <w:b/>
                          <w:bCs/>
                          <w:sz w:val="12"/>
                          <w:szCs w:val="12"/>
                        </w:rPr>
                      </w:pPr>
                    </w:p>
                    <w:p>
                      <w:pPr>
                        <w:spacing w:before="0"/>
                        <w:ind w:left="419" w:right="0" w:firstLine="0"/>
                        <w:jc w:val="left"/>
                        <w:rPr>
                          <w:rFonts w:ascii="宋体" w:hAnsi="宋体" w:cs="宋体" w:eastAsia="宋体" w:hint="default"/>
                          <w:sz w:val="18"/>
                          <w:szCs w:val="18"/>
                        </w:rPr>
                      </w:pPr>
                      <w:r>
                        <w:rPr>
                          <w:rFonts w:ascii="宋体" w:hAnsi="宋体" w:cs="宋体" w:eastAsia="宋体" w:hint="default"/>
                          <w:sz w:val="18"/>
                          <w:szCs w:val="18"/>
                        </w:rPr>
                        <w:t>外币远期结汇合同（注）</w:t>
                      </w:r>
                    </w:p>
                  </w:txbxContent>
                </v:textbox>
                <w10:wrap type="none"/>
              </v:shape>
              <v:shape style="position:absolute;left:5431;top:103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170,567</w:t>
                      </w:r>
                    </w:p>
                  </w:txbxContent>
                </v:textbox>
                <w10:wrap type="none"/>
              </v:shape>
              <v:shape style="position:absolute;left:7555;top:1032;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1,227,304</w:t>
                      </w:r>
                    </w:p>
                  </w:txbxContent>
                </v:textbox>
                <w10:wrap type="none"/>
              </v:shape>
              <v:shape style="position:absolute;left:1435;top:141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1885;top:141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5432;top:143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170,567</w:t>
                      </w:r>
                    </w:p>
                  </w:txbxContent>
                </v:textbox>
                <w10:wrap type="none"/>
              </v:shape>
              <v:shape style="position:absolute;left:7555;top:1432;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1,227,304</w:t>
                      </w:r>
                    </w:p>
                  </w:txbxContent>
                </v:textbox>
                <w10:wrap type="none"/>
              </v:shape>
            </v:group>
          </v:group>
        </w:pict>
      </w:r>
      <w:r>
        <w:rPr>
          <w:rFonts w:ascii="宋体" w:hAnsi="宋体" w:cs="宋体" w:eastAsia="宋体" w:hint="default"/>
          <w:position w:val="-32"/>
          <w:sz w:val="20"/>
          <w:szCs w:val="20"/>
        </w:rPr>
      </w:r>
    </w:p>
    <w:p>
      <w:pPr>
        <w:pStyle w:val="BodyText"/>
        <w:spacing w:line="340" w:lineRule="auto" w:before="83"/>
        <w:ind w:left="875" w:right="149"/>
        <w:jc w:val="left"/>
      </w:pPr>
      <w:r>
        <w:rPr/>
        <w:t>注：外币远期结汇合同在报告期末根据公开市场的汇率报价分不同外币币种分别计算，将</w:t>
      </w:r>
      <w:r>
        <w:rPr>
          <w:spacing w:val="-49"/>
        </w:rPr>
        <w:t> </w:t>
      </w:r>
      <w:r>
        <w:rPr>
          <w:spacing w:val="-49"/>
        </w:rPr>
      </w:r>
      <w:r>
        <w:rPr/>
        <w:t>预计的浮动损失计入公允价值变动损益并作为交易性金融负债列报。</w:t>
      </w:r>
    </w:p>
    <w:p>
      <w:pPr>
        <w:spacing w:after="0" w:line="340" w:lineRule="auto"/>
        <w:jc w:val="left"/>
        <w:sectPr>
          <w:pgSz w:w="11910" w:h="16840"/>
          <w:pgMar w:header="0" w:footer="1003" w:top="1540" w:bottom="1200" w:left="1640" w:right="9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pStyle w:val="Heading6"/>
        <w:spacing w:line="240" w:lineRule="auto"/>
        <w:ind w:left="123" w:right="2718"/>
        <w:jc w:val="left"/>
        <w:rPr>
          <w:b w:val="0"/>
          <w:bCs w:val="0"/>
        </w:rPr>
      </w:pPr>
      <w:r>
        <w:rPr/>
        <w:t>(二十三)应付票据</w:t>
      </w:r>
      <w:r>
        <w:rPr>
          <w:b w:val="0"/>
          <w:bCs w:val="0"/>
        </w:rPr>
      </w:r>
    </w:p>
    <w:p>
      <w:pPr>
        <w:tabs>
          <w:tab w:pos="1410" w:val="left" w:leader="none"/>
        </w:tabs>
        <w:spacing w:before="125"/>
        <w:ind w:left="855" w:right="2718"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应付票据分类</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870" w:lineRule="exact"/>
        <w:ind w:left="717"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21.95pt;height:43.5pt;mso-position-horizontal-relative:char;mso-position-vertical-relative:line" coordorigin="0,0" coordsize="8439,870">
            <v:group style="position:absolute;left:29;top:15;width:8384;height:2" coordorigin="29,15" coordsize="8384,2">
              <v:shape style="position:absolute;left:29;top:15;width:8384;height:2" coordorigin="29,15" coordsize="8384,0" path="m29,15l8413,15e" filled="false" stroked="true" strokeweight="1.5pt" strokecolor="#000000">
                <v:path arrowok="t"/>
              </v:shape>
            </v:group>
            <v:group style="position:absolute;left:15;top:855;width:3454;height:2" coordorigin="15,855" coordsize="3454,2">
              <v:shape style="position:absolute;left:15;top:855;width:3454;height:2" coordorigin="15,855" coordsize="3454,0" path="m15,855l3469,855e" filled="false" stroked="true" strokeweight="1.5pt" strokecolor="#000000">
                <v:path arrowok="t"/>
              </v:shape>
            </v:group>
            <v:group style="position:absolute;left:3469;top:855;width:2436;height:2" coordorigin="3469,855" coordsize="2436,2">
              <v:shape style="position:absolute;left:3469;top:855;width:2436;height:2" coordorigin="3469,855" coordsize="2436,0" path="m3469,855l5905,855e" filled="false" stroked="true" strokeweight="1.5pt" strokecolor="#000000">
                <v:path arrowok="t"/>
              </v:shape>
              <v:shape style="position:absolute;left:1;top:5;width:8438;height:835" type="#_x0000_t75" stroked="false">
                <v:imagedata r:id="rId222" o:title=""/>
              </v:shape>
            </v:group>
            <v:group style="position:absolute;left:5905;top:855;width:2508;height:2" coordorigin="5905,855" coordsize="2508,2">
              <v:shape style="position:absolute;left:5905;top:855;width:2508;height:2" coordorigin="5905,855" coordsize="2508,0" path="m5905,855l8413,855e" filled="false" stroked="true" strokeweight="1.5pt" strokecolor="#000000">
                <v:path arrowok="t"/>
              </v:shape>
              <v:shape style="position:absolute;left:1391;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w:t>
                      </w:r>
                    </w:p>
                  </w:txbxContent>
                </v:textbox>
                <w10:wrap type="none"/>
              </v:shape>
              <v:shape style="position:absolute;left:1931;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w:t>
                      </w:r>
                    </w:p>
                  </w:txbxContent>
                </v:textbox>
                <w10:wrap type="none"/>
              </v:shape>
              <v:shape style="position:absolute;left:4331;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801;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63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银行承兑汇票</w:t>
                      </w:r>
                    </w:p>
                  </w:txbxContent>
                </v:textbox>
                <w10:wrap type="none"/>
              </v:shape>
              <v:shape style="position:absolute;left:4991;top:65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83,204,957</w:t>
                      </w:r>
                    </w:p>
                  </w:txbxContent>
                </v:textbox>
                <w10:wrap type="none"/>
              </v:shape>
              <v:shape style="position:absolute;left:7404;top:65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145,564,320</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tabs>
          <w:tab w:pos="1393" w:val="left" w:leader="none"/>
        </w:tabs>
        <w:spacing w:before="35"/>
        <w:ind w:left="855" w:right="2718"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下一会计期间将到期的金额为</w:t>
      </w:r>
      <w:r>
        <w:rPr>
          <w:rFonts w:ascii="宋体" w:hAnsi="宋体" w:cs="宋体" w:eastAsia="宋体" w:hint="default"/>
          <w:b/>
          <w:bCs/>
          <w:spacing w:val="-64"/>
          <w:sz w:val="21"/>
          <w:szCs w:val="21"/>
        </w:rPr>
        <w:t> </w:t>
      </w:r>
      <w:r>
        <w:rPr>
          <w:rFonts w:ascii="宋体" w:hAnsi="宋体" w:cs="宋体" w:eastAsia="宋体" w:hint="default"/>
          <w:b/>
          <w:bCs/>
          <w:sz w:val="21"/>
          <w:szCs w:val="21"/>
        </w:rPr>
        <w:t>83,204,957</w:t>
      </w:r>
      <w:r>
        <w:rPr>
          <w:rFonts w:ascii="宋体" w:hAnsi="宋体" w:cs="宋体" w:eastAsia="宋体" w:hint="default"/>
          <w:b/>
          <w:bCs/>
          <w:spacing w:val="-63"/>
          <w:sz w:val="21"/>
          <w:szCs w:val="21"/>
        </w:rPr>
        <w:t> </w:t>
      </w:r>
      <w:r>
        <w:rPr>
          <w:rFonts w:ascii="宋体" w:hAnsi="宋体" w:cs="宋体" w:eastAsia="宋体" w:hint="default"/>
          <w:b/>
          <w:bCs/>
          <w:sz w:val="21"/>
          <w:szCs w:val="21"/>
        </w:rPr>
        <w:t>元；</w:t>
      </w:r>
      <w:r>
        <w:rPr>
          <w:rFonts w:ascii="宋体" w:hAnsi="宋体" w:cs="宋体" w:eastAsia="宋体" w:hint="default"/>
          <w:sz w:val="21"/>
          <w:szCs w:val="21"/>
        </w:rPr>
      </w:r>
    </w:p>
    <w:p>
      <w:pPr>
        <w:tabs>
          <w:tab w:pos="1393" w:val="left" w:leader="none"/>
        </w:tabs>
        <w:spacing w:line="800" w:lineRule="exact" w:before="129"/>
        <w:ind w:left="123" w:right="5340" w:firstLine="732"/>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本期末无关联方应付票据。</w:t>
      </w:r>
      <w:r>
        <w:rPr>
          <w:rFonts w:ascii="宋体" w:hAnsi="宋体" w:cs="宋体" w:eastAsia="宋体" w:hint="default"/>
          <w:b/>
          <w:bCs/>
          <w:w w:val="99"/>
          <w:sz w:val="21"/>
          <w:szCs w:val="21"/>
        </w:rPr>
        <w:t> </w:t>
      </w:r>
      <w:r>
        <w:rPr>
          <w:rFonts w:ascii="宋体" w:hAnsi="宋体" w:cs="宋体" w:eastAsia="宋体" w:hint="default"/>
          <w:b/>
          <w:bCs/>
          <w:sz w:val="21"/>
          <w:szCs w:val="21"/>
        </w:rPr>
        <w:t>(二十四)应付账款</w:t>
      </w:r>
      <w:r>
        <w:rPr>
          <w:rFonts w:ascii="宋体" w:hAnsi="宋体" w:cs="宋体" w:eastAsia="宋体" w:hint="default"/>
          <w:sz w:val="21"/>
          <w:szCs w:val="21"/>
        </w:rPr>
      </w:r>
    </w:p>
    <w:p>
      <w:pPr>
        <w:tabs>
          <w:tab w:pos="1393" w:val="left" w:leader="none"/>
        </w:tabs>
        <w:spacing w:line="269" w:lineRule="exact" w:before="0"/>
        <w:ind w:left="855" w:right="2718"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应付账款情况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870" w:lineRule="exact"/>
        <w:ind w:left="717"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18.45pt;height:43.5pt;mso-position-horizontal-relative:char;mso-position-vertical-relative:line" coordorigin="0,0" coordsize="8369,870">
            <v:group style="position:absolute;left:29;top:15;width:8325;height:2" coordorigin="29,15" coordsize="8325,2">
              <v:shape style="position:absolute;left:29;top:15;width:8325;height:2" coordorigin="29,15" coordsize="8325,0" path="m29,15l8354,15e" filled="false" stroked="true" strokeweight="1.5pt" strokecolor="#000000">
                <v:path arrowok="t"/>
              </v:shape>
            </v:group>
            <v:group style="position:absolute;left:15;top:855;width:3432;height:2" coordorigin="15,855" coordsize="3432,2">
              <v:shape style="position:absolute;left:15;top:855;width:3432;height:2" coordorigin="15,855" coordsize="3432,0" path="m15,855l3447,855e" filled="false" stroked="true" strokeweight="1.5pt" strokecolor="#000000">
                <v:path arrowok="t"/>
              </v:shape>
            </v:group>
            <v:group style="position:absolute;left:3447;top:855;width:2674;height:2" coordorigin="3447,855" coordsize="2674,2">
              <v:shape style="position:absolute;left:3447;top:855;width:2674;height:2" coordorigin="3447,855" coordsize="2674,0" path="m3447,855l6121,855e" filled="false" stroked="true" strokeweight="1.5pt" strokecolor="#000000">
                <v:path arrowok="t"/>
              </v:shape>
              <v:shape style="position:absolute;left:1;top:7;width:8366;height:833" type="#_x0000_t75" stroked="false">
                <v:imagedata r:id="rId223" o:title=""/>
              </v:shape>
            </v:group>
            <v:group style="position:absolute;left:6121;top:855;width:2234;height:2" coordorigin="6121,855" coordsize="2234,2">
              <v:shape style="position:absolute;left:6121;top:855;width:2234;height:2" coordorigin="6121,855" coordsize="2234,0" path="m6121,855l8354,855e" filled="false" stroked="true" strokeweight="1.5pt" strokecolor="#000000">
                <v:path arrowok="t"/>
              </v:shape>
              <v:shape style="position:absolute;left:1381;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1921;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4429;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878;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63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采购款</w:t>
                      </w:r>
                    </w:p>
                  </w:txbxContent>
                </v:textbox>
                <w10:wrap type="none"/>
              </v:shape>
              <v:shape style="position:absolute;left:5117;top:65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543,996,141</w:t>
                      </w:r>
                    </w:p>
                  </w:txbxContent>
                </v:textbox>
                <w10:wrap type="none"/>
              </v:shape>
              <v:shape style="position:absolute;left:7344;top:65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566,932,526</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3" w:val="left" w:leader="none"/>
        </w:tabs>
        <w:spacing w:before="35"/>
        <w:ind w:left="855" w:right="148"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期末余额中无欠持本公司</w:t>
      </w:r>
      <w:r>
        <w:rPr>
          <w:rFonts w:ascii="宋体" w:hAnsi="宋体" w:cs="宋体" w:eastAsia="宋体" w:hint="default"/>
          <w:b/>
          <w:bCs/>
          <w:spacing w:val="-57"/>
          <w:sz w:val="21"/>
          <w:szCs w:val="21"/>
        </w:rPr>
        <w:t> </w:t>
      </w:r>
      <w:r>
        <w:rPr>
          <w:rFonts w:ascii="宋体" w:hAnsi="宋体" w:cs="宋体" w:eastAsia="宋体" w:hint="default"/>
          <w:b/>
          <w:bCs/>
          <w:sz w:val="21"/>
          <w:szCs w:val="21"/>
        </w:rPr>
        <w:t>5％以上（含</w:t>
      </w:r>
      <w:r>
        <w:rPr>
          <w:rFonts w:ascii="宋体" w:hAnsi="宋体" w:cs="宋体" w:eastAsia="宋体" w:hint="default"/>
          <w:b/>
          <w:bCs/>
          <w:spacing w:val="-57"/>
          <w:sz w:val="21"/>
          <w:szCs w:val="21"/>
        </w:rPr>
        <w:t> </w:t>
      </w:r>
      <w:r>
        <w:rPr>
          <w:rFonts w:ascii="宋体" w:hAnsi="宋体" w:cs="宋体" w:eastAsia="宋体" w:hint="default"/>
          <w:b/>
          <w:bCs/>
          <w:sz w:val="21"/>
          <w:szCs w:val="21"/>
        </w:rPr>
        <w:t>5％）表决权股份的股东单位款项。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393" w:val="left" w:leader="none"/>
        </w:tabs>
        <w:spacing w:before="0"/>
        <w:ind w:left="855" w:right="148" w:firstLine="0"/>
        <w:jc w:val="left"/>
        <w:rPr>
          <w:rFonts w:ascii="宋体" w:hAnsi="宋体" w:cs="宋体" w:eastAsia="宋体" w:hint="default"/>
          <w:sz w:val="21"/>
          <w:szCs w:val="21"/>
        </w:rPr>
      </w:pPr>
      <w:r>
        <w:rPr>
          <w:rFonts w:ascii="宋体" w:hAnsi="宋体" w:cs="宋体" w:eastAsia="宋体" w:hint="default"/>
          <w:b/>
          <w:bCs/>
          <w:w w:val="99"/>
          <w:sz w:val="21"/>
          <w:szCs w:val="21"/>
        </w:rPr>
        <w:t>3、</w:t>
      </w:r>
      <w:r>
        <w:rPr>
          <w:rFonts w:ascii="宋体" w:hAnsi="宋体" w:cs="宋体" w:eastAsia="宋体" w:hint="default"/>
          <w:b/>
          <w:bCs/>
          <w:sz w:val="21"/>
          <w:szCs w:val="21"/>
        </w:rPr>
        <w:tab/>
      </w:r>
      <w:r>
        <w:rPr>
          <w:rFonts w:ascii="宋体" w:hAnsi="宋体" w:cs="宋体" w:eastAsia="宋体" w:hint="default"/>
          <w:b/>
          <w:bCs/>
          <w:w w:val="99"/>
          <w:sz w:val="21"/>
          <w:szCs w:val="21"/>
        </w:rPr>
        <w:t>本期末关联方欠款：期末关联方应</w:t>
      </w:r>
      <w:r>
        <w:rPr>
          <w:rFonts w:ascii="宋体" w:hAnsi="宋体" w:cs="宋体" w:eastAsia="宋体" w:hint="default"/>
          <w:b/>
          <w:bCs/>
          <w:spacing w:val="2"/>
          <w:w w:val="99"/>
          <w:sz w:val="21"/>
          <w:szCs w:val="21"/>
        </w:rPr>
        <w:t>付</w:t>
      </w:r>
      <w:r>
        <w:rPr>
          <w:rFonts w:ascii="宋体" w:hAnsi="宋体" w:cs="宋体" w:eastAsia="宋体" w:hint="default"/>
          <w:b/>
          <w:bCs/>
          <w:w w:val="99"/>
          <w:sz w:val="21"/>
          <w:szCs w:val="21"/>
        </w:rPr>
        <w:t>款</w:t>
      </w:r>
      <w:r>
        <w:rPr>
          <w:rFonts w:ascii="宋体" w:hAnsi="宋体" w:cs="宋体" w:eastAsia="宋体" w:hint="default"/>
          <w:b/>
          <w:bCs/>
          <w:spacing w:val="-54"/>
          <w:sz w:val="21"/>
          <w:szCs w:val="21"/>
        </w:rPr>
        <w:t> </w:t>
      </w:r>
      <w:r>
        <w:rPr>
          <w:rFonts w:ascii="宋体" w:hAnsi="宋体" w:cs="宋体" w:eastAsia="宋体" w:hint="default"/>
          <w:b/>
          <w:bCs/>
          <w:spacing w:val="1"/>
          <w:w w:val="99"/>
          <w:sz w:val="21"/>
          <w:szCs w:val="21"/>
        </w:rPr>
        <w:t>8</w:t>
      </w:r>
      <w:r>
        <w:rPr>
          <w:rFonts w:ascii="宋体" w:hAnsi="宋体" w:cs="宋体" w:eastAsia="宋体" w:hint="default"/>
          <w:b/>
          <w:bCs/>
          <w:w w:val="99"/>
          <w:sz w:val="21"/>
          <w:szCs w:val="21"/>
        </w:rPr>
        <w:t>8,260,754</w:t>
      </w:r>
      <w:r>
        <w:rPr>
          <w:rFonts w:ascii="宋体" w:hAnsi="宋体" w:cs="宋体" w:eastAsia="宋体" w:hint="default"/>
          <w:b/>
          <w:bCs/>
          <w:spacing w:val="-52"/>
          <w:sz w:val="21"/>
          <w:szCs w:val="21"/>
        </w:rPr>
        <w:t> </w:t>
      </w:r>
      <w:r>
        <w:rPr>
          <w:rFonts w:ascii="宋体" w:hAnsi="宋体" w:cs="宋体" w:eastAsia="宋体" w:hint="default"/>
          <w:b/>
          <w:bCs/>
          <w:w w:val="99"/>
          <w:sz w:val="21"/>
          <w:szCs w:val="21"/>
        </w:rPr>
        <w:t>元，详见附注七（四</w:t>
      </w:r>
      <w:r>
        <w:rPr>
          <w:rFonts w:ascii="宋体" w:hAnsi="宋体" w:cs="宋体" w:eastAsia="宋体" w:hint="default"/>
          <w:b/>
          <w:bCs/>
          <w:spacing w:val="-106"/>
          <w:w w:val="99"/>
          <w:sz w:val="21"/>
          <w:szCs w:val="21"/>
        </w:rPr>
        <w:t>）</w:t>
      </w:r>
      <w:r>
        <w:rPr>
          <w:rFonts w:ascii="宋体" w:hAnsi="宋体" w:cs="宋体" w:eastAsia="宋体" w:hint="default"/>
          <w:b/>
          <w:bCs/>
          <w:spacing w:val="1"/>
          <w:w w:val="99"/>
          <w:sz w:val="21"/>
          <w:szCs w:val="21"/>
        </w:rPr>
        <w:t>、12。</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393" w:val="left" w:leader="none"/>
        </w:tabs>
        <w:spacing w:before="0"/>
        <w:ind w:left="855" w:right="2718" w:firstLine="0"/>
        <w:jc w:val="left"/>
        <w:rPr>
          <w:rFonts w:ascii="宋体" w:hAnsi="宋体" w:cs="宋体" w:eastAsia="宋体" w:hint="default"/>
          <w:sz w:val="21"/>
          <w:szCs w:val="21"/>
        </w:rPr>
      </w:pPr>
      <w:r>
        <w:rPr/>
        <w:pict>
          <v:group style="position:absolute;margin-left:118.919998pt;margin-top:15.383223pt;width:419.2pt;height:164.5pt;mso-position-horizontal-relative:page;mso-position-vertical-relative:paragraph;z-index:-1118176" coordorigin="2378,308" coordsize="8384,3290">
            <v:group style="position:absolute;left:2407;top:323;width:8325;height:2" coordorigin="2407,323" coordsize="8325,2">
              <v:shape style="position:absolute;left:2407;top:323;width:8325;height:2" coordorigin="2407,323" coordsize="8325,0" path="m2407,323l10732,323e" filled="false" stroked="true" strokeweight="1.5pt" strokecolor="#000000">
                <v:path arrowok="t"/>
              </v:shape>
              <v:shape style="position:absolute;left:5288;top:314;width:3389;height:446" type="#_x0000_t75" stroked="false">
                <v:imagedata r:id="rId224" o:title=""/>
              </v:shape>
              <v:shape style="position:absolute;left:2378;top:712;width:8383;height:2885" type="#_x0000_t75" stroked="false">
                <v:imagedata r:id="rId225" o:title=""/>
              </v:shape>
              <v:shape style="position:absolute;left:3410;top:53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债权人名称</w:t>
                      </w:r>
                    </w:p>
                  </w:txbxContent>
                </v:textbox>
                <w10:wrap type="none"/>
              </v:shape>
              <v:shape style="position:absolute;left:5554;top:530;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与本公司关系</w:t>
                      </w:r>
                    </w:p>
                  </w:txbxContent>
                </v:textbox>
                <w10:wrap type="none"/>
              </v:shape>
              <v:shape style="position:absolute;left:7445;top:530;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r>
                    </w:p>
                  </w:txbxContent>
                </v:textbox>
                <w10:wrap type="none"/>
              </v:shape>
              <v:shape style="position:absolute;left:7895;top:530;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额</w:t>
                      </w:r>
                    </w:p>
                  </w:txbxContent>
                </v:textbox>
                <w10:wrap type="none"/>
              </v:shape>
              <v:shape style="position:absolute;left:9240;top:53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未结转原因</w:t>
                      </w:r>
                    </w:p>
                  </w:txbxContent>
                </v:textbox>
                <w10:wrap type="none"/>
              </v:shape>
            </v:group>
            <w10:wrap type="none"/>
          </v:group>
        </w:pict>
      </w:r>
      <w:r>
        <w:rPr>
          <w:rFonts w:ascii="宋体" w:hAnsi="宋体" w:cs="宋体" w:eastAsia="宋体" w:hint="default"/>
          <w:b/>
          <w:bCs/>
          <w:w w:val="95"/>
          <w:sz w:val="21"/>
          <w:szCs w:val="21"/>
        </w:rPr>
        <w:t>4、</w:t>
        <w:tab/>
      </w:r>
      <w:r>
        <w:rPr>
          <w:rFonts w:ascii="宋体" w:hAnsi="宋体" w:cs="宋体" w:eastAsia="宋体" w:hint="default"/>
          <w:b/>
          <w:bCs/>
          <w:sz w:val="21"/>
          <w:szCs w:val="21"/>
        </w:rPr>
        <w:t>账龄超过一年的大额应付账款：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tbl>
      <w:tblPr>
        <w:tblW w:w="0" w:type="auto"/>
        <w:jc w:val="left"/>
        <w:tblInd w:w="732" w:type="dxa"/>
        <w:tblLayout w:type="fixed"/>
        <w:tblCellMar>
          <w:top w:w="0" w:type="dxa"/>
          <w:left w:w="0" w:type="dxa"/>
          <w:bottom w:w="0" w:type="dxa"/>
          <w:right w:w="0" w:type="dxa"/>
        </w:tblCellMar>
        <w:tblLook w:val="01E0"/>
      </w:tblPr>
      <w:tblGrid>
        <w:gridCol w:w="2992"/>
        <w:gridCol w:w="1708"/>
        <w:gridCol w:w="1557"/>
        <w:gridCol w:w="2083"/>
      </w:tblGrid>
      <w:tr>
        <w:trPr>
          <w:trHeight w:val="405" w:hRule="exact"/>
        </w:trPr>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思华科技（上海）有限公司</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49"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pacing w:val="-1"/>
                <w:sz w:val="18"/>
              </w:rPr>
              <w:t>3,973,478</w:t>
            </w: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7" w:right="0"/>
              <w:jc w:val="left"/>
              <w:rPr>
                <w:rFonts w:ascii="宋体" w:hAnsi="宋体" w:cs="宋体" w:eastAsia="宋体" w:hint="default"/>
                <w:sz w:val="18"/>
                <w:szCs w:val="18"/>
              </w:rPr>
            </w:pPr>
            <w:r>
              <w:rPr>
                <w:rFonts w:ascii="宋体" w:hAnsi="宋体" w:cs="宋体" w:eastAsia="宋体" w:hint="default"/>
                <w:sz w:val="18"/>
                <w:szCs w:val="18"/>
              </w:rPr>
              <w:t>未结算项目款</w:t>
            </w:r>
          </w:p>
        </w:tc>
      </w:tr>
      <w:tr>
        <w:trPr>
          <w:trHeight w:val="410" w:hRule="exact"/>
        </w:trPr>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欧洲航空防务及航天公司</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49"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1"/>
                <w:sz w:val="18"/>
              </w:rPr>
              <w:t>3,072,341</w:t>
            </w: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未结算项目款</w:t>
            </w:r>
          </w:p>
        </w:tc>
      </w:tr>
      <w:tr>
        <w:trPr>
          <w:trHeight w:val="410" w:hRule="exact"/>
        </w:trPr>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曙光信息产业（北京）有限公司</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49"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1"/>
                <w:sz w:val="18"/>
              </w:rPr>
              <w:t>2,815,869</w:t>
            </w: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未结算项目款</w:t>
            </w:r>
          </w:p>
        </w:tc>
      </w:tr>
      <w:tr>
        <w:trPr>
          <w:trHeight w:val="295" w:hRule="exact"/>
        </w:trPr>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北京北辰信通网络技术服务有限</w:t>
            </w:r>
          </w:p>
        </w:tc>
        <w:tc>
          <w:tcPr>
            <w:tcW w:w="1708" w:type="dxa"/>
            <w:tcBorders>
              <w:top w:val="nil" w:sz="6" w:space="0" w:color="auto"/>
              <w:left w:val="nil" w:sz="6" w:space="0" w:color="auto"/>
              <w:bottom w:val="nil" w:sz="6" w:space="0" w:color="auto"/>
              <w:right w:val="nil" w:sz="6" w:space="0" w:color="auto"/>
            </w:tcBorders>
          </w:tcPr>
          <w:p>
            <w:pPr/>
          </w:p>
        </w:tc>
        <w:tc>
          <w:tcPr>
            <w:tcW w:w="1557"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
        </w:tc>
      </w:tr>
      <w:tr>
        <w:trPr>
          <w:trHeight w:val="505" w:hRule="exact"/>
        </w:trPr>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155"/>
              <w:ind w:left="1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708" w:type="dxa"/>
            <w:tcBorders>
              <w:top w:val="nil" w:sz="6" w:space="0" w:color="auto"/>
              <w:left w:val="nil" w:sz="6" w:space="0" w:color="auto"/>
              <w:bottom w:val="nil" w:sz="6" w:space="0" w:color="auto"/>
              <w:right w:val="nil" w:sz="6" w:space="0" w:color="auto"/>
            </w:tcBorders>
          </w:tcPr>
          <w:p>
            <w:pPr>
              <w:pStyle w:val="TableParagraph"/>
              <w:spacing w:line="190" w:lineRule="exact"/>
              <w:ind w:left="349"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Times New Roman" w:hAnsi="Times New Roman" w:cs="Times New Roman" w:eastAsia="Times New Roman" w:hint="default"/>
                <w:sz w:val="18"/>
                <w:szCs w:val="18"/>
              </w:rPr>
            </w:pPr>
            <w:r>
              <w:rPr>
                <w:rFonts w:ascii="Times New Roman"/>
                <w:spacing w:val="-1"/>
                <w:sz w:val="18"/>
              </w:rPr>
              <w:t>2,726,467</w:t>
            </w:r>
          </w:p>
        </w:tc>
        <w:tc>
          <w:tcPr>
            <w:tcW w:w="2083" w:type="dxa"/>
            <w:tcBorders>
              <w:top w:val="nil" w:sz="6" w:space="0" w:color="auto"/>
              <w:left w:val="nil" w:sz="6" w:space="0" w:color="auto"/>
              <w:bottom w:val="nil" w:sz="6" w:space="0" w:color="auto"/>
              <w:right w:val="nil" w:sz="6" w:space="0" w:color="auto"/>
            </w:tcBorders>
          </w:tcPr>
          <w:p>
            <w:pPr>
              <w:pStyle w:val="TableParagraph"/>
              <w:spacing w:line="190" w:lineRule="exact"/>
              <w:ind w:left="107" w:right="0"/>
              <w:jc w:val="left"/>
              <w:rPr>
                <w:rFonts w:ascii="宋体" w:hAnsi="宋体" w:cs="宋体" w:eastAsia="宋体" w:hint="default"/>
                <w:sz w:val="18"/>
                <w:szCs w:val="18"/>
              </w:rPr>
            </w:pPr>
            <w:r>
              <w:rPr>
                <w:rFonts w:ascii="宋体" w:hAnsi="宋体" w:cs="宋体" w:eastAsia="宋体" w:hint="default"/>
                <w:sz w:val="18"/>
                <w:szCs w:val="18"/>
              </w:rPr>
              <w:t>未结算项目款</w:t>
            </w:r>
          </w:p>
        </w:tc>
      </w:tr>
      <w:tr>
        <w:trPr>
          <w:trHeight w:val="420" w:hRule="exact"/>
        </w:trPr>
        <w:tc>
          <w:tcPr>
            <w:tcW w:w="299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北京佳讯飞鸿电气股份有限公司</w:t>
            </w:r>
          </w:p>
        </w:tc>
        <w:tc>
          <w:tcPr>
            <w:tcW w:w="170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49" w:right="0"/>
              <w:jc w:val="left"/>
              <w:rPr>
                <w:rFonts w:ascii="宋体" w:hAnsi="宋体" w:cs="宋体" w:eastAsia="宋体" w:hint="default"/>
                <w:sz w:val="18"/>
                <w:szCs w:val="18"/>
              </w:rPr>
            </w:pPr>
            <w:r>
              <w:rPr>
                <w:rFonts w:ascii="宋体" w:hAnsi="宋体" w:cs="宋体" w:eastAsia="宋体" w:hint="default"/>
                <w:sz w:val="18"/>
                <w:szCs w:val="18"/>
              </w:rPr>
              <w:t>非关联方</w:t>
            </w:r>
          </w:p>
        </w:tc>
        <w:tc>
          <w:tcPr>
            <w:tcW w:w="155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6"/>
              <w:jc w:val="right"/>
              <w:rPr>
                <w:rFonts w:ascii="Times New Roman" w:hAnsi="Times New Roman" w:cs="Times New Roman" w:eastAsia="Times New Roman" w:hint="default"/>
                <w:sz w:val="18"/>
                <w:szCs w:val="18"/>
              </w:rPr>
            </w:pPr>
            <w:r>
              <w:rPr>
                <w:rFonts w:ascii="Times New Roman"/>
                <w:spacing w:val="-1"/>
                <w:sz w:val="18"/>
              </w:rPr>
              <w:t>2,644,168</w:t>
            </w: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7" w:right="0"/>
              <w:jc w:val="left"/>
              <w:rPr>
                <w:rFonts w:ascii="宋体" w:hAnsi="宋体" w:cs="宋体" w:eastAsia="宋体" w:hint="default"/>
                <w:sz w:val="18"/>
                <w:szCs w:val="18"/>
              </w:rPr>
            </w:pPr>
            <w:r>
              <w:rPr>
                <w:rFonts w:ascii="宋体" w:hAnsi="宋体" w:cs="宋体" w:eastAsia="宋体" w:hint="default"/>
                <w:sz w:val="18"/>
                <w:szCs w:val="18"/>
              </w:rPr>
              <w:t>未结算项目款</w:t>
            </w:r>
          </w:p>
        </w:tc>
      </w:tr>
      <w:tr>
        <w:trPr>
          <w:trHeight w:val="328" w:hRule="exact"/>
        </w:trPr>
        <w:tc>
          <w:tcPr>
            <w:tcW w:w="2992"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54"/>
              <w:jc w:val="center"/>
              <w:rPr>
                <w:rFonts w:ascii="宋体" w:hAnsi="宋体" w:cs="宋体" w:eastAsia="宋体" w:hint="default"/>
                <w:sz w:val="18"/>
                <w:szCs w:val="18"/>
              </w:rPr>
            </w:pPr>
            <w:r>
              <w:rPr>
                <w:rFonts w:ascii="宋体" w:hAnsi="宋体" w:cs="宋体" w:eastAsia="宋体" w:hint="default"/>
                <w:sz w:val="18"/>
                <w:szCs w:val="18"/>
              </w:rPr>
              <w:t>合  计</w:t>
            </w:r>
          </w:p>
        </w:tc>
        <w:tc>
          <w:tcPr>
            <w:tcW w:w="1708" w:type="dxa"/>
            <w:tcBorders>
              <w:top w:val="nil" w:sz="6" w:space="0" w:color="auto"/>
              <w:left w:val="nil" w:sz="6" w:space="0" w:color="auto"/>
              <w:bottom w:val="single" w:sz="12" w:space="0" w:color="000000"/>
              <w:right w:val="nil" w:sz="6" w:space="0" w:color="auto"/>
            </w:tcBorders>
          </w:tcPr>
          <w:p>
            <w:pPr/>
          </w:p>
        </w:tc>
        <w:tc>
          <w:tcPr>
            <w:tcW w:w="1557"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15,232,323</w:t>
            </w:r>
          </w:p>
        </w:tc>
        <w:tc>
          <w:tcPr>
            <w:tcW w:w="2083"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spacing w:before="35"/>
        <w:ind w:left="123" w:right="2718" w:firstLine="0"/>
        <w:jc w:val="left"/>
        <w:rPr>
          <w:rFonts w:ascii="宋体" w:hAnsi="宋体" w:cs="宋体" w:eastAsia="宋体" w:hint="default"/>
          <w:sz w:val="21"/>
          <w:szCs w:val="21"/>
        </w:rPr>
      </w:pPr>
      <w:r>
        <w:rPr/>
        <w:pict>
          <v:shape style="position:absolute;margin-left:118.919998pt;margin-top:37.293671pt;width:419.098707pt;height:41.73pt;mso-position-horizontal-relative:page;mso-position-vertical-relative:paragraph;z-index:-1118152" type="#_x0000_t75" stroked="false">
            <v:imagedata r:id="rId226" o:title=""/>
          </v:shape>
        </w:pict>
      </w:r>
      <w:r>
        <w:rPr>
          <w:rFonts w:ascii="宋体" w:hAnsi="宋体" w:cs="宋体" w:eastAsia="宋体" w:hint="default"/>
          <w:b/>
          <w:bCs/>
          <w:sz w:val="21"/>
          <w:szCs w:val="21"/>
        </w:rPr>
        <w:t>(二十五)预收款项</w:t>
      </w:r>
      <w:r>
        <w:rPr>
          <w:rFonts w:ascii="宋体" w:hAnsi="宋体" w:cs="宋体" w:eastAsia="宋体" w:hint="default"/>
          <w:sz w:val="21"/>
          <w:szCs w:val="21"/>
        </w:rPr>
      </w:r>
    </w:p>
    <w:p>
      <w:pPr>
        <w:spacing w:line="240" w:lineRule="auto" w:before="11"/>
        <w:rPr>
          <w:rFonts w:ascii="宋体" w:hAnsi="宋体" w:cs="宋体" w:eastAsia="宋体" w:hint="default"/>
          <w:b/>
          <w:bCs/>
          <w:sz w:val="6"/>
          <w:szCs w:val="6"/>
        </w:rPr>
      </w:pPr>
    </w:p>
    <w:tbl>
      <w:tblPr>
        <w:tblW w:w="0" w:type="auto"/>
        <w:jc w:val="left"/>
        <w:tblInd w:w="747" w:type="dxa"/>
        <w:tblLayout w:type="fixed"/>
        <w:tblCellMar>
          <w:top w:w="0" w:type="dxa"/>
          <w:left w:w="0" w:type="dxa"/>
          <w:bottom w:w="0" w:type="dxa"/>
          <w:right w:w="0" w:type="dxa"/>
        </w:tblCellMar>
        <w:tblLook w:val="01E0"/>
      </w:tblPr>
      <w:tblGrid>
        <w:gridCol w:w="2154"/>
        <w:gridCol w:w="1568"/>
        <w:gridCol w:w="2833"/>
        <w:gridCol w:w="1787"/>
      </w:tblGrid>
      <w:tr>
        <w:trPr>
          <w:trHeight w:val="357" w:hRule="exact"/>
        </w:trPr>
        <w:tc>
          <w:tcPr>
            <w:tcW w:w="2154" w:type="dxa"/>
            <w:tcBorders>
              <w:top w:val="nil" w:sz="6" w:space="0" w:color="auto"/>
              <w:left w:val="nil" w:sz="6" w:space="0" w:color="auto"/>
              <w:bottom w:val="single" w:sz="12" w:space="0" w:color="000000"/>
              <w:right w:val="nil" w:sz="6" w:space="0" w:color="auto"/>
            </w:tcBorders>
          </w:tcPr>
          <w:p>
            <w:pPr>
              <w:pStyle w:val="TableParagraph"/>
              <w:tabs>
                <w:tab w:pos="646" w:val="left" w:leader="none"/>
              </w:tabs>
              <w:spacing w:line="240" w:lineRule="auto" w:before="35"/>
              <w:ind w:left="107" w:right="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预收款项情况</w:t>
            </w:r>
            <w:r>
              <w:rPr>
                <w:rFonts w:ascii="宋体" w:hAnsi="宋体" w:cs="宋体" w:eastAsia="宋体" w:hint="default"/>
                <w:sz w:val="21"/>
                <w:szCs w:val="21"/>
              </w:rPr>
            </w:r>
          </w:p>
        </w:tc>
        <w:tc>
          <w:tcPr>
            <w:tcW w:w="6187" w:type="dxa"/>
            <w:gridSpan w:val="3"/>
            <w:tcBorders>
              <w:top w:val="nil" w:sz="6" w:space="0" w:color="auto"/>
              <w:left w:val="nil" w:sz="6" w:space="0" w:color="auto"/>
              <w:bottom w:val="single" w:sz="12" w:space="0" w:color="000000"/>
              <w:right w:val="nil" w:sz="6" w:space="0" w:color="auto"/>
            </w:tcBorders>
          </w:tcPr>
          <w:p>
            <w:pPr/>
          </w:p>
        </w:tc>
      </w:tr>
      <w:tr>
        <w:trPr>
          <w:trHeight w:val="840" w:hRule="exact"/>
        </w:trPr>
        <w:tc>
          <w:tcPr>
            <w:tcW w:w="2154" w:type="dxa"/>
            <w:tcBorders>
              <w:top w:val="single" w:sz="12" w:space="0" w:color="000000"/>
              <w:left w:val="nil" w:sz="6" w:space="0" w:color="auto"/>
              <w:bottom w:val="single" w:sz="12" w:space="0" w:color="000000"/>
              <w:right w:val="nil" w:sz="6" w:space="0" w:color="auto"/>
            </w:tcBorders>
          </w:tcPr>
          <w:p>
            <w:pPr>
              <w:pStyle w:val="TableParagraph"/>
              <w:spacing w:line="240" w:lineRule="auto" w:before="136"/>
              <w:ind w:right="178"/>
              <w:jc w:val="right"/>
              <w:rPr>
                <w:rFonts w:ascii="宋体" w:hAnsi="宋体" w:cs="宋体" w:eastAsia="宋体" w:hint="default"/>
                <w:sz w:val="18"/>
                <w:szCs w:val="18"/>
              </w:rPr>
            </w:pPr>
            <w:r>
              <w:rPr>
                <w:rFonts w:ascii="宋体" w:hAnsi="宋体" w:cs="宋体" w:eastAsia="宋体" w:hint="default"/>
                <w:sz w:val="18"/>
                <w:szCs w:val="18"/>
              </w:rPr>
              <w:t>项</w:t>
            </w: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预收合同款项</w:t>
            </w:r>
          </w:p>
        </w:tc>
        <w:tc>
          <w:tcPr>
            <w:tcW w:w="1568" w:type="dxa"/>
            <w:tcBorders>
              <w:top w:val="single" w:sz="12" w:space="0" w:color="000000"/>
              <w:left w:val="nil" w:sz="6" w:space="0" w:color="auto"/>
              <w:bottom w:val="single" w:sz="12" w:space="0" w:color="000000"/>
              <w:right w:val="nil" w:sz="6" w:space="0" w:color="auto"/>
            </w:tcBorders>
          </w:tcPr>
          <w:p>
            <w:pPr>
              <w:pStyle w:val="TableParagraph"/>
              <w:spacing w:line="240" w:lineRule="auto" w:before="136"/>
              <w:ind w:left="180" w:right="0"/>
              <w:jc w:val="left"/>
              <w:rPr>
                <w:rFonts w:ascii="宋体" w:hAnsi="宋体" w:cs="宋体" w:eastAsia="宋体" w:hint="default"/>
                <w:sz w:val="18"/>
                <w:szCs w:val="18"/>
              </w:rPr>
            </w:pPr>
            <w:r>
              <w:rPr>
                <w:rFonts w:ascii="宋体" w:hAnsi="宋体" w:cs="宋体" w:eastAsia="宋体" w:hint="default"/>
                <w:sz w:val="18"/>
                <w:szCs w:val="18"/>
              </w:rPr>
              <w:t>目</w:t>
            </w:r>
          </w:p>
        </w:tc>
        <w:tc>
          <w:tcPr>
            <w:tcW w:w="2833" w:type="dxa"/>
            <w:tcBorders>
              <w:top w:val="single" w:sz="12" w:space="0" w:color="000000"/>
              <w:left w:val="nil" w:sz="6" w:space="0" w:color="auto"/>
              <w:bottom w:val="single" w:sz="12" w:space="0" w:color="000000"/>
              <w:right w:val="nil" w:sz="6" w:space="0" w:color="auto"/>
            </w:tcBorders>
          </w:tcPr>
          <w:p>
            <w:pPr>
              <w:pStyle w:val="TableParagraph"/>
              <w:spacing w:line="240" w:lineRule="auto" w:before="136"/>
              <w:ind w:left="1207"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541" w:right="0"/>
              <w:jc w:val="left"/>
              <w:rPr>
                <w:rFonts w:ascii="Times New Roman" w:hAnsi="Times New Roman" w:cs="Times New Roman" w:eastAsia="Times New Roman" w:hint="default"/>
                <w:sz w:val="18"/>
                <w:szCs w:val="18"/>
              </w:rPr>
            </w:pPr>
            <w:r>
              <w:rPr>
                <w:rFonts w:ascii="Times New Roman"/>
                <w:sz w:val="18"/>
              </w:rPr>
              <w:t>452,920,955</w:t>
            </w:r>
          </w:p>
        </w:tc>
        <w:tc>
          <w:tcPr>
            <w:tcW w:w="1787" w:type="dxa"/>
            <w:tcBorders>
              <w:top w:val="single" w:sz="12" w:space="0" w:color="000000"/>
              <w:left w:val="nil" w:sz="6" w:space="0" w:color="auto"/>
              <w:bottom w:val="single" w:sz="12" w:space="0" w:color="000000"/>
              <w:right w:val="nil" w:sz="6" w:space="0" w:color="auto"/>
            </w:tcBorders>
          </w:tcPr>
          <w:p>
            <w:pPr>
              <w:pStyle w:val="TableParagraph"/>
              <w:spacing w:line="240" w:lineRule="auto" w:before="136"/>
              <w:ind w:left="391"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778" w:right="0"/>
              <w:jc w:val="left"/>
              <w:rPr>
                <w:rFonts w:ascii="Times New Roman" w:hAnsi="Times New Roman" w:cs="Times New Roman" w:eastAsia="Times New Roman" w:hint="default"/>
                <w:sz w:val="18"/>
                <w:szCs w:val="18"/>
              </w:rPr>
            </w:pPr>
            <w:r>
              <w:rPr>
                <w:rFonts w:ascii="Times New Roman"/>
                <w:sz w:val="18"/>
              </w:rPr>
              <w:t>437,504,595</w:t>
            </w:r>
          </w:p>
        </w:tc>
      </w:tr>
    </w:tbl>
    <w:p>
      <w:pPr>
        <w:spacing w:after="0" w:line="240" w:lineRule="auto"/>
        <w:jc w:val="left"/>
        <w:rPr>
          <w:rFonts w:ascii="Times New Roman" w:hAnsi="Times New Roman" w:cs="Times New Roman" w:eastAsia="Times New Roman" w:hint="default"/>
          <w:sz w:val="18"/>
          <w:szCs w:val="18"/>
        </w:rPr>
        <w:sectPr>
          <w:pgSz w:w="11910" w:h="16840"/>
          <w:pgMar w:header="0" w:footer="1003" w:top="1540" w:bottom="1200" w:left="1660" w:right="980"/>
        </w:sectPr>
      </w:pPr>
    </w:p>
    <w:p>
      <w:pPr>
        <w:spacing w:line="240" w:lineRule="auto" w:before="10"/>
        <w:rPr>
          <w:rFonts w:ascii="宋体" w:hAnsi="宋体" w:cs="宋体" w:eastAsia="宋体" w:hint="default"/>
          <w:b/>
          <w:bCs/>
          <w:sz w:val="8"/>
          <w:szCs w:val="8"/>
        </w:rPr>
      </w:pPr>
    </w:p>
    <w:p>
      <w:pPr>
        <w:tabs>
          <w:tab w:pos="1410" w:val="left" w:leader="none"/>
        </w:tabs>
        <w:spacing w:before="35"/>
        <w:ind w:left="855" w:right="148"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期末余额中预收持本公司</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％）表决权股份的股东单位款项。</w:t>
      </w:r>
      <w:r>
        <w:rPr>
          <w:rFonts w:ascii="宋体" w:hAnsi="宋体" w:cs="宋体" w:eastAsia="宋体" w:hint="default"/>
          <w:sz w:val="21"/>
          <w:szCs w:val="21"/>
        </w:rPr>
      </w:r>
    </w:p>
    <w:p>
      <w:pPr>
        <w:spacing w:line="870" w:lineRule="exact"/>
        <w:ind w:left="717"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21.55pt;height:43.5pt;mso-position-horizontal-relative:char;mso-position-vertical-relative:line" coordorigin="0,0" coordsize="8431,870">
            <v:group style="position:absolute;left:29;top:15;width:8384;height:2" coordorigin="29,15" coordsize="8384,2">
              <v:shape style="position:absolute;left:29;top:15;width:8384;height:2" coordorigin="29,15" coordsize="8384,0" path="m29,15l8413,15e" filled="false" stroked="true" strokeweight="1.5pt" strokecolor="#000000">
                <v:path arrowok="t"/>
              </v:shape>
            </v:group>
            <v:group style="position:absolute;left:15;top:855;width:4391;height:2" coordorigin="15,855" coordsize="4391,2">
              <v:shape style="position:absolute;left:15;top:855;width:4391;height:2" coordorigin="15,855" coordsize="4391,0" path="m15,855l4406,855e" filled="false" stroked="true" strokeweight="1.5pt" strokecolor="#000000">
                <v:path arrowok="t"/>
              </v:shape>
            </v:group>
            <v:group style="position:absolute;left:4406;top:855;width:1817;height:2" coordorigin="4406,855" coordsize="1817,2">
              <v:shape style="position:absolute;left:4406;top:855;width:1817;height:2" coordorigin="4406,855" coordsize="1817,0" path="m4406,855l6223,855e" filled="false" stroked="true" strokeweight="1.5pt" strokecolor="#000000">
                <v:path arrowok="t"/>
              </v:shape>
              <v:shape style="position:absolute;left:1;top:7;width:8430;height:833" type="#_x0000_t75" stroked="false">
                <v:imagedata r:id="rId227" o:title=""/>
              </v:shape>
            </v:group>
            <v:group style="position:absolute;left:6223;top:855;width:2190;height:2" coordorigin="6223,855" coordsize="2190,2">
              <v:shape style="position:absolute;left:6223;top:855;width:2190;height:2" coordorigin="6223,855" coordsize="2190,0" path="m6223,855l8413,855e" filled="false" stroked="true" strokeweight="1.5pt" strokecolor="#000000">
                <v:path arrowok="t"/>
              </v:shape>
              <v:shape style="position:absolute;left:1859;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4959;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959;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6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东芝公司</w:t>
                      </w:r>
                    </w:p>
                  </w:txbxContent>
                </v:textbox>
                <w10:wrap type="none"/>
              </v:shape>
              <v:shape style="position:absolute;left:5625;top:651;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16,382</w:t>
                      </w:r>
                    </w:p>
                  </w:txbxContent>
                </v:textbox>
                <w10:wrap type="none"/>
              </v:shape>
              <v:shape style="position:absolute;left:7720;top:651;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553,188</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tabs>
          <w:tab w:pos="1393" w:val="left" w:leader="none"/>
        </w:tabs>
        <w:spacing w:before="35"/>
        <w:ind w:left="855" w:right="2718"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期末余额中预收关联方情况</w:t>
      </w:r>
      <w:r>
        <w:rPr>
          <w:rFonts w:ascii="宋体" w:hAnsi="宋体" w:cs="宋体" w:eastAsia="宋体" w:hint="default"/>
          <w:sz w:val="21"/>
          <w:szCs w:val="21"/>
        </w:rPr>
      </w:r>
    </w:p>
    <w:p>
      <w:pPr>
        <w:tabs>
          <w:tab w:pos="1393" w:val="left" w:leader="none"/>
        </w:tabs>
        <w:spacing w:line="698" w:lineRule="auto" w:before="125"/>
        <w:ind w:left="855" w:right="2404" w:firstLine="542"/>
        <w:jc w:val="left"/>
        <w:rPr>
          <w:rFonts w:ascii="宋体" w:hAnsi="宋体" w:cs="宋体" w:eastAsia="宋体" w:hint="default"/>
          <w:sz w:val="21"/>
          <w:szCs w:val="21"/>
        </w:rPr>
      </w:pPr>
      <w:r>
        <w:rPr/>
        <w:pict>
          <v:group style="position:absolute;margin-left:118.889999pt;margin-top:61.593102pt;width:418.95pt;height:146.050pt;mso-position-horizontal-relative:page;mso-position-vertical-relative:paragraph;z-index:-1117456" coordorigin="2378,1232" coordsize="8379,2921">
            <v:group style="position:absolute;left:2407;top:1247;width:8325;height:2" coordorigin="2407,1247" coordsize="8325,2">
              <v:shape style="position:absolute;left:2407;top:1247;width:8325;height:2" coordorigin="2407,1247" coordsize="8325,0" path="m2407,1247l10732,1247e" filled="false" stroked="true" strokeweight="1.5pt" strokecolor="#000000">
                <v:path arrowok="t"/>
              </v:shape>
              <v:shape style="position:absolute;left:5518;top:1237;width:2945;height:451" type="#_x0000_t75" stroked="false">
                <v:imagedata r:id="rId228" o:title=""/>
              </v:shape>
            </v:group>
            <v:group style="position:absolute;left:2393;top:4138;width:3150;height:2" coordorigin="2393,4138" coordsize="3150,2">
              <v:shape style="position:absolute;left:2393;top:4138;width:3150;height:2" coordorigin="2393,4138" coordsize="3150,0" path="m2393,4138l5543,4138e" filled="false" stroked="true" strokeweight="1.5pt" strokecolor="#000000">
                <v:path arrowok="t"/>
              </v:shape>
            </v:group>
            <v:group style="position:absolute;left:5543;top:4138;width:1384;height:2" coordorigin="5543,4138" coordsize="1384,2">
              <v:shape style="position:absolute;left:5543;top:4138;width:1384;height:2" coordorigin="5543,4138" coordsize="1384,0" path="m5543,4138l6926,4138e" filled="false" stroked="true" strokeweight="1.5pt" strokecolor="#000000">
                <v:path arrowok="t"/>
              </v:shape>
            </v:group>
            <v:group style="position:absolute;left:6926;top:4138;width:1502;height:2" coordorigin="6926,4138" coordsize="1502,2">
              <v:shape style="position:absolute;left:6926;top:4138;width:1502;height:2" coordorigin="6926,4138" coordsize="1502,0" path="m6926,4138l8428,4138e" filled="false" stroked="true" strokeweight="1.5pt" strokecolor="#000000">
                <v:path arrowok="t"/>
              </v:shape>
              <v:shape style="position:absolute;left:2378;top:1639;width:8378;height:2483" type="#_x0000_t75" stroked="false">
                <v:imagedata r:id="rId229" o:title=""/>
              </v:shape>
            </v:group>
            <v:group style="position:absolute;left:8428;top:4138;width:2304;height:2" coordorigin="8428,4138" coordsize="2304,2">
              <v:shape style="position:absolute;left:8428;top:4138;width:2304;height:2" coordorigin="8428,4138" coordsize="2304,0" path="m8428,4138l10732,4138e" filled="false" stroked="true" strokeweight="1.5pt" strokecolor="#000000">
                <v:path arrowok="t"/>
              </v:shape>
              <v:shape style="position:absolute;left:3527;top:145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债权人名称</w:t>
                      </w:r>
                    </w:p>
                  </w:txbxContent>
                </v:textbox>
                <w10:wrap type="none"/>
              </v:shape>
              <v:shape style="position:absolute;left:5699;top:145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与本公司关系</w:t>
                      </w:r>
                    </w:p>
                  </w:txbxContent>
                </v:textbox>
                <w10:wrap type="none"/>
              </v:shape>
              <v:shape style="position:absolute;left:7411;top:1454;width:5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w:t>
                      </w:r>
                      <w:r>
                        <w:rPr>
                          <w:rFonts w:ascii="宋体" w:hAnsi="宋体" w:cs="宋体" w:eastAsia="宋体" w:hint="default"/>
                          <w:spacing w:val="1"/>
                          <w:sz w:val="18"/>
                          <w:szCs w:val="18"/>
                        </w:rPr>
                        <w:t> </w:t>
                      </w:r>
                      <w:r>
                        <w:rPr>
                          <w:rFonts w:ascii="宋体" w:hAnsi="宋体" w:cs="宋体" w:eastAsia="宋体" w:hint="default"/>
                          <w:sz w:val="18"/>
                          <w:szCs w:val="18"/>
                        </w:rPr>
                        <w:t>额</w:t>
                      </w:r>
                    </w:p>
                  </w:txbxContent>
                </v:textbox>
                <w10:wrap type="none"/>
              </v:shape>
              <v:shape style="position:absolute;left:9132;top:145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未结转原因</w:t>
                      </w:r>
                    </w:p>
                  </w:txbxContent>
                </v:textbox>
                <w10:wrap type="none"/>
              </v:shape>
              <v:shape style="position:absolute;left:2605;top:1864;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哈尔滨蓝科科技开发有限公司</w:t>
                      </w:r>
                    </w:p>
                  </w:txbxContent>
                </v:textbox>
                <w10:wrap type="none"/>
              </v:shape>
              <v:shape style="position:absolute;left:5879;top:18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7604;top:1864;width:2916;height:200" type="#_x0000_t202" filled="false" stroked="false">
                <v:textbox inset="0,0,0,0">
                  <w:txbxContent>
                    <w:p>
                      <w:pPr>
                        <w:tabs>
                          <w:tab w:pos="93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6,913,000</w:t>
                        <w:tab/>
                      </w:r>
                      <w:r>
                        <w:rPr>
                          <w:rFonts w:ascii="宋体" w:hAnsi="宋体" w:cs="宋体" w:eastAsia="宋体" w:hint="default"/>
                          <w:position w:val="1"/>
                          <w:sz w:val="18"/>
                          <w:szCs w:val="18"/>
                        </w:rPr>
                        <w:t>执行中合同未结算项目款</w:t>
                      </w:r>
                      <w:r>
                        <w:rPr>
                          <w:rFonts w:ascii="宋体" w:hAnsi="宋体" w:cs="宋体" w:eastAsia="宋体" w:hint="default"/>
                          <w:sz w:val="18"/>
                          <w:szCs w:val="18"/>
                        </w:rPr>
                      </w:r>
                    </w:p>
                  </w:txbxContent>
                </v:textbox>
                <w10:wrap type="none"/>
              </v:shape>
              <v:shape style="position:absolute;left:2605;top:2275;width:27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北京市轨道交通建设管理有限公司</w:t>
                      </w:r>
                    </w:p>
                  </w:txbxContent>
                </v:textbox>
                <w10:wrap type="none"/>
              </v:shape>
              <v:shape style="position:absolute;left:5879;top:227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7604;top:2275;width:2916;height:200" type="#_x0000_t202" filled="false" stroked="false">
                <v:textbox inset="0,0,0,0">
                  <w:txbxContent>
                    <w:p>
                      <w:pPr>
                        <w:tabs>
                          <w:tab w:pos="93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5,046,640</w:t>
                        <w:tab/>
                      </w:r>
                      <w:r>
                        <w:rPr>
                          <w:rFonts w:ascii="宋体" w:hAnsi="宋体" w:cs="宋体" w:eastAsia="宋体" w:hint="default"/>
                          <w:position w:val="1"/>
                          <w:sz w:val="18"/>
                          <w:szCs w:val="18"/>
                        </w:rPr>
                        <w:t>执行中合同未结算项目款</w:t>
                      </w:r>
                      <w:r>
                        <w:rPr>
                          <w:rFonts w:ascii="宋体" w:hAnsi="宋体" w:cs="宋体" w:eastAsia="宋体" w:hint="default"/>
                          <w:sz w:val="18"/>
                          <w:szCs w:val="18"/>
                        </w:rPr>
                      </w:r>
                    </w:p>
                  </w:txbxContent>
                </v:textbox>
                <w10:wrap type="none"/>
              </v:shape>
              <v:shape style="position:absolute;left:2605;top:2684;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中国烟草总公司甘肃省公司</w:t>
                      </w:r>
                    </w:p>
                  </w:txbxContent>
                </v:textbox>
                <w10:wrap type="none"/>
              </v:shape>
              <v:shape style="position:absolute;left:5879;top:268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7604;top:2684;width:2916;height:200" type="#_x0000_t202" filled="false" stroked="false">
                <v:textbox inset="0,0,0,0">
                  <w:txbxContent>
                    <w:p>
                      <w:pPr>
                        <w:tabs>
                          <w:tab w:pos="93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3,547,090</w:t>
                        <w:tab/>
                      </w:r>
                      <w:r>
                        <w:rPr>
                          <w:rFonts w:ascii="宋体" w:hAnsi="宋体" w:cs="宋体" w:eastAsia="宋体" w:hint="default"/>
                          <w:position w:val="1"/>
                          <w:sz w:val="18"/>
                          <w:szCs w:val="18"/>
                        </w:rPr>
                        <w:t>执行中合同未结算项目款</w:t>
                      </w:r>
                      <w:r>
                        <w:rPr>
                          <w:rFonts w:ascii="宋体" w:hAnsi="宋体" w:cs="宋体" w:eastAsia="宋体" w:hint="default"/>
                          <w:sz w:val="18"/>
                          <w:szCs w:val="18"/>
                        </w:rPr>
                      </w:r>
                    </w:p>
                  </w:txbxContent>
                </v:textbox>
                <w10:wrap type="none"/>
              </v:shape>
              <v:shape style="position:absolute;left:2605;top:3094;width:234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中国人民解放军第二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五医院</w:t>
                      </w:r>
                    </w:p>
                  </w:txbxContent>
                </v:textbox>
                <w10:wrap type="none"/>
              </v:shape>
              <v:shape style="position:absolute;left:5879;top:309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7604;top:3094;width:2916;height:200" type="#_x0000_t202" filled="false" stroked="false">
                <v:textbox inset="0,0,0,0">
                  <w:txbxContent>
                    <w:p>
                      <w:pPr>
                        <w:tabs>
                          <w:tab w:pos="93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3,305,617</w:t>
                        <w:tab/>
                      </w:r>
                      <w:r>
                        <w:rPr>
                          <w:rFonts w:ascii="宋体" w:hAnsi="宋体" w:cs="宋体" w:eastAsia="宋体" w:hint="default"/>
                          <w:position w:val="1"/>
                          <w:sz w:val="18"/>
                          <w:szCs w:val="18"/>
                        </w:rPr>
                        <w:t>执行中合同未结算项目款</w:t>
                      </w:r>
                      <w:r>
                        <w:rPr>
                          <w:rFonts w:ascii="宋体" w:hAnsi="宋体" w:cs="宋体" w:eastAsia="宋体" w:hint="default"/>
                          <w:sz w:val="18"/>
                          <w:szCs w:val="18"/>
                        </w:rPr>
                      </w:r>
                    </w:p>
                  </w:txbxContent>
                </v:textbox>
                <w10:wrap type="none"/>
              </v:shape>
              <v:shape style="position:absolute;left:2605;top:3524;width:1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5"/>
                          <w:sz w:val="18"/>
                        </w:rPr>
                        <w:t>PT. </w:t>
                      </w:r>
                      <w:r>
                        <w:rPr>
                          <w:rFonts w:ascii="Times New Roman"/>
                          <w:sz w:val="18"/>
                        </w:rPr>
                        <w:t>Sani Tiara</w:t>
                      </w:r>
                      <w:r>
                        <w:rPr>
                          <w:rFonts w:ascii="Times New Roman"/>
                          <w:spacing w:val="-14"/>
                          <w:sz w:val="18"/>
                        </w:rPr>
                        <w:t> </w:t>
                      </w:r>
                      <w:r>
                        <w:rPr>
                          <w:rFonts w:ascii="Times New Roman"/>
                          <w:sz w:val="18"/>
                        </w:rPr>
                        <w:t>Prima</w:t>
                      </w:r>
                    </w:p>
                  </w:txbxContent>
                </v:textbox>
                <w10:wrap type="none"/>
              </v:shape>
              <v:shape style="position:absolute;left:5879;top:35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7604;top:3505;width:2916;height:200" type="#_x0000_t202" filled="false" stroked="false">
                <v:textbox inset="0,0,0,0">
                  <w:txbxContent>
                    <w:p>
                      <w:pPr>
                        <w:tabs>
                          <w:tab w:pos="93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3,181,822</w:t>
                        <w:tab/>
                      </w:r>
                      <w:r>
                        <w:rPr>
                          <w:rFonts w:ascii="宋体" w:hAnsi="宋体" w:cs="宋体" w:eastAsia="宋体" w:hint="default"/>
                          <w:position w:val="1"/>
                          <w:sz w:val="18"/>
                          <w:szCs w:val="18"/>
                        </w:rPr>
                        <w:t>执行中合同未结算项目款</w:t>
                      </w:r>
                      <w:r>
                        <w:rPr>
                          <w:rFonts w:ascii="宋体" w:hAnsi="宋体" w:cs="宋体" w:eastAsia="宋体" w:hint="default"/>
                          <w:sz w:val="18"/>
                          <w:szCs w:val="18"/>
                        </w:rPr>
                      </w:r>
                    </w:p>
                  </w:txbxContent>
                </v:textbox>
                <w10:wrap type="none"/>
              </v:shape>
              <v:shape style="position:absolute;left:3707;top:391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7513;top:393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21,994,169</w:t>
                      </w:r>
                    </w:p>
                  </w:txbxContent>
                </v:textbox>
                <w10:wrap type="none"/>
              </v:shape>
            </v:group>
            <w10:wrap type="none"/>
          </v:group>
        </w:pict>
      </w:r>
      <w:r>
        <w:rPr>
          <w:rFonts w:ascii="宋体" w:hAnsi="宋体" w:cs="宋体" w:eastAsia="宋体" w:hint="default"/>
          <w:sz w:val="21"/>
          <w:szCs w:val="21"/>
        </w:rPr>
        <w:t>期末关联方预收款</w:t>
      </w:r>
      <w:r>
        <w:rPr>
          <w:rFonts w:ascii="宋体" w:hAnsi="宋体" w:cs="宋体" w:eastAsia="宋体" w:hint="default"/>
          <w:spacing w:val="-51"/>
          <w:sz w:val="21"/>
          <w:szCs w:val="21"/>
        </w:rPr>
        <w:t> </w:t>
      </w:r>
      <w:r>
        <w:rPr>
          <w:rFonts w:ascii="宋体" w:hAnsi="宋体" w:cs="宋体" w:eastAsia="宋体" w:hint="default"/>
          <w:sz w:val="21"/>
          <w:szCs w:val="21"/>
        </w:rPr>
        <w:t>3,640,710</w:t>
      </w:r>
      <w:r>
        <w:rPr>
          <w:rFonts w:ascii="宋体" w:hAnsi="宋体" w:cs="宋体" w:eastAsia="宋体" w:hint="default"/>
          <w:spacing w:val="-50"/>
          <w:sz w:val="21"/>
          <w:szCs w:val="21"/>
        </w:rPr>
        <w:t> </w:t>
      </w:r>
      <w:r>
        <w:rPr>
          <w:rFonts w:ascii="宋体" w:hAnsi="宋体" w:cs="宋体" w:eastAsia="宋体" w:hint="default"/>
          <w:spacing w:val="-1"/>
          <w:sz w:val="21"/>
          <w:szCs w:val="21"/>
        </w:rPr>
        <w:t>元，详见附注</w:t>
      </w:r>
      <w:r>
        <w:rPr>
          <w:rFonts w:ascii="宋体" w:hAnsi="宋体" w:cs="宋体" w:eastAsia="宋体" w:hint="default"/>
          <w:spacing w:val="4"/>
          <w:sz w:val="21"/>
          <w:szCs w:val="21"/>
        </w:rPr>
        <w:t> </w:t>
      </w:r>
      <w:r>
        <w:rPr>
          <w:rFonts w:ascii="宋体" w:hAnsi="宋体" w:cs="宋体" w:eastAsia="宋体" w:hint="default"/>
          <w:spacing w:val="-14"/>
          <w:sz w:val="21"/>
          <w:szCs w:val="21"/>
        </w:rPr>
        <w:t>七（四）、12。</w:t>
      </w:r>
      <w:r>
        <w:rPr>
          <w:rFonts w:ascii="宋体" w:hAnsi="宋体" w:cs="宋体" w:eastAsia="宋体" w:hint="default"/>
          <w:sz w:val="21"/>
          <w:szCs w:val="21"/>
        </w:rPr>
        <w:t> </w:t>
      </w:r>
      <w:r>
        <w:rPr>
          <w:rFonts w:ascii="宋体" w:hAnsi="宋体" w:cs="宋体" w:eastAsia="宋体" w:hint="default"/>
          <w:b/>
          <w:bCs/>
          <w:w w:val="95"/>
          <w:sz w:val="21"/>
          <w:szCs w:val="21"/>
        </w:rPr>
        <w:t>4、</w:t>
        <w:tab/>
      </w:r>
      <w:r>
        <w:rPr>
          <w:rFonts w:ascii="宋体" w:hAnsi="宋体" w:cs="宋体" w:eastAsia="宋体" w:hint="default"/>
          <w:b/>
          <w:bCs/>
          <w:sz w:val="21"/>
          <w:szCs w:val="21"/>
        </w:rPr>
        <w:t>账龄超过</w:t>
      </w:r>
      <w:r>
        <w:rPr>
          <w:rFonts w:ascii="宋体" w:hAnsi="宋体" w:cs="宋体" w:eastAsia="宋体" w:hint="default"/>
          <w:b/>
          <w:bCs/>
          <w:spacing w:val="-56"/>
          <w:sz w:val="21"/>
          <w:szCs w:val="21"/>
        </w:rPr>
        <w:t> </w:t>
      </w:r>
      <w:r>
        <w:rPr>
          <w:rFonts w:ascii="宋体" w:hAnsi="宋体" w:cs="宋体" w:eastAsia="宋体" w:hint="default"/>
          <w:b/>
          <w:bCs/>
          <w:sz w:val="21"/>
          <w:szCs w:val="21"/>
        </w:rPr>
        <w:t>1</w:t>
      </w:r>
      <w:r>
        <w:rPr>
          <w:rFonts w:ascii="宋体" w:hAnsi="宋体" w:cs="宋体" w:eastAsia="宋体" w:hint="default"/>
          <w:b/>
          <w:bCs/>
          <w:spacing w:val="-55"/>
          <w:sz w:val="21"/>
          <w:szCs w:val="21"/>
        </w:rPr>
        <w:t> </w:t>
      </w:r>
      <w:r>
        <w:rPr>
          <w:rFonts w:ascii="宋体" w:hAnsi="宋体" w:cs="宋体" w:eastAsia="宋体" w:hint="default"/>
          <w:b/>
          <w:bCs/>
          <w:sz w:val="21"/>
          <w:szCs w:val="21"/>
        </w:rPr>
        <w:t>年的大额预收款项情况的说明：</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9"/>
          <w:szCs w:val="29"/>
        </w:rPr>
      </w:pPr>
    </w:p>
    <w:p>
      <w:pPr>
        <w:pStyle w:val="Heading6"/>
        <w:spacing w:line="240" w:lineRule="auto"/>
        <w:ind w:left="123" w:right="2718"/>
        <w:jc w:val="left"/>
        <w:rPr>
          <w:b w:val="0"/>
          <w:bCs w:val="0"/>
        </w:rPr>
      </w:pPr>
      <w:r>
        <w:rPr/>
        <w:pict>
          <v:group style="position:absolute;margin-left:118.919998pt;margin-top:17.073509pt;width:421.45pt;height:329.05pt;mso-position-horizontal-relative:page;mso-position-vertical-relative:paragraph;z-index:-1117432" coordorigin="2378,341" coordsize="8429,6581">
            <v:group style="position:absolute;left:2407;top:356;width:8369;height:2" coordorigin="2407,356" coordsize="8369,2">
              <v:shape style="position:absolute;left:2407;top:356;width:8369;height:2" coordorigin="2407,356" coordsize="8369,0" path="m2407,356l10776,356e" filled="false" stroked="true" strokeweight="1.5pt" strokecolor="#000000">
                <v:path arrowok="t"/>
              </v:shape>
              <v:shape style="position:absolute;left:5299;top:346;width:4058;height:451" type="#_x0000_t75" stroked="false">
                <v:imagedata r:id="rId230" o:title=""/>
              </v:shape>
              <v:shape style="position:absolute;left:2378;top:749;width:8429;height:6173" type="#_x0000_t75" stroked="false">
                <v:imagedata r:id="rId231" o:title=""/>
              </v:shape>
            </v:group>
            <w10:wrap type="none"/>
          </v:group>
        </w:pict>
      </w:r>
      <w:r>
        <w:rPr/>
        <w:t>(二十六)应付职工薪酬</w:t>
      </w:r>
      <w:r>
        <w:rPr>
          <w:b w:val="0"/>
          <w:bCs w:val="0"/>
        </w:rPr>
      </w:r>
    </w:p>
    <w:p>
      <w:pPr>
        <w:spacing w:line="240" w:lineRule="auto" w:before="10"/>
        <w:rPr>
          <w:rFonts w:ascii="宋体" w:hAnsi="宋体" w:cs="宋体" w:eastAsia="宋体" w:hint="default"/>
          <w:b/>
          <w:bCs/>
          <w:sz w:val="11"/>
          <w:szCs w:val="11"/>
        </w:rPr>
      </w:pPr>
    </w:p>
    <w:tbl>
      <w:tblPr>
        <w:tblW w:w="0" w:type="auto"/>
        <w:jc w:val="left"/>
        <w:tblInd w:w="732" w:type="dxa"/>
        <w:tblLayout w:type="fixed"/>
        <w:tblCellMar>
          <w:top w:w="0" w:type="dxa"/>
          <w:left w:w="0" w:type="dxa"/>
          <w:bottom w:w="0" w:type="dxa"/>
          <w:right w:w="0" w:type="dxa"/>
        </w:tblCellMar>
        <w:tblLook w:val="01E0"/>
      </w:tblPr>
      <w:tblGrid>
        <w:gridCol w:w="2996"/>
        <w:gridCol w:w="1331"/>
        <w:gridCol w:w="1315"/>
        <w:gridCol w:w="1421"/>
        <w:gridCol w:w="1320"/>
      </w:tblGrid>
      <w:tr>
        <w:trPr>
          <w:trHeight w:val="815" w:hRule="exact"/>
        </w:trPr>
        <w:tc>
          <w:tcPr>
            <w:tcW w:w="2996" w:type="dxa"/>
            <w:tcBorders>
              <w:top w:val="nil" w:sz="6" w:space="0" w:color="auto"/>
              <w:left w:val="nil" w:sz="6" w:space="0" w:color="auto"/>
              <w:bottom w:val="nil" w:sz="6" w:space="0" w:color="auto"/>
              <w:right w:val="nil" w:sz="6" w:space="0" w:color="auto"/>
            </w:tcBorders>
          </w:tcPr>
          <w:p>
            <w:pPr>
              <w:pStyle w:val="TableParagraph"/>
              <w:tabs>
                <w:tab w:pos="539" w:val="left" w:leader="none"/>
              </w:tabs>
              <w:spacing w:line="240" w:lineRule="auto" w:before="44"/>
              <w:ind w:right="44"/>
              <w:jc w:val="center"/>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3"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306" w:right="0"/>
              <w:jc w:val="left"/>
              <w:rPr>
                <w:rFonts w:ascii="Times New Roman" w:hAnsi="Times New Roman" w:cs="Times New Roman" w:eastAsia="Times New Roman" w:hint="default"/>
                <w:sz w:val="18"/>
                <w:szCs w:val="18"/>
              </w:rPr>
            </w:pPr>
            <w:r>
              <w:rPr>
                <w:rFonts w:ascii="Times New Roman"/>
                <w:sz w:val="18"/>
              </w:rPr>
              <w:t>193,187,114</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65"/>
              <w:jc w:val="center"/>
              <w:rPr>
                <w:rFonts w:ascii="宋体" w:hAnsi="宋体" w:cs="宋体" w:eastAsia="宋体" w:hint="default"/>
                <w:sz w:val="18"/>
                <w:szCs w:val="18"/>
              </w:rPr>
            </w:pPr>
            <w:r>
              <w:rPr>
                <w:rFonts w:ascii="宋体" w:hAnsi="宋体" w:cs="宋体" w:eastAsia="宋体" w:hint="default"/>
                <w:sz w:val="18"/>
                <w:szCs w:val="18"/>
              </w:rPr>
              <w:t>本期增加</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16"/>
              <w:jc w:val="center"/>
              <w:rPr>
                <w:rFonts w:ascii="Times New Roman" w:hAnsi="Times New Roman" w:cs="Times New Roman" w:eastAsia="Times New Roman" w:hint="default"/>
                <w:sz w:val="18"/>
                <w:szCs w:val="18"/>
              </w:rPr>
            </w:pPr>
            <w:r>
              <w:rPr>
                <w:rFonts w:ascii="Times New Roman"/>
                <w:sz w:val="18"/>
              </w:rPr>
              <w:t>1,886,014,660</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8"/>
              <w:jc w:val="center"/>
              <w:rPr>
                <w:rFonts w:ascii="宋体" w:hAnsi="宋体" w:cs="宋体" w:eastAsia="宋体" w:hint="default"/>
                <w:sz w:val="18"/>
                <w:szCs w:val="18"/>
              </w:rPr>
            </w:pPr>
            <w:r>
              <w:rPr>
                <w:rFonts w:ascii="宋体" w:hAnsi="宋体" w:cs="宋体" w:eastAsia="宋体" w:hint="default"/>
                <w:sz w:val="18"/>
                <w:szCs w:val="18"/>
              </w:rPr>
              <w:t>本期减少</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83"/>
              <w:jc w:val="center"/>
              <w:rPr>
                <w:rFonts w:ascii="Times New Roman" w:hAnsi="Times New Roman" w:cs="Times New Roman" w:eastAsia="Times New Roman" w:hint="default"/>
                <w:sz w:val="18"/>
                <w:szCs w:val="18"/>
              </w:rPr>
            </w:pPr>
            <w:r>
              <w:rPr>
                <w:rFonts w:ascii="Times New Roman"/>
                <w:sz w:val="18"/>
              </w:rPr>
              <w:t>1,830,861,323</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35"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311" w:right="0"/>
              <w:jc w:val="left"/>
              <w:rPr>
                <w:rFonts w:ascii="Times New Roman" w:hAnsi="Times New Roman" w:cs="Times New Roman" w:eastAsia="Times New Roman" w:hint="default"/>
                <w:sz w:val="18"/>
                <w:szCs w:val="18"/>
              </w:rPr>
            </w:pPr>
            <w:r>
              <w:rPr>
                <w:rFonts w:ascii="Times New Roman"/>
                <w:sz w:val="18"/>
              </w:rPr>
              <w:t>248,340,451</w:t>
            </w:r>
          </w:p>
        </w:tc>
      </w:tr>
      <w:tr>
        <w:trPr>
          <w:trHeight w:val="410" w:hRule="exact"/>
        </w:trPr>
        <w:tc>
          <w:tcPr>
            <w:tcW w:w="299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）职工奖励及福利基金</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18,314,894</w:t>
            </w:r>
          </w:p>
        </w:tc>
        <w:tc>
          <w:tcPr>
            <w:tcW w:w="1315"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18,314,894</w:t>
            </w:r>
          </w:p>
        </w:tc>
      </w:tr>
      <w:tr>
        <w:trPr>
          <w:trHeight w:val="410" w:hRule="exact"/>
        </w:trPr>
        <w:tc>
          <w:tcPr>
            <w:tcW w:w="299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）职工福利费</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240,601</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7"/>
              <w:jc w:val="right"/>
              <w:rPr>
                <w:rFonts w:ascii="Times New Roman" w:hAnsi="Times New Roman" w:cs="Times New Roman" w:eastAsia="Times New Roman" w:hint="default"/>
                <w:sz w:val="18"/>
                <w:szCs w:val="18"/>
              </w:rPr>
            </w:pPr>
            <w:r>
              <w:rPr>
                <w:rFonts w:ascii="Times New Roman"/>
                <w:sz w:val="18"/>
              </w:rPr>
              <w:t>28,432,246</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3"/>
              <w:jc w:val="right"/>
              <w:rPr>
                <w:rFonts w:ascii="Times New Roman" w:hAnsi="Times New Roman" w:cs="Times New Roman" w:eastAsia="Times New Roman" w:hint="default"/>
                <w:sz w:val="18"/>
                <w:szCs w:val="18"/>
              </w:rPr>
            </w:pPr>
            <w:r>
              <w:rPr>
                <w:rFonts w:ascii="Times New Roman"/>
                <w:sz w:val="18"/>
              </w:rPr>
              <w:t>28,460,889</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2"/>
                <w:sz w:val="18"/>
              </w:rPr>
              <w:t>211,958</w:t>
            </w:r>
          </w:p>
        </w:tc>
      </w:tr>
      <w:tr>
        <w:trPr>
          <w:trHeight w:val="410" w:hRule="exact"/>
        </w:trPr>
        <w:tc>
          <w:tcPr>
            <w:tcW w:w="299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）社会保险费</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9"/>
              <w:jc w:val="right"/>
              <w:rPr>
                <w:rFonts w:ascii="Times New Roman" w:hAnsi="Times New Roman" w:cs="Times New Roman" w:eastAsia="Times New Roman" w:hint="default"/>
                <w:sz w:val="18"/>
                <w:szCs w:val="18"/>
              </w:rPr>
            </w:pPr>
            <w:r>
              <w:rPr>
                <w:rFonts w:ascii="Times New Roman"/>
                <w:sz w:val="18"/>
              </w:rPr>
              <w:t>1,031,242</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7"/>
              <w:jc w:val="right"/>
              <w:rPr>
                <w:rFonts w:ascii="Times New Roman" w:hAnsi="Times New Roman" w:cs="Times New Roman" w:eastAsia="Times New Roman" w:hint="default"/>
                <w:sz w:val="18"/>
                <w:szCs w:val="18"/>
              </w:rPr>
            </w:pPr>
            <w:r>
              <w:rPr>
                <w:rFonts w:ascii="Times New Roman"/>
                <w:sz w:val="18"/>
              </w:rPr>
              <w:t>307,858,404</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3"/>
              <w:jc w:val="right"/>
              <w:rPr>
                <w:rFonts w:ascii="Times New Roman" w:hAnsi="Times New Roman" w:cs="Times New Roman" w:eastAsia="Times New Roman" w:hint="default"/>
                <w:sz w:val="18"/>
                <w:szCs w:val="18"/>
              </w:rPr>
            </w:pPr>
            <w:r>
              <w:rPr>
                <w:rFonts w:ascii="Times New Roman"/>
                <w:sz w:val="18"/>
              </w:rPr>
              <w:t>306,614,443</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2,275,203</w:t>
            </w:r>
          </w:p>
        </w:tc>
      </w:tr>
      <w:tr>
        <w:trPr>
          <w:trHeight w:val="410" w:hRule="exact"/>
        </w:trPr>
        <w:tc>
          <w:tcPr>
            <w:tcW w:w="299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201,261</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7"/>
              <w:jc w:val="right"/>
              <w:rPr>
                <w:rFonts w:ascii="Times New Roman" w:hAnsi="Times New Roman" w:cs="Times New Roman" w:eastAsia="Times New Roman" w:hint="default"/>
                <w:sz w:val="18"/>
                <w:szCs w:val="18"/>
              </w:rPr>
            </w:pPr>
            <w:r>
              <w:rPr>
                <w:rFonts w:ascii="Times New Roman"/>
                <w:sz w:val="18"/>
              </w:rPr>
              <w:t>84,354,583</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3"/>
              <w:jc w:val="right"/>
              <w:rPr>
                <w:rFonts w:ascii="Times New Roman" w:hAnsi="Times New Roman" w:cs="Times New Roman" w:eastAsia="Times New Roman" w:hint="default"/>
                <w:sz w:val="18"/>
                <w:szCs w:val="18"/>
              </w:rPr>
            </w:pPr>
            <w:r>
              <w:rPr>
                <w:rFonts w:ascii="Times New Roman"/>
                <w:sz w:val="18"/>
              </w:rPr>
              <w:t>83,855,993</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699,851</w:t>
            </w:r>
          </w:p>
        </w:tc>
      </w:tr>
      <w:tr>
        <w:trPr>
          <w:trHeight w:val="410" w:hRule="exact"/>
        </w:trPr>
        <w:tc>
          <w:tcPr>
            <w:tcW w:w="299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72" w:right="0"/>
              <w:jc w:val="left"/>
              <w:rPr>
                <w:rFonts w:ascii="宋体" w:hAnsi="宋体" w:cs="宋体" w:eastAsia="宋体" w:hint="default"/>
                <w:sz w:val="18"/>
                <w:szCs w:val="18"/>
              </w:rPr>
            </w:pPr>
            <w:r>
              <w:rPr>
                <w:rFonts w:ascii="宋体" w:hAnsi="宋体" w:cs="宋体" w:eastAsia="宋体" w:hint="default"/>
                <w:sz w:val="18"/>
                <w:szCs w:val="18"/>
              </w:rPr>
              <w:t>基本养老保险费</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374,491</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7"/>
              <w:jc w:val="right"/>
              <w:rPr>
                <w:rFonts w:ascii="Times New Roman" w:hAnsi="Times New Roman" w:cs="Times New Roman" w:eastAsia="Times New Roman" w:hint="default"/>
                <w:sz w:val="18"/>
                <w:szCs w:val="18"/>
              </w:rPr>
            </w:pPr>
            <w:r>
              <w:rPr>
                <w:rFonts w:ascii="Times New Roman"/>
                <w:sz w:val="18"/>
              </w:rPr>
              <w:t>156,954,907</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3"/>
              <w:jc w:val="right"/>
              <w:rPr>
                <w:rFonts w:ascii="Times New Roman" w:hAnsi="Times New Roman" w:cs="Times New Roman" w:eastAsia="Times New Roman" w:hint="default"/>
                <w:sz w:val="18"/>
                <w:szCs w:val="18"/>
              </w:rPr>
            </w:pPr>
            <w:r>
              <w:rPr>
                <w:rFonts w:ascii="Times New Roman"/>
                <w:sz w:val="18"/>
              </w:rPr>
              <w:t>157,046,480</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282,918</w:t>
            </w:r>
          </w:p>
        </w:tc>
      </w:tr>
      <w:tr>
        <w:trPr>
          <w:trHeight w:val="410" w:hRule="exact"/>
        </w:trPr>
        <w:tc>
          <w:tcPr>
            <w:tcW w:w="299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572" w:right="0"/>
              <w:jc w:val="left"/>
              <w:rPr>
                <w:rFonts w:ascii="宋体" w:hAnsi="宋体" w:cs="宋体" w:eastAsia="宋体" w:hint="default"/>
                <w:sz w:val="18"/>
                <w:szCs w:val="18"/>
              </w:rPr>
            </w:pPr>
            <w:r>
              <w:rPr>
                <w:rFonts w:ascii="宋体" w:hAnsi="宋体" w:cs="宋体" w:eastAsia="宋体" w:hint="default"/>
                <w:sz w:val="18"/>
                <w:szCs w:val="18"/>
              </w:rPr>
              <w:t>年金缴费</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359,704</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7"/>
              <w:jc w:val="right"/>
              <w:rPr>
                <w:rFonts w:ascii="Times New Roman" w:hAnsi="Times New Roman" w:cs="Times New Roman" w:eastAsia="Times New Roman" w:hint="default"/>
                <w:sz w:val="18"/>
                <w:szCs w:val="18"/>
              </w:rPr>
            </w:pPr>
            <w:r>
              <w:rPr>
                <w:rFonts w:ascii="Times New Roman"/>
                <w:sz w:val="18"/>
              </w:rPr>
              <w:t>8,538,440</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3"/>
              <w:jc w:val="right"/>
              <w:rPr>
                <w:rFonts w:ascii="Times New Roman" w:hAnsi="Times New Roman" w:cs="Times New Roman" w:eastAsia="Times New Roman" w:hint="default"/>
                <w:sz w:val="18"/>
                <w:szCs w:val="18"/>
              </w:rPr>
            </w:pPr>
            <w:r>
              <w:rPr>
                <w:rFonts w:ascii="Times New Roman"/>
                <w:sz w:val="18"/>
              </w:rPr>
              <w:t>8,072,887</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825,257</w:t>
            </w:r>
          </w:p>
        </w:tc>
      </w:tr>
      <w:tr>
        <w:trPr>
          <w:trHeight w:val="410" w:hRule="exact"/>
        </w:trPr>
        <w:tc>
          <w:tcPr>
            <w:tcW w:w="299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572"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82,652</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7"/>
              <w:jc w:val="right"/>
              <w:rPr>
                <w:rFonts w:ascii="Times New Roman" w:hAnsi="Times New Roman" w:cs="Times New Roman" w:eastAsia="Times New Roman" w:hint="default"/>
                <w:sz w:val="18"/>
                <w:szCs w:val="18"/>
              </w:rPr>
            </w:pPr>
            <w:r>
              <w:rPr>
                <w:rFonts w:ascii="Times New Roman"/>
                <w:sz w:val="18"/>
              </w:rPr>
              <w:t>19,979,355</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3"/>
              <w:jc w:val="right"/>
              <w:rPr>
                <w:rFonts w:ascii="Times New Roman" w:hAnsi="Times New Roman" w:cs="Times New Roman" w:eastAsia="Times New Roman" w:hint="default"/>
                <w:sz w:val="18"/>
                <w:szCs w:val="18"/>
              </w:rPr>
            </w:pPr>
            <w:r>
              <w:rPr>
                <w:rFonts w:ascii="Times New Roman"/>
                <w:sz w:val="18"/>
              </w:rPr>
              <w:t>19,768,569</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293,438</w:t>
            </w:r>
          </w:p>
        </w:tc>
      </w:tr>
      <w:tr>
        <w:trPr>
          <w:trHeight w:val="410" w:hRule="exact"/>
        </w:trPr>
        <w:tc>
          <w:tcPr>
            <w:tcW w:w="299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72"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7,626</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7"/>
              <w:jc w:val="right"/>
              <w:rPr>
                <w:rFonts w:ascii="Times New Roman" w:hAnsi="Times New Roman" w:cs="Times New Roman" w:eastAsia="Times New Roman" w:hint="default"/>
                <w:sz w:val="18"/>
                <w:szCs w:val="18"/>
              </w:rPr>
            </w:pPr>
            <w:r>
              <w:rPr>
                <w:rFonts w:ascii="Times New Roman"/>
                <w:sz w:val="18"/>
              </w:rPr>
              <w:t>7,277,682</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3"/>
              <w:jc w:val="right"/>
              <w:rPr>
                <w:rFonts w:ascii="Times New Roman" w:hAnsi="Times New Roman" w:cs="Times New Roman" w:eastAsia="Times New Roman" w:hint="default"/>
                <w:sz w:val="18"/>
                <w:szCs w:val="18"/>
              </w:rPr>
            </w:pPr>
            <w:r>
              <w:rPr>
                <w:rFonts w:ascii="Times New Roman"/>
                <w:sz w:val="18"/>
              </w:rPr>
              <w:t>7,279,856</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5,452</w:t>
            </w:r>
          </w:p>
        </w:tc>
      </w:tr>
      <w:tr>
        <w:trPr>
          <w:trHeight w:val="410" w:hRule="exact"/>
        </w:trPr>
        <w:tc>
          <w:tcPr>
            <w:tcW w:w="299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572"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5,508</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7"/>
              <w:jc w:val="right"/>
              <w:rPr>
                <w:rFonts w:ascii="Times New Roman" w:hAnsi="Times New Roman" w:cs="Times New Roman" w:eastAsia="Times New Roman" w:hint="default"/>
                <w:sz w:val="18"/>
                <w:szCs w:val="18"/>
              </w:rPr>
            </w:pPr>
            <w:r>
              <w:rPr>
                <w:rFonts w:ascii="Times New Roman"/>
                <w:sz w:val="18"/>
              </w:rPr>
              <w:t>30,753,437</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3"/>
              <w:jc w:val="right"/>
              <w:rPr>
                <w:rFonts w:ascii="Times New Roman" w:hAnsi="Times New Roman" w:cs="Times New Roman" w:eastAsia="Times New Roman" w:hint="default"/>
                <w:sz w:val="18"/>
                <w:szCs w:val="18"/>
              </w:rPr>
            </w:pPr>
            <w:r>
              <w:rPr>
                <w:rFonts w:ascii="Times New Roman"/>
                <w:sz w:val="18"/>
              </w:rPr>
              <w:t>30,590,658</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168,287</w:t>
            </w:r>
          </w:p>
        </w:tc>
      </w:tr>
      <w:tr>
        <w:trPr>
          <w:trHeight w:val="410" w:hRule="exact"/>
        </w:trPr>
        <w:tc>
          <w:tcPr>
            <w:tcW w:w="299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）住房公积金</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w w:val="95"/>
                <w:sz w:val="18"/>
              </w:rPr>
              <w:t>-12,336</w:t>
            </w:r>
            <w:r>
              <w:rPr>
                <w:rFonts w:ascii="Times New Roman"/>
                <w:sz w:val="18"/>
              </w:rPr>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7"/>
              <w:jc w:val="right"/>
              <w:rPr>
                <w:rFonts w:ascii="Times New Roman" w:hAnsi="Times New Roman" w:cs="Times New Roman" w:eastAsia="Times New Roman" w:hint="default"/>
                <w:sz w:val="18"/>
                <w:szCs w:val="18"/>
              </w:rPr>
            </w:pPr>
            <w:r>
              <w:rPr>
                <w:rFonts w:ascii="Times New Roman"/>
                <w:sz w:val="18"/>
              </w:rPr>
              <w:t>84,816,140</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3"/>
              <w:jc w:val="right"/>
              <w:rPr>
                <w:rFonts w:ascii="Times New Roman" w:hAnsi="Times New Roman" w:cs="Times New Roman" w:eastAsia="Times New Roman" w:hint="default"/>
                <w:sz w:val="18"/>
                <w:szCs w:val="18"/>
              </w:rPr>
            </w:pPr>
            <w:r>
              <w:rPr>
                <w:rFonts w:ascii="Times New Roman"/>
                <w:sz w:val="18"/>
              </w:rPr>
              <w:t>84,649,580</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154,224</w:t>
            </w:r>
          </w:p>
        </w:tc>
      </w:tr>
      <w:tr>
        <w:trPr>
          <w:trHeight w:val="410" w:hRule="exact"/>
        </w:trPr>
        <w:tc>
          <w:tcPr>
            <w:tcW w:w="299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）工会经费和职工教育经费</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13,928,276</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7"/>
              <w:jc w:val="right"/>
              <w:rPr>
                <w:rFonts w:ascii="Times New Roman" w:hAnsi="Times New Roman" w:cs="Times New Roman" w:eastAsia="Times New Roman" w:hint="default"/>
                <w:sz w:val="18"/>
                <w:szCs w:val="18"/>
              </w:rPr>
            </w:pPr>
            <w:r>
              <w:rPr>
                <w:rFonts w:ascii="Times New Roman"/>
                <w:spacing w:val="-1"/>
                <w:sz w:val="18"/>
              </w:rPr>
              <w:t>14,530,011</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3"/>
              <w:jc w:val="right"/>
              <w:rPr>
                <w:rFonts w:ascii="Times New Roman" w:hAnsi="Times New Roman" w:cs="Times New Roman" w:eastAsia="Times New Roman" w:hint="default"/>
                <w:sz w:val="18"/>
                <w:szCs w:val="18"/>
              </w:rPr>
            </w:pPr>
            <w:r>
              <w:rPr>
                <w:rFonts w:ascii="Times New Roman"/>
                <w:sz w:val="18"/>
              </w:rPr>
              <w:t>9,913,665</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18,544,622</w:t>
            </w:r>
          </w:p>
        </w:tc>
      </w:tr>
      <w:tr>
        <w:trPr>
          <w:trHeight w:val="410" w:hRule="exact"/>
        </w:trPr>
        <w:tc>
          <w:tcPr>
            <w:tcW w:w="299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7</w:t>
            </w:r>
            <w:r>
              <w:rPr>
                <w:rFonts w:ascii="宋体" w:hAnsi="宋体" w:cs="宋体" w:eastAsia="宋体" w:hint="default"/>
                <w:sz w:val="18"/>
                <w:szCs w:val="18"/>
              </w:rPr>
              <w:t>）因解除劳动关系给予的补偿</w:t>
            </w:r>
          </w:p>
        </w:tc>
        <w:tc>
          <w:tcPr>
            <w:tcW w:w="1331"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7"/>
              <w:jc w:val="right"/>
              <w:rPr>
                <w:rFonts w:ascii="Times New Roman" w:hAnsi="Times New Roman" w:cs="Times New Roman" w:eastAsia="Times New Roman" w:hint="default"/>
                <w:sz w:val="18"/>
                <w:szCs w:val="18"/>
              </w:rPr>
            </w:pPr>
            <w:r>
              <w:rPr>
                <w:rFonts w:ascii="Times New Roman"/>
                <w:sz w:val="18"/>
              </w:rPr>
              <w:t>225,815</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3"/>
              <w:jc w:val="right"/>
              <w:rPr>
                <w:rFonts w:ascii="Times New Roman" w:hAnsi="Times New Roman" w:cs="Times New Roman" w:eastAsia="Times New Roman" w:hint="default"/>
                <w:sz w:val="18"/>
                <w:szCs w:val="18"/>
              </w:rPr>
            </w:pPr>
            <w:r>
              <w:rPr>
                <w:rFonts w:ascii="Times New Roman"/>
                <w:sz w:val="18"/>
              </w:rPr>
              <w:t>225,815</w:t>
            </w:r>
          </w:p>
        </w:tc>
        <w:tc>
          <w:tcPr>
            <w:tcW w:w="1320" w:type="dxa"/>
            <w:tcBorders>
              <w:top w:val="nil" w:sz="6" w:space="0" w:color="auto"/>
              <w:left w:val="nil" w:sz="6" w:space="0" w:color="auto"/>
              <w:bottom w:val="nil" w:sz="6" w:space="0" w:color="auto"/>
              <w:right w:val="nil" w:sz="6" w:space="0" w:color="auto"/>
            </w:tcBorders>
          </w:tcPr>
          <w:p>
            <w:pPr/>
          </w:p>
        </w:tc>
      </w:tr>
      <w:tr>
        <w:trPr>
          <w:trHeight w:val="410" w:hRule="exact"/>
        </w:trPr>
        <w:tc>
          <w:tcPr>
            <w:tcW w:w="299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8</w:t>
            </w:r>
            <w:r>
              <w:rPr>
                <w:rFonts w:ascii="宋体" w:hAnsi="宋体" w:cs="宋体" w:eastAsia="宋体" w:hint="default"/>
                <w:sz w:val="18"/>
                <w:szCs w:val="18"/>
              </w:rPr>
              <w:t>）员工退职金</w:t>
            </w:r>
          </w:p>
        </w:tc>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2,773,964</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7"/>
              <w:jc w:val="right"/>
              <w:rPr>
                <w:rFonts w:ascii="Times New Roman" w:hAnsi="Times New Roman" w:cs="Times New Roman" w:eastAsia="Times New Roman" w:hint="default"/>
                <w:sz w:val="18"/>
                <w:szCs w:val="18"/>
              </w:rPr>
            </w:pPr>
            <w:r>
              <w:rPr>
                <w:rFonts w:ascii="Times New Roman"/>
                <w:sz w:val="18"/>
              </w:rPr>
              <w:t>1,461,087</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3"/>
              <w:jc w:val="right"/>
              <w:rPr>
                <w:rFonts w:ascii="Times New Roman" w:hAnsi="Times New Roman" w:cs="Times New Roman" w:eastAsia="Times New Roman" w:hint="default"/>
                <w:sz w:val="18"/>
                <w:szCs w:val="18"/>
              </w:rPr>
            </w:pPr>
            <w:r>
              <w:rPr>
                <w:rFonts w:ascii="Times New Roman"/>
                <w:sz w:val="18"/>
              </w:rPr>
              <w:t>33,852</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4,201,199</w:t>
            </w:r>
          </w:p>
        </w:tc>
      </w:tr>
      <w:tr>
        <w:trPr>
          <w:trHeight w:val="329" w:hRule="exact"/>
        </w:trPr>
        <w:tc>
          <w:tcPr>
            <w:tcW w:w="2996" w:type="dxa"/>
            <w:tcBorders>
              <w:top w:val="nil" w:sz="6" w:space="0" w:color="auto"/>
              <w:left w:val="nil" w:sz="6" w:space="0" w:color="auto"/>
              <w:bottom w:val="single" w:sz="12" w:space="0" w:color="000000"/>
              <w:right w:val="nil" w:sz="6" w:space="0" w:color="auto"/>
            </w:tcBorders>
          </w:tcPr>
          <w:p>
            <w:pPr>
              <w:pStyle w:val="TableParagraph"/>
              <w:tabs>
                <w:tab w:pos="539" w:val="left" w:leader="none"/>
              </w:tabs>
              <w:spacing w:line="240" w:lineRule="auto" w:before="49"/>
              <w:ind w:right="44"/>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331"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229,463,755</w:t>
            </w:r>
          </w:p>
        </w:tc>
        <w:tc>
          <w:tcPr>
            <w:tcW w:w="131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47"/>
              <w:jc w:val="right"/>
              <w:rPr>
                <w:rFonts w:ascii="Times New Roman" w:hAnsi="Times New Roman" w:cs="Times New Roman" w:eastAsia="Times New Roman" w:hint="default"/>
                <w:sz w:val="18"/>
                <w:szCs w:val="18"/>
              </w:rPr>
            </w:pPr>
            <w:r>
              <w:rPr>
                <w:rFonts w:ascii="Times New Roman"/>
                <w:spacing w:val="-1"/>
                <w:sz w:val="18"/>
              </w:rPr>
              <w:t>2,323,338,363</w:t>
            </w:r>
          </w:p>
        </w:tc>
        <w:tc>
          <w:tcPr>
            <w:tcW w:w="1421"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33"/>
              <w:jc w:val="right"/>
              <w:rPr>
                <w:rFonts w:ascii="Times New Roman" w:hAnsi="Times New Roman" w:cs="Times New Roman" w:eastAsia="Times New Roman" w:hint="default"/>
                <w:sz w:val="18"/>
                <w:szCs w:val="18"/>
              </w:rPr>
            </w:pPr>
            <w:r>
              <w:rPr>
                <w:rFonts w:ascii="Times New Roman"/>
                <w:spacing w:val="-1"/>
                <w:sz w:val="18"/>
              </w:rPr>
              <w:t>2,260,759,567</w:t>
            </w:r>
          </w:p>
        </w:tc>
        <w:tc>
          <w:tcPr>
            <w:tcW w:w="132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292,042,551</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03" w:top="1540" w:bottom="1200" w:left="1660" w:right="980"/>
        </w:sectPr>
      </w:pPr>
    </w:p>
    <w:p>
      <w:pPr>
        <w:spacing w:line="240" w:lineRule="auto" w:before="10"/>
        <w:rPr>
          <w:rFonts w:ascii="宋体" w:hAnsi="宋体" w:cs="宋体" w:eastAsia="宋体" w:hint="default"/>
          <w:b/>
          <w:bCs/>
          <w:sz w:val="8"/>
          <w:szCs w:val="8"/>
        </w:rPr>
      </w:pPr>
    </w:p>
    <w:p>
      <w:pPr>
        <w:tabs>
          <w:tab w:pos="1413" w:val="left" w:leader="none"/>
        </w:tabs>
        <w:spacing w:before="35"/>
        <w:ind w:left="875" w:right="3559"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本报告期末无拖欠性质的应付职工薪酬；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413" w:val="left" w:leader="none"/>
        </w:tabs>
        <w:spacing w:line="348" w:lineRule="auto" w:before="0"/>
        <w:ind w:left="1413" w:right="149" w:hanging="539"/>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pacing w:val="-2"/>
          <w:w w:val="95"/>
          <w:sz w:val="21"/>
          <w:szCs w:val="21"/>
        </w:rPr>
        <w:t>员工退职金系本公司之子公司东软（日本）有限公司依照当地法规计提，该退职金将</w:t>
      </w:r>
      <w:r>
        <w:rPr>
          <w:rFonts w:ascii="宋体" w:hAnsi="宋体" w:cs="宋体" w:eastAsia="宋体" w:hint="default"/>
          <w:b/>
          <w:bCs/>
          <w:spacing w:val="71"/>
          <w:w w:val="95"/>
          <w:sz w:val="21"/>
          <w:szCs w:val="21"/>
        </w:rPr>
        <w:t> </w:t>
      </w:r>
      <w:r>
        <w:rPr>
          <w:rFonts w:ascii="宋体" w:hAnsi="宋体" w:cs="宋体" w:eastAsia="宋体" w:hint="default"/>
          <w:b/>
          <w:bCs/>
          <w:spacing w:val="71"/>
          <w:w w:val="95"/>
          <w:sz w:val="21"/>
          <w:szCs w:val="21"/>
        </w:rPr>
      </w:r>
      <w:r>
        <w:rPr>
          <w:rFonts w:ascii="宋体" w:hAnsi="宋体" w:cs="宋体" w:eastAsia="宋体" w:hint="default"/>
          <w:b/>
          <w:bCs/>
          <w:sz w:val="21"/>
          <w:szCs w:val="21"/>
        </w:rPr>
        <w:t>于职工退职或退休时支付给员工；</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1413" w:val="left" w:leader="none"/>
        </w:tabs>
        <w:spacing w:before="169"/>
        <w:ind w:left="875" w:right="149"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期末应付职工工资、奖金、津贴和补助已于</w:t>
      </w:r>
      <w:r>
        <w:rPr>
          <w:rFonts w:ascii="宋体" w:hAnsi="宋体" w:cs="宋体" w:eastAsia="宋体" w:hint="default"/>
          <w:b/>
          <w:bCs/>
          <w:spacing w:val="-61"/>
          <w:sz w:val="21"/>
          <w:szCs w:val="21"/>
        </w:rPr>
        <w:t> </w:t>
      </w:r>
      <w:r>
        <w:rPr>
          <w:rFonts w:ascii="宋体" w:hAnsi="宋体" w:cs="宋体" w:eastAsia="宋体" w:hint="default"/>
          <w:b/>
          <w:bCs/>
          <w:sz w:val="21"/>
          <w:szCs w:val="21"/>
        </w:rPr>
        <w:t>2012</w:t>
      </w:r>
      <w:r>
        <w:rPr>
          <w:rFonts w:ascii="宋体" w:hAnsi="宋体" w:cs="宋体" w:eastAsia="宋体" w:hint="default"/>
          <w:b/>
          <w:bCs/>
          <w:spacing w:val="-59"/>
          <w:sz w:val="21"/>
          <w:szCs w:val="21"/>
        </w:rPr>
        <w:t> </w:t>
      </w:r>
      <w:r>
        <w:rPr>
          <w:rFonts w:ascii="宋体" w:hAnsi="宋体" w:cs="宋体" w:eastAsia="宋体" w:hint="default"/>
          <w:b/>
          <w:bCs/>
          <w:sz w:val="21"/>
          <w:szCs w:val="21"/>
        </w:rPr>
        <w:t>年</w:t>
      </w:r>
      <w:r>
        <w:rPr>
          <w:rFonts w:ascii="宋体" w:hAnsi="宋体" w:cs="宋体" w:eastAsia="宋体" w:hint="default"/>
          <w:b/>
          <w:bCs/>
          <w:spacing w:val="-61"/>
          <w:sz w:val="21"/>
          <w:szCs w:val="21"/>
        </w:rPr>
        <w:t> </w:t>
      </w:r>
      <w:r>
        <w:rPr>
          <w:rFonts w:ascii="宋体" w:hAnsi="宋体" w:cs="宋体" w:eastAsia="宋体" w:hint="default"/>
          <w:b/>
          <w:bCs/>
          <w:sz w:val="21"/>
          <w:szCs w:val="21"/>
        </w:rPr>
        <w:t>3</w:t>
      </w:r>
      <w:r>
        <w:rPr>
          <w:rFonts w:ascii="宋体" w:hAnsi="宋体" w:cs="宋体" w:eastAsia="宋体" w:hint="default"/>
          <w:b/>
          <w:bCs/>
          <w:spacing w:val="-60"/>
          <w:sz w:val="21"/>
          <w:szCs w:val="21"/>
        </w:rPr>
        <w:t> </w:t>
      </w:r>
      <w:r>
        <w:rPr>
          <w:rFonts w:ascii="宋体" w:hAnsi="宋体" w:cs="宋体" w:eastAsia="宋体" w:hint="default"/>
          <w:b/>
          <w:bCs/>
          <w:sz w:val="21"/>
          <w:szCs w:val="21"/>
        </w:rPr>
        <w:t>月前发放。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7"/>
          <w:szCs w:val="17"/>
        </w:rPr>
      </w:pPr>
    </w:p>
    <w:tbl>
      <w:tblPr>
        <w:tblW w:w="0" w:type="auto"/>
        <w:jc w:val="left"/>
        <w:tblInd w:w="108" w:type="dxa"/>
        <w:tblLayout w:type="fixed"/>
        <w:tblCellMar>
          <w:top w:w="0" w:type="dxa"/>
          <w:left w:w="0" w:type="dxa"/>
          <w:bottom w:w="0" w:type="dxa"/>
          <w:right w:w="0" w:type="dxa"/>
        </w:tblCellMar>
        <w:tblLook w:val="01E0"/>
      </w:tblPr>
      <w:tblGrid>
        <w:gridCol w:w="2127"/>
        <w:gridCol w:w="2036"/>
        <w:gridCol w:w="3071"/>
        <w:gridCol w:w="1748"/>
      </w:tblGrid>
      <w:tr>
        <w:trPr>
          <w:trHeight w:val="357" w:hRule="exact"/>
        </w:trPr>
        <w:tc>
          <w:tcPr>
            <w:tcW w:w="212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(二十七)应交税费</w:t>
            </w:r>
            <w:r>
              <w:rPr>
                <w:rFonts w:ascii="宋体" w:hAnsi="宋体" w:cs="宋体" w:eastAsia="宋体" w:hint="default"/>
                <w:sz w:val="21"/>
                <w:szCs w:val="21"/>
              </w:rPr>
            </w:r>
          </w:p>
        </w:tc>
        <w:tc>
          <w:tcPr>
            <w:tcW w:w="6856" w:type="dxa"/>
            <w:gridSpan w:val="3"/>
            <w:tcBorders>
              <w:top w:val="nil" w:sz="6" w:space="0" w:color="auto"/>
              <w:left w:val="nil" w:sz="6" w:space="0" w:color="auto"/>
              <w:bottom w:val="single" w:sz="12" w:space="0" w:color="000000"/>
              <w:right w:val="nil" w:sz="6" w:space="0" w:color="auto"/>
            </w:tcBorders>
          </w:tcPr>
          <w:p>
            <w:pPr/>
          </w:p>
        </w:tc>
      </w:tr>
      <w:tr>
        <w:trPr>
          <w:trHeight w:val="502" w:hRule="exact"/>
        </w:trPr>
        <w:tc>
          <w:tcPr>
            <w:tcW w:w="2127" w:type="dxa"/>
            <w:tcBorders>
              <w:top w:val="single" w:sz="12" w:space="0" w:color="000000"/>
              <w:left w:val="nil" w:sz="6" w:space="0" w:color="auto"/>
              <w:bottom w:val="nil" w:sz="6" w:space="0" w:color="auto"/>
              <w:right w:val="nil" w:sz="6" w:space="0" w:color="auto"/>
            </w:tcBorders>
          </w:tcPr>
          <w:p>
            <w:pPr/>
          </w:p>
        </w:tc>
        <w:tc>
          <w:tcPr>
            <w:tcW w:w="2036"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100" w:right="0"/>
              <w:jc w:val="left"/>
              <w:rPr>
                <w:rFonts w:ascii="宋体" w:hAnsi="宋体" w:cs="宋体" w:eastAsia="宋体" w:hint="default"/>
                <w:sz w:val="18"/>
                <w:szCs w:val="18"/>
              </w:rPr>
            </w:pPr>
            <w:r>
              <w:rPr>
                <w:rFonts w:ascii="宋体" w:hAnsi="宋体" w:cs="宋体" w:eastAsia="宋体" w:hint="default"/>
                <w:sz w:val="18"/>
                <w:szCs w:val="18"/>
              </w:rPr>
              <w:t>税费项目</w:t>
            </w:r>
          </w:p>
        </w:tc>
        <w:tc>
          <w:tcPr>
            <w:tcW w:w="3071"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8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748"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377"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420" w:hRule="exact"/>
        </w:trPr>
        <w:tc>
          <w:tcPr>
            <w:tcW w:w="2127"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67"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2036" w:type="dxa"/>
            <w:tcBorders>
              <w:top w:val="nil" w:sz="6" w:space="0" w:color="auto"/>
              <w:left w:val="nil" w:sz="6" w:space="0" w:color="auto"/>
              <w:bottom w:val="nil" w:sz="6" w:space="0" w:color="auto"/>
              <w:right w:val="nil" w:sz="6" w:space="0" w:color="auto"/>
            </w:tcBorders>
          </w:tcPr>
          <w:p>
            <w:pPr/>
          </w:p>
        </w:tc>
        <w:tc>
          <w:tcPr>
            <w:tcW w:w="307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76"/>
              <w:jc w:val="right"/>
              <w:rPr>
                <w:rFonts w:ascii="Times New Roman" w:hAnsi="Times New Roman" w:cs="Times New Roman" w:eastAsia="Times New Roman" w:hint="default"/>
                <w:sz w:val="18"/>
                <w:szCs w:val="18"/>
              </w:rPr>
            </w:pPr>
            <w:r>
              <w:rPr>
                <w:rFonts w:ascii="Times New Roman"/>
                <w:sz w:val="18"/>
              </w:rPr>
              <w:t>12,479,460</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7"/>
              <w:jc w:val="right"/>
              <w:rPr>
                <w:rFonts w:ascii="Times New Roman" w:hAnsi="Times New Roman" w:cs="Times New Roman" w:eastAsia="Times New Roman" w:hint="default"/>
                <w:sz w:val="18"/>
                <w:szCs w:val="18"/>
              </w:rPr>
            </w:pPr>
            <w:r>
              <w:rPr>
                <w:rFonts w:ascii="Times New Roman"/>
                <w:w w:val="95"/>
                <w:sz w:val="18"/>
              </w:rPr>
              <w:t>-28,866,166</w:t>
            </w:r>
            <w:r>
              <w:rPr>
                <w:rFonts w:ascii="Times New Roman"/>
                <w:sz w:val="18"/>
              </w:rPr>
            </w:r>
          </w:p>
        </w:tc>
      </w:tr>
      <w:tr>
        <w:trPr>
          <w:trHeight w:val="410" w:hRule="exact"/>
        </w:trPr>
        <w:tc>
          <w:tcPr>
            <w:tcW w:w="212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1"/>
              <w:jc w:val="center"/>
              <w:rPr>
                <w:rFonts w:ascii="宋体" w:hAnsi="宋体" w:cs="宋体" w:eastAsia="宋体" w:hint="default"/>
                <w:sz w:val="18"/>
                <w:szCs w:val="18"/>
              </w:rPr>
            </w:pPr>
            <w:r>
              <w:rPr>
                <w:rFonts w:ascii="宋体" w:hAnsi="宋体" w:cs="宋体" w:eastAsia="宋体" w:hint="default"/>
                <w:sz w:val="18"/>
                <w:szCs w:val="18"/>
              </w:rPr>
              <w:t>增值税</w:t>
            </w:r>
          </w:p>
        </w:tc>
        <w:tc>
          <w:tcPr>
            <w:tcW w:w="2036" w:type="dxa"/>
            <w:tcBorders>
              <w:top w:val="nil" w:sz="6" w:space="0" w:color="auto"/>
              <w:left w:val="nil" w:sz="6" w:space="0" w:color="auto"/>
              <w:bottom w:val="nil" w:sz="6" w:space="0" w:color="auto"/>
              <w:right w:val="nil" w:sz="6" w:space="0" w:color="auto"/>
            </w:tcBorders>
          </w:tcPr>
          <w:p>
            <w:pPr/>
          </w:p>
        </w:tc>
        <w:tc>
          <w:tcPr>
            <w:tcW w:w="307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75"/>
              <w:jc w:val="right"/>
              <w:rPr>
                <w:rFonts w:ascii="Times New Roman" w:hAnsi="Times New Roman" w:cs="Times New Roman" w:eastAsia="Times New Roman" w:hint="default"/>
                <w:sz w:val="18"/>
                <w:szCs w:val="18"/>
              </w:rPr>
            </w:pPr>
            <w:r>
              <w:rPr>
                <w:rFonts w:ascii="Times New Roman"/>
                <w:sz w:val="18"/>
              </w:rPr>
              <w:t>23,402,130</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2,252,044</w:t>
            </w:r>
          </w:p>
        </w:tc>
      </w:tr>
      <w:tr>
        <w:trPr>
          <w:trHeight w:val="410" w:hRule="exact"/>
        </w:trPr>
        <w:tc>
          <w:tcPr>
            <w:tcW w:w="21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1"/>
              <w:jc w:val="center"/>
              <w:rPr>
                <w:rFonts w:ascii="宋体" w:hAnsi="宋体" w:cs="宋体" w:eastAsia="宋体" w:hint="default"/>
                <w:sz w:val="18"/>
                <w:szCs w:val="18"/>
              </w:rPr>
            </w:pPr>
            <w:r>
              <w:rPr>
                <w:rFonts w:ascii="宋体" w:hAnsi="宋体" w:cs="宋体" w:eastAsia="宋体" w:hint="default"/>
                <w:sz w:val="18"/>
                <w:szCs w:val="18"/>
              </w:rPr>
              <w:t>营业税</w:t>
            </w:r>
          </w:p>
        </w:tc>
        <w:tc>
          <w:tcPr>
            <w:tcW w:w="2036" w:type="dxa"/>
            <w:tcBorders>
              <w:top w:val="nil" w:sz="6" w:space="0" w:color="auto"/>
              <w:left w:val="nil" w:sz="6" w:space="0" w:color="auto"/>
              <w:bottom w:val="nil" w:sz="6" w:space="0" w:color="auto"/>
              <w:right w:val="nil" w:sz="6" w:space="0" w:color="auto"/>
            </w:tcBorders>
          </w:tcPr>
          <w:p>
            <w:pPr/>
          </w:p>
        </w:tc>
        <w:tc>
          <w:tcPr>
            <w:tcW w:w="307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77"/>
              <w:jc w:val="right"/>
              <w:rPr>
                <w:rFonts w:ascii="Times New Roman" w:hAnsi="Times New Roman" w:cs="Times New Roman" w:eastAsia="Times New Roman" w:hint="default"/>
                <w:sz w:val="18"/>
                <w:szCs w:val="18"/>
              </w:rPr>
            </w:pPr>
            <w:r>
              <w:rPr>
                <w:rFonts w:ascii="Times New Roman"/>
                <w:spacing w:val="-2"/>
                <w:sz w:val="18"/>
              </w:rPr>
              <w:t>15,111,631</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13,581,853</w:t>
            </w:r>
          </w:p>
        </w:tc>
      </w:tr>
      <w:tr>
        <w:trPr>
          <w:trHeight w:val="410" w:hRule="exact"/>
        </w:trPr>
        <w:tc>
          <w:tcPr>
            <w:tcW w:w="212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67"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036" w:type="dxa"/>
            <w:tcBorders>
              <w:top w:val="nil" w:sz="6" w:space="0" w:color="auto"/>
              <w:left w:val="nil" w:sz="6" w:space="0" w:color="auto"/>
              <w:bottom w:val="nil" w:sz="6" w:space="0" w:color="auto"/>
              <w:right w:val="nil" w:sz="6" w:space="0" w:color="auto"/>
            </w:tcBorders>
          </w:tcPr>
          <w:p>
            <w:pPr/>
          </w:p>
        </w:tc>
        <w:tc>
          <w:tcPr>
            <w:tcW w:w="307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76"/>
              <w:jc w:val="right"/>
              <w:rPr>
                <w:rFonts w:ascii="Times New Roman" w:hAnsi="Times New Roman" w:cs="Times New Roman" w:eastAsia="Times New Roman" w:hint="default"/>
                <w:sz w:val="18"/>
                <w:szCs w:val="18"/>
              </w:rPr>
            </w:pPr>
            <w:r>
              <w:rPr>
                <w:rFonts w:ascii="Times New Roman"/>
                <w:sz w:val="18"/>
              </w:rPr>
              <w:t>2,957,016</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1,477,673</w:t>
            </w:r>
          </w:p>
        </w:tc>
      </w:tr>
      <w:tr>
        <w:trPr>
          <w:trHeight w:val="410" w:hRule="exact"/>
        </w:trPr>
        <w:tc>
          <w:tcPr>
            <w:tcW w:w="212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1"/>
              <w:jc w:val="center"/>
              <w:rPr>
                <w:rFonts w:ascii="宋体" w:hAnsi="宋体" w:cs="宋体" w:eastAsia="宋体" w:hint="default"/>
                <w:sz w:val="18"/>
                <w:szCs w:val="18"/>
              </w:rPr>
            </w:pPr>
            <w:r>
              <w:rPr>
                <w:rFonts w:ascii="宋体" w:hAnsi="宋体" w:cs="宋体" w:eastAsia="宋体" w:hint="default"/>
                <w:sz w:val="18"/>
                <w:szCs w:val="18"/>
              </w:rPr>
              <w:t>其  他</w:t>
            </w:r>
          </w:p>
        </w:tc>
        <w:tc>
          <w:tcPr>
            <w:tcW w:w="2036" w:type="dxa"/>
            <w:tcBorders>
              <w:top w:val="nil" w:sz="6" w:space="0" w:color="auto"/>
              <w:left w:val="nil" w:sz="6" w:space="0" w:color="auto"/>
              <w:bottom w:val="nil" w:sz="6" w:space="0" w:color="auto"/>
              <w:right w:val="nil" w:sz="6" w:space="0" w:color="auto"/>
            </w:tcBorders>
          </w:tcPr>
          <w:p>
            <w:pPr/>
          </w:p>
        </w:tc>
        <w:tc>
          <w:tcPr>
            <w:tcW w:w="307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75"/>
              <w:jc w:val="right"/>
              <w:rPr>
                <w:rFonts w:ascii="Times New Roman" w:hAnsi="Times New Roman" w:cs="Times New Roman" w:eastAsia="Times New Roman" w:hint="default"/>
                <w:sz w:val="18"/>
                <w:szCs w:val="18"/>
              </w:rPr>
            </w:pPr>
            <w:r>
              <w:rPr>
                <w:rFonts w:ascii="Times New Roman"/>
                <w:sz w:val="18"/>
              </w:rPr>
              <w:t>13,616,855</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12,239,922</w:t>
            </w:r>
          </w:p>
        </w:tc>
      </w:tr>
      <w:tr>
        <w:trPr>
          <w:trHeight w:val="328" w:hRule="exact"/>
        </w:trPr>
        <w:tc>
          <w:tcPr>
            <w:tcW w:w="2127" w:type="dxa"/>
            <w:tcBorders>
              <w:top w:val="nil" w:sz="6" w:space="0" w:color="auto"/>
              <w:left w:val="nil" w:sz="6" w:space="0" w:color="auto"/>
              <w:bottom w:val="single" w:sz="12" w:space="0" w:color="000000"/>
              <w:right w:val="nil" w:sz="6" w:space="0" w:color="auto"/>
            </w:tcBorders>
          </w:tcPr>
          <w:p>
            <w:pPr/>
          </w:p>
        </w:tc>
        <w:tc>
          <w:tcPr>
            <w:tcW w:w="2036"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190"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3071"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376"/>
              <w:jc w:val="right"/>
              <w:rPr>
                <w:rFonts w:ascii="Times New Roman" w:hAnsi="Times New Roman" w:cs="Times New Roman" w:eastAsia="Times New Roman" w:hint="default"/>
                <w:sz w:val="18"/>
                <w:szCs w:val="18"/>
              </w:rPr>
            </w:pPr>
            <w:r>
              <w:rPr>
                <w:rFonts w:ascii="Times New Roman"/>
                <w:sz w:val="18"/>
              </w:rPr>
              <w:t>67,567,092</w:t>
            </w:r>
          </w:p>
        </w:tc>
        <w:tc>
          <w:tcPr>
            <w:tcW w:w="1748"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685,326</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spacing w:before="35"/>
        <w:ind w:left="143" w:right="3559" w:firstLine="0"/>
        <w:jc w:val="left"/>
        <w:rPr>
          <w:rFonts w:ascii="宋体" w:hAnsi="宋体" w:cs="宋体" w:eastAsia="宋体" w:hint="default"/>
          <w:sz w:val="21"/>
          <w:szCs w:val="21"/>
        </w:rPr>
      </w:pPr>
      <w:r>
        <w:rPr/>
        <w:pict>
          <v:group style="position:absolute;margin-left:118.919998pt;margin-top:-168.596329pt;width:419.05pt;height:144.15pt;mso-position-horizontal-relative:page;mso-position-vertical-relative:paragraph;z-index:-1117168" coordorigin="2378,-3372" coordsize="8381,2883">
            <v:shape style="position:absolute;left:6237;top:-3372;width:2504;height:446" type="#_x0000_t75" stroked="false">
              <v:imagedata r:id="rId232" o:title=""/>
            </v:shape>
            <v:shape style="position:absolute;left:2378;top:-2974;width:8381;height:2485" type="#_x0000_t75" stroked="false">
              <v:imagedata r:id="rId233" o:title=""/>
            </v:shape>
            <w10:wrap type="none"/>
          </v:group>
        </w:pict>
      </w:r>
      <w:r>
        <w:rPr>
          <w:rFonts w:ascii="宋体" w:hAnsi="宋体" w:cs="宋体" w:eastAsia="宋体" w:hint="default"/>
          <w:b/>
          <w:bCs/>
          <w:sz w:val="21"/>
          <w:szCs w:val="21"/>
        </w:rPr>
        <w:t>(二十八)其他应付款</w:t>
      </w:r>
      <w:r>
        <w:rPr>
          <w:rFonts w:ascii="宋体" w:hAnsi="宋体" w:cs="宋体" w:eastAsia="宋体" w:hint="default"/>
          <w:sz w:val="21"/>
          <w:szCs w:val="21"/>
        </w:rPr>
      </w:r>
    </w:p>
    <w:p>
      <w:pPr>
        <w:tabs>
          <w:tab w:pos="1413" w:val="left" w:leader="none"/>
        </w:tabs>
        <w:spacing w:before="125"/>
        <w:ind w:left="875" w:right="3559" w:firstLine="0"/>
        <w:jc w:val="left"/>
        <w:rPr>
          <w:rFonts w:ascii="宋体" w:hAnsi="宋体" w:cs="宋体" w:eastAsia="宋体" w:hint="default"/>
          <w:sz w:val="21"/>
          <w:szCs w:val="21"/>
        </w:rPr>
      </w:pPr>
      <w:r>
        <w:rPr/>
        <w:pict>
          <v:group style="position:absolute;margin-left:118.919998pt;margin-top:21.573235pt;width:419.05pt;height:165pt;mso-position-horizontal-relative:page;mso-position-vertical-relative:paragraph;z-index:-1117144" coordorigin="2378,431" coordsize="8381,3300">
            <v:group style="position:absolute;left:2407;top:446;width:3881;height:2" coordorigin="2407,446" coordsize="3881,2">
              <v:shape style="position:absolute;left:2407;top:446;width:3881;height:2" coordorigin="2407,446" coordsize="3881,0" path="m2407,446l6288,446e" filled="false" stroked="true" strokeweight="1.5pt" strokecolor="#000000">
                <v:path arrowok="t"/>
              </v:shape>
            </v:group>
            <v:group style="position:absolute;left:6288;top:446;width:2421;height:2" coordorigin="6288,446" coordsize="2421,2">
              <v:shape style="position:absolute;left:6288;top:446;width:2421;height:2" coordorigin="6288,446" coordsize="2421,0" path="m6288,446l8708,446e" filled="false" stroked="true" strokeweight="1.5pt" strokecolor="#000000">
                <v:path arrowok="t"/>
              </v:shape>
            </v:group>
            <v:group style="position:absolute;left:8708;top:446;width:2024;height:2" coordorigin="8708,446" coordsize="2024,2">
              <v:shape style="position:absolute;left:8708;top:446;width:2024;height:2" coordorigin="8708,446" coordsize="2024,0" path="m8708,446l10732,446e" filled="false" stroked="true" strokeweight="1.5pt" strokecolor="#000000">
                <v:path arrowok="t"/>
              </v:shape>
              <v:shape style="position:absolute;left:6233;top:436;width:2510;height:451" type="#_x0000_t75" stroked="false">
                <v:imagedata r:id="rId234" o:title=""/>
              </v:shape>
              <v:shape style="position:absolute;left:2378;top:839;width:8381;height:2893" type="#_x0000_t75" stroked="false">
                <v:imagedata r:id="rId235" o:title=""/>
              </v:shape>
            </v:group>
            <w10:wrap type="none"/>
          </v:group>
        </w:pict>
      </w:r>
      <w:r>
        <w:rPr>
          <w:rFonts w:ascii="宋体" w:hAnsi="宋体" w:cs="宋体" w:eastAsia="宋体" w:hint="default"/>
          <w:b/>
          <w:bCs/>
          <w:w w:val="95"/>
          <w:sz w:val="21"/>
          <w:szCs w:val="21"/>
        </w:rPr>
        <w:t>1、</w:t>
        <w:tab/>
      </w:r>
      <w:r>
        <w:rPr>
          <w:rFonts w:ascii="宋体" w:hAnsi="宋体" w:cs="宋体" w:eastAsia="宋体" w:hint="default"/>
          <w:b/>
          <w:bCs/>
          <w:sz w:val="21"/>
          <w:szCs w:val="21"/>
        </w:rPr>
        <w:t>其他应付款情况</w:t>
      </w:r>
      <w:r>
        <w:rPr>
          <w:rFonts w:ascii="宋体" w:hAnsi="宋体" w:cs="宋体" w:eastAsia="宋体" w:hint="default"/>
          <w:sz w:val="21"/>
          <w:szCs w:val="21"/>
        </w:rPr>
      </w:r>
    </w:p>
    <w:p>
      <w:pPr>
        <w:spacing w:line="240" w:lineRule="auto" w:before="10"/>
        <w:rPr>
          <w:rFonts w:ascii="宋体" w:hAnsi="宋体" w:cs="宋体" w:eastAsia="宋体" w:hint="default"/>
          <w:b/>
          <w:bCs/>
          <w:sz w:val="11"/>
          <w:szCs w:val="11"/>
        </w:rPr>
      </w:pPr>
    </w:p>
    <w:tbl>
      <w:tblPr>
        <w:tblW w:w="0" w:type="auto"/>
        <w:jc w:val="left"/>
        <w:tblInd w:w="752" w:type="dxa"/>
        <w:tblLayout w:type="fixed"/>
        <w:tblCellMar>
          <w:top w:w="0" w:type="dxa"/>
          <w:left w:w="0" w:type="dxa"/>
          <w:bottom w:w="0" w:type="dxa"/>
          <w:right w:w="0" w:type="dxa"/>
        </w:tblCellMar>
        <w:tblLook w:val="01E0"/>
      </w:tblPr>
      <w:tblGrid>
        <w:gridCol w:w="1572"/>
        <w:gridCol w:w="370"/>
        <w:gridCol w:w="1576"/>
        <w:gridCol w:w="3073"/>
        <w:gridCol w:w="1748"/>
      </w:tblGrid>
      <w:tr>
        <w:trPr>
          <w:trHeight w:val="815" w:hRule="exact"/>
        </w:trPr>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暂收应付单位款项</w:t>
            </w:r>
          </w:p>
        </w:tc>
        <w:tc>
          <w:tcPr>
            <w:tcW w:w="37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 w:right="0"/>
              <w:jc w:val="left"/>
              <w:rPr>
                <w:rFonts w:ascii="宋体" w:hAnsi="宋体" w:cs="宋体" w:eastAsia="宋体" w:hint="default"/>
                <w:sz w:val="18"/>
                <w:szCs w:val="18"/>
              </w:rPr>
            </w:pPr>
            <w:r>
              <w:rPr>
                <w:rFonts w:ascii="宋体" w:hAnsi="宋体" w:cs="宋体" w:eastAsia="宋体" w:hint="default"/>
                <w:sz w:val="18"/>
                <w:szCs w:val="18"/>
              </w:rPr>
              <w:t>项</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0" w:right="0"/>
              <w:jc w:val="left"/>
              <w:rPr>
                <w:rFonts w:ascii="宋体" w:hAnsi="宋体" w:cs="宋体" w:eastAsia="宋体" w:hint="default"/>
                <w:sz w:val="18"/>
                <w:szCs w:val="18"/>
              </w:rPr>
            </w:pPr>
            <w:r>
              <w:rPr>
                <w:rFonts w:ascii="宋体" w:hAnsi="宋体" w:cs="宋体" w:eastAsia="宋体" w:hint="default"/>
                <w:sz w:val="18"/>
                <w:szCs w:val="18"/>
              </w:rPr>
              <w:t>目</w:t>
            </w:r>
          </w:p>
        </w:tc>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9" w:right="0"/>
              <w:jc w:val="center"/>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883" w:right="0"/>
              <w:jc w:val="left"/>
              <w:rPr>
                <w:rFonts w:ascii="Times New Roman" w:hAnsi="Times New Roman" w:cs="Times New Roman" w:eastAsia="Times New Roman" w:hint="default"/>
                <w:sz w:val="18"/>
                <w:szCs w:val="18"/>
              </w:rPr>
            </w:pPr>
            <w:r>
              <w:rPr>
                <w:rFonts w:ascii="Times New Roman"/>
                <w:sz w:val="18"/>
              </w:rPr>
              <w:t>78,710,156</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77"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738" w:right="0"/>
              <w:jc w:val="left"/>
              <w:rPr>
                <w:rFonts w:ascii="Times New Roman" w:hAnsi="Times New Roman" w:cs="Times New Roman" w:eastAsia="Times New Roman" w:hint="default"/>
                <w:sz w:val="18"/>
                <w:szCs w:val="18"/>
              </w:rPr>
            </w:pPr>
            <w:r>
              <w:rPr>
                <w:rFonts w:ascii="Times New Roman"/>
                <w:sz w:val="18"/>
              </w:rPr>
              <w:t>100,018,304</w:t>
            </w:r>
          </w:p>
        </w:tc>
      </w:tr>
      <w:tr>
        <w:trPr>
          <w:trHeight w:val="410" w:hRule="exact"/>
        </w:trPr>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代扣应付款项</w:t>
            </w:r>
          </w:p>
        </w:tc>
        <w:tc>
          <w:tcPr>
            <w:tcW w:w="370"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75"/>
              <w:jc w:val="right"/>
              <w:rPr>
                <w:rFonts w:ascii="Times New Roman" w:hAnsi="Times New Roman" w:cs="Times New Roman" w:eastAsia="Times New Roman" w:hint="default"/>
                <w:sz w:val="18"/>
                <w:szCs w:val="18"/>
              </w:rPr>
            </w:pPr>
            <w:r>
              <w:rPr>
                <w:rFonts w:ascii="Times New Roman"/>
                <w:sz w:val="18"/>
              </w:rPr>
              <w:t>19,263,076</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12,498,478</w:t>
            </w:r>
          </w:p>
        </w:tc>
      </w:tr>
      <w:tr>
        <w:trPr>
          <w:trHeight w:val="410" w:hRule="exact"/>
        </w:trPr>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物业押金</w:t>
            </w:r>
          </w:p>
        </w:tc>
        <w:tc>
          <w:tcPr>
            <w:tcW w:w="370"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75"/>
              <w:jc w:val="right"/>
              <w:rPr>
                <w:rFonts w:ascii="Times New Roman" w:hAnsi="Times New Roman" w:cs="Times New Roman" w:eastAsia="Times New Roman" w:hint="default"/>
                <w:sz w:val="18"/>
                <w:szCs w:val="18"/>
              </w:rPr>
            </w:pPr>
            <w:r>
              <w:rPr>
                <w:rFonts w:ascii="Times New Roman"/>
                <w:sz w:val="18"/>
              </w:rPr>
              <w:t>14,905,894</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15,094,534</w:t>
            </w:r>
          </w:p>
        </w:tc>
      </w:tr>
      <w:tr>
        <w:trPr>
          <w:trHeight w:val="410" w:hRule="exact"/>
        </w:trPr>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工程或项目保证金</w:t>
            </w:r>
          </w:p>
        </w:tc>
        <w:tc>
          <w:tcPr>
            <w:tcW w:w="370"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76"/>
              <w:jc w:val="right"/>
              <w:rPr>
                <w:rFonts w:ascii="Times New Roman" w:hAnsi="Times New Roman" w:cs="Times New Roman" w:eastAsia="Times New Roman" w:hint="default"/>
                <w:sz w:val="18"/>
                <w:szCs w:val="18"/>
              </w:rPr>
            </w:pPr>
            <w:r>
              <w:rPr>
                <w:rFonts w:ascii="Times New Roman"/>
                <w:sz w:val="18"/>
              </w:rPr>
              <w:t>9,550,877</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9,501,958</w:t>
            </w:r>
          </w:p>
        </w:tc>
      </w:tr>
      <w:tr>
        <w:trPr>
          <w:trHeight w:val="410" w:hRule="exact"/>
        </w:trPr>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暂收应付个人款项</w:t>
            </w:r>
          </w:p>
        </w:tc>
        <w:tc>
          <w:tcPr>
            <w:tcW w:w="370"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76"/>
              <w:jc w:val="right"/>
              <w:rPr>
                <w:rFonts w:ascii="Times New Roman" w:hAnsi="Times New Roman" w:cs="Times New Roman" w:eastAsia="Times New Roman" w:hint="default"/>
                <w:sz w:val="18"/>
                <w:szCs w:val="18"/>
              </w:rPr>
            </w:pPr>
            <w:r>
              <w:rPr>
                <w:rFonts w:ascii="Times New Roman"/>
                <w:sz w:val="18"/>
              </w:rPr>
              <w:t>2,263,291</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768,533</w:t>
            </w:r>
          </w:p>
        </w:tc>
      </w:tr>
      <w:tr>
        <w:trPr>
          <w:trHeight w:val="410" w:hRule="exact"/>
        </w:trPr>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70"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
        </w:tc>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75"/>
              <w:jc w:val="right"/>
              <w:rPr>
                <w:rFonts w:ascii="Times New Roman" w:hAnsi="Times New Roman" w:cs="Times New Roman" w:eastAsia="Times New Roman" w:hint="default"/>
                <w:sz w:val="18"/>
                <w:szCs w:val="18"/>
              </w:rPr>
            </w:pPr>
            <w:r>
              <w:rPr>
                <w:rFonts w:ascii="Times New Roman"/>
                <w:sz w:val="18"/>
              </w:rPr>
              <w:t>25,188,721</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22,302,730</w:t>
            </w:r>
          </w:p>
        </w:tc>
      </w:tr>
      <w:tr>
        <w:trPr>
          <w:trHeight w:val="328" w:hRule="exact"/>
        </w:trPr>
        <w:tc>
          <w:tcPr>
            <w:tcW w:w="1572" w:type="dxa"/>
            <w:tcBorders>
              <w:top w:val="nil" w:sz="6" w:space="0" w:color="auto"/>
              <w:left w:val="nil" w:sz="6" w:space="0" w:color="auto"/>
              <w:bottom w:val="single" w:sz="12" w:space="0" w:color="000000"/>
              <w:right w:val="nil" w:sz="6" w:space="0" w:color="auto"/>
            </w:tcBorders>
          </w:tcPr>
          <w:p>
            <w:pPr/>
          </w:p>
        </w:tc>
        <w:tc>
          <w:tcPr>
            <w:tcW w:w="370"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9" w:right="0"/>
              <w:jc w:val="left"/>
              <w:rPr>
                <w:rFonts w:ascii="宋体" w:hAnsi="宋体" w:cs="宋体" w:eastAsia="宋体" w:hint="default"/>
                <w:sz w:val="18"/>
                <w:szCs w:val="18"/>
              </w:rPr>
            </w:pPr>
            <w:r>
              <w:rPr>
                <w:rFonts w:ascii="宋体" w:hAnsi="宋体" w:cs="宋体" w:eastAsia="宋体" w:hint="default"/>
                <w:sz w:val="18"/>
                <w:szCs w:val="18"/>
              </w:rPr>
              <w:t>合</w:t>
            </w:r>
          </w:p>
        </w:tc>
        <w:tc>
          <w:tcPr>
            <w:tcW w:w="1576"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180"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073"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376"/>
              <w:jc w:val="right"/>
              <w:rPr>
                <w:rFonts w:ascii="Times New Roman" w:hAnsi="Times New Roman" w:cs="Times New Roman" w:eastAsia="Times New Roman" w:hint="default"/>
                <w:sz w:val="18"/>
                <w:szCs w:val="18"/>
              </w:rPr>
            </w:pPr>
            <w:r>
              <w:rPr>
                <w:rFonts w:ascii="Times New Roman"/>
                <w:sz w:val="18"/>
              </w:rPr>
              <w:t>149,882,015</w:t>
            </w:r>
          </w:p>
        </w:tc>
        <w:tc>
          <w:tcPr>
            <w:tcW w:w="1748"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160,184,537</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tabs>
          <w:tab w:pos="1413" w:val="left" w:leader="none"/>
        </w:tabs>
        <w:spacing w:before="35"/>
        <w:ind w:left="875" w:right="149"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期末余额中欠持本公司</w:t>
      </w:r>
      <w:r>
        <w:rPr>
          <w:rFonts w:ascii="宋体" w:hAnsi="宋体" w:cs="宋体" w:eastAsia="宋体" w:hint="default"/>
          <w:b/>
          <w:bCs/>
          <w:spacing w:val="-59"/>
          <w:sz w:val="21"/>
          <w:szCs w:val="21"/>
        </w:rPr>
        <w:t> </w:t>
      </w:r>
      <w:r>
        <w:rPr>
          <w:rFonts w:ascii="宋体" w:hAnsi="宋体" w:cs="宋体" w:eastAsia="宋体" w:hint="default"/>
          <w:b/>
          <w:bCs/>
          <w:sz w:val="21"/>
          <w:szCs w:val="21"/>
        </w:rPr>
        <w:t>5％以上（含</w:t>
      </w:r>
      <w:r>
        <w:rPr>
          <w:rFonts w:ascii="宋体" w:hAnsi="宋体" w:cs="宋体" w:eastAsia="宋体" w:hint="default"/>
          <w:b/>
          <w:bCs/>
          <w:spacing w:val="-59"/>
          <w:sz w:val="21"/>
          <w:szCs w:val="21"/>
        </w:rPr>
        <w:t> </w:t>
      </w:r>
      <w:r>
        <w:rPr>
          <w:rFonts w:ascii="宋体" w:hAnsi="宋体" w:cs="宋体" w:eastAsia="宋体" w:hint="default"/>
          <w:b/>
          <w:bCs/>
          <w:sz w:val="21"/>
          <w:szCs w:val="21"/>
        </w:rPr>
        <w:t>5％）表决权股份的股东单位款项：</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p>
      <w:pPr>
        <w:spacing w:line="1280" w:lineRule="exact"/>
        <w:ind w:left="737"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20.55pt;height:64.05pt;mso-position-horizontal-relative:char;mso-position-vertical-relative:line" coordorigin="0,0" coordsize="8411,1281">
            <v:group style="position:absolute;left:29;top:15;width:3881;height:2" coordorigin="29,15" coordsize="3881,2">
              <v:shape style="position:absolute;left:29;top:15;width:3881;height:2" coordorigin="29,15" coordsize="3881,0" path="m29,15l3910,15e" filled="false" stroked="true" strokeweight="1.5pt" strokecolor="#000000">
                <v:path arrowok="t"/>
              </v:shape>
            </v:group>
            <v:group style="position:absolute;left:3910;top:15;width:2450;height:2" coordorigin="3910,15" coordsize="2450,2">
              <v:shape style="position:absolute;left:3910;top:15;width:2450;height:2" coordorigin="3910,15" coordsize="2450,0" path="m3910,15l6359,15e" filled="false" stroked="true" strokeweight="1.5pt" strokecolor="#000000">
                <v:path arrowok="t"/>
              </v:shape>
            </v:group>
            <v:group style="position:absolute;left:6359;top:15;width:2025;height:2" coordorigin="6359,15" coordsize="2025,2">
              <v:shape style="position:absolute;left:6359;top:15;width:2025;height:2" coordorigin="6359,15" coordsize="2025,0" path="m6359,15l8384,15e" filled="false" stroked="true" strokeweight="1.5pt" strokecolor="#000000">
                <v:path arrowok="t"/>
              </v:shape>
              <v:shape style="position:absolute;left:3857;top:7;width:2536;height:446" type="#_x0000_t75" stroked="false">
                <v:imagedata r:id="rId236" o:title=""/>
              </v:shape>
            </v:group>
            <v:group style="position:absolute;left:15;top:1265;width:3866;height:2" coordorigin="15,1265" coordsize="3866,2">
              <v:shape style="position:absolute;left:15;top:1265;width:3866;height:2" coordorigin="15,1265" coordsize="3866,0" path="m15,1265l3880,1265e" filled="false" stroked="true" strokeweight="1.5pt" strokecolor="#000000">
                <v:path arrowok="t"/>
              </v:shape>
            </v:group>
            <v:group style="position:absolute;left:3880;top:1265;width:30;height:2" coordorigin="3880,1265" coordsize="30,2">
              <v:shape style="position:absolute;left:3880;top:1265;width:30;height:2" coordorigin="3880,1265" coordsize="30,0" path="m3880,1265l3910,1265e" filled="false" stroked="true" strokeweight="1.5pt" strokecolor="#000000">
                <v:path arrowok="t"/>
              </v:shape>
            </v:group>
            <v:group style="position:absolute;left:3910;top:1265;width:2450;height:2" coordorigin="3910,1265" coordsize="2450,2">
              <v:shape style="position:absolute;left:3910;top:1265;width:2450;height:2" coordorigin="3910,1265" coordsize="2450,0" path="m3910,1265l6359,1265e" filled="false" stroked="true" strokeweight="1.5pt" strokecolor="#000000">
                <v:path arrowok="t"/>
              </v:shape>
              <v:shape style="position:absolute;left:1;top:404;width:8410;height:846" type="#_x0000_t75" stroked="false">
                <v:imagedata r:id="rId237" o:title=""/>
              </v:shape>
            </v:group>
            <v:group style="position:absolute;left:6359;top:1265;width:2025;height:2" coordorigin="6359,1265" coordsize="2025,2">
              <v:shape style="position:absolute;left:6359;top:1265;width:2025;height:2" coordorigin="6359,1265" coordsize="2025,0" path="m6359,1265l8384,1265e" filled="false" stroked="true" strokeweight="1.5pt" strokecolor="#000000">
                <v:path arrowok="t"/>
              </v:shape>
              <v:shape style="position:absolute;left:1597;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4763;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7012;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6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东北大学</w:t>
                      </w:r>
                    </w:p>
                  </w:txbxContent>
                </v:textbox>
                <w10:wrap type="none"/>
              </v:shape>
              <v:shape style="position:absolute;left:5445;top:65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19,659,255</w:t>
                      </w:r>
                    </w:p>
                  </w:txbxContent>
                </v:textbox>
                <w10:wrap type="none"/>
              </v:shape>
              <v:shape style="position:absolute;left:7465;top:65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38,492,058</w:t>
                      </w:r>
                    </w:p>
                  </w:txbxContent>
                </v:textbox>
                <w10:wrap type="none"/>
              </v:shape>
              <v:shape style="position:absolute;left:137;top:10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阿尔派</w:t>
                      </w:r>
                    </w:p>
                  </w:txbxContent>
                </v:textbox>
                <w10:wrap type="none"/>
              </v:shape>
              <v:shape style="position:absolute;left:5671;top:1061;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772,303</w:t>
                      </w:r>
                    </w:p>
                  </w:txbxContent>
                </v:textbox>
                <w10:wrap type="none"/>
              </v:shape>
              <v:shape style="position:absolute;left:7690;top:1061;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772,303</w:t>
                      </w:r>
                    </w:p>
                  </w:txbxContent>
                </v:textbox>
                <w10:wrap type="none"/>
              </v:shape>
            </v:group>
          </v:group>
        </w:pict>
      </w:r>
      <w:r>
        <w:rPr>
          <w:rFonts w:ascii="宋体" w:hAnsi="宋体" w:cs="宋体" w:eastAsia="宋体" w:hint="default"/>
          <w:position w:val="-25"/>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413" w:val="left" w:leader="none"/>
        </w:tabs>
        <w:spacing w:before="35"/>
        <w:ind w:left="875" w:right="3559"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期末余额中欠关联方情况</w:t>
      </w:r>
      <w:r>
        <w:rPr>
          <w:rFonts w:ascii="宋体" w:hAnsi="宋体" w:cs="宋体" w:eastAsia="宋体" w:hint="default"/>
          <w:sz w:val="21"/>
          <w:szCs w:val="21"/>
        </w:rPr>
      </w:r>
    </w:p>
    <w:p>
      <w:pPr>
        <w:pStyle w:val="BodyText"/>
        <w:spacing w:line="240" w:lineRule="auto" w:before="125"/>
        <w:ind w:left="1417" w:right="149"/>
        <w:jc w:val="left"/>
      </w:pPr>
      <w:r>
        <w:rPr>
          <w:spacing w:val="-1"/>
        </w:rPr>
        <w:t>期末关联方其他应付</w:t>
      </w:r>
      <w:r>
        <w:rPr/>
        <w:t>款</w:t>
      </w:r>
      <w:r>
        <w:rPr>
          <w:spacing w:val="-53"/>
        </w:rPr>
        <w:t> </w:t>
      </w:r>
      <w:r>
        <w:rPr>
          <w:spacing w:val="-1"/>
        </w:rPr>
        <w:t>20,431,55</w:t>
      </w:r>
      <w:r>
        <w:rPr/>
        <w:t>8</w:t>
      </w:r>
      <w:r>
        <w:rPr>
          <w:spacing w:val="-52"/>
        </w:rPr>
        <w:t> </w:t>
      </w:r>
      <w:r>
        <w:rPr>
          <w:spacing w:val="-2"/>
        </w:rPr>
        <w:t>元</w:t>
      </w:r>
      <w:r>
        <w:rPr>
          <w:spacing w:val="-1"/>
        </w:rPr>
        <w:t>，详见附注七（四</w:t>
      </w:r>
      <w:r>
        <w:rPr>
          <w:spacing w:val="-104"/>
        </w:rPr>
        <w:t>）</w:t>
      </w:r>
      <w:r>
        <w:rPr>
          <w:spacing w:val="-1"/>
        </w:rPr>
        <w:t>、12。</w:t>
      </w:r>
      <w:r>
        <w:rPr/>
      </w:r>
    </w:p>
    <w:p>
      <w:pPr>
        <w:spacing w:after="0" w:line="240" w:lineRule="auto"/>
        <w:jc w:val="left"/>
        <w:sectPr>
          <w:pgSz w:w="11910" w:h="16840"/>
          <w:pgMar w:header="0" w:footer="1003" w:top="1540" w:bottom="1200" w:left="1640" w:right="980"/>
        </w:sectPr>
      </w:pPr>
    </w:p>
    <w:p>
      <w:pPr>
        <w:spacing w:line="240" w:lineRule="auto" w:before="10"/>
        <w:rPr>
          <w:rFonts w:ascii="宋体" w:hAnsi="宋体" w:cs="宋体" w:eastAsia="宋体" w:hint="default"/>
          <w:sz w:val="8"/>
          <w:szCs w:val="8"/>
        </w:rPr>
      </w:pPr>
    </w:p>
    <w:p>
      <w:pPr>
        <w:pStyle w:val="Heading6"/>
        <w:tabs>
          <w:tab w:pos="1393" w:val="left" w:leader="none"/>
        </w:tabs>
        <w:spacing w:line="240" w:lineRule="auto"/>
        <w:ind w:left="855" w:right="2718"/>
        <w:jc w:val="left"/>
        <w:rPr>
          <w:b w:val="0"/>
          <w:bCs w:val="0"/>
        </w:rPr>
      </w:pPr>
      <w:r>
        <w:rPr>
          <w:w w:val="95"/>
        </w:rPr>
        <w:t>4、</w:t>
        <w:tab/>
      </w:r>
      <w:r>
        <w:rPr/>
        <w:t>账龄超过一年的大额其他应付款情况的说明</w:t>
      </w:r>
      <w:r>
        <w:rPr>
          <w:b w:val="0"/>
          <w:bCs w:val="0"/>
        </w:rPr>
      </w:r>
    </w:p>
    <w:p>
      <w:pPr>
        <w:spacing w:line="240" w:lineRule="auto" w:before="7"/>
        <w:rPr>
          <w:rFonts w:ascii="宋体" w:hAnsi="宋体" w:cs="宋体" w:eastAsia="宋体" w:hint="default"/>
          <w:b/>
          <w:bCs/>
          <w:sz w:val="2"/>
          <w:szCs w:val="2"/>
        </w:rPr>
      </w:pPr>
    </w:p>
    <w:p>
      <w:pPr>
        <w:spacing w:line="870" w:lineRule="exact"/>
        <w:ind w:left="717"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13.4pt;height:43.5pt;mso-position-horizontal-relative:char;mso-position-vertical-relative:line" coordorigin="0,0" coordsize="8268,870">
            <v:group style="position:absolute;left:29;top:15;width:8224;height:2" coordorigin="29,15" coordsize="8224,2">
              <v:shape style="position:absolute;left:29;top:15;width:8224;height:2" coordorigin="29,15" coordsize="8224,0" path="m29,15l8253,15e" filled="false" stroked="true" strokeweight="1.5pt" strokecolor="#000000">
                <v:path arrowok="t"/>
              </v:shape>
            </v:group>
            <v:group style="position:absolute;left:15;top:855;width:2740;height:2" coordorigin="15,855" coordsize="2740,2">
              <v:shape style="position:absolute;left:15;top:855;width:2740;height:2" coordorigin="15,855" coordsize="2740,0" path="m15,855l2755,855e" filled="false" stroked="true" strokeweight="1.5pt" strokecolor="#000000">
                <v:path arrowok="t"/>
              </v:shape>
            </v:group>
            <v:group style="position:absolute;left:2755;top:855;width:1786;height:2" coordorigin="2755,855" coordsize="1786,2">
              <v:shape style="position:absolute;left:2755;top:855;width:1786;height:2" coordorigin="2755,855" coordsize="1786,0" path="m2755,855l4540,855e" filled="false" stroked="true" strokeweight="1.5pt" strokecolor="#000000">
                <v:path arrowok="t"/>
              </v:shape>
            </v:group>
            <v:group style="position:absolute;left:4540;top:855;width:2518;height:2" coordorigin="4540,855" coordsize="2518,2">
              <v:shape style="position:absolute;left:4540;top:855;width:2518;height:2" coordorigin="4540,855" coordsize="2518,0" path="m4540,855l7058,855e" filled="false" stroked="true" strokeweight="1.5pt" strokecolor="#000000">
                <v:path arrowok="t"/>
              </v:shape>
              <v:shape style="position:absolute;left:1;top:7;width:8267;height:833" type="#_x0000_t75" stroked="false">
                <v:imagedata r:id="rId238" o:title=""/>
              </v:shape>
            </v:group>
            <v:group style="position:absolute;left:7058;top:855;width:1196;height:2" coordorigin="7058,855" coordsize="1196,2">
              <v:shape style="position:absolute;left:7058;top:855;width:1196;height:2" coordorigin="7058,855" coordsize="1196,0" path="m7058,855l8253,855e" filled="false" stroked="true" strokeweight="1.5pt" strokecolor="#000000">
                <v:path arrowok="t"/>
              </v:shape>
              <v:shape style="position:absolute;left:1034;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3337;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r>
                    </w:p>
                  </w:txbxContent>
                </v:textbox>
                <w10:wrap type="none"/>
              </v:shape>
              <v:shape style="position:absolute;left:3787;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额</w:t>
                      </w:r>
                    </w:p>
                  </w:txbxContent>
                </v:textbox>
                <w10:wrap type="none"/>
              </v:shape>
              <v:shape style="position:absolute;left:5353;top:22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未偿还原因</w:t>
                      </w:r>
                    </w:p>
                  </w:txbxContent>
                </v:textbox>
                <w10:wrap type="none"/>
              </v:shape>
              <v:shape style="position:absolute;left:7298;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w:t>
                      </w:r>
                    </w:p>
                  </w:txbxContent>
                </v:textbox>
                <w10:wrap type="none"/>
              </v:shape>
              <v:shape style="position:absolute;left:7838;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w:t>
                      </w:r>
                    </w:p>
                  </w:txbxContent>
                </v:textbox>
                <w10:wrap type="none"/>
              </v:shape>
              <v:shape style="position:absolute;left:137;top:6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东北大学</w:t>
                      </w:r>
                    </w:p>
                  </w:txbxContent>
                </v:textbox>
                <w10:wrap type="none"/>
              </v:shape>
              <v:shape style="position:absolute;left:3626;top:631;width:2646;height:200" type="#_x0000_t202" filled="false" stroked="false">
                <v:textbox inset="0,0,0,0">
                  <w:txbxContent>
                    <w:p>
                      <w:pPr>
                        <w:tabs>
                          <w:tab w:pos="1025" w:val="left" w:leader="none"/>
                        </w:tabs>
                        <w:spacing w:line="199"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19,659,255</w:t>
                        <w:tab/>
                      </w:r>
                      <w:r>
                        <w:rPr>
                          <w:rFonts w:ascii="宋体" w:hAnsi="宋体" w:cs="宋体" w:eastAsia="宋体" w:hint="default"/>
                          <w:position w:val="1"/>
                          <w:sz w:val="18"/>
                          <w:szCs w:val="18"/>
                        </w:rPr>
                        <w:t>按有关协议约定执行</w:t>
                      </w:r>
                      <w:r>
                        <w:rPr>
                          <w:rFonts w:ascii="宋体" w:hAnsi="宋体" w:cs="宋体" w:eastAsia="宋体" w:hint="default"/>
                          <w:sz w:val="18"/>
                          <w:szCs w:val="18"/>
                        </w:rPr>
                      </w:r>
                    </w:p>
                  </w:txbxContent>
                </v:textbox>
                <w10:wrap type="none"/>
              </v:shape>
              <v:shape style="position:absolute;left:7388;top:63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3" w:val="left" w:leader="none"/>
        </w:tabs>
        <w:spacing w:before="35"/>
        <w:ind w:left="855" w:right="2718" w:firstLine="0"/>
        <w:jc w:val="left"/>
        <w:rPr>
          <w:rFonts w:ascii="宋体" w:hAnsi="宋体" w:cs="宋体" w:eastAsia="宋体" w:hint="default"/>
          <w:sz w:val="21"/>
          <w:szCs w:val="21"/>
        </w:rPr>
      </w:pPr>
      <w:r>
        <w:rPr/>
        <w:pict>
          <v:group style="position:absolute;margin-left:118.919998pt;margin-top:17.073814pt;width:413.3pt;height:83.05pt;mso-position-horizontal-relative:page;mso-position-vertical-relative:paragraph;z-index:-1116256" coordorigin="2378,341" coordsize="8266,1661">
            <v:group style="position:absolute;left:2407;top:356;width:8210;height:2" coordorigin="2407,356" coordsize="8210,2">
              <v:shape style="position:absolute;left:2407;top:356;width:8210;height:2" coordorigin="2407,356" coordsize="8210,0" path="m2407,356l10616,356e" filled="false" stroked="true" strokeweight="1.5pt" strokecolor="#000000">
                <v:path arrowok="t"/>
              </v:shape>
              <v:shape style="position:absolute;left:5107;top:346;width:4375;height:451" type="#_x0000_t75" stroked="false">
                <v:imagedata r:id="rId239" o:title=""/>
              </v:shape>
              <v:shape style="position:absolute;left:2378;top:749;width:8266;height:1253" type="#_x0000_t75" stroked="false">
                <v:imagedata r:id="rId240" o:title=""/>
              </v:shape>
              <v:shape style="position:absolute;left:3412;top:5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5714;top:564;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w:t>
                        <w:tab/>
                        <w:t>额</w:t>
                      </w:r>
                    </w:p>
                  </w:txbxContent>
                </v:textbox>
                <w10:wrap type="none"/>
              </v:shape>
              <v:shape style="position:absolute;left:7736;top:56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性质或内容</w:t>
                      </w:r>
                    </w:p>
                  </w:txbxContent>
                </v:textbox>
                <w10:wrap type="none"/>
              </v:shape>
              <v:shape style="position:absolute;left:9674;top:564;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w:t>
                      </w:r>
                    </w:p>
                  </w:txbxContent>
                </v:textbox>
                <w10:wrap type="none"/>
              </v:shape>
              <v:shape style="position:absolute;left:10214;top:564;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w:t>
                      </w:r>
                    </w:p>
                  </w:txbxContent>
                </v:textbox>
                <w10:wrap type="none"/>
              </v:shape>
              <v:shape style="position:absolute;left:2515;top:9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东北大学</w:t>
                      </w:r>
                    </w:p>
                  </w:txbxContent>
                </v:textbox>
                <w10:wrap type="none"/>
              </v:shape>
              <v:shape style="position:absolute;left:6004;top:99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19,659,255</w:t>
                      </w:r>
                    </w:p>
                  </w:txbxContent>
                </v:textbox>
                <w10:wrap type="none"/>
              </v:shape>
            </v:group>
            <w10:wrap type="none"/>
          </v:group>
        </w:pict>
      </w:r>
      <w:r>
        <w:rPr>
          <w:rFonts w:ascii="宋体" w:hAnsi="宋体" w:cs="宋体" w:eastAsia="宋体" w:hint="default"/>
          <w:b/>
          <w:bCs/>
          <w:w w:val="95"/>
          <w:sz w:val="21"/>
          <w:szCs w:val="21"/>
        </w:rPr>
        <w:t>5、</w:t>
        <w:tab/>
      </w:r>
      <w:r>
        <w:rPr>
          <w:rFonts w:ascii="宋体" w:hAnsi="宋体" w:cs="宋体" w:eastAsia="宋体" w:hint="default"/>
          <w:b/>
          <w:bCs/>
          <w:sz w:val="21"/>
          <w:szCs w:val="21"/>
        </w:rPr>
        <w:t>金额较大的其他应付款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tbl>
      <w:tblPr>
        <w:tblW w:w="0" w:type="auto"/>
        <w:jc w:val="left"/>
        <w:tblInd w:w="732" w:type="dxa"/>
        <w:tblLayout w:type="fixed"/>
        <w:tblCellMar>
          <w:top w:w="0" w:type="dxa"/>
          <w:left w:w="0" w:type="dxa"/>
          <w:bottom w:w="0" w:type="dxa"/>
          <w:right w:w="0" w:type="dxa"/>
        </w:tblCellMar>
        <w:tblLook w:val="01E0"/>
      </w:tblPr>
      <w:tblGrid>
        <w:gridCol w:w="2947"/>
        <w:gridCol w:w="1583"/>
        <w:gridCol w:w="2015"/>
        <w:gridCol w:w="1679"/>
      </w:tblGrid>
      <w:tr>
        <w:trPr>
          <w:trHeight w:val="404"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662"/>
              <w:jc w:val="right"/>
              <w:rPr>
                <w:rFonts w:ascii="宋体" w:hAnsi="宋体" w:cs="宋体" w:eastAsia="宋体" w:hint="default"/>
                <w:sz w:val="18"/>
                <w:szCs w:val="18"/>
              </w:rPr>
            </w:pPr>
            <w:r>
              <w:rPr>
                <w:rFonts w:ascii="宋体" w:hAnsi="宋体" w:cs="宋体" w:eastAsia="宋体" w:hint="default"/>
                <w:sz w:val="18"/>
                <w:szCs w:val="18"/>
              </w:rPr>
              <w:t>其中：暂收权属转让承诺款</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z w:val="18"/>
              </w:rPr>
              <w:t>12,975,375</w:t>
            </w: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7" w:right="0"/>
              <w:jc w:val="left"/>
              <w:rPr>
                <w:rFonts w:ascii="宋体" w:hAnsi="宋体" w:cs="宋体" w:eastAsia="宋体" w:hint="default"/>
                <w:sz w:val="18"/>
                <w:szCs w:val="18"/>
              </w:rPr>
            </w:pPr>
            <w:r>
              <w:rPr>
                <w:rFonts w:ascii="宋体" w:hAnsi="宋体" w:cs="宋体" w:eastAsia="宋体" w:hint="default"/>
                <w:sz w:val="18"/>
                <w:szCs w:val="18"/>
              </w:rPr>
              <w:t>承诺未到期款</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10"/>
              <w:jc w:val="right"/>
              <w:rPr>
                <w:rFonts w:ascii="宋体" w:hAnsi="宋体" w:cs="宋体" w:eastAsia="宋体" w:hint="default"/>
                <w:sz w:val="18"/>
                <w:szCs w:val="18"/>
              </w:rPr>
            </w:pPr>
            <w:r>
              <w:rPr>
                <w:rFonts w:ascii="宋体" w:hAnsi="宋体" w:cs="宋体" w:eastAsia="宋体" w:hint="default"/>
                <w:sz w:val="18"/>
                <w:szCs w:val="18"/>
              </w:rPr>
              <w:t>（注）</w:t>
            </w:r>
          </w:p>
        </w:tc>
      </w:tr>
      <w:tr>
        <w:trPr>
          <w:trHeight w:val="329" w:hRule="exact"/>
        </w:trPr>
        <w:tc>
          <w:tcPr>
            <w:tcW w:w="2947"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662"/>
              <w:jc w:val="right"/>
              <w:rPr>
                <w:rFonts w:ascii="宋体" w:hAnsi="宋体" w:cs="宋体" w:eastAsia="宋体" w:hint="default"/>
                <w:sz w:val="18"/>
                <w:szCs w:val="18"/>
              </w:rPr>
            </w:pPr>
            <w:r>
              <w:rPr>
                <w:rFonts w:ascii="宋体" w:hAnsi="宋体" w:cs="宋体" w:eastAsia="宋体" w:hint="default"/>
                <w:sz w:val="18"/>
                <w:szCs w:val="18"/>
              </w:rPr>
              <w:t>应付房款转让尾款等</w:t>
            </w:r>
          </w:p>
        </w:tc>
        <w:tc>
          <w:tcPr>
            <w:tcW w:w="1583"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6,683,880</w:t>
            </w:r>
          </w:p>
        </w:tc>
        <w:tc>
          <w:tcPr>
            <w:tcW w:w="2015"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房产转让尾款</w:t>
            </w:r>
          </w:p>
        </w:tc>
        <w:tc>
          <w:tcPr>
            <w:tcW w:w="1679"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310"/>
              <w:jc w:val="right"/>
              <w:rPr>
                <w:rFonts w:ascii="宋体" w:hAnsi="宋体" w:cs="宋体" w:eastAsia="宋体" w:hint="default"/>
                <w:sz w:val="18"/>
                <w:szCs w:val="18"/>
              </w:rPr>
            </w:pPr>
            <w:r>
              <w:rPr>
                <w:rFonts w:ascii="宋体" w:hAnsi="宋体" w:cs="宋体" w:eastAsia="宋体" w:hint="default"/>
                <w:sz w:val="18"/>
                <w:szCs w:val="18"/>
              </w:rPr>
              <w:t>（注）</w:t>
            </w:r>
          </w:p>
        </w:tc>
      </w:tr>
    </w:tbl>
    <w:p>
      <w:pPr>
        <w:pStyle w:val="BodyText"/>
        <w:spacing w:line="350" w:lineRule="auto" w:before="78"/>
        <w:ind w:left="855" w:right="148"/>
        <w:jc w:val="both"/>
      </w:pPr>
      <w:r>
        <w:rPr/>
        <w:t>注：其中暂收东北大学科技产业集团（以下简称“东北大学”）12,975,375</w:t>
      </w:r>
      <w:r>
        <w:rPr>
          <w:spacing w:val="-62"/>
        </w:rPr>
        <w:t> </w:t>
      </w:r>
      <w:r>
        <w:rPr/>
        <w:t>元，系东北大</w:t>
      </w:r>
      <w:r>
        <w:rPr>
          <w:spacing w:val="-1"/>
        </w:rPr>
        <w:t> </w:t>
      </w:r>
      <w:r>
        <w:rPr/>
        <w:t>学对本公司</w:t>
      </w:r>
      <w:r>
        <w:rPr>
          <w:spacing w:val="-65"/>
        </w:rPr>
        <w:t> </w:t>
      </w:r>
      <w:r>
        <w:rPr/>
        <w:t>2008</w:t>
      </w:r>
      <w:r>
        <w:rPr>
          <w:spacing w:val="-64"/>
        </w:rPr>
        <w:t> </w:t>
      </w:r>
      <w:r>
        <w:rPr/>
        <w:t>年完成吸收合并后尚未取得权属证书的</w:t>
      </w:r>
      <w:r>
        <w:rPr>
          <w:spacing w:val="-65"/>
        </w:rPr>
        <w:t> </w:t>
      </w:r>
      <w:r>
        <w:rPr/>
        <w:t>8</w:t>
      </w:r>
      <w:r>
        <w:rPr>
          <w:spacing w:val="-64"/>
        </w:rPr>
        <w:t> </w:t>
      </w:r>
      <w:r>
        <w:rPr/>
        <w:t>处房产和</w:t>
      </w:r>
      <w:r>
        <w:rPr>
          <w:spacing w:val="-65"/>
        </w:rPr>
        <w:t> </w:t>
      </w:r>
      <w:r>
        <w:rPr/>
        <w:t>1</w:t>
      </w:r>
      <w:r>
        <w:rPr>
          <w:spacing w:val="-64"/>
        </w:rPr>
        <w:t> </w:t>
      </w:r>
      <w:r>
        <w:rPr/>
        <w:t>宗土地所做出承诺的</w:t>
      </w:r>
      <w:r>
        <w:rPr>
          <w:spacing w:val="-1"/>
        </w:rPr>
        <w:t> </w:t>
      </w:r>
      <w:r>
        <w:rPr/>
        <w:t>现金付款，待本公司全部取得权属证明后再归还东北大学；应付东北大学房款转让尾款主</w:t>
      </w:r>
      <w:r>
        <w:rPr>
          <w:spacing w:val="-49"/>
        </w:rPr>
        <w:t> </w:t>
      </w:r>
      <w:r>
        <w:rPr>
          <w:spacing w:val="-49"/>
        </w:rPr>
      </w:r>
      <w:r>
        <w:rPr/>
        <w:t>要为公司</w:t>
      </w:r>
      <w:r>
        <w:rPr>
          <w:spacing w:val="-68"/>
        </w:rPr>
        <w:t> </w:t>
      </w:r>
      <w:r>
        <w:rPr/>
        <w:t>2006</w:t>
      </w:r>
      <w:r>
        <w:rPr>
          <w:spacing w:val="-68"/>
        </w:rPr>
        <w:t> </w:t>
      </w:r>
      <w:r>
        <w:rPr/>
        <w:t>年向其购买房产按合同约定分期付款的应付款尾款。</w:t>
      </w:r>
    </w:p>
    <w:p>
      <w:pPr>
        <w:spacing w:line="240" w:lineRule="auto" w:before="0"/>
        <w:rPr>
          <w:rFonts w:ascii="宋体" w:hAnsi="宋体" w:cs="宋体" w:eastAsia="宋体" w:hint="default"/>
          <w:sz w:val="20"/>
          <w:szCs w:val="20"/>
        </w:rPr>
      </w:pPr>
    </w:p>
    <w:p>
      <w:pPr>
        <w:pStyle w:val="Heading6"/>
        <w:spacing w:line="240" w:lineRule="auto" w:before="166"/>
        <w:ind w:left="123" w:right="2718"/>
        <w:jc w:val="left"/>
        <w:rPr>
          <w:b w:val="0"/>
          <w:bCs w:val="0"/>
        </w:rPr>
      </w:pPr>
      <w:r>
        <w:rPr/>
        <w:t>(二十九)预计负债</w:t>
      </w:r>
      <w:r>
        <w:rPr>
          <w:b w:val="0"/>
          <w:bCs w:val="0"/>
        </w:rPr>
      </w:r>
    </w:p>
    <w:p>
      <w:pPr>
        <w:spacing w:line="240" w:lineRule="auto" w:before="7"/>
        <w:rPr>
          <w:rFonts w:ascii="宋体" w:hAnsi="宋体" w:cs="宋体" w:eastAsia="宋体" w:hint="default"/>
          <w:b/>
          <w:bCs/>
          <w:sz w:val="2"/>
          <w:szCs w:val="2"/>
        </w:rPr>
      </w:pPr>
    </w:p>
    <w:p>
      <w:pPr>
        <w:spacing w:line="870" w:lineRule="exact"/>
        <w:ind w:left="717"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20pt;height:43.5pt;mso-position-horizontal-relative:char;mso-position-vertical-relative:line" coordorigin="0,0" coordsize="8400,870">
            <v:group style="position:absolute;left:29;top:15;width:8355;height:2" coordorigin="29,15" coordsize="8355,2">
              <v:shape style="position:absolute;left:29;top:15;width:8355;height:2" coordorigin="29,15" coordsize="8355,0" path="m29,15l8384,15e" filled="false" stroked="true" strokeweight="1.5pt" strokecolor="#000000">
                <v:path arrowok="t"/>
              </v:shape>
            </v:group>
            <v:group style="position:absolute;left:15;top:855;width:1582;height:2" coordorigin="15,855" coordsize="1582,2">
              <v:shape style="position:absolute;left:15;top:855;width:1582;height:2" coordorigin="15,855" coordsize="1582,0" path="m15,855l1597,855e" filled="false" stroked="true" strokeweight="1.5pt" strokecolor="#000000">
                <v:path arrowok="t"/>
              </v:shape>
            </v:group>
            <v:group style="position:absolute;left:1597;top:855;width:1348;height:2" coordorigin="1597,855" coordsize="1348,2">
              <v:shape style="position:absolute;left:1597;top:855;width:1348;height:2" coordorigin="1597,855" coordsize="1348,0" path="m1597,855l2944,855e" filled="false" stroked="true" strokeweight="1.5pt" strokecolor="#000000">
                <v:path arrowok="t"/>
              </v:shape>
            </v:group>
            <v:group style="position:absolute;left:2944;top:855;width:2052;height:2" coordorigin="2944,855" coordsize="2052,2">
              <v:shape style="position:absolute;left:2944;top:855;width:2052;height:2" coordorigin="2944,855" coordsize="2052,0" path="m2944,855l4996,855e" filled="false" stroked="true" strokeweight="1.5pt" strokecolor="#000000">
                <v:path arrowok="t"/>
              </v:shape>
            </v:group>
            <v:group style="position:absolute;left:4996;top:855;width:1100;height:2" coordorigin="4996,855" coordsize="1100,2">
              <v:shape style="position:absolute;left:4996;top:855;width:1100;height:2" coordorigin="4996,855" coordsize="1100,0" path="m4996,855l6095,855e" filled="false" stroked="true" strokeweight="1.5pt" strokecolor="#000000">
                <v:path arrowok="t"/>
              </v:shape>
              <v:shape style="position:absolute;left:1;top:7;width:8399;height:833" type="#_x0000_t75" stroked="false">
                <v:imagedata r:id="rId241" o:title=""/>
              </v:shape>
            </v:group>
            <v:group style="position:absolute;left:6095;top:855;width:2289;height:2" coordorigin="6095,855" coordsize="2289,2">
              <v:shape style="position:absolute;left:6095;top:855;width:2289;height:2" coordorigin="6095,855" coordsize="2289,0" path="m6095,855l8384,855e" filled="false" stroked="true" strokeweight="1.5pt" strokecolor="#000000">
                <v:path arrowok="t"/>
              </v:shape>
              <v:shape style="position:absolute;left:454;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994;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1913;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614;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5189;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shape style="position:absolute;left:6880;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137;top:63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产品质量保证</w:t>
                      </w:r>
                    </w:p>
                  </w:txbxContent>
                </v:textbox>
                <w10:wrap type="none"/>
              </v:shape>
              <v:shape style="position:absolute;left:2030;top:651;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13,631,955</w:t>
                      </w:r>
                    </w:p>
                  </w:txbxContent>
                </v:textbox>
                <w10:wrap type="none"/>
              </v:shape>
              <v:shape style="position:absolute;left:4171;top:651;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2,054,470</w:t>
                      </w:r>
                    </w:p>
                  </w:txbxContent>
                </v:textbox>
                <w10:wrap type="none"/>
              </v:shape>
              <v:shape style="position:absolute;left:7464;top:651;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15,686,425</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5"/>
        <w:ind w:left="123" w:right="2718" w:firstLine="0"/>
        <w:jc w:val="left"/>
        <w:rPr>
          <w:rFonts w:ascii="宋体" w:hAnsi="宋体" w:cs="宋体" w:eastAsia="宋体" w:hint="default"/>
          <w:sz w:val="21"/>
          <w:szCs w:val="21"/>
        </w:rPr>
      </w:pPr>
      <w:r>
        <w:rPr>
          <w:rFonts w:ascii="宋体" w:hAnsi="宋体" w:cs="宋体" w:eastAsia="宋体" w:hint="default"/>
          <w:b/>
          <w:bCs/>
          <w:sz w:val="21"/>
          <w:szCs w:val="21"/>
        </w:rPr>
        <w:t>(三十)</w:t>
      </w:r>
      <w:r>
        <w:rPr>
          <w:rFonts w:ascii="宋体" w:hAnsi="宋体" w:cs="宋体" w:eastAsia="宋体" w:hint="default"/>
          <w:b/>
          <w:bCs/>
          <w:spacing w:val="-16"/>
          <w:sz w:val="21"/>
          <w:szCs w:val="21"/>
        </w:rPr>
        <w:t> </w:t>
      </w:r>
      <w:r>
        <w:rPr>
          <w:rFonts w:ascii="宋体" w:hAnsi="宋体" w:cs="宋体" w:eastAsia="宋体" w:hint="default"/>
          <w:b/>
          <w:bCs/>
          <w:sz w:val="21"/>
          <w:szCs w:val="21"/>
        </w:rPr>
        <w:t>一年内到期的非流动负债</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870" w:lineRule="exact"/>
        <w:ind w:left="717"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20.7pt;height:43.5pt;mso-position-horizontal-relative:char;mso-position-vertical-relative:line" coordorigin="0,0" coordsize="8414,870">
            <v:group style="position:absolute;left:29;top:15;width:3881;height:2" coordorigin="29,15" coordsize="3881,2">
              <v:shape style="position:absolute;left:29;top:15;width:3881;height:2" coordorigin="29,15" coordsize="3881,0" path="m29,15l3910,15e" filled="false" stroked="true" strokeweight="1.5pt" strokecolor="#000000">
                <v:path arrowok="t"/>
              </v:shape>
            </v:group>
            <v:group style="position:absolute;left:3910;top:15;width:2277;height:2" coordorigin="3910,15" coordsize="2277,2">
              <v:shape style="position:absolute;left:3910;top:15;width:2277;height:2" coordorigin="3910,15" coordsize="2277,0" path="m3910,15l6187,15e" filled="false" stroked="true" strokeweight="1.5pt" strokecolor="#000000">
                <v:path arrowok="t"/>
              </v:shape>
            </v:group>
            <v:group style="position:absolute;left:6187;top:15;width:2212;height:2" coordorigin="6187,15" coordsize="2212,2">
              <v:shape style="position:absolute;left:6187;top:15;width:2212;height:2" coordorigin="6187,15" coordsize="2212,0" path="m6187,15l8398,15e" filled="false" stroked="true" strokeweight="1.5pt" strokecolor="#000000">
                <v:path arrowok="t"/>
              </v:shape>
            </v:group>
            <v:group style="position:absolute;left:15;top:855;width:3866;height:2" coordorigin="15,855" coordsize="3866,2">
              <v:shape style="position:absolute;left:15;top:855;width:3866;height:2" coordorigin="15,855" coordsize="3866,0" path="m15,855l3880,855e" filled="false" stroked="true" strokeweight="1.5pt" strokecolor="#000000">
                <v:path arrowok="t"/>
              </v:shape>
            </v:group>
            <v:group style="position:absolute;left:3880;top:855;width:30;height:2" coordorigin="3880,855" coordsize="30,2">
              <v:shape style="position:absolute;left:3880;top:855;width:30;height:2" coordorigin="3880,855" coordsize="30,0" path="m3880,855l3910,855e" filled="false" stroked="true" strokeweight="1.5pt" strokecolor="#000000">
                <v:path arrowok="t"/>
              </v:shape>
            </v:group>
            <v:group style="position:absolute;left:3910;top:855;width:2277;height:2" coordorigin="3910,855" coordsize="2277,2">
              <v:shape style="position:absolute;left:3910;top:855;width:2277;height:2" coordorigin="3910,855" coordsize="2277,0" path="m3910,855l6187,855e" filled="false" stroked="true" strokeweight="1.5pt" strokecolor="#000000">
                <v:path arrowok="t"/>
              </v:shape>
              <v:shape style="position:absolute;left:1;top:5;width:8413;height:835" type="#_x0000_t75" stroked="false">
                <v:imagedata r:id="rId242" o:title=""/>
              </v:shape>
            </v:group>
            <v:group style="position:absolute;left:6187;top:855;width:2212;height:2" coordorigin="6187,855" coordsize="2212,2">
              <v:shape style="position:absolute;left:6187;top:855;width:2212;height:2" coordorigin="6187,855" coordsize="2212,0" path="m6187,855l8398,855e" filled="false" stroked="true" strokeweight="1.5pt" strokecolor="#000000">
                <v:path arrowok="t"/>
              </v:shape>
              <v:shape style="position:absolute;left:1597;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2137;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4677;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933;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633;width:228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一年内到期的长期应付款</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xbxContent>
                </v:textbox>
                <w10:wrap type="none"/>
              </v:shape>
              <v:shape style="position:absolute;left:5048;top:65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0.00</w:t>
                      </w:r>
                    </w:p>
                  </w:txbxContent>
                </v:textbox>
                <w10:wrap type="none"/>
              </v:shape>
              <v:shape style="position:absolute;left:7388;top:65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136,060,526</w:t>
                      </w:r>
                    </w:p>
                  </w:txbxContent>
                </v:textbox>
                <w10:wrap type="none"/>
              </v:shape>
            </v:group>
          </v:group>
        </w:pict>
      </w:r>
      <w:r>
        <w:rPr>
          <w:rFonts w:ascii="宋体" w:hAnsi="宋体" w:cs="宋体" w:eastAsia="宋体" w:hint="default"/>
          <w:position w:val="-16"/>
          <w:sz w:val="20"/>
          <w:szCs w:val="20"/>
        </w:rPr>
      </w:r>
    </w:p>
    <w:p>
      <w:pPr>
        <w:spacing w:line="240" w:lineRule="auto" w:before="5"/>
        <w:rPr>
          <w:rFonts w:ascii="宋体" w:hAnsi="宋体" w:cs="宋体" w:eastAsia="宋体" w:hint="default"/>
          <w:b/>
          <w:bCs/>
          <w:sz w:val="16"/>
          <w:szCs w:val="16"/>
        </w:rPr>
      </w:pPr>
    </w:p>
    <w:p>
      <w:pPr>
        <w:pStyle w:val="BodyText"/>
        <w:spacing w:line="350" w:lineRule="auto"/>
        <w:ind w:left="767" w:right="354"/>
        <w:jc w:val="both"/>
      </w:pPr>
      <w:r>
        <w:rPr>
          <w:spacing w:val="-2"/>
        </w:rPr>
        <w:t>注：一年内到期的长期应付款，为“成都三期基建款”，根据成都东软信息技术发展有限</w:t>
      </w:r>
      <w:r>
        <w:rPr>
          <w:spacing w:val="-78"/>
        </w:rPr>
        <w:t> </w:t>
      </w:r>
      <w:r>
        <w:rPr>
          <w:spacing w:val="-78"/>
        </w:rPr>
      </w:r>
      <w:r>
        <w:rPr>
          <w:spacing w:val="-9"/>
        </w:rPr>
        <w:t>公司（“成都东软发展”）与都江堰青城信息产业有限公司（“都江堰青城公司”）于</w:t>
      </w:r>
      <w:r>
        <w:rPr>
          <w:spacing w:val="-30"/>
        </w:rPr>
        <w:t> </w:t>
      </w:r>
      <w:r>
        <w:rPr/>
        <w:t>2005</w:t>
      </w:r>
      <w:r>
        <w:rPr>
          <w:spacing w:val="-101"/>
        </w:rPr>
        <w:t> </w:t>
      </w:r>
      <w:r>
        <w:rPr>
          <w:spacing w:val="-101"/>
        </w:rPr>
      </w:r>
      <w:r>
        <w:rPr/>
        <w:t>年</w:t>
      </w:r>
      <w:r>
        <w:rPr>
          <w:spacing w:val="-44"/>
        </w:rPr>
        <w:t> </w:t>
      </w:r>
      <w:r>
        <w:rPr/>
        <w:t>9</w:t>
      </w:r>
      <w:r>
        <w:rPr>
          <w:spacing w:val="-44"/>
        </w:rPr>
        <w:t> </w:t>
      </w:r>
      <w:r>
        <w:rPr/>
        <w:t>月</w:t>
      </w:r>
      <w:r>
        <w:rPr>
          <w:spacing w:val="-44"/>
        </w:rPr>
        <w:t> </w:t>
      </w:r>
      <w:r>
        <w:rPr/>
        <w:t>27</w:t>
      </w:r>
      <w:r>
        <w:rPr>
          <w:spacing w:val="-44"/>
        </w:rPr>
        <w:t> </w:t>
      </w:r>
      <w:r>
        <w:rPr/>
        <w:t>日签订的协议书，由都江堰市政府以无息贷款形式提供融资总额为</w:t>
      </w:r>
      <w:r>
        <w:rPr>
          <w:spacing w:val="-44"/>
        </w:rPr>
        <w:t> </w:t>
      </w:r>
      <w:r>
        <w:rPr/>
        <w:t>1.8</w:t>
      </w:r>
      <w:r>
        <w:rPr>
          <w:spacing w:val="-45"/>
        </w:rPr>
        <w:t> </w:t>
      </w:r>
      <w:r>
        <w:rPr/>
        <w:t>亿元的</w:t>
      </w:r>
    </w:p>
    <w:p>
      <w:pPr>
        <w:pStyle w:val="BodyText"/>
        <w:spacing w:line="240" w:lineRule="auto" w:before="28"/>
        <w:ind w:left="767" w:right="0"/>
        <w:jc w:val="both"/>
      </w:pPr>
      <w:r>
        <w:rPr/>
        <w:t>专项资金给成都东软发展，用于在青城山建设软件园产业基地。2010</w:t>
      </w:r>
      <w:r>
        <w:rPr>
          <w:spacing w:val="-54"/>
        </w:rPr>
        <w:t> </w:t>
      </w:r>
      <w:r>
        <w:rPr/>
        <w:t>年</w:t>
      </w:r>
      <w:r>
        <w:rPr>
          <w:spacing w:val="-54"/>
        </w:rPr>
        <w:t> </w:t>
      </w:r>
      <w:r>
        <w:rPr/>
        <w:t>12</w:t>
      </w:r>
      <w:r>
        <w:rPr>
          <w:spacing w:val="-53"/>
        </w:rPr>
        <w:t> </w:t>
      </w:r>
      <w:r>
        <w:rPr/>
        <w:t>月</w:t>
      </w:r>
      <w:r>
        <w:rPr>
          <w:spacing w:val="-54"/>
        </w:rPr>
        <w:t> </w:t>
      </w:r>
      <w:r>
        <w:rPr/>
        <w:t>7</w:t>
      </w:r>
      <w:r>
        <w:rPr>
          <w:spacing w:val="-53"/>
        </w:rPr>
        <w:t> </w:t>
      </w:r>
      <w:r>
        <w:rPr/>
        <w:t>日成都东</w:t>
      </w:r>
    </w:p>
    <w:p>
      <w:pPr>
        <w:pStyle w:val="BodyText"/>
        <w:spacing w:line="240" w:lineRule="auto" w:before="126"/>
        <w:ind w:left="767" w:right="0"/>
        <w:jc w:val="both"/>
      </w:pPr>
      <w:r>
        <w:rPr/>
        <w:t>软发展偿还都江堰青城信息产业有限公司</w:t>
      </w:r>
      <w:r>
        <w:rPr>
          <w:spacing w:val="-53"/>
        </w:rPr>
        <w:t> </w:t>
      </w:r>
      <w:r>
        <w:rPr/>
        <w:t>4,000</w:t>
      </w:r>
      <w:r>
        <w:rPr>
          <w:spacing w:val="-52"/>
        </w:rPr>
        <w:t> </w:t>
      </w:r>
      <w:r>
        <w:rPr>
          <w:spacing w:val="-3"/>
        </w:rPr>
        <w:t>万元，同时，依据成都东软发展与都江堰</w:t>
      </w:r>
    </w:p>
    <w:p>
      <w:pPr>
        <w:pStyle w:val="BodyText"/>
        <w:spacing w:line="240" w:lineRule="auto" w:before="125"/>
        <w:ind w:left="767" w:right="0"/>
        <w:jc w:val="both"/>
      </w:pPr>
      <w:r>
        <w:rPr/>
        <w:t>青城公司于</w:t>
      </w:r>
      <w:r>
        <w:rPr>
          <w:spacing w:val="-49"/>
        </w:rPr>
        <w:t> </w:t>
      </w:r>
      <w:r>
        <w:rPr/>
        <w:t>2010</w:t>
      </w:r>
      <w:r>
        <w:rPr>
          <w:spacing w:val="-48"/>
        </w:rPr>
        <w:t> </w:t>
      </w:r>
      <w:r>
        <w:rPr/>
        <w:t>年</w:t>
      </w:r>
      <w:r>
        <w:rPr>
          <w:spacing w:val="-49"/>
        </w:rPr>
        <w:t> </w:t>
      </w:r>
      <w:r>
        <w:rPr/>
        <w:t>12</w:t>
      </w:r>
      <w:r>
        <w:rPr>
          <w:spacing w:val="-48"/>
        </w:rPr>
        <w:t> </w:t>
      </w:r>
      <w:r>
        <w:rPr/>
        <w:t>月签订的补充协议书约定，成都东软发展应于</w:t>
      </w:r>
      <w:r>
        <w:rPr>
          <w:spacing w:val="-49"/>
        </w:rPr>
        <w:t> </w:t>
      </w:r>
      <w:r>
        <w:rPr/>
        <w:t>2011</w:t>
      </w:r>
      <w:r>
        <w:rPr>
          <w:spacing w:val="-48"/>
        </w:rPr>
        <w:t> </w:t>
      </w:r>
      <w:r>
        <w:rPr/>
        <w:t>年</w:t>
      </w:r>
      <w:r>
        <w:rPr>
          <w:spacing w:val="-49"/>
        </w:rPr>
        <w:t> </w:t>
      </w:r>
      <w:r>
        <w:rPr/>
        <w:t>4</w:t>
      </w:r>
      <w:r>
        <w:rPr>
          <w:spacing w:val="-48"/>
        </w:rPr>
        <w:t> </w:t>
      </w:r>
      <w:r>
        <w:rPr/>
        <w:t>月</w:t>
      </w:r>
      <w:r>
        <w:rPr>
          <w:spacing w:val="-49"/>
        </w:rPr>
        <w:t> </w:t>
      </w:r>
      <w:r>
        <w:rPr/>
        <w:t>9</w:t>
      </w:r>
      <w:r>
        <w:rPr>
          <w:spacing w:val="-48"/>
        </w:rPr>
        <w:t> </w:t>
      </w:r>
      <w:r>
        <w:rPr/>
        <w:t>日偿</w:t>
      </w:r>
    </w:p>
    <w:p>
      <w:pPr>
        <w:pStyle w:val="BodyText"/>
        <w:spacing w:line="240" w:lineRule="auto" w:before="125"/>
        <w:ind w:left="767" w:right="0"/>
        <w:jc w:val="both"/>
      </w:pPr>
      <w:r>
        <w:rPr/>
        <w:t>还该专项资金</w:t>
      </w:r>
      <w:r>
        <w:rPr>
          <w:spacing w:val="-55"/>
        </w:rPr>
        <w:t> </w:t>
      </w:r>
      <w:r>
        <w:rPr/>
        <w:t>8,000</w:t>
      </w:r>
      <w:r>
        <w:rPr>
          <w:spacing w:val="-54"/>
        </w:rPr>
        <w:t> </w:t>
      </w:r>
      <w:r>
        <w:rPr>
          <w:spacing w:val="-8"/>
        </w:rPr>
        <w:t>万元，于</w:t>
      </w:r>
      <w:r>
        <w:rPr>
          <w:spacing w:val="-55"/>
        </w:rPr>
        <w:t> </w:t>
      </w:r>
      <w:r>
        <w:rPr/>
        <w:t>2011</w:t>
      </w:r>
      <w:r>
        <w:rPr>
          <w:spacing w:val="-55"/>
        </w:rPr>
        <w:t> </w:t>
      </w:r>
      <w:r>
        <w:rPr/>
        <w:t>年</w:t>
      </w:r>
      <w:r>
        <w:rPr>
          <w:spacing w:val="-55"/>
        </w:rPr>
        <w:t> </w:t>
      </w:r>
      <w:r>
        <w:rPr/>
        <w:t>5</w:t>
      </w:r>
      <w:r>
        <w:rPr>
          <w:spacing w:val="-54"/>
        </w:rPr>
        <w:t> </w:t>
      </w:r>
      <w:r>
        <w:rPr/>
        <w:t>月</w:t>
      </w:r>
      <w:r>
        <w:rPr>
          <w:spacing w:val="-56"/>
        </w:rPr>
        <w:t> </w:t>
      </w:r>
      <w:r>
        <w:rPr/>
        <w:t>25</w:t>
      </w:r>
      <w:r>
        <w:rPr>
          <w:spacing w:val="-54"/>
        </w:rPr>
        <w:t> </w:t>
      </w:r>
      <w:r>
        <w:rPr/>
        <w:t>日偿还该专项资金剩余约</w:t>
      </w:r>
      <w:r>
        <w:rPr>
          <w:spacing w:val="-55"/>
        </w:rPr>
        <w:t> </w:t>
      </w:r>
      <w:r>
        <w:rPr/>
        <w:t>6,000</w:t>
      </w:r>
      <w:r>
        <w:rPr>
          <w:spacing w:val="-54"/>
        </w:rPr>
        <w:t> </w:t>
      </w:r>
      <w:r>
        <w:rPr>
          <w:spacing w:val="-7"/>
        </w:rPr>
        <w:t>万元。报告</w:t>
      </w:r>
      <w:r>
        <w:rPr/>
      </w:r>
    </w:p>
    <w:p>
      <w:pPr>
        <w:pStyle w:val="BodyText"/>
        <w:spacing w:line="240" w:lineRule="auto" w:before="126"/>
        <w:ind w:left="767" w:right="0"/>
        <w:jc w:val="both"/>
      </w:pPr>
      <w:r>
        <w:rPr/>
        <w:t>期内，成都东软发展依据协议约定偿还了剩余的</w:t>
      </w:r>
      <w:r>
        <w:rPr>
          <w:spacing w:val="-68"/>
        </w:rPr>
        <w:t> </w:t>
      </w:r>
      <w:r>
        <w:rPr/>
        <w:t>14,000</w:t>
      </w:r>
      <w:r>
        <w:rPr>
          <w:spacing w:val="-67"/>
        </w:rPr>
        <w:t> </w:t>
      </w:r>
      <w:r>
        <w:rPr/>
        <w:t>万元。</w:t>
      </w:r>
    </w:p>
    <w:p>
      <w:pPr>
        <w:spacing w:after="0" w:line="240" w:lineRule="auto"/>
        <w:jc w:val="both"/>
        <w:sectPr>
          <w:pgSz w:w="11910" w:h="16840"/>
          <w:pgMar w:header="0" w:footer="1003" w:top="1540" w:bottom="1200" w:left="1660" w:right="9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pStyle w:val="Heading6"/>
        <w:spacing w:line="240" w:lineRule="auto"/>
        <w:ind w:left="123" w:right="261"/>
        <w:jc w:val="left"/>
        <w:rPr>
          <w:b w:val="0"/>
          <w:bCs w:val="0"/>
        </w:rPr>
      </w:pPr>
      <w:r>
        <w:rPr/>
        <w:t>(三十一)长期借款</w:t>
      </w:r>
      <w:r>
        <w:rPr>
          <w:b w:val="0"/>
          <w:bCs w:val="0"/>
        </w:rPr>
      </w:r>
    </w:p>
    <w:p>
      <w:pPr>
        <w:tabs>
          <w:tab w:pos="1393" w:val="left" w:leader="none"/>
        </w:tabs>
        <w:spacing w:before="125"/>
        <w:ind w:left="855" w:right="261"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长期借款分类</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870" w:lineRule="exact"/>
        <w:ind w:left="717"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21.65pt;height:43.5pt;mso-position-horizontal-relative:char;mso-position-vertical-relative:line" coordorigin="0,0" coordsize="8433,870">
            <v:group style="position:absolute;left:29;top:15;width:3881;height:2" coordorigin="29,15" coordsize="3881,2">
              <v:shape style="position:absolute;left:29;top:15;width:3881;height:2" coordorigin="29,15" coordsize="3881,0" path="m29,15l3910,15e" filled="false" stroked="true" strokeweight="1.5pt" strokecolor="#000000">
                <v:path arrowok="t"/>
              </v:shape>
            </v:group>
            <v:group style="position:absolute;left:3910;top:15;width:2277;height:2" coordorigin="3910,15" coordsize="2277,2">
              <v:shape style="position:absolute;left:3910;top:15;width:2277;height:2" coordorigin="3910,15" coordsize="2277,0" path="m3910,15l6187,15e" filled="false" stroked="true" strokeweight="1.5pt" strokecolor="#000000">
                <v:path arrowok="t"/>
              </v:shape>
            </v:group>
            <v:group style="position:absolute;left:6187;top:15;width:2226;height:2" coordorigin="6187,15" coordsize="2226,2">
              <v:shape style="position:absolute;left:6187;top:15;width:2226;height:2" coordorigin="6187,15" coordsize="2226,0" path="m6187,15l8413,15e" filled="false" stroked="true" strokeweight="1.5pt" strokecolor="#000000">
                <v:path arrowok="t"/>
              </v:shape>
            </v:group>
            <v:group style="position:absolute;left:15;top:855;width:3866;height:2" coordorigin="15,855" coordsize="3866,2">
              <v:shape style="position:absolute;left:15;top:855;width:3866;height:2" coordorigin="15,855" coordsize="3866,0" path="m15,855l3880,855e" filled="false" stroked="true" strokeweight="1.5pt" strokecolor="#000000">
                <v:path arrowok="t"/>
              </v:shape>
            </v:group>
            <v:group style="position:absolute;left:3880;top:855;width:30;height:2" coordorigin="3880,855" coordsize="30,2">
              <v:shape style="position:absolute;left:3880;top:855;width:30;height:2" coordorigin="3880,855" coordsize="30,0" path="m3880,855l3910,855e" filled="false" stroked="true" strokeweight="1.5pt" strokecolor="#000000">
                <v:path arrowok="t"/>
              </v:shape>
            </v:group>
            <v:group style="position:absolute;left:3910;top:855;width:2277;height:2" coordorigin="3910,855" coordsize="2277,2">
              <v:shape style="position:absolute;left:3910;top:855;width:2277;height:2" coordorigin="3910,855" coordsize="2277,0" path="m3910,855l6187,855e" filled="false" stroked="true" strokeweight="1.5pt" strokecolor="#000000">
                <v:path arrowok="t"/>
              </v:shape>
              <v:shape style="position:absolute;left:1;top:5;width:8432;height:835" type="#_x0000_t75" stroked="false">
                <v:imagedata r:id="rId243" o:title=""/>
              </v:shape>
            </v:group>
            <v:group style="position:absolute;left:6187;top:855;width:2226;height:2" coordorigin="6187,855" coordsize="2226,2">
              <v:shape style="position:absolute;left:6187;top:855;width:2226;height:2" coordorigin="6187,855" coordsize="2226,0" path="m6187,855l8413,855e" filled="false" stroked="true" strokeweight="1.5pt" strokecolor="#000000">
                <v:path arrowok="t"/>
              </v:shape>
              <v:shape style="position:absolute;left:1597;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借款类别</w:t>
                      </w:r>
                    </w:p>
                  </w:txbxContent>
                </v:textbox>
                <w10:wrap type="none"/>
              </v:shape>
              <v:shape style="position:absolute;left:4677;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941;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37;top:633;width:102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抵押借款</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xbxContent>
                </v:textbox>
                <w10:wrap type="none"/>
              </v:shape>
              <v:shape style="position:absolute;left:5183;top:65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104,000,000</w:t>
                      </w:r>
                    </w:p>
                  </w:txbxContent>
                </v:textbox>
                <w10:wrap type="none"/>
              </v:shape>
              <v:shape style="position:absolute;left:7404;top:65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129,000,000</w:t>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BodyText"/>
        <w:spacing w:line="348" w:lineRule="auto"/>
        <w:ind w:left="855" w:right="98"/>
        <w:jc w:val="left"/>
      </w:pPr>
      <w:r>
        <w:rPr>
          <w:spacing w:val="12"/>
        </w:rPr>
        <w:t>注：该抵押借款是由本集团之子公司大连东软软件园产业发展有限公司以账面价值为</w:t>
      </w:r>
      <w:r>
        <w:rPr>
          <w:spacing w:val="-72"/>
        </w:rPr>
        <w:t> </w:t>
      </w:r>
      <w:r>
        <w:rPr>
          <w:spacing w:val="-72"/>
        </w:rPr>
      </w:r>
      <w:r>
        <w:rPr/>
        <w:t>93,423,943 元的土地及房产作抵押，其中被抵押的投资性房地产账面价值为</w:t>
      </w:r>
      <w:r>
        <w:rPr>
          <w:spacing w:val="47"/>
        </w:rPr>
        <w:t> </w:t>
      </w:r>
      <w:r>
        <w:rPr/>
        <w:t>82,410,455</w:t>
      </w:r>
    </w:p>
    <w:p>
      <w:pPr>
        <w:tabs>
          <w:tab w:pos="1383" w:val="left" w:leader="none"/>
        </w:tabs>
        <w:spacing w:line="698" w:lineRule="auto" w:before="30"/>
        <w:ind w:left="855" w:right="1116" w:firstLine="0"/>
        <w:jc w:val="left"/>
        <w:rPr>
          <w:rFonts w:ascii="宋体" w:hAnsi="宋体" w:cs="宋体" w:eastAsia="宋体" w:hint="default"/>
          <w:sz w:val="21"/>
          <w:szCs w:val="21"/>
        </w:rPr>
      </w:pPr>
      <w:r>
        <w:rPr/>
        <w:pict>
          <v:group style="position:absolute;margin-left:118.889999pt;margin-top:56.842796pt;width:422pt;height:84pt;mso-position-horizontal-relative:page;mso-position-vertical-relative:paragraph;z-index:-1115440" coordorigin="2378,1137" coordsize="8440,1680">
            <v:group style="position:absolute;left:2407;top:1152;width:8384;height:2" coordorigin="2407,1152" coordsize="8384,2">
              <v:shape style="position:absolute;left:2407;top:1152;width:8384;height:2" coordorigin="2407,1152" coordsize="8384,0" path="m2407,1152l10790,1152e" filled="false" stroked="true" strokeweight="1.5pt" strokecolor="#000000">
                <v:path arrowok="t"/>
              </v:shape>
              <v:shape style="position:absolute;left:3661;top:1142;width:4900;height:451" type="#_x0000_t75" stroked="false">
                <v:imagedata r:id="rId244" o:title=""/>
              </v:shape>
            </v:group>
            <v:group style="position:absolute;left:2393;top:2802;width:1294;height:2" coordorigin="2393,2802" coordsize="1294,2">
              <v:shape style="position:absolute;left:2393;top:2802;width:1294;height:2" coordorigin="2393,2802" coordsize="1294,0" path="m2393,2802l3686,2802e" filled="false" stroked="true" strokeweight="1.5pt" strokecolor="#000000">
                <v:path arrowok="t"/>
              </v:shape>
              <v:shape style="position:absolute;left:2378;top:1544;width:8439;height:1262" type="#_x0000_t75" stroked="false">
                <v:imagedata r:id="rId245" o:title=""/>
              </v:shape>
            </v:group>
            <v:group style="position:absolute;left:3686;top:2802;width:1068;height:2" coordorigin="3686,2802" coordsize="1068,2">
              <v:shape style="position:absolute;left:3686;top:2802;width:1068;height:2" coordorigin="3686,2802" coordsize="1068,0" path="m3686,2802l4754,2802e" filled="false" stroked="true" strokeweight="1.5pt" strokecolor="#000000">
                <v:path arrowok="t"/>
              </v:shape>
              <v:shape style="position:absolute;left:4735;top:1967;width:49;height:840" type="#_x0000_t75" stroked="false">
                <v:imagedata r:id="rId246" o:title=""/>
              </v:shape>
            </v:group>
            <v:group style="position:absolute;left:4754;top:2802;width:754;height:2" coordorigin="4754,2802" coordsize="754,2">
              <v:shape style="position:absolute;left:4754;top:2802;width:754;height:2" coordorigin="4754,2802" coordsize="754,0" path="m4754,2802l5508,2802e" filled="false" stroked="true" strokeweight="1.5pt" strokecolor="#000000">
                <v:path arrowok="t"/>
              </v:shape>
              <v:shape style="position:absolute;left:5488;top:1967;width:49;height:840" type="#_x0000_t75" stroked="false">
                <v:imagedata r:id="rId247" o:title=""/>
              </v:shape>
            </v:group>
            <v:group style="position:absolute;left:5508;top:2802;width:920;height:2" coordorigin="5508,2802" coordsize="920,2">
              <v:shape style="position:absolute;left:5508;top:2802;width:920;height:2" coordorigin="5508,2802" coordsize="920,0" path="m5508,2802l6427,2802e" filled="false" stroked="true" strokeweight="1.5pt" strokecolor="#000000">
                <v:path arrowok="t"/>
              </v:shape>
              <v:shape style="position:absolute;left:6407;top:1967;width:49;height:840" type="#_x0000_t75" stroked="false">
                <v:imagedata r:id="rId248" o:title=""/>
              </v:shape>
            </v:group>
            <v:group style="position:absolute;left:6427;top:2802;width:957;height:2" coordorigin="6427,2802" coordsize="957,2">
              <v:shape style="position:absolute;left:6427;top:2802;width:957;height:2" coordorigin="6427,2802" coordsize="957,0" path="m6427,2802l7384,2802e" filled="false" stroked="true" strokeweight="1.5pt" strokecolor="#000000">
                <v:path arrowok="t"/>
              </v:shape>
              <v:shape style="position:absolute;left:7364;top:1967;width:49;height:840" type="#_x0000_t75" stroked="false">
                <v:imagedata r:id="rId248" o:title=""/>
              </v:shape>
            </v:group>
            <v:group style="position:absolute;left:7384;top:2802;width:1143;height:2" coordorigin="7384,2802" coordsize="1143,2">
              <v:shape style="position:absolute;left:7384;top:2802;width:1143;height:2" coordorigin="7384,2802" coordsize="1143,0" path="m7384,2802l8526,2802e" filled="false" stroked="true" strokeweight="1.5pt" strokecolor="#000000">
                <v:path arrowok="t"/>
              </v:shape>
              <v:shape style="position:absolute;left:8506;top:1967;width:49;height:840" type="#_x0000_t75" stroked="false">
                <v:imagedata r:id="rId248" o:title=""/>
              </v:shape>
            </v:group>
            <v:group style="position:absolute;left:8526;top:2802;width:1001;height:2" coordorigin="8526,2802" coordsize="1001,2">
              <v:shape style="position:absolute;left:8526;top:2802;width:1001;height:2" coordorigin="8526,2802" coordsize="1001,0" path="m8526,2802l9527,2802e" filled="false" stroked="true" strokeweight="1.5pt" strokecolor="#000000">
                <v:path arrowok="t"/>
              </v:shape>
              <v:shape style="position:absolute;left:9498;top:1958;width:67;height:845" type="#_x0000_t75" stroked="false">
                <v:imagedata r:id="rId249" o:title=""/>
              </v:shape>
            </v:group>
            <v:group style="position:absolute;left:9527;top:2802;width:1264;height:2" coordorigin="9527,2802" coordsize="1264,2">
              <v:shape style="position:absolute;left:9527;top:2802;width:1264;height:2" coordorigin="9527,2802" coordsize="1264,0" path="m9527,2802l10790,2802e" filled="false" stroked="true" strokeweight="1.5pt" strokecolor="#000000">
                <v:path arrowok="t"/>
              </v:shape>
              <v:shape style="position:absolute;left:3775;top:136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借款起始日</w:t>
                      </w:r>
                    </w:p>
                  </w:txbxContent>
                </v:textbox>
                <w10:wrap type="none"/>
              </v:shape>
              <v:shape style="position:absolute;left:7120;top:135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9299;top:135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689;top:1564;width:7830;height:386" type="#_x0000_t202" filled="false" stroked="false">
                <v:textbox inset="0,0,0,0">
                  <w:txbxContent>
                    <w:p>
                      <w:pPr>
                        <w:tabs>
                          <w:tab w:pos="2266" w:val="left" w:leader="none"/>
                          <w:tab w:pos="2930" w:val="left" w:leader="none"/>
                        </w:tabs>
                        <w:spacing w:line="17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贷款单位</w:t>
                        <w:tab/>
                        <w:t>币种</w:t>
                        <w:tab/>
                        <w:t>利</w:t>
                      </w:r>
                      <w:r>
                        <w:rPr>
                          <w:rFonts w:ascii="宋体" w:hAnsi="宋体" w:cs="宋体" w:eastAsia="宋体" w:hint="default"/>
                          <w:spacing w:val="-77"/>
                          <w:sz w:val="18"/>
                          <w:szCs w:val="18"/>
                        </w:rPr>
                        <w:t>率</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tabs>
                          <w:tab w:pos="3860" w:val="left" w:leader="none"/>
                          <w:tab w:pos="4910" w:val="left" w:leader="none"/>
                          <w:tab w:pos="5980" w:val="left" w:leader="none"/>
                          <w:tab w:pos="7109" w:val="left" w:leader="none"/>
                        </w:tabs>
                        <w:spacing w:line="214" w:lineRule="exact" w:before="0"/>
                        <w:ind w:left="1085" w:right="0" w:firstLine="0"/>
                        <w:jc w:val="left"/>
                        <w:rPr>
                          <w:rFonts w:ascii="宋体" w:hAnsi="宋体" w:cs="宋体" w:eastAsia="宋体" w:hint="default"/>
                          <w:sz w:val="18"/>
                          <w:szCs w:val="18"/>
                        </w:rPr>
                      </w:pPr>
                      <w:r>
                        <w:rPr>
                          <w:rFonts w:ascii="宋体" w:hAnsi="宋体" w:cs="宋体" w:eastAsia="宋体" w:hint="default"/>
                          <w:sz w:val="18"/>
                          <w:szCs w:val="18"/>
                        </w:rPr>
                        <w:t>借款终止日</w:t>
                        <w:tab/>
                        <w:t>外币金额</w:t>
                        <w:tab/>
                        <w:t>本币金额</w:t>
                        <w:tab/>
                        <w:t>外币金额</w:t>
                        <w:tab/>
                        <w:t>本币金额</w:t>
                      </w:r>
                    </w:p>
                  </w:txbxContent>
                </v:textbox>
                <w10:wrap type="none"/>
              </v:shape>
              <v:shape style="position:absolute;left:2515;top:2180;width:2088;height:200" type="#_x0000_t202" filled="false" stroked="false">
                <v:textbox inset="0,0,0,0">
                  <w:txbxContent>
                    <w:p>
                      <w:pPr>
                        <w:spacing w:line="199"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pacing w:val="15"/>
                          <w:position w:val="1"/>
                          <w:sz w:val="18"/>
                          <w:szCs w:val="18"/>
                        </w:rPr>
                        <w:t>中国建设银行</w:t>
                      </w:r>
                      <w:r>
                        <w:rPr>
                          <w:rFonts w:ascii="宋体" w:hAnsi="宋体" w:cs="宋体" w:eastAsia="宋体" w:hint="default"/>
                          <w:spacing w:val="13"/>
                          <w:position w:val="1"/>
                          <w:sz w:val="18"/>
                          <w:szCs w:val="18"/>
                        </w:rPr>
                        <w:t> </w:t>
                      </w:r>
                      <w:r>
                        <w:rPr>
                          <w:rFonts w:ascii="Times New Roman" w:hAnsi="Times New Roman" w:cs="Times New Roman" w:eastAsia="Times New Roman" w:hint="default"/>
                          <w:sz w:val="18"/>
                          <w:szCs w:val="18"/>
                        </w:rPr>
                        <w:t>2007.06.11</w:t>
                      </w:r>
                    </w:p>
                  </w:txbxContent>
                </v:textbox>
                <w10:wrap type="none"/>
              </v:shape>
              <v:shape style="position:absolute;left:4865;top:237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人民币</w:t>
                      </w:r>
                    </w:p>
                  </w:txbxContent>
                </v:textbox>
                <w10:wrap type="none"/>
              </v:shape>
              <v:shape style="position:absolute;left:5918;top:2398;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5.940</w:t>
                      </w:r>
                    </w:p>
                  </w:txbxContent>
                </v:textbox>
                <w10:wrap type="none"/>
              </v:shape>
              <v:shape style="position:absolute;left:7523;top:2398;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104,000,000</w:t>
                      </w:r>
                    </w:p>
                  </w:txbxContent>
                </v:textbox>
                <w10:wrap type="none"/>
              </v:shape>
              <v:shape style="position:absolute;left:9781;top:2398;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129,000,000</w:t>
                      </w:r>
                    </w:p>
                  </w:txbxContent>
                </v:textbox>
                <w10:wrap type="none"/>
              </v:shape>
              <v:shape style="position:absolute;left:2515;top:2579;width:2149;height:200" type="#_x0000_t202" filled="false" stroked="false">
                <v:textbox inset="0,0,0,0">
                  <w:txbxContent>
                    <w:p>
                      <w:pPr>
                        <w:tabs>
                          <w:tab w:pos="1283" w:val="left" w:leader="none"/>
                        </w:tabs>
                        <w:spacing w:line="199"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沈阳南湖支行</w:t>
                        <w:tab/>
                      </w:r>
                      <w:r>
                        <w:rPr>
                          <w:rFonts w:ascii="Times New Roman" w:hAnsi="Times New Roman" w:cs="Times New Roman" w:eastAsia="Times New Roman" w:hint="default"/>
                          <w:spacing w:val="-1"/>
                          <w:sz w:val="18"/>
                          <w:szCs w:val="18"/>
                        </w:rPr>
                        <w:t>-2015.06.11</w:t>
                      </w:r>
                    </w:p>
                  </w:txbxContent>
                </v:textbox>
                <w10:wrap type="none"/>
              </v:shape>
            </v:group>
            <w10:wrap type="none"/>
          </v:group>
        </w:pict>
      </w:r>
      <w:r>
        <w:rPr>
          <w:rFonts w:ascii="宋体" w:hAnsi="宋体" w:cs="宋体" w:eastAsia="宋体" w:hint="default"/>
          <w:sz w:val="21"/>
          <w:szCs w:val="21"/>
        </w:rPr>
        <w:t>元，固定资产账面价值为</w:t>
      </w:r>
      <w:r>
        <w:rPr>
          <w:rFonts w:ascii="宋体" w:hAnsi="宋体" w:cs="宋体" w:eastAsia="宋体" w:hint="default"/>
          <w:spacing w:val="-54"/>
          <w:sz w:val="21"/>
          <w:szCs w:val="21"/>
        </w:rPr>
        <w:t> </w:t>
      </w:r>
      <w:r>
        <w:rPr>
          <w:rFonts w:ascii="宋体" w:hAnsi="宋体" w:cs="宋体" w:eastAsia="宋体" w:hint="default"/>
          <w:sz w:val="21"/>
          <w:szCs w:val="21"/>
        </w:rPr>
        <w:t>2,976,303</w:t>
      </w:r>
      <w:r>
        <w:rPr>
          <w:rFonts w:ascii="宋体" w:hAnsi="宋体" w:cs="宋体" w:eastAsia="宋体" w:hint="default"/>
          <w:spacing w:val="-53"/>
          <w:sz w:val="21"/>
          <w:szCs w:val="21"/>
        </w:rPr>
        <w:t> </w:t>
      </w:r>
      <w:r>
        <w:rPr>
          <w:rFonts w:ascii="宋体" w:hAnsi="宋体" w:cs="宋体" w:eastAsia="宋体" w:hint="default"/>
          <w:sz w:val="21"/>
          <w:szCs w:val="21"/>
        </w:rPr>
        <w:t>元以及无形资产账面价值为</w:t>
      </w:r>
      <w:r>
        <w:rPr>
          <w:rFonts w:ascii="宋体" w:hAnsi="宋体" w:cs="宋体" w:eastAsia="宋体" w:hint="default"/>
          <w:spacing w:val="-54"/>
          <w:sz w:val="21"/>
          <w:szCs w:val="21"/>
        </w:rPr>
        <w:t> </w:t>
      </w:r>
      <w:r>
        <w:rPr>
          <w:rFonts w:ascii="宋体" w:hAnsi="宋体" w:cs="宋体" w:eastAsia="宋体" w:hint="default"/>
          <w:sz w:val="21"/>
          <w:szCs w:val="21"/>
        </w:rPr>
        <w:t>8,037,186</w:t>
      </w:r>
      <w:r>
        <w:rPr>
          <w:rFonts w:ascii="宋体" w:hAnsi="宋体" w:cs="宋体" w:eastAsia="宋体" w:hint="default"/>
          <w:spacing w:val="-53"/>
          <w:sz w:val="21"/>
          <w:szCs w:val="21"/>
        </w:rPr>
        <w:t> </w:t>
      </w:r>
      <w:r>
        <w:rPr>
          <w:rFonts w:ascii="宋体" w:hAnsi="宋体" w:cs="宋体" w:eastAsia="宋体" w:hint="default"/>
          <w:sz w:val="21"/>
          <w:szCs w:val="21"/>
        </w:rPr>
        <w:t>元。</w:t>
      </w:r>
      <w:r>
        <w:rPr>
          <w:rFonts w:ascii="宋体" w:hAnsi="宋体" w:cs="宋体" w:eastAsia="宋体" w:hint="default"/>
          <w:sz w:val="21"/>
          <w:szCs w:val="21"/>
        </w:rPr>
        <w:t> </w:t>
      </w:r>
      <w:r>
        <w:rPr>
          <w:rFonts w:ascii="宋体" w:hAnsi="宋体" w:cs="宋体" w:eastAsia="宋体" w:hint="default"/>
          <w:b/>
          <w:bCs/>
          <w:w w:val="95"/>
          <w:sz w:val="21"/>
          <w:szCs w:val="21"/>
        </w:rPr>
        <w:t>2、</w:t>
        <w:tab/>
      </w:r>
      <w:r>
        <w:rPr>
          <w:rFonts w:ascii="宋体" w:hAnsi="宋体" w:cs="宋体" w:eastAsia="宋体" w:hint="default"/>
          <w:b/>
          <w:bCs/>
          <w:sz w:val="21"/>
          <w:szCs w:val="21"/>
        </w:rPr>
        <w:t>金额前五名的长期借款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5"/>
          <w:szCs w:val="15"/>
        </w:rPr>
      </w:pPr>
    </w:p>
    <w:p>
      <w:pPr>
        <w:pStyle w:val="Heading6"/>
        <w:spacing w:line="240" w:lineRule="auto"/>
        <w:ind w:left="123" w:right="261"/>
        <w:jc w:val="left"/>
        <w:rPr>
          <w:b w:val="0"/>
          <w:bCs w:val="0"/>
        </w:rPr>
      </w:pPr>
      <w:r>
        <w:rPr/>
        <w:t>(三十二)应付债券</w:t>
      </w:r>
      <w:r>
        <w:rPr>
          <w:b w:val="0"/>
          <w:bCs w:val="0"/>
        </w:rPr>
      </w:r>
    </w:p>
    <w:p>
      <w:pPr>
        <w:spacing w:line="240" w:lineRule="auto" w:before="5"/>
        <w:rPr>
          <w:rFonts w:ascii="宋体" w:hAnsi="宋体" w:cs="宋体" w:eastAsia="宋体" w:hint="default"/>
          <w:b/>
          <w:bCs/>
          <w:sz w:val="2"/>
          <w:szCs w:val="2"/>
        </w:rPr>
      </w:pPr>
    </w:p>
    <w:p>
      <w:pPr>
        <w:spacing w:line="2070" w:lineRule="exact"/>
        <w:ind w:left="717" w:right="0" w:firstLine="0"/>
        <w:rPr>
          <w:rFonts w:ascii="宋体" w:hAnsi="宋体" w:cs="宋体" w:eastAsia="宋体" w:hint="default"/>
          <w:sz w:val="20"/>
          <w:szCs w:val="20"/>
        </w:rPr>
      </w:pPr>
      <w:r>
        <w:rPr>
          <w:rFonts w:ascii="宋体" w:hAnsi="宋体" w:cs="宋体" w:eastAsia="宋体" w:hint="default"/>
          <w:position w:val="-40"/>
          <w:sz w:val="20"/>
          <w:szCs w:val="20"/>
        </w:rPr>
        <w:pict>
          <v:group style="width:421.9pt;height:103.5pt;mso-position-horizontal-relative:char;mso-position-vertical-relative:line" coordorigin="0,0" coordsize="8438,2070">
            <v:group style="position:absolute;left:29;top:15;width:8393;height:2" coordorigin="29,15" coordsize="8393,2">
              <v:shape style="position:absolute;left:29;top:15;width:8393;height:2" coordorigin="29,15" coordsize="8393,0" path="m29,15l8422,15e" filled="false" stroked="true" strokeweight="1.5pt" strokecolor="#000000">
                <v:path arrowok="t"/>
              </v:shape>
            </v:group>
            <v:group style="position:absolute;left:15;top:2055;width:1102;height:2" coordorigin="15,2055" coordsize="1102,2">
              <v:shape style="position:absolute;left:15;top:2055;width:1102;height:2" coordorigin="15,2055" coordsize="1102,0" path="m15,2055l1117,2055e" filled="false" stroked="true" strokeweight="1.5pt" strokecolor="#000000">
                <v:path arrowok="t"/>
              </v:shape>
              <v:shape style="position:absolute;left:1;top:10;width:8435;height:2059" type="#_x0000_t75" stroked="false">
                <v:imagedata r:id="rId250" o:title=""/>
              </v:shape>
            </v:group>
            <v:group style="position:absolute;left:1117;top:2055;width:850;height:2" coordorigin="1117,2055" coordsize="850,2">
              <v:shape style="position:absolute;left:1117;top:2055;width:850;height:2" coordorigin="1117,2055" coordsize="850,0" path="m1117,2055l1966,2055e" filled="false" stroked="true" strokeweight="1.5pt" strokecolor="#000000">
                <v:path arrowok="t"/>
              </v:shape>
              <v:shape style="position:absolute;left:1937;top:811;width:67;height:1258" type="#_x0000_t75" stroked="false">
                <v:imagedata r:id="rId251" o:title=""/>
              </v:shape>
            </v:group>
            <v:group style="position:absolute;left:1966;top:2055;width:879;height:2" coordorigin="1966,2055" coordsize="879,2">
              <v:shape style="position:absolute;left:1966;top:2055;width:879;height:2" coordorigin="1966,2055" coordsize="879,0" path="m1966,2055l2845,2055e" filled="false" stroked="true" strokeweight="1.5pt" strokecolor="#000000">
                <v:path arrowok="t"/>
              </v:shape>
              <v:shape style="position:absolute;left:2816;top:811;width:67;height:1258" type="#_x0000_t75" stroked="false">
                <v:imagedata r:id="rId252" o:title=""/>
              </v:shape>
            </v:group>
            <v:group style="position:absolute;left:2845;top:2055;width:425;height:2" coordorigin="2845,2055" coordsize="425,2">
              <v:shape style="position:absolute;left:2845;top:2055;width:425;height:2" coordorigin="2845,2055" coordsize="425,0" path="m2845,2055l3269,2055e" filled="false" stroked="true" strokeweight="1.5pt" strokecolor="#000000">
                <v:path arrowok="t"/>
              </v:shape>
              <v:shape style="position:absolute;left:3241;top:811;width:67;height:1258" type="#_x0000_t75" stroked="false">
                <v:imagedata r:id="rId251" o:title=""/>
              </v:shape>
            </v:group>
            <v:group style="position:absolute;left:3269;top:2055;width:992;height:2" coordorigin="3269,2055" coordsize="992,2">
              <v:shape style="position:absolute;left:3269;top:2055;width:992;height:2" coordorigin="3269,2055" coordsize="992,0" path="m3269,2055l4261,2055e" filled="false" stroked="true" strokeweight="1.5pt" strokecolor="#000000">
                <v:path arrowok="t"/>
              </v:shape>
              <v:shape style="position:absolute;left:4232;top:811;width:67;height:1248" type="#_x0000_t75" stroked="false">
                <v:imagedata r:id="rId253" o:title=""/>
              </v:shape>
            </v:group>
            <v:group style="position:absolute;left:4261;top:2055;width:710;height:2" coordorigin="4261,2055" coordsize="710,2">
              <v:shape style="position:absolute;left:4261;top:2055;width:710;height:2" coordorigin="4261,2055" coordsize="710,0" path="m4261,2055l4970,2055e" filled="false" stroked="true" strokeweight="1.5pt" strokecolor="#000000">
                <v:path arrowok="t"/>
              </v:shape>
              <v:shape style="position:absolute;left:4941;top:811;width:67;height:1258" type="#_x0000_t75" stroked="false">
                <v:imagedata r:id="rId251" o:title=""/>
              </v:shape>
            </v:group>
            <v:group style="position:absolute;left:4970;top:2055;width:851;height:2" coordorigin="4970,2055" coordsize="851,2">
              <v:shape style="position:absolute;left:4970;top:2055;width:851;height:2" coordorigin="4970,2055" coordsize="851,0" path="m4970,2055l5821,2055e" filled="false" stroked="true" strokeweight="1.5pt" strokecolor="#000000">
                <v:path arrowok="t"/>
              </v:shape>
              <v:shape style="position:absolute;left:5792;top:811;width:67;height:1258" type="#_x0000_t75" stroked="false">
                <v:imagedata r:id="rId252" o:title=""/>
              </v:shape>
            </v:group>
            <v:group style="position:absolute;left:5821;top:2055;width:710;height:2" coordorigin="5821,2055" coordsize="710,2">
              <v:shape style="position:absolute;left:5821;top:2055;width:710;height:2" coordorigin="5821,2055" coordsize="710,0" path="m5821,2055l6530,2055e" filled="false" stroked="true" strokeweight="1.5pt" strokecolor="#000000">
                <v:path arrowok="t"/>
              </v:shape>
              <v:shape style="position:absolute;left:6501;top:811;width:67;height:1258" type="#_x0000_t75" stroked="false">
                <v:imagedata r:id="rId251" o:title=""/>
              </v:shape>
            </v:group>
            <v:group style="position:absolute;left:6530;top:2055;width:965;height:2" coordorigin="6530,2055" coordsize="965,2">
              <v:shape style="position:absolute;left:6530;top:2055;width:965;height:2" coordorigin="6530,2055" coordsize="965,0" path="m6530,2055l7495,2055e" filled="false" stroked="true" strokeweight="1.5pt" strokecolor="#000000">
                <v:path arrowok="t"/>
              </v:shape>
              <v:shape style="position:absolute;left:7466;top:811;width:67;height:1258" type="#_x0000_t75" stroked="false">
                <v:imagedata r:id="rId251" o:title=""/>
              </v:shape>
            </v:group>
            <v:group style="position:absolute;left:7495;top:2055;width:928;height:2" coordorigin="7495,2055" coordsize="928,2">
              <v:shape style="position:absolute;left:7495;top:2055;width:928;height:2" coordorigin="7495,2055" coordsize="928,0" path="m7495,2055l8422,2055e" filled="false" stroked="true" strokeweight="1.5pt" strokecolor="#000000">
                <v:path arrowok="t"/>
              </v:shape>
              <v:shape style="position:absolute;left:2911;top:25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债券</w:t>
                      </w:r>
                    </w:p>
                  </w:txbxContent>
                </v:textbox>
                <w10:wrap type="none"/>
              </v:shape>
              <v:shape style="position:absolute;left:4319;top:256;width:215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年初应付  本期应计 </w:t>
                      </w:r>
                      <w:r>
                        <w:rPr>
                          <w:rFonts w:ascii="宋体" w:hAnsi="宋体" w:cs="宋体" w:eastAsia="宋体" w:hint="default"/>
                          <w:spacing w:val="58"/>
                          <w:sz w:val="15"/>
                          <w:szCs w:val="15"/>
                        </w:rPr>
                        <w:t> </w:t>
                      </w:r>
                      <w:r>
                        <w:rPr>
                          <w:rFonts w:ascii="宋体" w:hAnsi="宋体" w:cs="宋体" w:eastAsia="宋体" w:hint="default"/>
                          <w:sz w:val="15"/>
                          <w:szCs w:val="15"/>
                        </w:rPr>
                        <w:t>本期已付</w:t>
                      </w:r>
                    </w:p>
                  </w:txbxContent>
                </v:textbox>
                <w10:wrap type="none"/>
              </v:shape>
              <v:shape style="position:absolute;left:313;top:45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债券名称</w:t>
                      </w:r>
                    </w:p>
                  </w:txbxContent>
                </v:textbox>
                <w10:wrap type="none"/>
              </v:shape>
              <v:shape style="position:absolute;left:1395;top:457;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面值</w:t>
                      </w:r>
                    </w:p>
                  </w:txbxContent>
                </v:textbox>
                <w10:wrap type="none"/>
              </v:shape>
              <v:shape style="position:absolute;left:2109;top:45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发行日期</w:t>
                      </w:r>
                    </w:p>
                  </w:txbxContent>
                </v:textbox>
                <w10:wrap type="none"/>
              </v:shape>
              <v:shape style="position:absolute;left:3469;top:45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发行金额</w:t>
                      </w:r>
                    </w:p>
                  </w:txbxContent>
                </v:textbox>
                <w10:wrap type="none"/>
              </v:shape>
              <v:shape style="position:absolute;left:6566;top:457;width:169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期末应付利息 </w:t>
                      </w:r>
                      <w:r>
                        <w:rPr>
                          <w:rFonts w:ascii="宋体" w:hAnsi="宋体" w:cs="宋体" w:eastAsia="宋体" w:hint="default"/>
                          <w:spacing w:val="43"/>
                          <w:sz w:val="15"/>
                          <w:szCs w:val="15"/>
                        </w:rPr>
                        <w:t> </w:t>
                      </w:r>
                      <w:r>
                        <w:rPr>
                          <w:rFonts w:ascii="宋体" w:hAnsi="宋体" w:cs="宋体" w:eastAsia="宋体" w:hint="default"/>
                          <w:sz w:val="15"/>
                          <w:szCs w:val="15"/>
                        </w:rPr>
                        <w:t>期末余额</w:t>
                      </w:r>
                    </w:p>
                  </w:txbxContent>
                </v:textbox>
                <w10:wrap type="none"/>
              </v:shape>
              <v:shape style="position:absolute;left:2911;top:656;width:3464;height:150" type="#_x0000_t202" filled="false" stroked="false">
                <v:textbox inset="0,0,0,0">
                  <w:txbxContent>
                    <w:p>
                      <w:pPr>
                        <w:tabs>
                          <w:tab w:pos="1604" w:val="left" w:leader="none"/>
                          <w:tab w:pos="2338" w:val="left" w:leader="none"/>
                          <w:tab w:pos="3163"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期限</w:t>
                        <w:tab/>
                        <w:t>利息</w:t>
                        <w:tab/>
                        <w:t>利息</w:t>
                        <w:tab/>
                        <w:t>利息</w:t>
                      </w:r>
                    </w:p>
                  </w:txbxContent>
                </v:textbox>
                <w10:wrap type="none"/>
              </v:shape>
              <v:shape style="position:absolute;left:55;top:1066;width:10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东软集团股份有</w:t>
                      </w:r>
                    </w:p>
                  </w:txbxContent>
                </v:textbox>
                <w10:wrap type="none"/>
              </v:shape>
              <v:shape style="position:absolute;left:31;top:1466;width:2709;height:167" type="#_x0000_t202" filled="false" stroked="false">
                <v:textbox inset="0,0,0,0">
                  <w:txbxContent>
                    <w:p>
                      <w:pPr>
                        <w:spacing w:line="167"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限公司 </w:t>
                      </w:r>
                      <w:r>
                        <w:rPr>
                          <w:rFonts w:ascii="Times New Roman" w:hAnsi="Times New Roman" w:cs="Times New Roman" w:eastAsia="Times New Roman" w:hint="default"/>
                          <w:position w:val="1"/>
                          <w:sz w:val="15"/>
                          <w:szCs w:val="15"/>
                        </w:rPr>
                        <w:t>2011 </w:t>
                      </w:r>
                      <w:r>
                        <w:rPr>
                          <w:rFonts w:ascii="宋体" w:hAnsi="宋体" w:cs="宋体" w:eastAsia="宋体" w:hint="default"/>
                          <w:position w:val="1"/>
                          <w:sz w:val="15"/>
                          <w:szCs w:val="15"/>
                        </w:rPr>
                        <w:t>年度 </w:t>
                      </w:r>
                      <w:r>
                        <w:rPr>
                          <w:rFonts w:ascii="Times New Roman" w:hAnsi="Times New Roman" w:cs="Times New Roman" w:eastAsia="Times New Roman" w:hint="default"/>
                          <w:sz w:val="15"/>
                          <w:szCs w:val="15"/>
                        </w:rPr>
                        <w:t>400,000,000</w:t>
                      </w:r>
                      <w:r>
                        <w:rPr>
                          <w:rFonts w:ascii="Times New Roman" w:hAnsi="Times New Roman" w:cs="Times New Roman" w:eastAsia="Times New Roman" w:hint="default"/>
                          <w:spacing w:val="-5"/>
                          <w:sz w:val="15"/>
                          <w:szCs w:val="15"/>
                        </w:rPr>
                        <w:t> </w:t>
                      </w:r>
                      <w:r>
                        <w:rPr>
                          <w:rFonts w:ascii="Times New Roman" w:hAnsi="Times New Roman" w:cs="Times New Roman" w:eastAsia="Times New Roman" w:hint="default"/>
                          <w:sz w:val="15"/>
                          <w:szCs w:val="15"/>
                        </w:rPr>
                        <w:t>2011.11.14</w:t>
                      </w:r>
                    </w:p>
                  </w:txbxContent>
                </v:textbox>
                <w10:wrap type="none"/>
              </v:shape>
              <v:shape style="position:absolute;left:2981;top:1466;width:1163;height:167" type="#_x0000_t202" filled="false" stroked="false">
                <v:textbox inset="0,0,0,0">
                  <w:txbxContent>
                    <w:p>
                      <w:pPr>
                        <w:spacing w:line="167" w:lineRule="exact" w:before="0"/>
                        <w:ind w:left="0" w:right="0" w:firstLine="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position w:val="1"/>
                          <w:sz w:val="15"/>
                          <w:szCs w:val="15"/>
                        </w:rPr>
                        <w:t>3 </w:t>
                      </w:r>
                      <w:r>
                        <w:rPr>
                          <w:rFonts w:ascii="宋体" w:hAnsi="宋体" w:cs="宋体" w:eastAsia="宋体" w:hint="default"/>
                          <w:position w:val="1"/>
                          <w:sz w:val="15"/>
                          <w:szCs w:val="15"/>
                        </w:rPr>
                        <w:t>年</w:t>
                      </w:r>
                      <w:r>
                        <w:rPr>
                          <w:rFonts w:ascii="宋体" w:hAnsi="宋体" w:cs="宋体" w:eastAsia="宋体" w:hint="default"/>
                          <w:spacing w:val="68"/>
                          <w:position w:val="1"/>
                          <w:sz w:val="15"/>
                          <w:szCs w:val="15"/>
                        </w:rPr>
                        <w:t> </w:t>
                      </w:r>
                      <w:r>
                        <w:rPr>
                          <w:rFonts w:ascii="Times New Roman" w:hAnsi="Times New Roman" w:cs="Times New Roman" w:eastAsia="Times New Roman" w:hint="default"/>
                          <w:sz w:val="15"/>
                          <w:szCs w:val="15"/>
                        </w:rPr>
                        <w:t>400,000,000</w:t>
                      </w:r>
                    </w:p>
                  </w:txbxContent>
                </v:textbox>
                <w10:wrap type="none"/>
              </v:shape>
              <v:shape style="position:absolute;left:5099;top:1482;width:6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3,658,667</w:t>
                      </w:r>
                    </w:p>
                  </w:txbxContent>
                </v:textbox>
                <w10:wrap type="none"/>
              </v:shape>
              <v:shape style="position:absolute;left:6716;top:1482;width:6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3,658,667</w:t>
                      </w:r>
                    </w:p>
                  </w:txbxContent>
                </v:textbox>
                <w10:wrap type="none"/>
              </v:shape>
              <v:shape style="position:absolute;left:7585;top:1482;width:75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403,658,667</w:t>
                      </w:r>
                    </w:p>
                  </w:txbxContent>
                </v:textbox>
                <w10:wrap type="none"/>
              </v:shape>
              <v:shape style="position:absolute;left:53;top:1867;width:10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第一期中期票据</w:t>
                      </w:r>
                    </w:p>
                  </w:txbxContent>
                </v:textbox>
                <w10:wrap type="none"/>
              </v:shape>
            </v:group>
          </v:group>
        </w:pict>
      </w:r>
      <w:r>
        <w:rPr>
          <w:rFonts w:ascii="宋体" w:hAnsi="宋体" w:cs="宋体" w:eastAsia="宋体" w:hint="default"/>
          <w:position w:val="-40"/>
          <w:sz w:val="20"/>
          <w:szCs w:val="20"/>
        </w:rPr>
      </w:r>
    </w:p>
    <w:p>
      <w:pPr>
        <w:pStyle w:val="BodyText"/>
        <w:spacing w:line="240" w:lineRule="auto" w:before="93"/>
        <w:ind w:left="665" w:right="0"/>
        <w:jc w:val="left"/>
      </w:pPr>
      <w:r>
        <w:rPr/>
        <w:t>报告</w:t>
      </w:r>
      <w:r>
        <w:rPr>
          <w:spacing w:val="-2"/>
        </w:rPr>
        <w:t>期</w:t>
      </w:r>
      <w:r>
        <w:rPr/>
        <w:t>内</w:t>
      </w:r>
      <w:r>
        <w:rPr>
          <w:spacing w:val="-89"/>
        </w:rPr>
        <w:t>，</w:t>
      </w:r>
      <w:r>
        <w:rPr/>
        <w:t>公司根据</w:t>
      </w:r>
      <w:r>
        <w:rPr>
          <w:spacing w:val="-53"/>
        </w:rPr>
        <w:t> </w:t>
      </w:r>
      <w:r>
        <w:rPr/>
        <w:t>2010</w:t>
      </w:r>
      <w:r>
        <w:rPr>
          <w:spacing w:val="-52"/>
        </w:rPr>
        <w:t> </w:t>
      </w:r>
      <w:r>
        <w:rPr/>
        <w:t>年度</w:t>
      </w:r>
      <w:r>
        <w:rPr>
          <w:spacing w:val="-2"/>
        </w:rPr>
        <w:t>股</w:t>
      </w:r>
      <w:r>
        <w:rPr/>
        <w:t>东大会审议通过</w:t>
      </w:r>
      <w:r>
        <w:rPr>
          <w:spacing w:val="-90"/>
        </w:rPr>
        <w:t>的</w:t>
      </w:r>
      <w:r>
        <w:rPr/>
        <w:t>《关于发行短期融资券</w:t>
      </w:r>
      <w:r>
        <w:rPr>
          <w:spacing w:val="-89"/>
        </w:rPr>
        <w:t>、</w:t>
      </w:r>
      <w:r>
        <w:rPr/>
        <w:t>中期票据的议案</w:t>
      </w:r>
      <w:r>
        <w:rPr>
          <w:spacing w:val="-105"/>
        </w:rPr>
        <w:t>》</w:t>
      </w:r>
      <w:r>
        <w:rPr/>
        <w:t>，</w:t>
      </w:r>
    </w:p>
    <w:p>
      <w:pPr>
        <w:pStyle w:val="BodyText"/>
        <w:spacing w:line="350" w:lineRule="auto" w:before="125"/>
        <w:ind w:left="705" w:right="207"/>
        <w:jc w:val="both"/>
      </w:pPr>
      <w:r>
        <w:rPr/>
        <w:t>于</w:t>
      </w:r>
      <w:r>
        <w:rPr>
          <w:spacing w:val="-58"/>
        </w:rPr>
        <w:t> </w:t>
      </w:r>
      <w:r>
        <w:rPr>
          <w:spacing w:val="-1"/>
        </w:rPr>
        <w:t>2011</w:t>
      </w:r>
      <w:r>
        <w:rPr>
          <w:spacing w:val="-57"/>
        </w:rPr>
        <w:t> </w:t>
      </w:r>
      <w:r>
        <w:rPr/>
        <w:t>年</w:t>
      </w:r>
      <w:r>
        <w:rPr>
          <w:spacing w:val="-59"/>
        </w:rPr>
        <w:t> </w:t>
      </w:r>
      <w:r>
        <w:rPr>
          <w:spacing w:val="-1"/>
        </w:rPr>
        <w:t>11</w:t>
      </w:r>
      <w:r>
        <w:rPr>
          <w:spacing w:val="-57"/>
        </w:rPr>
        <w:t> </w:t>
      </w:r>
      <w:r>
        <w:rPr/>
        <w:t>月</w:t>
      </w:r>
      <w:r>
        <w:rPr>
          <w:spacing w:val="-59"/>
        </w:rPr>
        <w:t> </w:t>
      </w:r>
      <w:r>
        <w:rPr>
          <w:spacing w:val="-1"/>
        </w:rPr>
        <w:t>11</w:t>
      </w:r>
      <w:r>
        <w:rPr>
          <w:spacing w:val="-57"/>
        </w:rPr>
        <w:t> </w:t>
      </w:r>
      <w:r>
        <w:rPr>
          <w:spacing w:val="-4"/>
        </w:rPr>
        <w:t>日通过簿记建档、集中配售的方式在全国银行间债券市场公开发行了</w:t>
      </w:r>
      <w:r>
        <w:rPr>
          <w:spacing w:val="-58"/>
        </w:rPr>
        <w:t> </w:t>
      </w:r>
      <w:r>
        <w:rPr/>
        <w:t>2011</w:t>
      </w:r>
      <w:r>
        <w:rPr/>
        <w:t> </w:t>
      </w:r>
      <w:r>
        <w:rPr>
          <w:spacing w:val="-3"/>
        </w:rPr>
        <w:t>年度第一期中期票据（简称：11</w:t>
      </w:r>
      <w:r>
        <w:rPr>
          <w:spacing w:val="-46"/>
        </w:rPr>
        <w:t> </w:t>
      </w:r>
      <w:r>
        <w:rPr>
          <w:spacing w:val="-1"/>
        </w:rPr>
        <w:t>东软</w:t>
      </w:r>
      <w:r>
        <w:rPr>
          <w:spacing w:val="-47"/>
        </w:rPr>
        <w:t> </w:t>
      </w:r>
      <w:r>
        <w:rPr>
          <w:spacing w:val="-6"/>
        </w:rPr>
        <w:t>MTN1，代码：1182321）。本次发行的主承销商为兴业银</w:t>
      </w:r>
      <w:r>
        <w:rPr>
          <w:spacing w:val="-103"/>
        </w:rPr>
        <w:t> </w:t>
      </w:r>
      <w:r>
        <w:rPr>
          <w:spacing w:val="-103"/>
        </w:rPr>
      </w:r>
      <w:r>
        <w:rPr/>
        <w:t>行股份有限公司，实际发行总额为</w:t>
      </w:r>
      <w:r>
        <w:rPr>
          <w:spacing w:val="-52"/>
        </w:rPr>
        <w:t> </w:t>
      </w:r>
      <w:r>
        <w:rPr/>
        <w:t>4</w:t>
      </w:r>
      <w:r>
        <w:rPr>
          <w:spacing w:val="-52"/>
        </w:rPr>
        <w:t> </w:t>
      </w:r>
      <w:r>
        <w:rPr/>
        <w:t>亿元人民币，期限为</w:t>
      </w:r>
      <w:r>
        <w:rPr>
          <w:spacing w:val="-52"/>
        </w:rPr>
        <w:t> </w:t>
      </w:r>
      <w:r>
        <w:rPr/>
        <w:t>3</w:t>
      </w:r>
      <w:r>
        <w:rPr>
          <w:spacing w:val="-53"/>
        </w:rPr>
        <w:t> </w:t>
      </w:r>
      <w:r>
        <w:rPr/>
        <w:t>年，面值为每张</w:t>
      </w:r>
      <w:r>
        <w:rPr>
          <w:spacing w:val="-52"/>
        </w:rPr>
        <w:t> </w:t>
      </w:r>
      <w:r>
        <w:rPr/>
        <w:t>100</w:t>
      </w:r>
      <w:r>
        <w:rPr>
          <w:spacing w:val="-52"/>
        </w:rPr>
        <w:t> </w:t>
      </w:r>
      <w:r>
        <w:rPr/>
        <w:t>元，计息方</w:t>
      </w:r>
    </w:p>
    <w:p>
      <w:pPr>
        <w:pStyle w:val="BodyText"/>
        <w:spacing w:line="350" w:lineRule="auto" w:before="28"/>
        <w:ind w:left="705" w:right="102"/>
        <w:jc w:val="left"/>
      </w:pPr>
      <w:r>
        <w:rPr/>
        <w:t>式为附息固定，票面利率为</w:t>
      </w:r>
      <w:r>
        <w:rPr>
          <w:spacing w:val="-59"/>
        </w:rPr>
        <w:t> </w:t>
      </w:r>
      <w:r>
        <w:rPr/>
        <w:t>6.86%，募集资金已于</w:t>
      </w:r>
      <w:r>
        <w:rPr>
          <w:spacing w:val="-59"/>
        </w:rPr>
        <w:t> </w:t>
      </w:r>
      <w:r>
        <w:rPr/>
        <w:t>2011</w:t>
      </w:r>
      <w:r>
        <w:rPr>
          <w:spacing w:val="-58"/>
        </w:rPr>
        <w:t> </w:t>
      </w:r>
      <w:r>
        <w:rPr/>
        <w:t>年</w:t>
      </w:r>
      <w:r>
        <w:rPr>
          <w:spacing w:val="-59"/>
        </w:rPr>
        <w:t> </w:t>
      </w:r>
      <w:r>
        <w:rPr/>
        <w:t>11</w:t>
      </w:r>
      <w:r>
        <w:rPr>
          <w:spacing w:val="-58"/>
        </w:rPr>
        <w:t> </w:t>
      </w:r>
      <w:r>
        <w:rPr/>
        <w:t>月</w:t>
      </w:r>
      <w:r>
        <w:rPr>
          <w:spacing w:val="-60"/>
        </w:rPr>
        <w:t> </w:t>
      </w:r>
      <w:r>
        <w:rPr/>
        <w:t>14</w:t>
      </w:r>
      <w:r>
        <w:rPr>
          <w:spacing w:val="-58"/>
        </w:rPr>
        <w:t> </w:t>
      </w:r>
      <w:r>
        <w:rPr/>
        <w:t>日全额到账，预提至年末</w:t>
      </w:r>
      <w:r>
        <w:rPr/>
        <w:t> 利息为</w:t>
      </w:r>
      <w:r>
        <w:rPr>
          <w:spacing w:val="-50"/>
        </w:rPr>
        <w:t> </w:t>
      </w:r>
      <w:r>
        <w:rPr/>
        <w:t>366</w:t>
      </w:r>
      <w:r>
        <w:rPr>
          <w:spacing w:val="-50"/>
        </w:rPr>
        <w:t> </w:t>
      </w:r>
      <w:r>
        <w:rPr>
          <w:spacing w:val="-9"/>
        </w:rPr>
        <w:t>万元。本次中期票据发行的相关文件详见中国货币网</w:t>
      </w:r>
      <w:hyperlink r:id="rId14">
        <w:r>
          <w:rPr>
            <w:spacing w:val="-9"/>
          </w:rPr>
          <w:t>（</w:t>
        </w:r>
        <w:r>
          <w:rPr>
            <w:spacing w:val="7"/>
          </w:rPr>
          <w:t> </w:t>
        </w:r>
        <w:r>
          <w:rPr>
            <w:spacing w:val="-1"/>
          </w:rPr>
          <w:t>www.chinamoney.com.cn</w:t>
        </w:r>
      </w:hyperlink>
      <w:r>
        <w:rPr>
          <w:spacing w:val="7"/>
        </w:rPr>
        <w:t> </w:t>
      </w:r>
      <w:r>
        <w:rPr/>
        <w:t>）</w:t>
      </w:r>
      <w:r>
        <w:rPr/>
        <w:t> </w:t>
      </w:r>
      <w:hyperlink r:id="rId15">
        <w:r>
          <w:rPr>
            <w:spacing w:val="-5"/>
          </w:rPr>
          <w:t>或中国债券信息网（www.chinabond.com.cn</w:t>
        </w:r>
      </w:hyperlink>
      <w:r>
        <w:rPr>
          <w:spacing w:val="-5"/>
        </w:rPr>
        <w:t>）。</w:t>
      </w:r>
    </w:p>
    <w:p>
      <w:pPr>
        <w:spacing w:after="0" w:line="350" w:lineRule="auto"/>
        <w:jc w:val="left"/>
        <w:sectPr>
          <w:pgSz w:w="11910" w:h="16840"/>
          <w:pgMar w:header="0" w:footer="1003" w:top="1540" w:bottom="1200" w:left="1660" w:right="92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pStyle w:val="Heading6"/>
        <w:spacing w:line="240" w:lineRule="auto"/>
        <w:ind w:left="143" w:right="3566"/>
        <w:jc w:val="left"/>
        <w:rPr>
          <w:b w:val="0"/>
          <w:bCs w:val="0"/>
        </w:rPr>
      </w:pPr>
      <w:r>
        <w:rPr/>
        <w:t>(三十三)长期应付款</w:t>
      </w:r>
      <w:r>
        <w:rPr>
          <w:b w:val="0"/>
          <w:bCs w:val="0"/>
        </w:rPr>
      </w:r>
    </w:p>
    <w:p>
      <w:pPr>
        <w:spacing w:line="240" w:lineRule="auto" w:before="5"/>
        <w:rPr>
          <w:rFonts w:ascii="宋体" w:hAnsi="宋体" w:cs="宋体" w:eastAsia="宋体" w:hint="default"/>
          <w:b/>
          <w:bCs/>
          <w:sz w:val="2"/>
          <w:szCs w:val="2"/>
        </w:rPr>
      </w:pPr>
    </w:p>
    <w:p>
      <w:pPr>
        <w:spacing w:line="2490" w:lineRule="exact"/>
        <w:ind w:left="737"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24.95pt;height:124.5pt;mso-position-horizontal-relative:char;mso-position-vertical-relative:line" coordorigin="0,0" coordsize="8499,2490">
            <v:group style="position:absolute;left:29;top:15;width:4644;height:2" coordorigin="29,15" coordsize="4644,2">
              <v:shape style="position:absolute;left:29;top:15;width:4644;height:2" coordorigin="29,15" coordsize="4644,0" path="m29,15l4673,15e" filled="false" stroked="true" strokeweight="1.5pt" strokecolor="#000000">
                <v:path arrowok="t"/>
              </v:shape>
            </v:group>
            <v:group style="position:absolute;left:4673;top:15;width:914;height:2" coordorigin="4673,15" coordsize="914,2">
              <v:shape style="position:absolute;left:4673;top:15;width:914;height:2" coordorigin="4673,15" coordsize="914,0" path="m4673,15l5587,15e" filled="false" stroked="true" strokeweight="1.5pt" strokecolor="#000000">
                <v:path arrowok="t"/>
              </v:shape>
            </v:group>
            <v:group style="position:absolute;left:5587;top:15;width:2884;height:2" coordorigin="5587,15" coordsize="2884,2">
              <v:shape style="position:absolute;left:5587;top:15;width:2884;height:2" coordorigin="5587,15" coordsize="2884,0" path="m5587,15l8470,15e" filled="false" stroked="true" strokeweight="1.5pt" strokecolor="#000000">
                <v:path arrowok="t"/>
              </v:shape>
              <v:shape style="position:absolute;left:1645;top:10;width:5851;height:840" type="#_x0000_t75" stroked="false">
                <v:imagedata r:id="rId254" o:title=""/>
              </v:shape>
            </v:group>
            <v:group style="position:absolute;left:15;top:2475;width:1650;height:2" coordorigin="15,2475" coordsize="1650,2">
              <v:shape style="position:absolute;left:15;top:2475;width:1650;height:2" coordorigin="15,2475" coordsize="1650,0" path="m15,2475l1665,2475e" filled="false" stroked="true" strokeweight="1.5pt" strokecolor="#000000">
                <v:path arrowok="t"/>
              </v:shape>
            </v:group>
            <v:group style="position:absolute;left:1665;top:2475;width:1841;height:2" coordorigin="1665,2475" coordsize="1841,2">
              <v:shape style="position:absolute;left:1665;top:2475;width:1841;height:2" coordorigin="1665,2475" coordsize="1841,0" path="m1665,2475l3506,2475e" filled="false" stroked="true" strokeweight="1.5pt" strokecolor="#000000">
                <v:path arrowok="t"/>
              </v:shape>
            </v:group>
            <v:group style="position:absolute;left:3506;top:2475;width:1138;height:2" coordorigin="3506,2475" coordsize="1138,2">
              <v:shape style="position:absolute;left:3506;top:2475;width:1138;height:2" coordorigin="3506,2475" coordsize="1138,0" path="m3506,2475l4643,2475e" filled="false" stroked="true" strokeweight="1.5pt" strokecolor="#000000">
                <v:path arrowok="t"/>
              </v:shape>
            </v:group>
            <v:group style="position:absolute;left:4643;top:2475;width:30;height:2" coordorigin="4643,2475" coordsize="30,2">
              <v:shape style="position:absolute;left:4643;top:2475;width:30;height:2" coordorigin="4643,2475" coordsize="30,0" path="m4643,2475l4673,2475e" filled="false" stroked="true" strokeweight="1.5pt" strokecolor="#000000">
                <v:path arrowok="t"/>
              </v:shape>
            </v:group>
            <v:group style="position:absolute;left:4673;top:2475;width:914;height:2" coordorigin="4673,2475" coordsize="914,2">
              <v:shape style="position:absolute;left:4673;top:2475;width:914;height:2" coordorigin="4673,2475" coordsize="914,0" path="m4673,2475l5587,2475e" filled="false" stroked="true" strokeweight="1.5pt" strokecolor="#000000">
                <v:path arrowok="t"/>
              </v:shape>
            </v:group>
            <v:group style="position:absolute;left:5587;top:2475;width:744;height:2" coordorigin="5587,2475" coordsize="744,2">
              <v:shape style="position:absolute;left:5587;top:2475;width:744;height:2" coordorigin="5587,2475" coordsize="744,0" path="m5587,2475l6331,2475e" filled="false" stroked="true" strokeweight="1.5pt" strokecolor="#000000">
                <v:path arrowok="t"/>
              </v:shape>
            </v:group>
            <v:group style="position:absolute;left:6331;top:2475;width:1137;height:2" coordorigin="6331,2475" coordsize="1137,2">
              <v:shape style="position:absolute;left:6331;top:2475;width:1137;height:2" coordorigin="6331,2475" coordsize="1137,0" path="m6331,2475l7467,2475e" filled="false" stroked="true" strokeweight="1.5pt" strokecolor="#000000">
                <v:path arrowok="t"/>
              </v:shape>
              <v:shape style="position:absolute;left:1;top:807;width:8498;height:1653" type="#_x0000_t75" stroked="false">
                <v:imagedata r:id="rId255" o:title=""/>
              </v:shape>
            </v:group>
            <v:group style="position:absolute;left:7467;top:2475;width:1004;height:2" coordorigin="7467,2475" coordsize="1004,2">
              <v:shape style="position:absolute;left:7467;top:2475;width:1004;height:2" coordorigin="7467,2475" coordsize="1004,0" path="m7467,2475l8470,2475e" filled="false" stroked="true" strokeweight="1.5pt" strokecolor="#000000">
                <v:path arrowok="t"/>
              </v:shape>
              <v:shape style="position:absolute;left:5783;top:22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应计</w:t>
                      </w:r>
                    </w:p>
                  </w:txbxContent>
                </v:textbox>
                <w10:wrap type="none"/>
              </v:shape>
              <v:shape style="position:absolute;left:489;top:42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1029;top:42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2320;top:42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  限</w:t>
                      </w:r>
                    </w:p>
                  </w:txbxContent>
                </v:textbox>
                <w10:wrap type="none"/>
              </v:shape>
              <v:shape style="position:absolute;left:3719;top:42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4755;top:423;width:819;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pacing w:val="-11"/>
                          <w:sz w:val="18"/>
                          <w:szCs w:val="18"/>
                        </w:rPr>
                        <w:t>利率（</w:t>
                      </w:r>
                      <w:r>
                        <w:rPr>
                          <w:rFonts w:ascii="Times New Roman" w:hAnsi="Times New Roman" w:cs="Times New Roman" w:eastAsia="Times New Roman" w:hint="default"/>
                          <w:spacing w:val="-11"/>
                          <w:sz w:val="18"/>
                          <w:szCs w:val="18"/>
                        </w:rPr>
                        <w:t>%</w:t>
                      </w:r>
                      <w:r>
                        <w:rPr>
                          <w:rFonts w:ascii="宋体" w:hAnsi="宋体" w:cs="宋体" w:eastAsia="宋体" w:hint="default"/>
                          <w:spacing w:val="-11"/>
                          <w:sz w:val="18"/>
                          <w:szCs w:val="18"/>
                        </w:rPr>
                        <w:t>）</w:t>
                      </w:r>
                    </w:p>
                  </w:txbxContent>
                </v:textbox>
                <w10:wrap type="none"/>
              </v:shape>
              <v:shape style="position:absolute;left:6543;top:42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7611;top:42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借款条件</w:t>
                      </w:r>
                    </w:p>
                  </w:txbxContent>
                </v:textbox>
                <w10:wrap type="none"/>
              </v:shape>
              <v:shape style="position:absolute;left:5783;top:62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利息</w:t>
                      </w:r>
                    </w:p>
                  </w:txbxContent>
                </v:textbox>
                <w10:wrap type="none"/>
              </v:shape>
              <v:shape style="position:absolute;left:137;top:103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住房周转金</w:t>
                      </w:r>
                    </w:p>
                  </w:txbxContent>
                </v:textbox>
                <w10:wrap type="none"/>
              </v:shape>
              <v:shape style="position:absolute;left:3730;top:105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14,609,431</w:t>
                      </w:r>
                    </w:p>
                  </w:txbxContent>
                </v:textbox>
                <w10:wrap type="none"/>
              </v:shape>
              <v:shape style="position:absolute;left:6554;top:105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14,609,431</w:t>
                      </w:r>
                    </w:p>
                  </w:txbxContent>
                </v:textbox>
                <w10:wrap type="none"/>
              </v:shape>
              <v:shape style="position:absolute;left:137;top:1443;width:142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沈阳东软 </w:t>
                      </w:r>
                      <w:r>
                        <w:rPr>
                          <w:rFonts w:ascii="Times New Roman" w:hAnsi="Times New Roman" w:cs="Times New Roman" w:eastAsia="Times New Roman" w:hint="default"/>
                          <w:sz w:val="18"/>
                          <w:szCs w:val="18"/>
                        </w:rPr>
                        <w:t>IT</w:t>
                      </w:r>
                      <w:r>
                        <w:rPr>
                          <w:rFonts w:ascii="Times New Roman" w:hAnsi="Times New Roman" w:cs="Times New Roman" w:eastAsia="Times New Roman" w:hint="default"/>
                          <w:spacing w:val="38"/>
                          <w:sz w:val="18"/>
                          <w:szCs w:val="18"/>
                        </w:rPr>
                        <w:t> </w:t>
                      </w:r>
                      <w:r>
                        <w:rPr>
                          <w:rFonts w:ascii="宋体" w:hAnsi="宋体" w:cs="宋体" w:eastAsia="宋体" w:hint="default"/>
                          <w:sz w:val="18"/>
                          <w:szCs w:val="18"/>
                        </w:rPr>
                        <w:t>人才</w:t>
                      </w:r>
                    </w:p>
                  </w:txbxContent>
                </v:textbox>
                <w10:wrap type="none"/>
              </v:shape>
              <v:shape style="position:absolute;left:1755;top:1661;width:2787;height:180" type="#_x0000_t202" filled="false" stroked="false">
                <v:textbox inset="0,0,0,0">
                  <w:txbxContent>
                    <w:p>
                      <w:pPr>
                        <w:tabs>
                          <w:tab w:pos="1884"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2008.10.01-2018.10.01</w:t>
                        <w:tab/>
                      </w:r>
                      <w:r>
                        <w:rPr>
                          <w:rFonts w:ascii="Times New Roman"/>
                          <w:sz w:val="18"/>
                        </w:rPr>
                        <w:t>120,000,000</w:t>
                      </w:r>
                    </w:p>
                  </w:txbxContent>
                </v:textbox>
                <w10:wrap type="none"/>
              </v:shape>
              <v:shape style="position:absolute;left:6464;top:166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120,000,000</w:t>
                      </w:r>
                    </w:p>
                  </w:txbxContent>
                </v:textbox>
                <w10:wrap type="none"/>
              </v:shape>
              <v:shape style="position:absolute;left:7821;top:1642;width:30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xbxContent>
                </v:textbox>
                <w10:wrap type="none"/>
              </v:shape>
              <v:shape style="position:absolute;left:137;top:184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实训基地建设款</w:t>
                      </w:r>
                    </w:p>
                  </w:txbxContent>
                </v:textbox>
                <w10:wrap type="none"/>
              </v:shape>
              <v:shape style="position:absolute;left:489;top:225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1029;top:225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3640;top:227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134,609,431</w:t>
                      </w:r>
                    </w:p>
                  </w:txbxContent>
                </v:textbox>
                <w10:wrap type="none"/>
              </v:shape>
              <v:shape style="position:absolute;left:6464;top:227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134,609,431</w:t>
                      </w:r>
                    </w:p>
                  </w:txbxContent>
                </v:textbox>
                <w10:wrap type="none"/>
              </v:shape>
            </v:group>
          </v:group>
        </w:pict>
      </w:r>
      <w:r>
        <w:rPr>
          <w:rFonts w:ascii="宋体" w:hAnsi="宋体" w:cs="宋体" w:eastAsia="宋体" w:hint="default"/>
          <w:position w:val="-49"/>
          <w:sz w:val="20"/>
          <w:szCs w:val="20"/>
        </w:rPr>
      </w:r>
    </w:p>
    <w:p>
      <w:pPr>
        <w:pStyle w:val="BodyText"/>
        <w:spacing w:line="348" w:lineRule="auto" w:before="93"/>
        <w:ind w:left="875" w:right="193"/>
        <w:jc w:val="left"/>
      </w:pPr>
      <w:r>
        <w:rPr>
          <w:spacing w:val="-4"/>
        </w:rPr>
        <w:t>注：沈阳东软</w:t>
      </w:r>
      <w:r>
        <w:rPr>
          <w:spacing w:val="-70"/>
        </w:rPr>
        <w:t> </w:t>
      </w:r>
      <w:r>
        <w:rPr/>
        <w:t>IT</w:t>
      </w:r>
      <w:r>
        <w:rPr>
          <w:spacing w:val="-70"/>
        </w:rPr>
        <w:t> </w:t>
      </w:r>
      <w:r>
        <w:rPr/>
        <w:t>人才实训基地建设款，为本公司于以前年度收到的沈阳浑南新区管委会提</w:t>
      </w:r>
      <w:r>
        <w:rPr>
          <w:spacing w:val="-1"/>
        </w:rPr>
        <w:t> </w:t>
      </w:r>
      <w:r>
        <w:rPr/>
        <w:t>供给公司的共 120,000,000</w:t>
      </w:r>
      <w:r>
        <w:rPr>
          <w:spacing w:val="-39"/>
        </w:rPr>
        <w:t> </w:t>
      </w:r>
      <w:r>
        <w:rPr/>
        <w:t>元建设资金支持，该建设资金不计收利息和其他任何费用，自</w:t>
      </w:r>
    </w:p>
    <w:p>
      <w:pPr>
        <w:pStyle w:val="BodyText"/>
        <w:spacing w:line="240" w:lineRule="auto" w:before="31"/>
        <w:ind w:left="875" w:right="0"/>
        <w:jc w:val="left"/>
      </w:pPr>
      <w:r>
        <w:rPr/>
        <w:t>2008</w:t>
      </w:r>
      <w:r>
        <w:rPr>
          <w:spacing w:val="-53"/>
        </w:rPr>
        <w:t> </w:t>
      </w:r>
      <w:r>
        <w:rPr/>
        <w:t>年</w:t>
      </w:r>
      <w:r>
        <w:rPr>
          <w:spacing w:val="-53"/>
        </w:rPr>
        <w:t> </w:t>
      </w:r>
      <w:r>
        <w:rPr/>
        <w:t>10</w:t>
      </w:r>
      <w:r>
        <w:rPr>
          <w:spacing w:val="-53"/>
        </w:rPr>
        <w:t> </w:t>
      </w:r>
      <w:r>
        <w:rPr/>
        <w:t>月</w:t>
      </w:r>
      <w:r>
        <w:rPr>
          <w:spacing w:val="-53"/>
        </w:rPr>
        <w:t> </w:t>
      </w:r>
      <w:r>
        <w:rPr/>
        <w:t>1</w:t>
      </w:r>
      <w:r>
        <w:rPr>
          <w:spacing w:val="-52"/>
        </w:rPr>
        <w:t> </w:t>
      </w:r>
      <w:r>
        <w:rPr>
          <w:spacing w:val="-5"/>
        </w:rPr>
        <w:t>日始，使用期限为</w:t>
      </w:r>
      <w:r>
        <w:rPr>
          <w:spacing w:val="-53"/>
        </w:rPr>
        <w:t> </w:t>
      </w:r>
      <w:r>
        <w:rPr/>
        <w:t>10</w:t>
      </w:r>
      <w:r>
        <w:rPr>
          <w:spacing w:val="-52"/>
        </w:rPr>
        <w:t> </w:t>
      </w:r>
      <w:r>
        <w:rPr>
          <w:spacing w:val="-6"/>
        </w:rPr>
        <w:t>年，本公司需于</w:t>
      </w:r>
      <w:r>
        <w:rPr>
          <w:spacing w:val="-53"/>
        </w:rPr>
        <w:t> </w:t>
      </w:r>
      <w:r>
        <w:rPr/>
        <w:t>2013</w:t>
      </w:r>
      <w:r>
        <w:rPr>
          <w:spacing w:val="-52"/>
        </w:rPr>
        <w:t> </w:t>
      </w:r>
      <w:r>
        <w:rPr>
          <w:spacing w:val="-6"/>
        </w:rPr>
        <w:t>年开始，于每年</w:t>
      </w:r>
      <w:r>
        <w:rPr>
          <w:spacing w:val="-53"/>
        </w:rPr>
        <w:t> </w:t>
      </w:r>
      <w:r>
        <w:rPr/>
        <w:t>10</w:t>
      </w:r>
      <w:r>
        <w:rPr>
          <w:spacing w:val="-52"/>
        </w:rPr>
        <w:t> </w:t>
      </w:r>
      <w:r>
        <w:rPr/>
        <w:t>月</w:t>
      </w:r>
      <w:r>
        <w:rPr>
          <w:spacing w:val="-53"/>
        </w:rPr>
        <w:t> </w:t>
      </w:r>
      <w:r>
        <w:rPr/>
        <w:t>31</w:t>
      </w:r>
      <w:r>
        <w:rPr>
          <w:spacing w:val="-53"/>
        </w:rPr>
        <w:t> </w:t>
      </w:r>
      <w:r>
        <w:rPr/>
        <w:t>日前偿</w:t>
      </w:r>
    </w:p>
    <w:p>
      <w:pPr>
        <w:pStyle w:val="BodyText"/>
        <w:spacing w:line="240" w:lineRule="auto" w:before="125"/>
        <w:ind w:left="875" w:right="3566"/>
        <w:jc w:val="left"/>
      </w:pPr>
      <w:r>
        <w:rPr/>
        <w:t>还</w:t>
      </w:r>
      <w:r>
        <w:rPr>
          <w:spacing w:val="-57"/>
        </w:rPr>
        <w:t> </w:t>
      </w:r>
      <w:r>
        <w:rPr/>
        <w:t>24,000,000</w:t>
      </w:r>
      <w:r>
        <w:rPr>
          <w:spacing w:val="-56"/>
        </w:rPr>
        <w:t> </w:t>
      </w:r>
      <w:r>
        <w:rPr/>
        <w:t>元，分</w:t>
      </w:r>
      <w:r>
        <w:rPr>
          <w:spacing w:val="-58"/>
        </w:rPr>
        <w:t> </w:t>
      </w:r>
      <w:r>
        <w:rPr/>
        <w:t>5</w:t>
      </w:r>
      <w:r>
        <w:rPr>
          <w:spacing w:val="-56"/>
        </w:rPr>
        <w:t> </w:t>
      </w:r>
      <w:r>
        <w:rPr/>
        <w:t>年还清。</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tbl>
      <w:tblPr>
        <w:tblW w:w="0" w:type="auto"/>
        <w:jc w:val="left"/>
        <w:tblInd w:w="108" w:type="dxa"/>
        <w:tblLayout w:type="fixed"/>
        <w:tblCellMar>
          <w:top w:w="0" w:type="dxa"/>
          <w:left w:w="0" w:type="dxa"/>
          <w:bottom w:w="0" w:type="dxa"/>
          <w:right w:w="0" w:type="dxa"/>
        </w:tblCellMar>
        <w:tblLook w:val="01E0"/>
      </w:tblPr>
      <w:tblGrid>
        <w:gridCol w:w="2586"/>
        <w:gridCol w:w="1541"/>
        <w:gridCol w:w="3002"/>
        <w:gridCol w:w="1855"/>
      </w:tblGrid>
      <w:tr>
        <w:trPr>
          <w:trHeight w:val="357" w:hRule="exact"/>
        </w:trPr>
        <w:tc>
          <w:tcPr>
            <w:tcW w:w="2586"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220"/>
              <w:jc w:val="right"/>
              <w:rPr>
                <w:rFonts w:ascii="宋体" w:hAnsi="宋体" w:cs="宋体" w:eastAsia="宋体" w:hint="default"/>
                <w:sz w:val="21"/>
                <w:szCs w:val="21"/>
              </w:rPr>
            </w:pPr>
            <w:r>
              <w:rPr>
                <w:rFonts w:ascii="宋体" w:hAnsi="宋体" w:cs="宋体" w:eastAsia="宋体" w:hint="default"/>
                <w:b/>
                <w:bCs/>
                <w:sz w:val="21"/>
                <w:szCs w:val="21"/>
              </w:rPr>
              <w:t>(三十四)其他非流动负债</w:t>
            </w:r>
            <w:r>
              <w:rPr>
                <w:rFonts w:ascii="宋体" w:hAnsi="宋体" w:cs="宋体" w:eastAsia="宋体" w:hint="default"/>
                <w:sz w:val="21"/>
                <w:szCs w:val="21"/>
              </w:rPr>
            </w:r>
          </w:p>
        </w:tc>
        <w:tc>
          <w:tcPr>
            <w:tcW w:w="6397" w:type="dxa"/>
            <w:gridSpan w:val="3"/>
            <w:tcBorders>
              <w:top w:val="nil" w:sz="6" w:space="0" w:color="auto"/>
              <w:left w:val="nil" w:sz="6" w:space="0" w:color="auto"/>
              <w:bottom w:val="single" w:sz="12" w:space="0" w:color="000000"/>
              <w:right w:val="nil" w:sz="6" w:space="0" w:color="auto"/>
            </w:tcBorders>
          </w:tcPr>
          <w:p>
            <w:pPr/>
          </w:p>
        </w:tc>
      </w:tr>
      <w:tr>
        <w:trPr>
          <w:trHeight w:val="502" w:hRule="exact"/>
        </w:trPr>
        <w:tc>
          <w:tcPr>
            <w:tcW w:w="2586"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right="178"/>
              <w:jc w:val="right"/>
              <w:rPr>
                <w:rFonts w:ascii="宋体" w:hAnsi="宋体" w:cs="宋体" w:eastAsia="宋体" w:hint="default"/>
                <w:sz w:val="18"/>
                <w:szCs w:val="18"/>
              </w:rPr>
            </w:pPr>
            <w:r>
              <w:rPr>
                <w:rFonts w:ascii="宋体" w:hAnsi="宋体" w:cs="宋体" w:eastAsia="宋体" w:hint="default"/>
                <w:sz w:val="18"/>
                <w:szCs w:val="18"/>
              </w:rPr>
              <w:t>项</w:t>
            </w:r>
          </w:p>
        </w:tc>
        <w:tc>
          <w:tcPr>
            <w:tcW w:w="1541"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180" w:right="0"/>
              <w:jc w:val="left"/>
              <w:rPr>
                <w:rFonts w:ascii="宋体" w:hAnsi="宋体" w:cs="宋体" w:eastAsia="宋体" w:hint="default"/>
                <w:sz w:val="18"/>
                <w:szCs w:val="18"/>
              </w:rPr>
            </w:pPr>
            <w:r>
              <w:rPr>
                <w:rFonts w:ascii="宋体" w:hAnsi="宋体" w:cs="宋体" w:eastAsia="宋体" w:hint="default"/>
                <w:sz w:val="18"/>
                <w:szCs w:val="18"/>
              </w:rPr>
              <w:t>目</w:t>
            </w:r>
          </w:p>
        </w:tc>
        <w:tc>
          <w:tcPr>
            <w:tcW w:w="3002"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7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855"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413"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420" w:hRule="exact"/>
        </w:trPr>
        <w:tc>
          <w:tcPr>
            <w:tcW w:w="258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66" w:right="0"/>
              <w:jc w:val="left"/>
              <w:rPr>
                <w:rFonts w:ascii="宋体" w:hAnsi="宋体" w:cs="宋体" w:eastAsia="宋体" w:hint="default"/>
                <w:sz w:val="18"/>
                <w:szCs w:val="18"/>
              </w:rPr>
            </w:pPr>
            <w:r>
              <w:rPr>
                <w:rFonts w:ascii="宋体" w:hAnsi="宋体" w:cs="宋体" w:eastAsia="宋体" w:hint="default"/>
                <w:sz w:val="18"/>
                <w:szCs w:val="18"/>
              </w:rPr>
              <w:t>递延收益（注）</w:t>
            </w:r>
          </w:p>
        </w:tc>
        <w:tc>
          <w:tcPr>
            <w:tcW w:w="1541" w:type="dxa"/>
            <w:tcBorders>
              <w:top w:val="nil" w:sz="6" w:space="0" w:color="auto"/>
              <w:left w:val="nil" w:sz="6" w:space="0" w:color="auto"/>
              <w:bottom w:val="nil" w:sz="6" w:space="0" w:color="auto"/>
              <w:right w:val="nil" w:sz="6" w:space="0" w:color="auto"/>
            </w:tcBorders>
          </w:tcPr>
          <w:p>
            <w:pPr/>
          </w:p>
        </w:tc>
        <w:tc>
          <w:tcPr>
            <w:tcW w:w="300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411"/>
              <w:jc w:val="right"/>
              <w:rPr>
                <w:rFonts w:ascii="Times New Roman" w:hAnsi="Times New Roman" w:cs="Times New Roman" w:eastAsia="Times New Roman" w:hint="default"/>
                <w:sz w:val="18"/>
                <w:szCs w:val="18"/>
              </w:rPr>
            </w:pPr>
            <w:r>
              <w:rPr>
                <w:rFonts w:ascii="Times New Roman"/>
                <w:sz w:val="18"/>
              </w:rPr>
              <w:t>186,425,966</w:t>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6"/>
              <w:jc w:val="right"/>
              <w:rPr>
                <w:rFonts w:ascii="Times New Roman" w:hAnsi="Times New Roman" w:cs="Times New Roman" w:eastAsia="Times New Roman" w:hint="default"/>
                <w:sz w:val="18"/>
                <w:szCs w:val="18"/>
              </w:rPr>
            </w:pPr>
            <w:r>
              <w:rPr>
                <w:rFonts w:ascii="Times New Roman"/>
                <w:sz w:val="18"/>
              </w:rPr>
              <w:t>155,208,310</w:t>
            </w:r>
          </w:p>
        </w:tc>
      </w:tr>
      <w:tr>
        <w:trPr>
          <w:trHeight w:val="410" w:hRule="exact"/>
        </w:trPr>
        <w:tc>
          <w:tcPr>
            <w:tcW w:w="2586" w:type="dxa"/>
            <w:tcBorders>
              <w:top w:val="nil" w:sz="6" w:space="0" w:color="auto"/>
              <w:left w:val="nil" w:sz="6" w:space="0" w:color="auto"/>
              <w:bottom w:val="nil" w:sz="6" w:space="0" w:color="auto"/>
              <w:right w:val="nil" w:sz="6" w:space="0" w:color="auto"/>
            </w:tcBorders>
          </w:tcPr>
          <w:p>
            <w:pPr>
              <w:pStyle w:val="TableParagraph"/>
              <w:tabs>
                <w:tab w:pos="1306" w:val="left" w:leader="none"/>
              </w:tabs>
              <w:spacing w:line="240" w:lineRule="auto" w:before="49"/>
              <w:ind w:left="766"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541" w:type="dxa"/>
            <w:tcBorders>
              <w:top w:val="nil" w:sz="6" w:space="0" w:color="auto"/>
              <w:left w:val="nil" w:sz="6" w:space="0" w:color="auto"/>
              <w:bottom w:val="nil" w:sz="6" w:space="0" w:color="auto"/>
              <w:right w:val="nil" w:sz="6" w:space="0" w:color="auto"/>
            </w:tcBorders>
          </w:tcPr>
          <w:p>
            <w:pPr/>
          </w:p>
        </w:tc>
        <w:tc>
          <w:tcPr>
            <w:tcW w:w="300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1"/>
              <w:jc w:val="right"/>
              <w:rPr>
                <w:rFonts w:ascii="Times New Roman" w:hAnsi="Times New Roman" w:cs="Times New Roman" w:eastAsia="Times New Roman" w:hint="default"/>
                <w:sz w:val="18"/>
                <w:szCs w:val="18"/>
              </w:rPr>
            </w:pPr>
            <w:r>
              <w:rPr>
                <w:rFonts w:ascii="Times New Roman"/>
                <w:sz w:val="18"/>
              </w:rPr>
              <w:t>3,309,908</w:t>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664,015</w:t>
            </w:r>
          </w:p>
        </w:tc>
      </w:tr>
      <w:tr>
        <w:trPr>
          <w:trHeight w:val="328" w:hRule="exact"/>
        </w:trPr>
        <w:tc>
          <w:tcPr>
            <w:tcW w:w="2586"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78"/>
              <w:jc w:val="right"/>
              <w:rPr>
                <w:rFonts w:ascii="宋体" w:hAnsi="宋体" w:cs="宋体" w:eastAsia="宋体" w:hint="default"/>
                <w:sz w:val="18"/>
                <w:szCs w:val="18"/>
              </w:rPr>
            </w:pPr>
            <w:r>
              <w:rPr>
                <w:rFonts w:ascii="宋体" w:hAnsi="宋体" w:cs="宋体" w:eastAsia="宋体" w:hint="default"/>
                <w:sz w:val="18"/>
                <w:szCs w:val="18"/>
              </w:rPr>
              <w:t>合</w:t>
            </w:r>
          </w:p>
        </w:tc>
        <w:tc>
          <w:tcPr>
            <w:tcW w:w="1541"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180"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002"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411"/>
              <w:jc w:val="right"/>
              <w:rPr>
                <w:rFonts w:ascii="Times New Roman" w:hAnsi="Times New Roman" w:cs="Times New Roman" w:eastAsia="Times New Roman" w:hint="default"/>
                <w:sz w:val="18"/>
                <w:szCs w:val="18"/>
              </w:rPr>
            </w:pPr>
            <w:r>
              <w:rPr>
                <w:rFonts w:ascii="Times New Roman"/>
                <w:sz w:val="18"/>
              </w:rPr>
              <w:t>189,735,874</w:t>
            </w:r>
          </w:p>
        </w:tc>
        <w:tc>
          <w:tcPr>
            <w:tcW w:w="185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155,872,325</w:t>
            </w:r>
          </w:p>
        </w:tc>
      </w:tr>
    </w:tbl>
    <w:p>
      <w:pPr>
        <w:pStyle w:val="BodyText"/>
        <w:spacing w:line="240" w:lineRule="auto" w:before="78"/>
        <w:ind w:left="875" w:right="0"/>
        <w:jc w:val="left"/>
      </w:pPr>
      <w:r>
        <w:rPr/>
        <w:pict>
          <v:group style="position:absolute;margin-left:118.919998pt;margin-top:-84.906013pt;width:419.1pt;height:82.65pt;mso-position-horizontal-relative:page;mso-position-vertical-relative:paragraph;z-index:-1114888" coordorigin="2378,-1698" coordsize="8382,1653">
            <v:shape style="position:absolute;left:6236;top:-1698;width:2363;height:446" type="#_x0000_t75" stroked="false">
              <v:imagedata r:id="rId256" o:title=""/>
            </v:shape>
            <v:shape style="position:absolute;left:2378;top:-1300;width:8382;height:1255" type="#_x0000_t75" stroked="false">
              <v:imagedata r:id="rId257" o:title=""/>
            </v:shape>
            <w10:wrap type="none"/>
          </v:group>
        </w:pict>
      </w:r>
      <w:r>
        <w:rPr/>
        <w:t>注：递延收益为本公司及子公司收到的用于补偿公司未来年度相关费用的收益性政府补贴。</w:t>
      </w:r>
    </w:p>
    <w:p>
      <w:pPr>
        <w:spacing w:after="0" w:line="240" w:lineRule="auto"/>
        <w:jc w:val="left"/>
        <w:sectPr>
          <w:pgSz w:w="11910" w:h="16840"/>
          <w:pgMar w:header="0" w:footer="1003" w:top="1540" w:bottom="1200" w:left="1640" w:right="920"/>
        </w:sectPr>
      </w:pPr>
    </w:p>
    <w:p>
      <w:pPr>
        <w:spacing w:line="240" w:lineRule="auto" w:before="2"/>
        <w:rPr>
          <w:rFonts w:ascii="宋体" w:hAnsi="宋体" w:cs="宋体" w:eastAsia="宋体" w:hint="default"/>
          <w:sz w:val="7"/>
          <w:szCs w:val="7"/>
        </w:rPr>
      </w:pPr>
    </w:p>
    <w:tbl>
      <w:tblPr>
        <w:tblW w:w="0" w:type="auto"/>
        <w:jc w:val="left"/>
        <w:tblInd w:w="108" w:type="dxa"/>
        <w:tblLayout w:type="fixed"/>
        <w:tblCellMar>
          <w:top w:w="0" w:type="dxa"/>
          <w:left w:w="0" w:type="dxa"/>
          <w:bottom w:w="0" w:type="dxa"/>
          <w:right w:w="0" w:type="dxa"/>
        </w:tblCellMar>
        <w:tblLook w:val="01E0"/>
      </w:tblPr>
      <w:tblGrid>
        <w:gridCol w:w="2838"/>
        <w:gridCol w:w="1207"/>
        <w:gridCol w:w="566"/>
        <w:gridCol w:w="313"/>
        <w:gridCol w:w="2993"/>
        <w:gridCol w:w="1123"/>
      </w:tblGrid>
      <w:tr>
        <w:trPr>
          <w:trHeight w:val="358" w:hRule="exact"/>
        </w:trPr>
        <w:tc>
          <w:tcPr>
            <w:tcW w:w="2838"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pacing w:val="2"/>
                <w:sz w:val="21"/>
                <w:szCs w:val="21"/>
              </w:rPr>
              <w:t>(三十五)股本</w:t>
            </w:r>
            <w:r>
              <w:rPr>
                <w:rFonts w:ascii="宋体" w:hAnsi="宋体" w:cs="宋体" w:eastAsia="宋体" w:hint="default"/>
                <w:sz w:val="21"/>
                <w:szCs w:val="21"/>
              </w:rPr>
            </w:r>
          </w:p>
        </w:tc>
        <w:tc>
          <w:tcPr>
            <w:tcW w:w="6203" w:type="dxa"/>
            <w:gridSpan w:val="5"/>
            <w:tcBorders>
              <w:top w:val="nil" w:sz="6" w:space="0" w:color="auto"/>
              <w:left w:val="nil" w:sz="6" w:space="0" w:color="auto"/>
              <w:bottom w:val="single" w:sz="12" w:space="0" w:color="000000"/>
              <w:right w:val="nil" w:sz="6" w:space="0" w:color="auto"/>
            </w:tcBorders>
          </w:tcPr>
          <w:p>
            <w:pPr/>
          </w:p>
        </w:tc>
      </w:tr>
      <w:tr>
        <w:trPr>
          <w:trHeight w:val="474" w:hRule="exact"/>
        </w:trPr>
        <w:tc>
          <w:tcPr>
            <w:tcW w:w="2838" w:type="dxa"/>
            <w:tcBorders>
              <w:top w:val="single" w:sz="12" w:space="0" w:color="000000"/>
              <w:left w:val="nil" w:sz="6" w:space="0" w:color="auto"/>
              <w:bottom w:val="nil" w:sz="6" w:space="0" w:color="auto"/>
              <w:right w:val="nil" w:sz="6" w:space="0" w:color="auto"/>
            </w:tcBorders>
          </w:tcPr>
          <w:p>
            <w:pPr/>
          </w:p>
        </w:tc>
        <w:tc>
          <w:tcPr>
            <w:tcW w:w="1207" w:type="dxa"/>
            <w:tcBorders>
              <w:top w:val="single" w:sz="12" w:space="0" w:color="000000"/>
              <w:left w:val="nil" w:sz="6" w:space="0" w:color="auto"/>
              <w:bottom w:val="nil" w:sz="6" w:space="0" w:color="auto"/>
              <w:right w:val="nil" w:sz="6" w:space="0" w:color="auto"/>
            </w:tcBorders>
          </w:tcPr>
          <w:p>
            <w:pPr/>
          </w:p>
        </w:tc>
        <w:tc>
          <w:tcPr>
            <w:tcW w:w="566" w:type="dxa"/>
            <w:tcBorders>
              <w:top w:val="single" w:sz="12" w:space="0" w:color="000000"/>
              <w:left w:val="nil" w:sz="6" w:space="0" w:color="auto"/>
              <w:bottom w:val="nil" w:sz="6" w:space="0" w:color="auto"/>
              <w:right w:val="nil" w:sz="6" w:space="0" w:color="auto"/>
            </w:tcBorders>
          </w:tcPr>
          <w:p>
            <w:pPr/>
          </w:p>
        </w:tc>
        <w:tc>
          <w:tcPr>
            <w:tcW w:w="313" w:type="dxa"/>
            <w:tcBorders>
              <w:top w:val="single" w:sz="12" w:space="0" w:color="000000"/>
              <w:left w:val="nil" w:sz="6" w:space="0" w:color="auto"/>
              <w:bottom w:val="nil" w:sz="6" w:space="0" w:color="auto"/>
              <w:right w:val="nil" w:sz="6" w:space="0" w:color="auto"/>
            </w:tcBorders>
          </w:tcPr>
          <w:p>
            <w:pPr/>
          </w:p>
        </w:tc>
        <w:tc>
          <w:tcPr>
            <w:tcW w:w="2993" w:type="dxa"/>
            <w:tcBorders>
              <w:top w:val="single" w:sz="12" w:space="0" w:color="000000"/>
              <w:left w:val="nil" w:sz="6" w:space="0" w:color="auto"/>
              <w:bottom w:val="nil" w:sz="6" w:space="0" w:color="auto"/>
              <w:right w:val="nil" w:sz="6" w:space="0" w:color="auto"/>
            </w:tcBorders>
          </w:tcPr>
          <w:p>
            <w:pPr>
              <w:pStyle w:val="TableParagraph"/>
              <w:spacing w:line="240" w:lineRule="auto" w:before="116"/>
              <w:ind w:left="6" w:right="0"/>
              <w:jc w:val="left"/>
              <w:rPr>
                <w:rFonts w:ascii="宋体" w:hAnsi="宋体" w:cs="宋体" w:eastAsia="宋体" w:hint="default"/>
                <w:sz w:val="18"/>
                <w:szCs w:val="18"/>
              </w:rPr>
            </w:pPr>
            <w:r>
              <w:rPr>
                <w:rFonts w:ascii="宋体" w:hAnsi="宋体" w:cs="宋体" w:eastAsia="宋体" w:hint="default"/>
                <w:sz w:val="18"/>
                <w:szCs w:val="18"/>
              </w:rPr>
              <w:t>本期变动增（</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p>
        </w:tc>
        <w:tc>
          <w:tcPr>
            <w:tcW w:w="1123" w:type="dxa"/>
            <w:tcBorders>
              <w:top w:val="single" w:sz="12" w:space="0" w:color="000000"/>
              <w:left w:val="nil" w:sz="6" w:space="0" w:color="auto"/>
              <w:bottom w:val="nil" w:sz="6" w:space="0" w:color="auto"/>
              <w:right w:val="nil" w:sz="6" w:space="0" w:color="auto"/>
            </w:tcBorders>
          </w:tcPr>
          <w:p>
            <w:pPr/>
          </w:p>
        </w:tc>
      </w:tr>
      <w:tr>
        <w:trPr>
          <w:trHeight w:val="768" w:hRule="exact"/>
        </w:trPr>
        <w:tc>
          <w:tcPr>
            <w:tcW w:w="2838" w:type="dxa"/>
            <w:tcBorders>
              <w:top w:val="nil" w:sz="6" w:space="0" w:color="auto"/>
              <w:left w:val="nil" w:sz="6" w:space="0" w:color="auto"/>
              <w:bottom w:val="nil" w:sz="6" w:space="0" w:color="auto"/>
              <w:right w:val="nil" w:sz="6" w:space="0" w:color="auto"/>
            </w:tcBorders>
          </w:tcPr>
          <w:p>
            <w:pPr>
              <w:pStyle w:val="TableParagraph"/>
              <w:tabs>
                <w:tab w:pos="1974" w:val="left" w:leader="none"/>
              </w:tabs>
              <w:spacing w:line="240" w:lineRule="auto" w:before="42"/>
              <w:ind w:left="1434"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2" w:right="0"/>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566" w:type="dxa"/>
            <w:tcBorders>
              <w:top w:val="nil" w:sz="6" w:space="0" w:color="auto"/>
              <w:left w:val="nil" w:sz="6" w:space="0" w:color="auto"/>
              <w:bottom w:val="nil" w:sz="6" w:space="0" w:color="auto"/>
              <w:right w:val="nil" w:sz="6" w:space="0" w:color="auto"/>
            </w:tcBorders>
          </w:tcPr>
          <w:p>
            <w:pPr>
              <w:pStyle w:val="TableParagraph"/>
              <w:spacing w:line="386" w:lineRule="auto" w:before="47"/>
              <w:ind w:left="79" w:right="124"/>
              <w:jc w:val="left"/>
              <w:rPr>
                <w:rFonts w:ascii="宋体" w:hAnsi="宋体" w:cs="宋体" w:eastAsia="宋体" w:hint="default"/>
                <w:sz w:val="18"/>
                <w:szCs w:val="18"/>
              </w:rPr>
            </w:pPr>
            <w:r>
              <w:rPr>
                <w:rFonts w:ascii="宋体" w:hAnsi="宋体" w:cs="宋体" w:eastAsia="宋体" w:hint="default"/>
                <w:sz w:val="18"/>
                <w:szCs w:val="18"/>
              </w:rPr>
              <w:t>发行 新股</w:t>
            </w:r>
          </w:p>
        </w:tc>
        <w:tc>
          <w:tcPr>
            <w:tcW w:w="313" w:type="dxa"/>
            <w:tcBorders>
              <w:top w:val="nil" w:sz="6" w:space="0" w:color="auto"/>
              <w:left w:val="nil" w:sz="6" w:space="0" w:color="auto"/>
              <w:bottom w:val="nil" w:sz="6" w:space="0" w:color="auto"/>
              <w:right w:val="nil" w:sz="6" w:space="0" w:color="auto"/>
            </w:tcBorders>
          </w:tcPr>
          <w:p>
            <w:pPr>
              <w:pStyle w:val="TableParagraph"/>
              <w:spacing w:line="386" w:lineRule="auto" w:before="47"/>
              <w:ind w:left="126" w:right="4"/>
              <w:jc w:val="left"/>
              <w:rPr>
                <w:rFonts w:ascii="宋体" w:hAnsi="宋体" w:cs="宋体" w:eastAsia="宋体" w:hint="default"/>
                <w:sz w:val="18"/>
                <w:szCs w:val="18"/>
              </w:rPr>
            </w:pPr>
            <w:r>
              <w:rPr>
                <w:rFonts w:ascii="宋体" w:hAnsi="宋体" w:cs="宋体" w:eastAsia="宋体" w:hint="default"/>
                <w:sz w:val="18"/>
                <w:szCs w:val="18"/>
              </w:rPr>
              <w:t>送 股</w:t>
            </w:r>
          </w:p>
        </w:tc>
        <w:tc>
          <w:tcPr>
            <w:tcW w:w="2993" w:type="dxa"/>
            <w:tcBorders>
              <w:top w:val="nil" w:sz="6" w:space="0" w:color="auto"/>
              <w:left w:val="nil" w:sz="6" w:space="0" w:color="auto"/>
              <w:bottom w:val="nil" w:sz="6" w:space="0" w:color="auto"/>
              <w:right w:val="nil" w:sz="6" w:space="0" w:color="auto"/>
            </w:tcBorders>
          </w:tcPr>
          <w:p>
            <w:pPr>
              <w:pStyle w:val="TableParagraph"/>
              <w:spacing w:line="213" w:lineRule="exact" w:before="47"/>
              <w:ind w:left="245" w:right="0"/>
              <w:jc w:val="left"/>
              <w:rPr>
                <w:rFonts w:ascii="宋体" w:hAnsi="宋体" w:cs="宋体" w:eastAsia="宋体" w:hint="default"/>
                <w:sz w:val="18"/>
                <w:szCs w:val="18"/>
              </w:rPr>
            </w:pPr>
            <w:r>
              <w:rPr>
                <w:rFonts w:ascii="宋体" w:hAnsi="宋体" w:cs="宋体" w:eastAsia="宋体" w:hint="default"/>
                <w:sz w:val="18"/>
                <w:szCs w:val="18"/>
              </w:rPr>
              <w:t>公积金</w:t>
            </w:r>
          </w:p>
          <w:p>
            <w:pPr>
              <w:pStyle w:val="TableParagraph"/>
              <w:tabs>
                <w:tab w:pos="2291" w:val="left" w:leader="none"/>
              </w:tabs>
              <w:spacing w:line="190" w:lineRule="exact"/>
              <w:ind w:left="1235" w:right="0"/>
              <w:jc w:val="left"/>
              <w:rPr>
                <w:rFonts w:ascii="宋体" w:hAnsi="宋体" w:cs="宋体" w:eastAsia="宋体" w:hint="default"/>
                <w:sz w:val="18"/>
                <w:szCs w:val="18"/>
              </w:rPr>
            </w:pPr>
            <w:r>
              <w:rPr>
                <w:rFonts w:ascii="宋体" w:hAnsi="宋体" w:cs="宋体" w:eastAsia="宋体" w:hint="default"/>
                <w:sz w:val="18"/>
                <w:szCs w:val="18"/>
              </w:rPr>
              <w:t>其他</w:t>
              <w:tab/>
              <w:t>小计</w:t>
            </w:r>
          </w:p>
          <w:p>
            <w:pPr>
              <w:pStyle w:val="TableParagraph"/>
              <w:spacing w:line="213" w:lineRule="exact"/>
              <w:ind w:left="335" w:right="0"/>
              <w:jc w:val="left"/>
              <w:rPr>
                <w:rFonts w:ascii="宋体" w:hAnsi="宋体" w:cs="宋体" w:eastAsia="宋体" w:hint="default"/>
                <w:sz w:val="18"/>
                <w:szCs w:val="18"/>
              </w:rPr>
            </w:pPr>
            <w:r>
              <w:rPr>
                <w:rFonts w:ascii="宋体" w:hAnsi="宋体" w:cs="宋体" w:eastAsia="宋体" w:hint="default"/>
                <w:sz w:val="18"/>
                <w:szCs w:val="18"/>
              </w:rPr>
              <w:t>转股</w:t>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1"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95"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．有限售条件股份</w:t>
            </w:r>
          </w:p>
        </w:tc>
        <w:tc>
          <w:tcPr>
            <w:tcW w:w="1207"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
        </w:tc>
      </w:tr>
      <w:tr>
        <w:trPr>
          <w:trHeight w:val="395"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国家持股</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43" w:right="0"/>
              <w:jc w:val="center"/>
              <w:rPr>
                <w:rFonts w:ascii="Times New Roman" w:hAnsi="Times New Roman" w:cs="Times New Roman" w:eastAsia="Times New Roman" w:hint="default"/>
                <w:sz w:val="18"/>
                <w:szCs w:val="18"/>
              </w:rPr>
            </w:pPr>
            <w:r>
              <w:rPr>
                <w:rFonts w:ascii="Times New Roman"/>
                <w:sz w:val="18"/>
              </w:rPr>
              <w:t>121,838,079</w:t>
            </w: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6"/>
              <w:jc w:val="right"/>
              <w:rPr>
                <w:rFonts w:ascii="Times New Roman" w:hAnsi="Times New Roman" w:cs="Times New Roman" w:eastAsia="Times New Roman" w:hint="default"/>
                <w:sz w:val="18"/>
                <w:szCs w:val="18"/>
              </w:rPr>
            </w:pPr>
            <w:r>
              <w:rPr>
                <w:rFonts w:ascii="Times New Roman"/>
                <w:sz w:val="18"/>
              </w:rPr>
              <w:t>-121,838,079</w:t>
            </w:r>
            <w:r>
              <w:rPr>
                <w:rFonts w:ascii="Times New Roman"/>
                <w:spacing w:val="42"/>
                <w:sz w:val="18"/>
              </w:rPr>
              <w:t> </w:t>
            </w:r>
            <w:r>
              <w:rPr>
                <w:rFonts w:ascii="Times New Roman"/>
                <w:sz w:val="18"/>
              </w:rPr>
              <w:t>-121,838,079</w:t>
            </w:r>
          </w:p>
        </w:tc>
        <w:tc>
          <w:tcPr>
            <w:tcW w:w="1123" w:type="dxa"/>
            <w:tcBorders>
              <w:top w:val="nil" w:sz="6" w:space="0" w:color="auto"/>
              <w:left w:val="nil" w:sz="6" w:space="0" w:color="auto"/>
              <w:bottom w:val="nil" w:sz="6" w:space="0" w:color="auto"/>
              <w:right w:val="nil" w:sz="6" w:space="0" w:color="auto"/>
            </w:tcBorders>
          </w:tcPr>
          <w:p>
            <w:pPr/>
          </w:p>
        </w:tc>
      </w:tr>
      <w:tr>
        <w:trPr>
          <w:trHeight w:val="390"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国有法人持股</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43" w:right="0"/>
              <w:jc w:val="center"/>
              <w:rPr>
                <w:rFonts w:ascii="Times New Roman" w:hAnsi="Times New Roman" w:cs="Times New Roman" w:eastAsia="Times New Roman" w:hint="default"/>
                <w:sz w:val="18"/>
                <w:szCs w:val="18"/>
              </w:rPr>
            </w:pPr>
            <w:r>
              <w:rPr>
                <w:rFonts w:ascii="Times New Roman"/>
                <w:sz w:val="18"/>
              </w:rPr>
              <w:t>216,361,562</w:t>
            </w: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56"/>
              <w:jc w:val="right"/>
              <w:rPr>
                <w:rFonts w:ascii="Times New Roman" w:hAnsi="Times New Roman" w:cs="Times New Roman" w:eastAsia="Times New Roman" w:hint="default"/>
                <w:sz w:val="18"/>
                <w:szCs w:val="18"/>
              </w:rPr>
            </w:pPr>
            <w:r>
              <w:rPr>
                <w:rFonts w:ascii="Times New Roman"/>
                <w:sz w:val="18"/>
              </w:rPr>
              <w:t>-216,361,562</w:t>
            </w:r>
            <w:r>
              <w:rPr>
                <w:rFonts w:ascii="Times New Roman"/>
                <w:spacing w:val="42"/>
                <w:sz w:val="18"/>
              </w:rPr>
              <w:t> </w:t>
            </w:r>
            <w:r>
              <w:rPr>
                <w:rFonts w:ascii="Times New Roman"/>
                <w:sz w:val="18"/>
              </w:rPr>
              <w:t>-216,361,562</w:t>
            </w:r>
          </w:p>
        </w:tc>
        <w:tc>
          <w:tcPr>
            <w:tcW w:w="1123" w:type="dxa"/>
            <w:tcBorders>
              <w:top w:val="nil" w:sz="6" w:space="0" w:color="auto"/>
              <w:left w:val="nil" w:sz="6" w:space="0" w:color="auto"/>
              <w:bottom w:val="nil" w:sz="6" w:space="0" w:color="auto"/>
              <w:right w:val="nil" w:sz="6" w:space="0" w:color="auto"/>
            </w:tcBorders>
          </w:tcPr>
          <w:p>
            <w:pPr/>
          </w:p>
        </w:tc>
      </w:tr>
      <w:tr>
        <w:trPr>
          <w:trHeight w:val="390"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其他内资持股</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43" w:right="0"/>
              <w:jc w:val="center"/>
              <w:rPr>
                <w:rFonts w:ascii="Times New Roman" w:hAnsi="Times New Roman" w:cs="Times New Roman" w:eastAsia="Times New Roman" w:hint="default"/>
                <w:sz w:val="18"/>
                <w:szCs w:val="18"/>
              </w:rPr>
            </w:pPr>
            <w:r>
              <w:rPr>
                <w:rFonts w:ascii="Times New Roman"/>
                <w:sz w:val="18"/>
              </w:rPr>
              <w:t>382,071,106</w:t>
            </w: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56"/>
              <w:jc w:val="right"/>
              <w:rPr>
                <w:rFonts w:ascii="Times New Roman" w:hAnsi="Times New Roman" w:cs="Times New Roman" w:eastAsia="Times New Roman" w:hint="default"/>
                <w:sz w:val="18"/>
                <w:szCs w:val="18"/>
              </w:rPr>
            </w:pPr>
            <w:r>
              <w:rPr>
                <w:rFonts w:ascii="Times New Roman"/>
                <w:sz w:val="18"/>
              </w:rPr>
              <w:t>-382,071,106</w:t>
            </w:r>
            <w:r>
              <w:rPr>
                <w:rFonts w:ascii="Times New Roman"/>
                <w:spacing w:val="42"/>
                <w:sz w:val="18"/>
              </w:rPr>
              <w:t> </w:t>
            </w:r>
            <w:r>
              <w:rPr>
                <w:rFonts w:ascii="Times New Roman"/>
                <w:sz w:val="18"/>
              </w:rPr>
              <w:t>-382,071,106</w:t>
            </w:r>
          </w:p>
        </w:tc>
        <w:tc>
          <w:tcPr>
            <w:tcW w:w="1123" w:type="dxa"/>
            <w:tcBorders>
              <w:top w:val="nil" w:sz="6" w:space="0" w:color="auto"/>
              <w:left w:val="nil" w:sz="6" w:space="0" w:color="auto"/>
              <w:bottom w:val="nil" w:sz="6" w:space="0" w:color="auto"/>
              <w:right w:val="nil" w:sz="6" w:space="0" w:color="auto"/>
            </w:tcBorders>
          </w:tcPr>
          <w:p>
            <w:pPr/>
          </w:p>
        </w:tc>
      </w:tr>
      <w:tr>
        <w:trPr>
          <w:trHeight w:val="380"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67"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1207"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
        </w:tc>
      </w:tr>
      <w:tr>
        <w:trPr>
          <w:trHeight w:val="400"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22" w:right="0"/>
              <w:jc w:val="left"/>
              <w:rPr>
                <w:rFonts w:ascii="宋体" w:hAnsi="宋体" w:cs="宋体" w:eastAsia="宋体" w:hint="default"/>
                <w:sz w:val="18"/>
                <w:szCs w:val="18"/>
              </w:rPr>
            </w:pPr>
            <w:r>
              <w:rPr>
                <w:rFonts w:ascii="宋体" w:hAnsi="宋体" w:cs="宋体" w:eastAsia="宋体" w:hint="default"/>
                <w:sz w:val="18"/>
                <w:szCs w:val="18"/>
              </w:rPr>
              <w:t>境内非国有法人持股</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43" w:right="0"/>
              <w:jc w:val="center"/>
              <w:rPr>
                <w:rFonts w:ascii="Times New Roman" w:hAnsi="Times New Roman" w:cs="Times New Roman" w:eastAsia="Times New Roman" w:hint="default"/>
                <w:sz w:val="18"/>
                <w:szCs w:val="18"/>
              </w:rPr>
            </w:pPr>
            <w:r>
              <w:rPr>
                <w:rFonts w:ascii="Times New Roman"/>
                <w:sz w:val="18"/>
              </w:rPr>
              <w:t>382,071,106</w:t>
            </w: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4"/>
              <w:jc w:val="right"/>
              <w:rPr>
                <w:rFonts w:ascii="Times New Roman" w:hAnsi="Times New Roman" w:cs="Times New Roman" w:eastAsia="Times New Roman" w:hint="default"/>
                <w:sz w:val="18"/>
                <w:szCs w:val="18"/>
              </w:rPr>
            </w:pPr>
            <w:r>
              <w:rPr>
                <w:rFonts w:ascii="Times New Roman"/>
                <w:sz w:val="18"/>
              </w:rPr>
              <w:t>-382,071,106</w:t>
            </w:r>
            <w:r>
              <w:rPr>
                <w:rFonts w:ascii="Times New Roman"/>
                <w:spacing w:val="42"/>
                <w:sz w:val="18"/>
              </w:rPr>
              <w:t> </w:t>
            </w:r>
            <w:r>
              <w:rPr>
                <w:rFonts w:ascii="Times New Roman"/>
                <w:sz w:val="18"/>
              </w:rPr>
              <w:t>-382,071,106</w:t>
            </w:r>
          </w:p>
        </w:tc>
        <w:tc>
          <w:tcPr>
            <w:tcW w:w="1123" w:type="dxa"/>
            <w:tcBorders>
              <w:top w:val="nil" w:sz="6" w:space="0" w:color="auto"/>
              <w:left w:val="nil" w:sz="6" w:space="0" w:color="auto"/>
              <w:bottom w:val="nil" w:sz="6" w:space="0" w:color="auto"/>
              <w:right w:val="nil" w:sz="6" w:space="0" w:color="auto"/>
            </w:tcBorders>
          </w:tcPr>
          <w:p>
            <w:pPr/>
          </w:p>
        </w:tc>
      </w:tr>
      <w:tr>
        <w:trPr>
          <w:trHeight w:val="380"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22"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207"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
        </w:tc>
      </w:tr>
      <w:tr>
        <w:trPr>
          <w:trHeight w:val="400"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外资持股</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43" w:right="0"/>
              <w:jc w:val="center"/>
              <w:rPr>
                <w:rFonts w:ascii="Times New Roman" w:hAnsi="Times New Roman" w:cs="Times New Roman" w:eastAsia="Times New Roman" w:hint="default"/>
                <w:sz w:val="18"/>
                <w:szCs w:val="18"/>
              </w:rPr>
            </w:pPr>
            <w:r>
              <w:rPr>
                <w:rFonts w:ascii="Times New Roman"/>
                <w:sz w:val="18"/>
              </w:rPr>
              <w:t>180,023,293</w:t>
            </w: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4"/>
              <w:jc w:val="right"/>
              <w:rPr>
                <w:rFonts w:ascii="Times New Roman" w:hAnsi="Times New Roman" w:cs="Times New Roman" w:eastAsia="Times New Roman" w:hint="default"/>
                <w:sz w:val="18"/>
                <w:szCs w:val="18"/>
              </w:rPr>
            </w:pPr>
            <w:r>
              <w:rPr>
                <w:rFonts w:ascii="Times New Roman"/>
                <w:sz w:val="18"/>
              </w:rPr>
              <w:t>-180,023,293</w:t>
            </w:r>
            <w:r>
              <w:rPr>
                <w:rFonts w:ascii="Times New Roman"/>
                <w:spacing w:val="42"/>
                <w:sz w:val="18"/>
              </w:rPr>
              <w:t> </w:t>
            </w:r>
            <w:r>
              <w:rPr>
                <w:rFonts w:ascii="Times New Roman"/>
                <w:sz w:val="18"/>
              </w:rPr>
              <w:t>-180,023,293</w:t>
            </w:r>
          </w:p>
        </w:tc>
        <w:tc>
          <w:tcPr>
            <w:tcW w:w="1123" w:type="dxa"/>
            <w:tcBorders>
              <w:top w:val="nil" w:sz="6" w:space="0" w:color="auto"/>
              <w:left w:val="nil" w:sz="6" w:space="0" w:color="auto"/>
              <w:bottom w:val="nil" w:sz="6" w:space="0" w:color="auto"/>
              <w:right w:val="nil" w:sz="6" w:space="0" w:color="auto"/>
            </w:tcBorders>
          </w:tcPr>
          <w:p>
            <w:pPr/>
          </w:p>
        </w:tc>
      </w:tr>
      <w:tr>
        <w:trPr>
          <w:trHeight w:val="380"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67"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1207"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
        </w:tc>
      </w:tr>
      <w:tr>
        <w:trPr>
          <w:trHeight w:val="400"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67" w:right="0"/>
              <w:jc w:val="left"/>
              <w:rPr>
                <w:rFonts w:ascii="宋体" w:hAnsi="宋体" w:cs="宋体" w:eastAsia="宋体" w:hint="default"/>
                <w:sz w:val="18"/>
                <w:szCs w:val="18"/>
              </w:rPr>
            </w:pPr>
            <w:r>
              <w:rPr>
                <w:rFonts w:ascii="宋体" w:hAnsi="宋体" w:cs="宋体" w:eastAsia="宋体" w:hint="default"/>
                <w:sz w:val="18"/>
                <w:szCs w:val="18"/>
              </w:rPr>
              <w:t>境外法人持股</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46" w:right="0"/>
              <w:jc w:val="center"/>
              <w:rPr>
                <w:rFonts w:ascii="Times New Roman" w:hAnsi="Times New Roman" w:cs="Times New Roman" w:eastAsia="Times New Roman" w:hint="default"/>
                <w:sz w:val="18"/>
                <w:szCs w:val="18"/>
              </w:rPr>
            </w:pPr>
            <w:r>
              <w:rPr>
                <w:rFonts w:ascii="Times New Roman"/>
                <w:sz w:val="18"/>
              </w:rPr>
              <w:t>180,023,293</w:t>
            </w: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4"/>
              <w:jc w:val="right"/>
              <w:rPr>
                <w:rFonts w:ascii="Times New Roman" w:hAnsi="Times New Roman" w:cs="Times New Roman" w:eastAsia="Times New Roman" w:hint="default"/>
                <w:sz w:val="18"/>
                <w:szCs w:val="18"/>
              </w:rPr>
            </w:pPr>
            <w:r>
              <w:rPr>
                <w:rFonts w:ascii="Times New Roman"/>
                <w:sz w:val="18"/>
              </w:rPr>
              <w:t>-180,023,293</w:t>
            </w:r>
            <w:r>
              <w:rPr>
                <w:rFonts w:ascii="Times New Roman"/>
                <w:spacing w:val="42"/>
                <w:sz w:val="18"/>
              </w:rPr>
              <w:t> </w:t>
            </w:r>
            <w:r>
              <w:rPr>
                <w:rFonts w:ascii="Times New Roman"/>
                <w:sz w:val="18"/>
              </w:rPr>
              <w:t>-180,023,293</w:t>
            </w:r>
          </w:p>
        </w:tc>
        <w:tc>
          <w:tcPr>
            <w:tcW w:w="1123" w:type="dxa"/>
            <w:tcBorders>
              <w:top w:val="nil" w:sz="6" w:space="0" w:color="auto"/>
              <w:left w:val="nil" w:sz="6" w:space="0" w:color="auto"/>
              <w:bottom w:val="nil" w:sz="6" w:space="0" w:color="auto"/>
              <w:right w:val="nil" w:sz="6" w:space="0" w:color="auto"/>
            </w:tcBorders>
          </w:tcPr>
          <w:p>
            <w:pPr/>
          </w:p>
        </w:tc>
      </w:tr>
      <w:tr>
        <w:trPr>
          <w:trHeight w:val="380"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67"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1207"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
        </w:tc>
      </w:tr>
      <w:tr>
        <w:trPr>
          <w:trHeight w:val="400"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67" w:right="0"/>
              <w:jc w:val="left"/>
              <w:rPr>
                <w:rFonts w:ascii="宋体" w:hAnsi="宋体" w:cs="宋体" w:eastAsia="宋体" w:hint="default"/>
                <w:sz w:val="18"/>
                <w:szCs w:val="18"/>
              </w:rPr>
            </w:pPr>
            <w:r>
              <w:rPr>
                <w:rFonts w:ascii="宋体" w:hAnsi="宋体" w:cs="宋体" w:eastAsia="宋体" w:hint="default"/>
                <w:sz w:val="18"/>
                <w:szCs w:val="18"/>
              </w:rPr>
              <w:t>有限售条件股份合计</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46" w:right="0"/>
              <w:jc w:val="center"/>
              <w:rPr>
                <w:rFonts w:ascii="Times New Roman" w:hAnsi="Times New Roman" w:cs="Times New Roman" w:eastAsia="Times New Roman" w:hint="default"/>
                <w:sz w:val="18"/>
                <w:szCs w:val="18"/>
              </w:rPr>
            </w:pPr>
            <w:r>
              <w:rPr>
                <w:rFonts w:ascii="Times New Roman"/>
                <w:sz w:val="18"/>
              </w:rPr>
              <w:t>900,294,040</w:t>
            </w: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4"/>
              <w:jc w:val="right"/>
              <w:rPr>
                <w:rFonts w:ascii="Times New Roman" w:hAnsi="Times New Roman" w:cs="Times New Roman" w:eastAsia="Times New Roman" w:hint="default"/>
                <w:sz w:val="18"/>
                <w:szCs w:val="18"/>
              </w:rPr>
            </w:pPr>
            <w:r>
              <w:rPr>
                <w:rFonts w:ascii="Times New Roman"/>
                <w:sz w:val="18"/>
              </w:rPr>
              <w:t>-900,294,040</w:t>
            </w:r>
            <w:r>
              <w:rPr>
                <w:rFonts w:ascii="Times New Roman"/>
                <w:spacing w:val="42"/>
                <w:sz w:val="18"/>
              </w:rPr>
              <w:t> </w:t>
            </w:r>
            <w:r>
              <w:rPr>
                <w:rFonts w:ascii="Times New Roman"/>
                <w:sz w:val="18"/>
              </w:rPr>
              <w:t>-900,294,040</w:t>
            </w:r>
          </w:p>
        </w:tc>
        <w:tc>
          <w:tcPr>
            <w:tcW w:w="1123" w:type="dxa"/>
            <w:tcBorders>
              <w:top w:val="nil" w:sz="6" w:space="0" w:color="auto"/>
              <w:left w:val="nil" w:sz="6" w:space="0" w:color="auto"/>
              <w:bottom w:val="nil" w:sz="6" w:space="0" w:color="auto"/>
              <w:right w:val="nil" w:sz="6" w:space="0" w:color="auto"/>
            </w:tcBorders>
          </w:tcPr>
          <w:p>
            <w:pPr/>
          </w:p>
        </w:tc>
      </w:tr>
      <w:tr>
        <w:trPr>
          <w:trHeight w:val="385"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78"/>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．无限售条件流通股份</w:t>
            </w:r>
          </w:p>
        </w:tc>
        <w:tc>
          <w:tcPr>
            <w:tcW w:w="1207"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
        </w:tc>
      </w:tr>
      <w:tr>
        <w:trPr>
          <w:trHeight w:val="395"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人民币普通股</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43" w:right="0"/>
              <w:jc w:val="center"/>
              <w:rPr>
                <w:rFonts w:ascii="Times New Roman" w:hAnsi="Times New Roman" w:cs="Times New Roman" w:eastAsia="Times New Roman" w:hint="default"/>
                <w:sz w:val="18"/>
                <w:szCs w:val="18"/>
              </w:rPr>
            </w:pPr>
            <w:r>
              <w:rPr>
                <w:rFonts w:ascii="Times New Roman"/>
                <w:sz w:val="18"/>
              </w:rPr>
              <w:t>327,300,205</w:t>
            </w: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4"/>
              <w:jc w:val="right"/>
              <w:rPr>
                <w:rFonts w:ascii="Times New Roman" w:hAnsi="Times New Roman" w:cs="Times New Roman" w:eastAsia="Times New Roman" w:hint="default"/>
                <w:sz w:val="18"/>
                <w:szCs w:val="18"/>
              </w:rPr>
            </w:pPr>
            <w:r>
              <w:rPr>
                <w:rFonts w:ascii="Times New Roman"/>
                <w:sz w:val="18"/>
              </w:rPr>
              <w:t>900,294,040  </w:t>
            </w:r>
            <w:r>
              <w:rPr>
                <w:rFonts w:ascii="Times New Roman"/>
                <w:spacing w:val="12"/>
                <w:sz w:val="18"/>
              </w:rPr>
              <w:t> </w:t>
            </w:r>
            <w:r>
              <w:rPr>
                <w:rFonts w:ascii="Times New Roman"/>
                <w:sz w:val="18"/>
              </w:rPr>
              <w:t>900,294,040</w:t>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4" w:right="0"/>
              <w:jc w:val="center"/>
              <w:rPr>
                <w:rFonts w:ascii="Times New Roman" w:hAnsi="Times New Roman" w:cs="Times New Roman" w:eastAsia="Times New Roman" w:hint="default"/>
                <w:sz w:val="18"/>
                <w:szCs w:val="18"/>
              </w:rPr>
            </w:pPr>
            <w:r>
              <w:rPr>
                <w:rFonts w:ascii="Times New Roman"/>
                <w:sz w:val="18"/>
              </w:rPr>
              <w:t>1,227,594,245</w:t>
            </w:r>
          </w:p>
        </w:tc>
      </w:tr>
      <w:tr>
        <w:trPr>
          <w:trHeight w:val="385"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境内上市的外资股</w:t>
            </w:r>
          </w:p>
        </w:tc>
        <w:tc>
          <w:tcPr>
            <w:tcW w:w="1207"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
        </w:tc>
      </w:tr>
      <w:tr>
        <w:trPr>
          <w:trHeight w:val="390"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境外上市的外资股</w:t>
            </w:r>
          </w:p>
        </w:tc>
        <w:tc>
          <w:tcPr>
            <w:tcW w:w="1207"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
        </w:tc>
      </w:tr>
      <w:tr>
        <w:trPr>
          <w:trHeight w:val="390" w:hRule="exact"/>
        </w:trPr>
        <w:tc>
          <w:tcPr>
            <w:tcW w:w="2838" w:type="dxa"/>
            <w:tcBorders>
              <w:top w:val="nil" w:sz="6" w:space="0" w:color="auto"/>
              <w:left w:val="nil" w:sz="6" w:space="0" w:color="auto"/>
              <w:bottom w:val="nil" w:sz="6" w:space="0" w:color="auto"/>
              <w:right w:val="nil" w:sz="6" w:space="0" w:color="auto"/>
            </w:tcBorders>
          </w:tcPr>
          <w:p>
            <w:pPr>
              <w:pStyle w:val="TableParagraph"/>
              <w:tabs>
                <w:tab w:pos="1652" w:val="left" w:leader="none"/>
              </w:tabs>
              <w:spacing w:line="240" w:lineRule="auto" w:before="44"/>
              <w:ind w:left="7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5"/>
                <w:sz w:val="18"/>
                <w:szCs w:val="18"/>
              </w:rPr>
              <w:t> </w:t>
            </w:r>
            <w:r>
              <w:rPr>
                <w:rFonts w:ascii="宋体" w:hAnsi="宋体" w:cs="宋体" w:eastAsia="宋体" w:hint="default"/>
                <w:sz w:val="18"/>
                <w:szCs w:val="18"/>
              </w:rPr>
              <w:t>其</w:t>
              <w:tab/>
              <w:t>他</w:t>
            </w:r>
          </w:p>
        </w:tc>
        <w:tc>
          <w:tcPr>
            <w:tcW w:w="1207" w:type="dxa"/>
            <w:tcBorders>
              <w:top w:val="nil" w:sz="6" w:space="0" w:color="auto"/>
              <w:left w:val="nil" w:sz="6" w:space="0" w:color="auto"/>
              <w:bottom w:val="nil" w:sz="6" w:space="0" w:color="auto"/>
              <w:right w:val="nil" w:sz="6" w:space="0" w:color="auto"/>
            </w:tcBorders>
          </w:tcPr>
          <w:p>
            <w:pP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nil" w:sz="6" w:space="0" w:color="auto"/>
            </w:tcBorders>
          </w:tcPr>
          <w:p>
            <w:pPr/>
          </w:p>
        </w:tc>
      </w:tr>
      <w:tr>
        <w:trPr>
          <w:trHeight w:val="395" w:hRule="exact"/>
        </w:trPr>
        <w:tc>
          <w:tcPr>
            <w:tcW w:w="283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88"/>
              <w:jc w:val="right"/>
              <w:rPr>
                <w:rFonts w:ascii="宋体" w:hAnsi="宋体" w:cs="宋体" w:eastAsia="宋体" w:hint="default"/>
                <w:sz w:val="18"/>
                <w:szCs w:val="18"/>
              </w:rPr>
            </w:pPr>
            <w:r>
              <w:rPr>
                <w:rFonts w:ascii="宋体" w:hAnsi="宋体" w:cs="宋体" w:eastAsia="宋体" w:hint="default"/>
                <w:sz w:val="18"/>
                <w:szCs w:val="18"/>
              </w:rPr>
              <w:t>无限售条件流通股份合计</w:t>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43" w:right="0"/>
              <w:jc w:val="center"/>
              <w:rPr>
                <w:rFonts w:ascii="Times New Roman" w:hAnsi="Times New Roman" w:cs="Times New Roman" w:eastAsia="Times New Roman" w:hint="default"/>
                <w:sz w:val="18"/>
                <w:szCs w:val="18"/>
              </w:rPr>
            </w:pPr>
            <w:r>
              <w:rPr>
                <w:rFonts w:ascii="Times New Roman"/>
                <w:sz w:val="18"/>
              </w:rPr>
              <w:t>327,300,205</w:t>
            </w:r>
          </w:p>
        </w:tc>
        <w:tc>
          <w:tcPr>
            <w:tcW w:w="566" w:type="dxa"/>
            <w:tcBorders>
              <w:top w:val="nil" w:sz="6" w:space="0" w:color="auto"/>
              <w:left w:val="nil" w:sz="6" w:space="0" w:color="auto"/>
              <w:bottom w:val="nil" w:sz="6" w:space="0" w:color="auto"/>
              <w:right w:val="nil" w:sz="6" w:space="0" w:color="auto"/>
            </w:tcBorders>
          </w:tcPr>
          <w:p>
            <w:pPr/>
          </w:p>
        </w:tc>
        <w:tc>
          <w:tcPr>
            <w:tcW w:w="313"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4"/>
              <w:jc w:val="right"/>
              <w:rPr>
                <w:rFonts w:ascii="Times New Roman" w:hAnsi="Times New Roman" w:cs="Times New Roman" w:eastAsia="Times New Roman" w:hint="default"/>
                <w:sz w:val="18"/>
                <w:szCs w:val="18"/>
              </w:rPr>
            </w:pPr>
            <w:r>
              <w:rPr>
                <w:rFonts w:ascii="Times New Roman"/>
                <w:sz w:val="18"/>
              </w:rPr>
              <w:t>900,294,040  </w:t>
            </w:r>
            <w:r>
              <w:rPr>
                <w:rFonts w:ascii="Times New Roman"/>
                <w:spacing w:val="12"/>
                <w:sz w:val="18"/>
              </w:rPr>
              <w:t> </w:t>
            </w:r>
            <w:r>
              <w:rPr>
                <w:rFonts w:ascii="Times New Roman"/>
                <w:sz w:val="18"/>
              </w:rPr>
              <w:t>900,294,040</w:t>
            </w:r>
          </w:p>
        </w:tc>
        <w:tc>
          <w:tcPr>
            <w:tcW w:w="1123"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4" w:right="0"/>
              <w:jc w:val="center"/>
              <w:rPr>
                <w:rFonts w:ascii="Times New Roman" w:hAnsi="Times New Roman" w:cs="Times New Roman" w:eastAsia="Times New Roman" w:hint="default"/>
                <w:sz w:val="18"/>
                <w:szCs w:val="18"/>
              </w:rPr>
            </w:pPr>
            <w:r>
              <w:rPr>
                <w:rFonts w:ascii="Times New Roman"/>
                <w:sz w:val="18"/>
              </w:rPr>
              <w:t>1,227,594,245</w:t>
            </w:r>
          </w:p>
        </w:tc>
      </w:tr>
      <w:tr>
        <w:trPr>
          <w:trHeight w:val="318" w:hRule="exact"/>
        </w:trPr>
        <w:tc>
          <w:tcPr>
            <w:tcW w:w="2838" w:type="dxa"/>
            <w:tcBorders>
              <w:top w:val="nil" w:sz="6" w:space="0" w:color="auto"/>
              <w:left w:val="nil" w:sz="6" w:space="0" w:color="auto"/>
              <w:bottom w:val="single" w:sz="12" w:space="0" w:color="000000"/>
              <w:right w:val="nil" w:sz="6" w:space="0" w:color="auto"/>
            </w:tcBorders>
          </w:tcPr>
          <w:p>
            <w:pPr>
              <w:pStyle w:val="TableParagraph"/>
              <w:tabs>
                <w:tab w:pos="1974" w:val="left" w:leader="none"/>
              </w:tabs>
              <w:spacing w:line="240" w:lineRule="auto" w:before="39"/>
              <w:ind w:left="1434"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207"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1,227,594,245</w:t>
            </w:r>
          </w:p>
        </w:tc>
        <w:tc>
          <w:tcPr>
            <w:tcW w:w="566" w:type="dxa"/>
            <w:tcBorders>
              <w:top w:val="nil" w:sz="6" w:space="0" w:color="auto"/>
              <w:left w:val="nil" w:sz="6" w:space="0" w:color="auto"/>
              <w:bottom w:val="single" w:sz="12" w:space="0" w:color="000000"/>
              <w:right w:val="nil" w:sz="6" w:space="0" w:color="auto"/>
            </w:tcBorders>
          </w:tcPr>
          <w:p>
            <w:pPr/>
          </w:p>
        </w:tc>
        <w:tc>
          <w:tcPr>
            <w:tcW w:w="313" w:type="dxa"/>
            <w:tcBorders>
              <w:top w:val="nil" w:sz="6" w:space="0" w:color="auto"/>
              <w:left w:val="nil" w:sz="6" w:space="0" w:color="auto"/>
              <w:bottom w:val="single" w:sz="12" w:space="0" w:color="000000"/>
              <w:right w:val="nil" w:sz="6" w:space="0" w:color="auto"/>
            </w:tcBorders>
          </w:tcPr>
          <w:p>
            <w:pPr/>
          </w:p>
        </w:tc>
        <w:tc>
          <w:tcPr>
            <w:tcW w:w="2993" w:type="dxa"/>
            <w:tcBorders>
              <w:top w:val="nil" w:sz="6" w:space="0" w:color="auto"/>
              <w:left w:val="nil" w:sz="6" w:space="0" w:color="auto"/>
              <w:bottom w:val="single" w:sz="12" w:space="0" w:color="000000"/>
              <w:right w:val="nil" w:sz="6" w:space="0" w:color="auto"/>
            </w:tcBorders>
          </w:tcPr>
          <w:p>
            <w:pPr/>
          </w:p>
        </w:tc>
        <w:tc>
          <w:tcPr>
            <w:tcW w:w="1123"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1,227,594,245</w:t>
            </w:r>
          </w:p>
        </w:tc>
      </w:tr>
    </w:tbl>
    <w:p>
      <w:pPr>
        <w:pStyle w:val="BodyText"/>
        <w:spacing w:line="240" w:lineRule="auto" w:before="57"/>
        <w:ind w:left="875" w:right="0"/>
        <w:jc w:val="both"/>
      </w:pPr>
      <w:r>
        <w:rPr/>
        <w:pict>
          <v:group style="position:absolute;margin-left:118.919998pt;margin-top:-431.435944pt;width:422.05pt;height:429.15pt;mso-position-horizontal-relative:page;mso-position-vertical-relative:paragraph;z-index:-1114864" coordorigin="2378,-8629" coordsize="8441,8583">
            <v:shape style="position:absolute;left:4589;top:-8629;width:5077;height:1192" type="#_x0000_t75" stroked="false">
              <v:imagedata r:id="rId258" o:title=""/>
            </v:shape>
            <v:shape style="position:absolute;left:2378;top:-7479;width:8440;height:7433" type="#_x0000_t75" stroked="false">
              <v:imagedata r:id="rId259" o:title=""/>
            </v:shape>
            <w10:wrap type="none"/>
          </v:group>
        </w:pict>
      </w:r>
      <w:r>
        <w:rPr/>
        <w:t>2011</w:t>
      </w:r>
      <w:r>
        <w:rPr>
          <w:spacing w:val="-50"/>
        </w:rPr>
        <w:t> </w:t>
      </w:r>
      <w:r>
        <w:rPr/>
        <w:t>年</w:t>
      </w:r>
      <w:r>
        <w:rPr>
          <w:spacing w:val="-50"/>
        </w:rPr>
        <w:t> </w:t>
      </w:r>
      <w:r>
        <w:rPr/>
        <w:t>3</w:t>
      </w:r>
      <w:r>
        <w:rPr>
          <w:spacing w:val="-50"/>
        </w:rPr>
        <w:t> </w:t>
      </w:r>
      <w:r>
        <w:rPr/>
        <w:t>月</w:t>
      </w:r>
      <w:r>
        <w:rPr>
          <w:spacing w:val="-50"/>
        </w:rPr>
        <w:t> </w:t>
      </w:r>
      <w:r>
        <w:rPr/>
        <w:t>5</w:t>
      </w:r>
      <w:r>
        <w:rPr>
          <w:spacing w:val="-50"/>
        </w:rPr>
        <w:t> </w:t>
      </w:r>
      <w:r>
        <w:rPr/>
        <w:t>日，本公司在《中国证券报</w:t>
      </w:r>
      <w:r>
        <w:rPr>
          <w:spacing w:val="-105"/>
        </w:rPr>
        <w:t>》、</w:t>
      </w:r>
      <w:r>
        <w:rPr/>
        <w:t>《</w:t>
      </w:r>
      <w:r>
        <w:rPr>
          <w:spacing w:val="-2"/>
        </w:rPr>
        <w:t>上</w:t>
      </w:r>
      <w:r>
        <w:rPr/>
        <w:t>海证券报》刊登了《关于有限售条件的流</w:t>
      </w:r>
    </w:p>
    <w:p>
      <w:pPr>
        <w:pStyle w:val="BodyText"/>
        <w:spacing w:line="240" w:lineRule="auto" w:before="105"/>
        <w:ind w:left="875" w:right="0"/>
        <w:jc w:val="both"/>
      </w:pPr>
      <w:r>
        <w:rPr/>
        <w:t>通股上市的公告</w:t>
      </w:r>
      <w:r>
        <w:rPr>
          <w:spacing w:val="-105"/>
        </w:rPr>
        <w:t>》</w:t>
      </w:r>
      <w:r>
        <w:rPr>
          <w:spacing w:val="-38"/>
        </w:rPr>
        <w:t>，</w:t>
      </w:r>
      <w:r>
        <w:rPr/>
        <w:t>东北大学科技产业集团有限公司等股东所持有的</w:t>
      </w:r>
      <w:r>
        <w:rPr>
          <w:spacing w:val="-53"/>
        </w:rPr>
        <w:t> </w:t>
      </w:r>
      <w:r>
        <w:rPr/>
        <w:t>900,294,040</w:t>
      </w:r>
      <w:r>
        <w:rPr>
          <w:spacing w:val="-52"/>
        </w:rPr>
        <w:t> </w:t>
      </w:r>
      <w:r>
        <w:rPr>
          <w:spacing w:val="-2"/>
        </w:rPr>
        <w:t>股</w:t>
      </w:r>
      <w:r>
        <w:rPr/>
        <w:t>有限售</w:t>
      </w:r>
    </w:p>
    <w:p>
      <w:pPr>
        <w:pStyle w:val="BodyText"/>
        <w:spacing w:line="331" w:lineRule="auto" w:before="105"/>
        <w:ind w:left="875" w:right="148"/>
        <w:jc w:val="both"/>
      </w:pPr>
      <w:r>
        <w:rPr/>
        <w:t>条件的流通股于</w:t>
      </w:r>
      <w:r>
        <w:rPr>
          <w:spacing w:val="-45"/>
        </w:rPr>
        <w:t> </w:t>
      </w:r>
      <w:r>
        <w:rPr/>
        <w:t>2011</w:t>
      </w:r>
      <w:r>
        <w:rPr>
          <w:spacing w:val="-46"/>
        </w:rPr>
        <w:t> </w:t>
      </w:r>
      <w:r>
        <w:rPr/>
        <w:t>年</w:t>
      </w:r>
      <w:r>
        <w:rPr>
          <w:spacing w:val="-45"/>
        </w:rPr>
        <w:t> </w:t>
      </w:r>
      <w:r>
        <w:rPr/>
        <w:t>3</w:t>
      </w:r>
      <w:r>
        <w:rPr>
          <w:spacing w:val="-45"/>
        </w:rPr>
        <w:t> </w:t>
      </w:r>
      <w:r>
        <w:rPr/>
        <w:t>月</w:t>
      </w:r>
      <w:r>
        <w:rPr>
          <w:spacing w:val="-46"/>
        </w:rPr>
        <w:t> </w:t>
      </w:r>
      <w:r>
        <w:rPr/>
        <w:t>14</w:t>
      </w:r>
      <w:r>
        <w:rPr>
          <w:spacing w:val="-45"/>
        </w:rPr>
        <w:t> </w:t>
      </w:r>
      <w:r>
        <w:rPr/>
        <w:t>日上市流通。至此，本公司总股本</w:t>
      </w:r>
      <w:r>
        <w:rPr>
          <w:spacing w:val="-45"/>
        </w:rPr>
        <w:t> </w:t>
      </w:r>
      <w:r>
        <w:rPr/>
        <w:t>1,227,594,245</w:t>
      </w:r>
      <w:r>
        <w:rPr>
          <w:spacing w:val="-46"/>
        </w:rPr>
        <w:t> </w:t>
      </w:r>
      <w:r>
        <w:rPr/>
        <w:t>股全部</w:t>
      </w:r>
      <w:r>
        <w:rPr/>
        <w:t> 为无限售条件的流通股。</w:t>
      </w:r>
    </w:p>
    <w:p>
      <w:pPr>
        <w:pStyle w:val="BodyText"/>
        <w:spacing w:line="331" w:lineRule="auto" w:before="25"/>
        <w:ind w:left="875" w:right="148"/>
        <w:jc w:val="both"/>
      </w:pPr>
      <w:r>
        <w:rPr/>
        <w:t>2011</w:t>
      </w:r>
      <w:r>
        <w:rPr>
          <w:spacing w:val="-53"/>
        </w:rPr>
        <w:t> </w:t>
      </w:r>
      <w:r>
        <w:rPr/>
        <w:t>年</w:t>
      </w:r>
      <w:r>
        <w:rPr>
          <w:spacing w:val="-53"/>
        </w:rPr>
        <w:t> </w:t>
      </w:r>
      <w:r>
        <w:rPr/>
        <w:t>3</w:t>
      </w:r>
      <w:r>
        <w:rPr>
          <w:spacing w:val="-53"/>
        </w:rPr>
        <w:t> </w:t>
      </w:r>
      <w:r>
        <w:rPr/>
        <w:t>月</w:t>
      </w:r>
      <w:r>
        <w:rPr>
          <w:spacing w:val="-54"/>
        </w:rPr>
        <w:t> </w:t>
      </w:r>
      <w:r>
        <w:rPr/>
        <w:t>21</w:t>
      </w:r>
      <w:r>
        <w:rPr>
          <w:spacing w:val="-52"/>
        </w:rPr>
        <w:t> </w:t>
      </w:r>
      <w:r>
        <w:rPr>
          <w:spacing w:val="-9"/>
        </w:rPr>
        <w:t>日，本公司在《中国证券报》、《上海证券报》刊登了《关于公司权益变动的</w:t>
      </w:r>
      <w:r>
        <w:rPr/>
        <w:t> </w:t>
      </w:r>
      <w:r>
        <w:rPr>
          <w:spacing w:val="-4"/>
        </w:rPr>
        <w:t>提示性公告》和《简式权益变动报告书》，成都慧旭科技股份有限公司（以下简称“慧旭科</w:t>
      </w:r>
      <w:r>
        <w:rPr>
          <w:spacing w:val="-92"/>
        </w:rPr>
        <w:t> </w:t>
      </w:r>
      <w:r>
        <w:rPr>
          <w:spacing w:val="-92"/>
        </w:rPr>
      </w:r>
      <w:r>
        <w:rPr>
          <w:spacing w:val="-4"/>
        </w:rPr>
        <w:t>技”）正在进行强制清算，法院裁定确认慧旭科技清算组制定的《清算方案》，慧旭科技所</w:t>
      </w:r>
      <w:r>
        <w:rPr>
          <w:spacing w:val="-100"/>
        </w:rPr>
        <w:t> </w:t>
      </w:r>
      <w:r>
        <w:rPr>
          <w:spacing w:val="-100"/>
        </w:rPr>
      </w:r>
      <w:r>
        <w:rPr/>
        <w:t>持有的本公司股票</w:t>
      </w:r>
      <w:r>
        <w:rPr>
          <w:spacing w:val="-54"/>
        </w:rPr>
        <w:t> </w:t>
      </w:r>
      <w:r>
        <w:rPr/>
        <w:t>210,807,559</w:t>
      </w:r>
      <w:r>
        <w:rPr>
          <w:spacing w:val="-53"/>
        </w:rPr>
        <w:t> </w:t>
      </w:r>
      <w:r>
        <w:rPr/>
        <w:t>股按照慧旭科技股东在慧旭科技的持股比例进行分配。</w:t>
      </w:r>
    </w:p>
    <w:p>
      <w:pPr>
        <w:pStyle w:val="BodyText"/>
        <w:spacing w:line="331" w:lineRule="auto" w:before="25"/>
        <w:ind w:left="875" w:right="148" w:hanging="1"/>
        <w:jc w:val="both"/>
      </w:pPr>
      <w:r>
        <w:rPr/>
        <w:t>2011</w:t>
      </w:r>
      <w:r>
        <w:rPr>
          <w:spacing w:val="-46"/>
        </w:rPr>
        <w:t> </w:t>
      </w:r>
      <w:r>
        <w:rPr/>
        <w:t>年</w:t>
      </w:r>
      <w:r>
        <w:rPr>
          <w:spacing w:val="-46"/>
        </w:rPr>
        <w:t> </w:t>
      </w:r>
      <w:r>
        <w:rPr/>
        <w:t>4</w:t>
      </w:r>
      <w:r>
        <w:rPr>
          <w:spacing w:val="-46"/>
        </w:rPr>
        <w:t> </w:t>
      </w:r>
      <w:r>
        <w:rPr/>
        <w:t>月</w:t>
      </w:r>
      <w:r>
        <w:rPr>
          <w:spacing w:val="-46"/>
        </w:rPr>
        <w:t> </w:t>
      </w:r>
      <w:r>
        <w:rPr/>
        <w:t>1</w:t>
      </w:r>
      <w:r>
        <w:rPr>
          <w:spacing w:val="-46"/>
        </w:rPr>
        <w:t> </w:t>
      </w:r>
      <w:r>
        <w:rPr>
          <w:spacing w:val="-7"/>
        </w:rPr>
        <w:t>日，本公司在《中国证券报》、《上海证券报》刊登了《关于公司股东权益变</w:t>
      </w:r>
      <w:r>
        <w:rPr/>
        <w:t> </w:t>
      </w:r>
      <w:r>
        <w:rPr>
          <w:spacing w:val="-4"/>
        </w:rPr>
        <w:t>动过户完成的提示性公告》，中国证券登记结算有限责任公司上海分公司已将慧旭科技持有</w:t>
      </w:r>
      <w:r>
        <w:rPr>
          <w:spacing w:val="-89"/>
        </w:rPr>
        <w:t> </w:t>
      </w:r>
      <w:r>
        <w:rPr>
          <w:spacing w:val="-89"/>
        </w:rPr>
      </w:r>
      <w:r>
        <w:rPr/>
        <w:t>的</w:t>
      </w:r>
      <w:r>
        <w:rPr>
          <w:spacing w:val="-45"/>
        </w:rPr>
        <w:t> </w:t>
      </w:r>
      <w:r>
        <w:rPr/>
        <w:t>210,807,559</w:t>
      </w:r>
      <w:r>
        <w:rPr>
          <w:spacing w:val="-44"/>
        </w:rPr>
        <w:t> </w:t>
      </w:r>
      <w:r>
        <w:rPr/>
        <w:t>股本公司股票按照慧旭科技股东在慧旭科技的持股比例划转到</w:t>
      </w:r>
      <w:r>
        <w:rPr>
          <w:spacing w:val="-45"/>
        </w:rPr>
        <w:t> </w:t>
      </w:r>
      <w:r>
        <w:rPr/>
        <w:t>137</w:t>
      </w:r>
      <w:r>
        <w:rPr>
          <w:spacing w:val="-45"/>
        </w:rPr>
        <w:t> </w:t>
      </w:r>
      <w:r>
        <w:rPr/>
        <w:t>名股东</w:t>
      </w:r>
      <w:r>
        <w:rPr>
          <w:spacing w:val="-1"/>
        </w:rPr>
        <w:t> </w:t>
      </w:r>
      <w:r>
        <w:rPr/>
        <w:t>名下，过户手续已经办理完毕。至此，慧旭科技不再持有本公司股票。</w:t>
      </w:r>
    </w:p>
    <w:p>
      <w:pPr>
        <w:spacing w:after="0" w:line="331" w:lineRule="auto"/>
        <w:jc w:val="both"/>
        <w:sectPr>
          <w:pgSz w:w="11910" w:h="16840"/>
          <w:pgMar w:header="0" w:footer="1003" w:top="1540" w:bottom="1200" w:left="1640" w:right="9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tbl>
      <w:tblPr>
        <w:tblW w:w="0" w:type="auto"/>
        <w:jc w:val="left"/>
        <w:tblInd w:w="108" w:type="dxa"/>
        <w:tblLayout w:type="fixed"/>
        <w:tblCellMar>
          <w:top w:w="0" w:type="dxa"/>
          <w:left w:w="0" w:type="dxa"/>
          <w:bottom w:w="0" w:type="dxa"/>
          <w:right w:w="0" w:type="dxa"/>
        </w:tblCellMar>
        <w:tblLook w:val="01E0"/>
      </w:tblPr>
      <w:tblGrid>
        <w:gridCol w:w="3117"/>
        <w:gridCol w:w="1538"/>
        <w:gridCol w:w="1400"/>
        <w:gridCol w:w="1491"/>
        <w:gridCol w:w="1448"/>
      </w:tblGrid>
      <w:tr>
        <w:trPr>
          <w:trHeight w:val="357" w:hRule="exact"/>
        </w:trPr>
        <w:tc>
          <w:tcPr>
            <w:tcW w:w="311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(三十六)资本公积</w:t>
            </w:r>
            <w:r>
              <w:rPr>
                <w:rFonts w:ascii="宋体" w:hAnsi="宋体" w:cs="宋体" w:eastAsia="宋体" w:hint="default"/>
                <w:sz w:val="21"/>
                <w:szCs w:val="21"/>
              </w:rPr>
            </w:r>
          </w:p>
        </w:tc>
        <w:tc>
          <w:tcPr>
            <w:tcW w:w="5877" w:type="dxa"/>
            <w:gridSpan w:val="4"/>
            <w:tcBorders>
              <w:top w:val="nil" w:sz="6" w:space="0" w:color="auto"/>
              <w:left w:val="nil" w:sz="6" w:space="0" w:color="auto"/>
              <w:bottom w:val="single" w:sz="12" w:space="0" w:color="000000"/>
              <w:right w:val="nil" w:sz="6" w:space="0" w:color="auto"/>
            </w:tcBorders>
          </w:tcPr>
          <w:p>
            <w:pPr/>
          </w:p>
        </w:tc>
      </w:tr>
      <w:tr>
        <w:trPr>
          <w:trHeight w:val="502" w:hRule="exact"/>
        </w:trPr>
        <w:tc>
          <w:tcPr>
            <w:tcW w:w="3117" w:type="dxa"/>
            <w:tcBorders>
              <w:top w:val="single" w:sz="12" w:space="0" w:color="000000"/>
              <w:left w:val="nil" w:sz="6" w:space="0" w:color="auto"/>
              <w:bottom w:val="nil" w:sz="6" w:space="0" w:color="auto"/>
              <w:right w:val="nil" w:sz="6" w:space="0" w:color="auto"/>
            </w:tcBorders>
          </w:tcPr>
          <w:p>
            <w:pPr>
              <w:pStyle w:val="TableParagraph"/>
              <w:tabs>
                <w:tab w:pos="2131" w:val="left" w:leader="none"/>
              </w:tabs>
              <w:spacing w:line="240" w:lineRule="auto" w:before="136"/>
              <w:ind w:left="1591"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538"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415"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00"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21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91"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236"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48"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27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20" w:hRule="exact"/>
        </w:trPr>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资本溢价（股本溢价）</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17"/>
              <w:jc w:val="right"/>
              <w:rPr>
                <w:rFonts w:ascii="Times New Roman" w:hAnsi="Times New Roman" w:cs="Times New Roman" w:eastAsia="Times New Roman" w:hint="default"/>
                <w:sz w:val="18"/>
                <w:szCs w:val="18"/>
              </w:rPr>
            </w:pPr>
            <w:r>
              <w:rPr>
                <w:rFonts w:ascii="Times New Roman"/>
                <w:sz w:val="18"/>
              </w:rPr>
              <w:t>340,128,038</w:t>
            </w:r>
          </w:p>
        </w:tc>
        <w:tc>
          <w:tcPr>
            <w:tcW w:w="1400"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6"/>
              <w:jc w:val="right"/>
              <w:rPr>
                <w:rFonts w:ascii="Times New Roman" w:hAnsi="Times New Roman" w:cs="Times New Roman" w:eastAsia="Times New Roman" w:hint="default"/>
                <w:sz w:val="18"/>
                <w:szCs w:val="18"/>
              </w:rPr>
            </w:pPr>
            <w:r>
              <w:rPr>
                <w:rFonts w:ascii="Times New Roman"/>
                <w:sz w:val="18"/>
              </w:rPr>
              <w:t>340,128,038</w:t>
            </w:r>
          </w:p>
        </w:tc>
      </w:tr>
      <w:tr>
        <w:trPr>
          <w:trHeight w:val="410" w:hRule="exact"/>
        </w:trPr>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其他资本公积（注）</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7"/>
              <w:jc w:val="right"/>
              <w:rPr>
                <w:rFonts w:ascii="Times New Roman" w:hAnsi="Times New Roman" w:cs="Times New Roman" w:eastAsia="Times New Roman" w:hint="default"/>
                <w:sz w:val="18"/>
                <w:szCs w:val="18"/>
              </w:rPr>
            </w:pPr>
            <w:r>
              <w:rPr>
                <w:rFonts w:ascii="Times New Roman"/>
                <w:sz w:val="18"/>
              </w:rPr>
              <w:t>22,874,741</w:t>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34"/>
              <w:jc w:val="right"/>
              <w:rPr>
                <w:rFonts w:ascii="Times New Roman" w:hAnsi="Times New Roman" w:cs="Times New Roman" w:eastAsia="Times New Roman" w:hint="default"/>
                <w:sz w:val="18"/>
                <w:szCs w:val="18"/>
              </w:rPr>
            </w:pPr>
            <w:r>
              <w:rPr>
                <w:rFonts w:ascii="Times New Roman"/>
                <w:sz w:val="18"/>
              </w:rPr>
              <w:t>324</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5"/>
              <w:jc w:val="right"/>
              <w:rPr>
                <w:rFonts w:ascii="Times New Roman" w:hAnsi="Times New Roman" w:cs="Times New Roman" w:eastAsia="Times New Roman" w:hint="default"/>
                <w:sz w:val="18"/>
                <w:szCs w:val="18"/>
              </w:rPr>
            </w:pPr>
            <w:r>
              <w:rPr>
                <w:rFonts w:ascii="Times New Roman"/>
                <w:sz w:val="18"/>
              </w:rPr>
              <w:t>755,902</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1"/>
                <w:sz w:val="18"/>
              </w:rPr>
              <w:t>22,119,163</w:t>
            </w:r>
          </w:p>
        </w:tc>
      </w:tr>
      <w:tr>
        <w:trPr>
          <w:trHeight w:val="328" w:hRule="exact"/>
        </w:trPr>
        <w:tc>
          <w:tcPr>
            <w:tcW w:w="3117" w:type="dxa"/>
            <w:tcBorders>
              <w:top w:val="nil" w:sz="6" w:space="0" w:color="auto"/>
              <w:left w:val="nil" w:sz="6" w:space="0" w:color="auto"/>
              <w:bottom w:val="single" w:sz="12" w:space="0" w:color="000000"/>
              <w:right w:val="nil" w:sz="6" w:space="0" w:color="auto"/>
            </w:tcBorders>
          </w:tcPr>
          <w:p>
            <w:pPr>
              <w:pStyle w:val="TableParagraph"/>
              <w:tabs>
                <w:tab w:pos="2131" w:val="left" w:leader="none"/>
              </w:tabs>
              <w:spacing w:line="240" w:lineRule="auto" w:before="50"/>
              <w:ind w:left="1591"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538"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17"/>
              <w:jc w:val="right"/>
              <w:rPr>
                <w:rFonts w:ascii="Times New Roman" w:hAnsi="Times New Roman" w:cs="Times New Roman" w:eastAsia="Times New Roman" w:hint="default"/>
                <w:sz w:val="18"/>
                <w:szCs w:val="18"/>
              </w:rPr>
            </w:pPr>
            <w:r>
              <w:rPr>
                <w:rFonts w:ascii="Times New Roman"/>
                <w:sz w:val="18"/>
              </w:rPr>
              <w:t>363,002,779</w:t>
            </w:r>
          </w:p>
        </w:tc>
        <w:tc>
          <w:tcPr>
            <w:tcW w:w="140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34"/>
              <w:jc w:val="right"/>
              <w:rPr>
                <w:rFonts w:ascii="Times New Roman" w:hAnsi="Times New Roman" w:cs="Times New Roman" w:eastAsia="Times New Roman" w:hint="default"/>
                <w:sz w:val="18"/>
                <w:szCs w:val="18"/>
              </w:rPr>
            </w:pPr>
            <w:r>
              <w:rPr>
                <w:rFonts w:ascii="Times New Roman"/>
                <w:sz w:val="18"/>
              </w:rPr>
              <w:t>324</w:t>
            </w:r>
          </w:p>
        </w:tc>
        <w:tc>
          <w:tcPr>
            <w:tcW w:w="1491"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75"/>
              <w:jc w:val="right"/>
              <w:rPr>
                <w:rFonts w:ascii="Times New Roman" w:hAnsi="Times New Roman" w:cs="Times New Roman" w:eastAsia="Times New Roman" w:hint="default"/>
                <w:sz w:val="18"/>
                <w:szCs w:val="18"/>
              </w:rPr>
            </w:pPr>
            <w:r>
              <w:rPr>
                <w:rFonts w:ascii="Times New Roman"/>
                <w:sz w:val="18"/>
              </w:rPr>
              <w:t>755,902</w:t>
            </w:r>
          </w:p>
        </w:tc>
        <w:tc>
          <w:tcPr>
            <w:tcW w:w="1448"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362,247,201</w:t>
            </w:r>
          </w:p>
        </w:tc>
      </w:tr>
    </w:tbl>
    <w:p>
      <w:pPr>
        <w:pStyle w:val="BodyText"/>
        <w:spacing w:line="350" w:lineRule="auto" w:before="78"/>
        <w:ind w:left="875" w:right="168"/>
        <w:jc w:val="both"/>
      </w:pPr>
      <w:r>
        <w:rPr/>
        <w:pict>
          <v:group style="position:absolute;margin-left:118.919998pt;margin-top:-84.906044pt;width:419.6pt;height:82.65pt;mso-position-horizontal-relative:page;mso-position-vertical-relative:paragraph;z-index:-1114552" coordorigin="2378,-1698" coordsize="8392,1653">
            <v:shape style="position:absolute;left:4965;top:-1698;width:4187;height:446" type="#_x0000_t75" stroked="false">
              <v:imagedata r:id="rId260" o:title=""/>
            </v:shape>
            <v:shape style="position:absolute;left:2378;top:-1294;width:8392;height:1249" type="#_x0000_t75" stroked="false">
              <v:imagedata r:id="rId261" o:title=""/>
            </v:shape>
            <w10:wrap type="none"/>
          </v:group>
        </w:pict>
      </w:r>
      <w:r>
        <w:rPr/>
        <w:t>注：其他资本公积减少是本公司通过多次交易实现对北京利博赛社保信息技术有限公司合</w:t>
      </w:r>
      <w:r>
        <w:rPr>
          <w:spacing w:val="-49"/>
        </w:rPr>
        <w:t> </w:t>
      </w:r>
      <w:r>
        <w:rPr>
          <w:spacing w:val="-49"/>
        </w:rPr>
      </w:r>
      <w:r>
        <w:rPr/>
        <w:t>并，纳入合并范围后，本公司将之前计入资本公积里的其他综合收益 755,902</w:t>
      </w:r>
      <w:r>
        <w:rPr>
          <w:spacing w:val="-39"/>
        </w:rPr>
        <w:t> </w:t>
      </w:r>
      <w:r>
        <w:rPr/>
        <w:t>元在合并报</w:t>
      </w:r>
      <w:r>
        <w:rPr/>
        <w:t> 表时确认为投资收益。</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0"/>
          <w:szCs w:val="10"/>
        </w:rPr>
      </w:pPr>
    </w:p>
    <w:tbl>
      <w:tblPr>
        <w:tblW w:w="0" w:type="auto"/>
        <w:jc w:val="left"/>
        <w:tblInd w:w="108" w:type="dxa"/>
        <w:tblLayout w:type="fixed"/>
        <w:tblCellMar>
          <w:top w:w="0" w:type="dxa"/>
          <w:left w:w="0" w:type="dxa"/>
          <w:bottom w:w="0" w:type="dxa"/>
          <w:right w:w="0" w:type="dxa"/>
        </w:tblCellMar>
        <w:tblLook w:val="01E0"/>
      </w:tblPr>
      <w:tblGrid>
        <w:gridCol w:w="1954"/>
        <w:gridCol w:w="796"/>
        <w:gridCol w:w="1750"/>
        <w:gridCol w:w="1745"/>
        <w:gridCol w:w="1291"/>
        <w:gridCol w:w="1459"/>
      </w:tblGrid>
      <w:tr>
        <w:trPr>
          <w:trHeight w:val="357" w:hRule="exact"/>
        </w:trPr>
        <w:tc>
          <w:tcPr>
            <w:tcW w:w="1954"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(三十七)盈余公积</w:t>
            </w:r>
            <w:r>
              <w:rPr>
                <w:rFonts w:ascii="宋体" w:hAnsi="宋体" w:cs="宋体" w:eastAsia="宋体" w:hint="default"/>
                <w:sz w:val="21"/>
                <w:szCs w:val="21"/>
              </w:rPr>
            </w:r>
          </w:p>
        </w:tc>
        <w:tc>
          <w:tcPr>
            <w:tcW w:w="7040" w:type="dxa"/>
            <w:gridSpan w:val="5"/>
            <w:tcBorders>
              <w:top w:val="nil" w:sz="6" w:space="0" w:color="auto"/>
              <w:left w:val="nil" w:sz="6" w:space="0" w:color="auto"/>
              <w:bottom w:val="single" w:sz="12" w:space="0" w:color="000000"/>
              <w:right w:val="nil" w:sz="6" w:space="0" w:color="auto"/>
            </w:tcBorders>
          </w:tcPr>
          <w:p>
            <w:pPr/>
          </w:p>
        </w:tc>
      </w:tr>
      <w:tr>
        <w:trPr>
          <w:trHeight w:val="502" w:hRule="exact"/>
        </w:trPr>
        <w:tc>
          <w:tcPr>
            <w:tcW w:w="1954"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right="251"/>
              <w:jc w:val="right"/>
              <w:rPr>
                <w:rFonts w:ascii="宋体" w:hAnsi="宋体" w:cs="宋体" w:eastAsia="宋体" w:hint="default"/>
                <w:sz w:val="18"/>
                <w:szCs w:val="18"/>
              </w:rPr>
            </w:pPr>
            <w:r>
              <w:rPr>
                <w:rFonts w:ascii="宋体" w:hAnsi="宋体" w:cs="宋体" w:eastAsia="宋体" w:hint="default"/>
                <w:sz w:val="18"/>
                <w:szCs w:val="18"/>
              </w:rPr>
              <w:t>项</w:t>
            </w:r>
          </w:p>
        </w:tc>
        <w:tc>
          <w:tcPr>
            <w:tcW w:w="796"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106" w:right="0"/>
              <w:jc w:val="left"/>
              <w:rPr>
                <w:rFonts w:ascii="宋体" w:hAnsi="宋体" w:cs="宋体" w:eastAsia="宋体" w:hint="default"/>
                <w:sz w:val="18"/>
                <w:szCs w:val="18"/>
              </w:rPr>
            </w:pPr>
            <w:r>
              <w:rPr>
                <w:rFonts w:ascii="宋体" w:hAnsi="宋体" w:cs="宋体" w:eastAsia="宋体" w:hint="default"/>
                <w:sz w:val="18"/>
                <w:szCs w:val="18"/>
              </w:rPr>
              <w:t>目</w:t>
            </w:r>
          </w:p>
        </w:tc>
        <w:tc>
          <w:tcPr>
            <w:tcW w:w="1750"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574"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745"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34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91"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216"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59"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35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20" w:hRule="exact"/>
        </w:trPr>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04"/>
              <w:jc w:val="right"/>
              <w:rPr>
                <w:rFonts w:ascii="宋体" w:hAnsi="宋体" w:cs="宋体" w:eastAsia="宋体" w:hint="default"/>
                <w:sz w:val="18"/>
                <w:szCs w:val="18"/>
              </w:rPr>
            </w:pPr>
            <w:r>
              <w:rPr>
                <w:rFonts w:ascii="宋体" w:hAnsi="宋体" w:cs="宋体" w:eastAsia="宋体" w:hint="default"/>
                <w:sz w:val="18"/>
                <w:szCs w:val="18"/>
              </w:rPr>
              <w:t>法定盈余公积</w:t>
            </w:r>
          </w:p>
        </w:tc>
        <w:tc>
          <w:tcPr>
            <w:tcW w:w="79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508" w:right="0"/>
              <w:jc w:val="left"/>
              <w:rPr>
                <w:rFonts w:ascii="Times New Roman" w:hAnsi="Times New Roman" w:cs="Times New Roman" w:eastAsia="Times New Roman" w:hint="default"/>
                <w:sz w:val="18"/>
                <w:szCs w:val="18"/>
              </w:rPr>
            </w:pPr>
            <w:r>
              <w:rPr>
                <w:rFonts w:ascii="Times New Roman"/>
                <w:sz w:val="18"/>
              </w:rPr>
              <w:t>349,584,231</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16"/>
              <w:jc w:val="right"/>
              <w:rPr>
                <w:rFonts w:ascii="Times New Roman" w:hAnsi="Times New Roman" w:cs="Times New Roman" w:eastAsia="Times New Roman" w:hint="default"/>
                <w:sz w:val="18"/>
                <w:szCs w:val="18"/>
              </w:rPr>
            </w:pPr>
            <w:r>
              <w:rPr>
                <w:rFonts w:ascii="Times New Roman"/>
                <w:spacing w:val="-1"/>
                <w:sz w:val="18"/>
              </w:rPr>
              <w:t>34,793,235</w:t>
            </w:r>
          </w:p>
        </w:tc>
        <w:tc>
          <w:tcPr>
            <w:tcW w:w="1291" w:type="dxa"/>
            <w:tcBorders>
              <w:top w:val="nil" w:sz="6" w:space="0" w:color="auto"/>
              <w:left w:val="nil" w:sz="6" w:space="0" w:color="auto"/>
              <w:bottom w:val="nil" w:sz="6" w:space="0" w:color="auto"/>
              <w:right w:val="nil" w:sz="6" w:space="0" w:color="auto"/>
            </w:tcBorders>
          </w:tcPr>
          <w:p>
            <w:pP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7"/>
              <w:jc w:val="right"/>
              <w:rPr>
                <w:rFonts w:ascii="Times New Roman" w:hAnsi="Times New Roman" w:cs="Times New Roman" w:eastAsia="Times New Roman" w:hint="default"/>
                <w:sz w:val="18"/>
                <w:szCs w:val="18"/>
              </w:rPr>
            </w:pPr>
            <w:r>
              <w:rPr>
                <w:rFonts w:ascii="Times New Roman"/>
                <w:sz w:val="18"/>
              </w:rPr>
              <w:t>384,377,466</w:t>
            </w:r>
          </w:p>
        </w:tc>
      </w:tr>
      <w:tr>
        <w:trPr>
          <w:trHeight w:val="410" w:hRule="exact"/>
        </w:trPr>
        <w:tc>
          <w:tcPr>
            <w:tcW w:w="195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4"/>
              <w:jc w:val="right"/>
              <w:rPr>
                <w:rFonts w:ascii="宋体" w:hAnsi="宋体" w:cs="宋体" w:eastAsia="宋体" w:hint="default"/>
                <w:sz w:val="18"/>
                <w:szCs w:val="18"/>
              </w:rPr>
            </w:pPr>
            <w:r>
              <w:rPr>
                <w:rFonts w:ascii="宋体" w:hAnsi="宋体" w:cs="宋体" w:eastAsia="宋体" w:hint="default"/>
                <w:sz w:val="18"/>
                <w:szCs w:val="18"/>
              </w:rPr>
              <w:t>任意盈余公积</w:t>
            </w:r>
          </w:p>
        </w:tc>
        <w:tc>
          <w:tcPr>
            <w:tcW w:w="796" w:type="dxa"/>
            <w:tcBorders>
              <w:top w:val="nil" w:sz="6" w:space="0" w:color="auto"/>
              <w:left w:val="nil" w:sz="6" w:space="0" w:color="auto"/>
              <w:bottom w:val="nil" w:sz="6" w:space="0" w:color="auto"/>
              <w:right w:val="nil" w:sz="6" w:space="0" w:color="auto"/>
            </w:tcBorders>
          </w:tcPr>
          <w:p>
            <w:pP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508" w:right="0"/>
              <w:jc w:val="left"/>
              <w:rPr>
                <w:rFonts w:ascii="Times New Roman" w:hAnsi="Times New Roman" w:cs="Times New Roman" w:eastAsia="Times New Roman" w:hint="default"/>
                <w:sz w:val="18"/>
                <w:szCs w:val="18"/>
              </w:rPr>
            </w:pPr>
            <w:r>
              <w:rPr>
                <w:rFonts w:ascii="Times New Roman"/>
                <w:sz w:val="18"/>
              </w:rPr>
              <w:t>194,929,630</w:t>
            </w:r>
          </w:p>
        </w:tc>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6"/>
              <w:jc w:val="right"/>
              <w:rPr>
                <w:rFonts w:ascii="Times New Roman" w:hAnsi="Times New Roman" w:cs="Times New Roman" w:eastAsia="Times New Roman" w:hint="default"/>
                <w:sz w:val="18"/>
                <w:szCs w:val="18"/>
              </w:rPr>
            </w:pPr>
            <w:r>
              <w:rPr>
                <w:rFonts w:ascii="Times New Roman"/>
                <w:spacing w:val="-1"/>
                <w:sz w:val="18"/>
              </w:rPr>
              <w:t>17,396,618</w:t>
            </w:r>
          </w:p>
        </w:tc>
        <w:tc>
          <w:tcPr>
            <w:tcW w:w="1291" w:type="dxa"/>
            <w:tcBorders>
              <w:top w:val="nil" w:sz="6" w:space="0" w:color="auto"/>
              <w:left w:val="nil" w:sz="6" w:space="0" w:color="auto"/>
              <w:bottom w:val="nil" w:sz="6" w:space="0" w:color="auto"/>
              <w:right w:val="nil" w:sz="6" w:space="0" w:color="auto"/>
            </w:tcBorders>
          </w:tcPr>
          <w:p>
            <w:pP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212,326,248</w:t>
            </w:r>
          </w:p>
        </w:tc>
      </w:tr>
      <w:tr>
        <w:trPr>
          <w:trHeight w:val="328" w:hRule="exact"/>
        </w:trPr>
        <w:tc>
          <w:tcPr>
            <w:tcW w:w="1954"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251"/>
              <w:jc w:val="right"/>
              <w:rPr>
                <w:rFonts w:ascii="宋体" w:hAnsi="宋体" w:cs="宋体" w:eastAsia="宋体" w:hint="default"/>
                <w:sz w:val="18"/>
                <w:szCs w:val="18"/>
              </w:rPr>
            </w:pPr>
            <w:r>
              <w:rPr>
                <w:rFonts w:ascii="宋体" w:hAnsi="宋体" w:cs="宋体" w:eastAsia="宋体" w:hint="default"/>
                <w:sz w:val="18"/>
                <w:szCs w:val="18"/>
              </w:rPr>
              <w:t>合</w:t>
            </w:r>
          </w:p>
        </w:tc>
        <w:tc>
          <w:tcPr>
            <w:tcW w:w="796"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106"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75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left="508" w:right="0"/>
              <w:jc w:val="left"/>
              <w:rPr>
                <w:rFonts w:ascii="Times New Roman" w:hAnsi="Times New Roman" w:cs="Times New Roman" w:eastAsia="Times New Roman" w:hint="default"/>
                <w:sz w:val="18"/>
                <w:szCs w:val="18"/>
              </w:rPr>
            </w:pPr>
            <w:r>
              <w:rPr>
                <w:rFonts w:ascii="Times New Roman"/>
                <w:sz w:val="18"/>
              </w:rPr>
              <w:t>544,513,861</w:t>
            </w:r>
          </w:p>
        </w:tc>
        <w:tc>
          <w:tcPr>
            <w:tcW w:w="174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14"/>
              <w:jc w:val="right"/>
              <w:rPr>
                <w:rFonts w:ascii="Times New Roman" w:hAnsi="Times New Roman" w:cs="Times New Roman" w:eastAsia="Times New Roman" w:hint="default"/>
                <w:sz w:val="18"/>
                <w:szCs w:val="18"/>
              </w:rPr>
            </w:pPr>
            <w:r>
              <w:rPr>
                <w:rFonts w:ascii="Times New Roman"/>
                <w:sz w:val="18"/>
              </w:rPr>
              <w:t>52,189,853</w:t>
            </w:r>
          </w:p>
        </w:tc>
        <w:tc>
          <w:tcPr>
            <w:tcW w:w="1291" w:type="dxa"/>
            <w:tcBorders>
              <w:top w:val="nil" w:sz="6" w:space="0" w:color="auto"/>
              <w:left w:val="nil" w:sz="6" w:space="0" w:color="auto"/>
              <w:bottom w:val="single" w:sz="12" w:space="0" w:color="000000"/>
              <w:right w:val="nil" w:sz="6" w:space="0" w:color="auto"/>
            </w:tcBorders>
          </w:tcPr>
          <w:p>
            <w:pPr/>
          </w:p>
        </w:tc>
        <w:tc>
          <w:tcPr>
            <w:tcW w:w="145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596,703,714</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tabs>
          <w:tab w:pos="1413" w:val="left" w:leader="none"/>
        </w:tabs>
        <w:spacing w:line="348" w:lineRule="auto" w:before="35"/>
        <w:ind w:left="875" w:right="4017" w:firstLine="0"/>
        <w:jc w:val="left"/>
        <w:rPr>
          <w:rFonts w:ascii="宋体" w:hAnsi="宋体" w:cs="宋体" w:eastAsia="宋体" w:hint="default"/>
          <w:sz w:val="21"/>
          <w:szCs w:val="21"/>
        </w:rPr>
      </w:pPr>
      <w:r>
        <w:rPr/>
        <w:pict>
          <v:group style="position:absolute;margin-left:119.400002pt;margin-top:-107.096024pt;width:418.7pt;height:82.65pt;mso-position-horizontal-relative:page;mso-position-vertical-relative:paragraph;z-index:-1114528" coordorigin="2388,-2142" coordsize="8374,1653">
            <v:shape style="position:absolute;left:4822;top:-2142;width:4464;height:446" type="#_x0000_t75" stroked="false">
              <v:imagedata r:id="rId262" o:title=""/>
            </v:shape>
            <v:shape style="position:absolute;left:2388;top:-1738;width:8374;height:1249" type="#_x0000_t75" stroked="false">
              <v:imagedata r:id="rId263" o:title=""/>
            </v:shape>
            <w10:wrap type="none"/>
          </v:group>
        </w:pict>
      </w:r>
      <w:r>
        <w:rPr>
          <w:rFonts w:ascii="宋体" w:hAnsi="宋体" w:cs="宋体" w:eastAsia="宋体" w:hint="default"/>
          <w:sz w:val="21"/>
          <w:szCs w:val="21"/>
        </w:rPr>
        <w:t>盈余公积说明： 本公司及境内子公司盈余公积的提列政策如下： </w:t>
      </w:r>
      <w:r>
        <w:rPr>
          <w:rFonts w:ascii="宋体" w:hAnsi="宋体" w:cs="宋体" w:eastAsia="宋体" w:hint="default"/>
          <w:b/>
          <w:bCs/>
          <w:w w:val="95"/>
          <w:sz w:val="21"/>
          <w:szCs w:val="21"/>
        </w:rPr>
        <w:t>1、</w:t>
        <w:tab/>
      </w:r>
      <w:r>
        <w:rPr>
          <w:rFonts w:ascii="宋体" w:hAnsi="宋体" w:cs="宋体" w:eastAsia="宋体" w:hint="default"/>
          <w:b/>
          <w:bCs/>
          <w:sz w:val="21"/>
          <w:szCs w:val="21"/>
        </w:rPr>
        <w:t>法定盈余公积</w:t>
      </w:r>
      <w:r>
        <w:rPr>
          <w:rFonts w:ascii="宋体" w:hAnsi="宋体" w:cs="宋体" w:eastAsia="宋体" w:hint="default"/>
          <w:sz w:val="21"/>
          <w:szCs w:val="21"/>
        </w:rPr>
      </w:r>
    </w:p>
    <w:p>
      <w:pPr>
        <w:pStyle w:val="BodyText"/>
        <w:spacing w:line="340" w:lineRule="auto" w:before="31"/>
        <w:ind w:left="875" w:right="153"/>
        <w:jc w:val="left"/>
      </w:pPr>
      <w:r>
        <w:rPr/>
        <w:t>根据中国公司法和本公司及子公司章程，本公司及子公司须分别根据其按企业会计准则编</w:t>
      </w:r>
      <w:r>
        <w:rPr>
          <w:spacing w:val="-49"/>
        </w:rPr>
        <w:t> </w:t>
      </w:r>
      <w:r>
        <w:rPr>
          <w:spacing w:val="-49"/>
        </w:rPr>
      </w:r>
      <w:r>
        <w:rPr/>
        <w:t>制的法定账目税后利润（弥补以前年度亏损后）的</w:t>
      </w:r>
      <w:r>
        <w:rPr>
          <w:spacing w:val="-4"/>
        </w:rPr>
        <w:t> </w:t>
      </w:r>
      <w:r>
        <w:rPr>
          <w:rFonts w:ascii="Times New Roman" w:hAnsi="Times New Roman" w:cs="Times New Roman" w:eastAsia="Times New Roman" w:hint="default"/>
        </w:rPr>
        <w:t>10%</w:t>
      </w:r>
      <w:r>
        <w:rPr/>
        <w:t>提取法定盈余公积。当该公积金余 额累计达各公司注册资本的</w:t>
      </w:r>
      <w:r>
        <w:rPr>
          <w:spacing w:val="-54"/>
        </w:rPr>
        <w:t> </w:t>
      </w:r>
      <w:r>
        <w:rPr>
          <w:rFonts w:ascii="Times New Roman" w:hAnsi="Times New Roman" w:cs="Times New Roman" w:eastAsia="Times New Roman" w:hint="default"/>
        </w:rPr>
        <w:t>50%</w:t>
      </w:r>
      <w:r>
        <w:rPr/>
        <w:t>时可不再提取。 法定盈余公积经批准后，可用来弥补亏损或转增资本，但弥补亏损或转增资本后余额不得</w:t>
      </w:r>
      <w:r>
        <w:rPr>
          <w:spacing w:val="-49"/>
        </w:rPr>
        <w:t> </w:t>
      </w:r>
      <w:r>
        <w:rPr>
          <w:spacing w:val="-49"/>
        </w:rPr>
      </w:r>
      <w:r>
        <w:rPr/>
        <w:t>低于各公司注册资本的</w:t>
      </w:r>
      <w:r>
        <w:rPr>
          <w:spacing w:val="-54"/>
        </w:rPr>
        <w:t> </w:t>
      </w:r>
      <w:r>
        <w:rPr>
          <w:rFonts w:ascii="Times New Roman" w:hAnsi="Times New Roman" w:cs="Times New Roman" w:eastAsia="Times New Roman" w:hint="default"/>
        </w:rPr>
        <w:t>25%</w:t>
      </w:r>
      <w:r>
        <w:rPr/>
        <w:t>。</w:t>
      </w:r>
    </w:p>
    <w:p>
      <w:pPr>
        <w:pStyle w:val="BodyText"/>
        <w:tabs>
          <w:tab w:pos="1413" w:val="left" w:leader="none"/>
        </w:tabs>
        <w:spacing w:line="343" w:lineRule="auto" w:before="11"/>
        <w:ind w:left="875" w:right="168"/>
        <w:jc w:val="left"/>
      </w:pPr>
      <w:r>
        <w:rPr>
          <w:rFonts w:ascii="宋体" w:hAnsi="宋体" w:cs="宋体" w:eastAsia="宋体" w:hint="default"/>
          <w:b/>
          <w:bCs/>
          <w:w w:val="95"/>
        </w:rPr>
        <w:t>2、</w:t>
        <w:tab/>
      </w:r>
      <w:r>
        <w:rPr>
          <w:rFonts w:ascii="宋体" w:hAnsi="宋体" w:cs="宋体" w:eastAsia="宋体" w:hint="default"/>
          <w:b/>
          <w:bCs/>
        </w:rPr>
        <w:t>任意盈余公积</w:t>
      </w:r>
      <w:r>
        <w:rPr>
          <w:rFonts w:ascii="宋体" w:hAnsi="宋体" w:cs="宋体" w:eastAsia="宋体" w:hint="default"/>
          <w:b/>
          <w:bCs/>
          <w:w w:val="99"/>
        </w:rPr>
        <w:t> </w:t>
      </w:r>
      <w:r>
        <w:rPr/>
        <w:t>任意盈余公积是依照公司章程，由董事会提出预案，经股东大会决议通过后，在提取法定</w:t>
      </w:r>
      <w:r>
        <w:rPr>
          <w:spacing w:val="-49"/>
        </w:rPr>
        <w:t> </w:t>
      </w:r>
      <w:r>
        <w:rPr>
          <w:spacing w:val="-49"/>
        </w:rPr>
      </w:r>
      <w:r>
        <w:rPr/>
        <w:t>盈余公积后计提。本期计提 </w:t>
      </w:r>
      <w:r>
        <w:rPr>
          <w:rFonts w:ascii="Times New Roman" w:hAnsi="Times New Roman" w:cs="Times New Roman" w:eastAsia="Times New Roman" w:hint="default"/>
        </w:rPr>
        <w:t>17,396,618</w:t>
      </w:r>
      <w:r>
        <w:rPr>
          <w:rFonts w:ascii="Times New Roman" w:hAnsi="Times New Roman" w:cs="Times New Roman" w:eastAsia="Times New Roman" w:hint="default"/>
          <w:spacing w:val="9"/>
        </w:rPr>
        <w:t> </w:t>
      </w:r>
      <w:r>
        <w:rPr/>
        <w:t>元系按照本公司及子公司根据企业会计准则编制的 法定账目税后利润（弥补以前年度亏损后）的</w:t>
      </w:r>
      <w:r>
        <w:rPr>
          <w:spacing w:val="-54"/>
        </w:rPr>
        <w:t> </w:t>
      </w:r>
      <w:r>
        <w:rPr>
          <w:rFonts w:ascii="Times New Roman" w:hAnsi="Times New Roman" w:cs="Times New Roman" w:eastAsia="Times New Roman" w:hint="default"/>
        </w:rPr>
        <w:t>5%</w:t>
      </w:r>
      <w:r>
        <w:rPr/>
        <w:t>提取任意盈余公积。</w:t>
      </w:r>
    </w:p>
    <w:p>
      <w:pPr>
        <w:spacing w:line="240" w:lineRule="auto" w:before="4"/>
        <w:rPr>
          <w:rFonts w:ascii="宋体" w:hAnsi="宋体" w:cs="宋体" w:eastAsia="宋体" w:hint="default"/>
          <w:sz w:val="31"/>
          <w:szCs w:val="31"/>
        </w:rPr>
      </w:pPr>
    </w:p>
    <w:p>
      <w:pPr>
        <w:pStyle w:val="Heading6"/>
        <w:spacing w:line="240" w:lineRule="auto" w:before="0"/>
        <w:ind w:left="143" w:right="112"/>
        <w:jc w:val="left"/>
        <w:rPr>
          <w:b w:val="0"/>
          <w:bCs w:val="0"/>
        </w:rPr>
      </w:pPr>
      <w:r>
        <w:rPr/>
        <w:t>(三十八)未分配利润</w:t>
      </w:r>
      <w:r>
        <w:rPr>
          <w:b w:val="0"/>
          <w:bCs w:val="0"/>
        </w:rPr>
      </w:r>
    </w:p>
    <w:p>
      <w:pPr>
        <w:spacing w:line="240" w:lineRule="auto" w:before="5"/>
        <w:rPr>
          <w:rFonts w:ascii="宋体" w:hAnsi="宋体" w:cs="宋体" w:eastAsia="宋体" w:hint="default"/>
          <w:b/>
          <w:bCs/>
          <w:sz w:val="2"/>
          <w:szCs w:val="2"/>
        </w:rPr>
      </w:pPr>
    </w:p>
    <w:p>
      <w:pPr>
        <w:spacing w:line="1690" w:lineRule="exact"/>
        <w:ind w:left="737"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23pt;height:84.55pt;mso-position-horizontal-relative:char;mso-position-vertical-relative:line" coordorigin="0,0" coordsize="8460,1691">
            <v:group style="position:absolute;left:29;top:15;width:8399;height:2" coordorigin="29,15" coordsize="8399,2">
              <v:shape style="position:absolute;left:29;top:15;width:8399;height:2" coordorigin="29,15" coordsize="8399,0" path="m29,15l8428,15e" filled="false" stroked="true" strokeweight="1.5pt" strokecolor="#000000">
                <v:path arrowok="t"/>
              </v:shape>
              <v:shape style="position:absolute;left:3357;top:5;width:2395;height:451" type="#_x0000_t75" stroked="false">
                <v:imagedata r:id="rId264" o:title=""/>
              </v:shape>
            </v:group>
            <v:group style="position:absolute;left:15;top:1676;width:3368;height:2" coordorigin="15,1676" coordsize="3368,2">
              <v:shape style="position:absolute;left:15;top:1676;width:3368;height:2" coordorigin="15,1676" coordsize="3368,0" path="m15,1676l3382,1676e" filled="false" stroked="true" strokeweight="1.5pt" strokecolor="#000000">
                <v:path arrowok="t"/>
              </v:shape>
            </v:group>
            <v:group style="position:absolute;left:3382;top:1676;width:2336;height:2" coordorigin="3382,1676" coordsize="2336,2">
              <v:shape style="position:absolute;left:3382;top:1676;width:2336;height:2" coordorigin="3382,1676" coordsize="2336,0" path="m3382,1676l5717,1676e" filled="false" stroked="true" strokeweight="1.5pt" strokecolor="#000000">
                <v:path arrowok="t"/>
              </v:shape>
              <v:shape style="position:absolute;left:1;top:407;width:8459;height:1253" type="#_x0000_t75" stroked="false">
                <v:imagedata r:id="rId265" o:title=""/>
              </v:shape>
            </v:group>
            <v:group style="position:absolute;left:5717;top:1676;width:2711;height:2" coordorigin="5717,1676" coordsize="2711,2">
              <v:shape style="position:absolute;left:5717;top:1676;width:2711;height:2" coordorigin="5717,1676" coordsize="2711,0" path="m5717,1676l8428,1676e" filled="false" stroked="true" strokeweight="1.5pt" strokecolor="#000000">
                <v:path arrowok="t"/>
              </v:shape>
              <v:shape style="position:absolute;left:1359;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1899;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4294;top:22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6455;top:22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提取或分配比例</w:t>
                      </w:r>
                    </w:p>
                  </w:txbxContent>
                </v:textbox>
                <w10:wrap type="none"/>
              </v:shape>
              <v:shape style="position:absolute;left:137;top:63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年初未分配利润</w:t>
                      </w:r>
                    </w:p>
                  </w:txbxContent>
                </v:textbox>
                <w10:wrap type="none"/>
              </v:shape>
              <v:shape style="position:absolute;left:4577;top:65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2,171,819,047</w:t>
                      </w:r>
                    </w:p>
                  </w:txbxContent>
                </v:textbox>
                <w10:wrap type="none"/>
              </v:shape>
              <v:shape style="position:absolute;left:137;top:1043;width:30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xbxContent>
                </v:textbox>
                <w10:wrap type="none"/>
              </v:shape>
              <v:shape style="position:absolute;left:4713;top:1062;width:90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417,068,980</w:t>
                      </w:r>
                    </w:p>
                  </w:txbxContent>
                </v:textbox>
                <w10:wrap type="none"/>
              </v:shape>
              <v:shape style="position:absolute;left:137;top:1452;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减：提取法定盈余公积</w:t>
                      </w:r>
                    </w:p>
                  </w:txbxContent>
                </v:textbox>
                <w10:wrap type="none"/>
              </v:shape>
              <v:shape style="position:absolute;left:4803;top:1472;width:81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34,793,235</w:t>
                      </w:r>
                    </w:p>
                  </w:txbxContent>
                </v:textbox>
                <w10:wrap type="none"/>
              </v:shape>
              <v:shape style="position:absolute;left:6173;top:1452;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参见附注五（三十七）</w:t>
                      </w:r>
                    </w:p>
                  </w:txbxContent>
                </v:textbox>
                <w10:wrap type="none"/>
              </v:shape>
            </v:group>
          </v:group>
        </w:pict>
      </w:r>
      <w:r>
        <w:rPr>
          <w:rFonts w:ascii="宋体" w:hAnsi="宋体" w:cs="宋体" w:eastAsia="宋体" w:hint="default"/>
          <w:position w:val="-33"/>
          <w:sz w:val="20"/>
          <w:szCs w:val="20"/>
        </w:rPr>
      </w:r>
    </w:p>
    <w:p>
      <w:pPr>
        <w:spacing w:after="0" w:line="1690" w:lineRule="exact"/>
        <w:rPr>
          <w:rFonts w:ascii="宋体" w:hAnsi="宋体" w:cs="宋体" w:eastAsia="宋体" w:hint="default"/>
          <w:sz w:val="20"/>
          <w:szCs w:val="20"/>
        </w:rPr>
        <w:sectPr>
          <w:pgSz w:w="11910" w:h="16840"/>
          <w:pgMar w:header="0" w:footer="1003" w:top="1540" w:bottom="1200" w:left="1640" w:right="960"/>
        </w:sectPr>
      </w:pPr>
    </w:p>
    <w:p>
      <w:pPr>
        <w:spacing w:line="240" w:lineRule="auto" w:before="7"/>
        <w:rPr>
          <w:rFonts w:ascii="宋体" w:hAnsi="宋体" w:cs="宋体" w:eastAsia="宋体" w:hint="default"/>
          <w:b/>
          <w:bCs/>
          <w:sz w:val="3"/>
          <w:szCs w:val="3"/>
        </w:rPr>
      </w:pPr>
    </w:p>
    <w:p>
      <w:pPr>
        <w:spacing w:line="2520" w:lineRule="exact"/>
        <w:ind w:left="102"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53.75pt;height:126pt;mso-position-horizontal-relative:char;mso-position-vertical-relative:line" coordorigin="0,0" coordsize="9075,2520">
            <v:group style="position:absolute;left:5;top:5;width:9036;height:2" coordorigin="5,5" coordsize="9036,2">
              <v:shape style="position:absolute;left:5;top:5;width:9036;height:2" coordorigin="5,5" coordsize="9036,0" path="m5,5l9041,5e" filled="false" stroked="true" strokeweight=".47998pt" strokecolor="#000000">
                <v:path arrowok="t"/>
              </v:shape>
            </v:group>
            <v:group style="position:absolute;left:644;top:25;width:8399;height:2" coordorigin="644,25" coordsize="8399,2">
              <v:shape style="position:absolute;left:644;top:25;width:8399;height:2" coordorigin="644,25" coordsize="8399,0" path="m644,25l9043,25e" filled="false" stroked="true" strokeweight="1.5pt" strokecolor="#000000">
                <v:path arrowok="t"/>
              </v:shape>
              <v:shape style="position:absolute;left:3972;top:14;width:2395;height:451" type="#_x0000_t75" stroked="false">
                <v:imagedata r:id="rId266" o:title=""/>
              </v:shape>
            </v:group>
            <v:group style="position:absolute;left:630;top:2505;width:3368;height:2" coordorigin="630,2505" coordsize="3368,2">
              <v:shape style="position:absolute;left:630;top:2505;width:3368;height:2" coordorigin="630,2505" coordsize="3368,0" path="m630,2505l3997,2505e" filled="false" stroked="true" strokeweight="1.5pt" strokecolor="#000000">
                <v:path arrowok="t"/>
              </v:shape>
            </v:group>
            <v:group style="position:absolute;left:3997;top:2505;width:2336;height:2" coordorigin="3997,2505" coordsize="2336,2">
              <v:shape style="position:absolute;left:3997;top:2505;width:2336;height:2" coordorigin="3997,2505" coordsize="2336,0" path="m3997,2505l6332,2505e" filled="false" stroked="true" strokeweight="1.5pt" strokecolor="#000000">
                <v:path arrowok="t"/>
              </v:shape>
              <v:shape style="position:absolute;left:616;top:417;width:8459;height:2073" type="#_x0000_t75" stroked="false">
                <v:imagedata r:id="rId267" o:title=""/>
              </v:shape>
            </v:group>
            <v:group style="position:absolute;left:6332;top:2505;width:2711;height:2" coordorigin="6332,2505" coordsize="2711,2">
              <v:shape style="position:absolute;left:6332;top:2505;width:2711;height:2" coordorigin="6332,2505" coordsize="2711,0" path="m6332,2505l9043,2505e" filled="false" stroked="true" strokeweight="1.5pt" strokecolor="#000000">
                <v:path arrowok="t"/>
              </v:shape>
              <v:shape style="position:absolute;left:1974;top:23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2514;top:23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4909;top:23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7070;top:23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提取或分配比例</w:t>
                      </w:r>
                    </w:p>
                  </w:txbxContent>
                </v:textbox>
                <w10:wrap type="none"/>
              </v:shape>
              <v:shape style="position:absolute;left:1112;top:642;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提取任意盈余公积</w:t>
                      </w:r>
                    </w:p>
                  </w:txbxContent>
                </v:textbox>
                <w10:wrap type="none"/>
              </v:shape>
              <v:shape style="position:absolute;left:5418;top:662;width:81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17,396,618</w:t>
                      </w:r>
                    </w:p>
                  </w:txbxContent>
                </v:textbox>
                <w10:wrap type="none"/>
              </v:shape>
              <v:shape style="position:absolute;left:6788;top:642;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参见附注五（三十七）</w:t>
                      </w:r>
                    </w:p>
                  </w:txbxContent>
                </v:textbox>
                <w10:wrap type="none"/>
              </v:shape>
              <v:shape style="position:absolute;left:1112;top:1053;width:1800;height:5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应付普通股股利</w:t>
                      </w:r>
                    </w:p>
                    <w:p>
                      <w:pPr>
                        <w:spacing w:line="240" w:lineRule="auto" w:before="4"/>
                        <w:rPr>
                          <w:rFonts w:ascii="宋体" w:hAnsi="宋体" w:cs="宋体" w:eastAsia="宋体" w:hint="default"/>
                          <w:b/>
                          <w:bCs/>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转作股本的普通股股利</w:t>
                      </w:r>
                    </w:p>
                  </w:txbxContent>
                </v:textbox>
                <w10:wrap type="none"/>
              </v:shape>
              <v:shape style="position:absolute;left:1112;top:187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752;top:228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期末未分配利润</w:t>
                      </w:r>
                    </w:p>
                  </w:txbxContent>
                </v:textbox>
                <w10:wrap type="none"/>
              </v:shape>
              <v:shape style="position:absolute;left:5192;top:230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2,536,698,174</w:t>
                      </w:r>
                    </w:p>
                  </w:txbxContent>
                </v:textbox>
                <w10:wrap type="none"/>
              </v:shape>
            </v:group>
          </v:group>
        </w:pict>
      </w:r>
      <w:r>
        <w:rPr>
          <w:rFonts w:ascii="宋体" w:hAnsi="宋体" w:cs="宋体" w:eastAsia="宋体" w:hint="default"/>
          <w:position w:val="-49"/>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3" w:val="left" w:leader="none"/>
        </w:tabs>
        <w:spacing w:line="350" w:lineRule="auto" w:before="35"/>
        <w:ind w:left="855" w:right="6406" w:hanging="732"/>
        <w:jc w:val="left"/>
        <w:rPr>
          <w:rFonts w:ascii="宋体" w:hAnsi="宋体" w:cs="宋体" w:eastAsia="宋体" w:hint="default"/>
          <w:sz w:val="21"/>
          <w:szCs w:val="21"/>
        </w:rPr>
      </w:pPr>
      <w:r>
        <w:rPr/>
        <w:pict>
          <v:group style="position:absolute;margin-left:118.889999pt;margin-top:37.113529pt;width:419.75pt;height:84.5pt;mso-position-horizontal-relative:page;mso-position-vertical-relative:paragraph;z-index:-1113568" coordorigin="2378,742" coordsize="8395,1690">
            <v:group style="position:absolute;left:2407;top:757;width:8336;height:2" coordorigin="2407,757" coordsize="8336,2">
              <v:shape style="position:absolute;left:2407;top:757;width:8336;height:2" coordorigin="2407,757" coordsize="8336,0" path="m2407,757l10742,757e" filled="false" stroked="true" strokeweight="1.5pt" strokecolor="#000000">
                <v:path arrowok="t"/>
              </v:shape>
              <v:shape style="position:absolute;left:6075;top:749;width:2699;height:446" type="#_x0000_t75" stroked="false">
                <v:imagedata r:id="rId268" o:title=""/>
              </v:shape>
            </v:group>
            <v:group style="position:absolute;left:2393;top:2417;width:3706;height:2" coordorigin="2393,2417" coordsize="3706,2">
              <v:shape style="position:absolute;left:2393;top:2417;width:3706;height:2" coordorigin="2393,2417" coordsize="3706,0" path="m2393,2417l6098,2417e" filled="false" stroked="true" strokeweight="1.5pt" strokecolor="#000000">
                <v:path arrowok="t"/>
              </v:shape>
            </v:group>
            <v:group style="position:absolute;left:6098;top:2417;width:2643;height:2" coordorigin="6098,2417" coordsize="2643,2">
              <v:shape style="position:absolute;left:6098;top:2417;width:2643;height:2" coordorigin="6098,2417" coordsize="2643,0" path="m6098,2417l8741,2417e" filled="false" stroked="true" strokeweight="1.5pt" strokecolor="#000000">
                <v:path arrowok="t"/>
              </v:shape>
              <v:shape style="position:absolute;left:2378;top:1147;width:8394;height:1255" type="#_x0000_t75" stroked="false">
                <v:imagedata r:id="rId269" o:title=""/>
              </v:shape>
            </v:group>
            <v:group style="position:absolute;left:8741;top:2417;width:2002;height:2" coordorigin="8741,2417" coordsize="2002,2">
              <v:shape style="position:absolute;left:8741;top:2417;width:2002;height:2" coordorigin="8741,2417" coordsize="2002,0" path="m8741,2417l10742,2417e" filled="false" stroked="true" strokeweight="1.5pt" strokecolor="#000000">
                <v:path arrowok="t"/>
              </v:shape>
              <v:shape style="position:absolute;left:3895;top:964;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4435;top:964;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7064;top:9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9383;top:9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2515;top:137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主营业务收入</w:t>
                      </w:r>
                    </w:p>
                  </w:txbxContent>
                </v:textbox>
                <w10:wrap type="none"/>
              </v:shape>
              <v:shape style="position:absolute;left:7602;top:1394;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5,681,821,459</w:t>
                      </w:r>
                    </w:p>
                  </w:txbxContent>
                </v:textbox>
                <w10:wrap type="none"/>
              </v:shape>
              <v:shape style="position:absolute;left:9597;top:1394;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4,720,773,137</w:t>
                      </w:r>
                    </w:p>
                  </w:txbxContent>
                </v:textbox>
                <w10:wrap type="none"/>
              </v:shape>
              <v:shape style="position:absolute;left:2515;top:178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其他业务收入</w:t>
                      </w:r>
                    </w:p>
                  </w:txbxContent>
                </v:textbox>
                <w10:wrap type="none"/>
              </v:shape>
              <v:shape style="position:absolute;left:7826;top:1803;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69,427,871</w:t>
                      </w:r>
                    </w:p>
                  </w:txbxContent>
                </v:textbox>
                <w10:wrap type="none"/>
              </v:shape>
              <v:shape style="position:absolute;left:9733;top:1803;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216,923,303</w:t>
                      </w:r>
                    </w:p>
                  </w:txbxContent>
                </v:textbox>
                <w10:wrap type="none"/>
              </v:shape>
              <v:shape style="position:absolute;left:4075;top:219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7602;top:2214;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5,751,249,330</w:t>
                      </w:r>
                    </w:p>
                  </w:txbxContent>
                </v:textbox>
                <w10:wrap type="none"/>
              </v:shape>
              <v:shape style="position:absolute;left:9599;top:2214;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4,937,696,440</w:t>
                      </w:r>
                    </w:p>
                  </w:txbxContent>
                </v:textbox>
                <w10:wrap type="none"/>
              </v:shape>
            </v:group>
            <w10:wrap type="none"/>
          </v:group>
        </w:pict>
      </w:r>
      <w:r>
        <w:rPr>
          <w:rFonts w:ascii="宋体" w:hAnsi="宋体" w:cs="宋体" w:eastAsia="宋体" w:hint="default"/>
          <w:b/>
          <w:bCs/>
          <w:sz w:val="21"/>
          <w:szCs w:val="21"/>
        </w:rPr>
        <w:t>(三十九)营业收入及营业成本</w:t>
      </w:r>
      <w:r>
        <w:rPr>
          <w:rFonts w:ascii="宋体" w:hAnsi="宋体" w:cs="宋体" w:eastAsia="宋体" w:hint="default"/>
          <w:b/>
          <w:bCs/>
          <w:spacing w:val="-98"/>
          <w:sz w:val="21"/>
          <w:szCs w:val="21"/>
        </w:rPr>
        <w:t> </w:t>
      </w:r>
      <w:r>
        <w:rPr>
          <w:rFonts w:ascii="宋体" w:hAnsi="宋体" w:cs="宋体" w:eastAsia="宋体" w:hint="default"/>
          <w:b/>
          <w:bCs/>
          <w:spacing w:val="-98"/>
          <w:sz w:val="21"/>
          <w:szCs w:val="21"/>
        </w:rPr>
      </w:r>
      <w:r>
        <w:rPr>
          <w:rFonts w:ascii="宋体" w:hAnsi="宋体" w:cs="宋体" w:eastAsia="宋体" w:hint="default"/>
          <w:b/>
          <w:bCs/>
          <w:w w:val="95"/>
          <w:sz w:val="21"/>
          <w:szCs w:val="21"/>
        </w:rPr>
        <w:t>1、</w:t>
        <w:tab/>
      </w:r>
      <w:r>
        <w:rPr>
          <w:rFonts w:ascii="宋体" w:hAnsi="宋体" w:cs="宋体" w:eastAsia="宋体" w:hint="default"/>
          <w:b/>
          <w:bCs/>
          <w:sz w:val="21"/>
          <w:szCs w:val="21"/>
        </w:rPr>
        <w:t>营业收入</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9"/>
          <w:szCs w:val="19"/>
        </w:rPr>
      </w:pPr>
    </w:p>
    <w:p>
      <w:pPr>
        <w:tabs>
          <w:tab w:pos="1393" w:val="left" w:leader="none"/>
        </w:tabs>
        <w:spacing w:before="35"/>
        <w:ind w:left="855" w:right="3559"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营业成本：</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p>
      <w:pPr>
        <w:spacing w:line="1689" w:lineRule="exact"/>
        <w:ind w:left="717"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22.7pt;height:84.5pt;mso-position-horizontal-relative:char;mso-position-vertical-relative:line" coordorigin="0,0" coordsize="8454,1690">
            <v:group style="position:absolute;left:29;top:15;width:8399;height:2" coordorigin="29,15" coordsize="8399,2">
              <v:shape style="position:absolute;left:29;top:15;width:8399;height:2" coordorigin="29,15" coordsize="8399,0" path="m29,15l8428,15e" filled="false" stroked="true" strokeweight="1.5pt" strokecolor="#000000">
                <v:path arrowok="t"/>
              </v:shape>
              <v:shape style="position:absolute;left:3698;top:7;width:2699;height:446" type="#_x0000_t75" stroked="false">
                <v:imagedata r:id="rId270" o:title=""/>
              </v:shape>
            </v:group>
            <v:group style="position:absolute;left:15;top:1675;width:3707;height:2" coordorigin="15,1675" coordsize="3707,2">
              <v:shape style="position:absolute;left:15;top:1675;width:3707;height:2" coordorigin="15,1675" coordsize="3707,0" path="m15,1675l3722,1675e" filled="false" stroked="true" strokeweight="1.5pt" strokecolor="#000000">
                <v:path arrowok="t"/>
              </v:shape>
            </v:group>
            <v:group style="position:absolute;left:3722;top:1675;width:2643;height:2" coordorigin="3722,1675" coordsize="2643,2">
              <v:shape style="position:absolute;left:3722;top:1675;width:2643;height:2" coordorigin="3722,1675" coordsize="2643,0" path="m3722,1675l6364,1675e" filled="false" stroked="true" strokeweight="1.5pt" strokecolor="#000000">
                <v:path arrowok="t"/>
              </v:shape>
              <v:shape style="position:absolute;left:1;top:404;width:8453;height:1255" type="#_x0000_t75" stroked="false">
                <v:imagedata r:id="rId271" o:title=""/>
              </v:shape>
            </v:group>
            <v:group style="position:absolute;left:6364;top:1675;width:2064;height:2" coordorigin="6364,1675" coordsize="2064,2">
              <v:shape style="position:absolute;left:6364;top:1675;width:2064;height:2" coordorigin="6364,1675" coordsize="2064,0" path="m6364,1675l8428,1675e" filled="false" stroked="true" strokeweight="1.5pt" strokecolor="#000000">
                <v:path arrowok="t"/>
              </v:shape>
              <v:shape style="position:absolute;left:1517;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2057;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4688;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7037;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137;top:63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主营业务成本</w:t>
                      </w:r>
                    </w:p>
                  </w:txbxContent>
                </v:textbox>
                <w10:wrap type="none"/>
              </v:shape>
              <v:shape style="position:absolute;left:5225;top:65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3,968,485,614</w:t>
                      </w:r>
                    </w:p>
                  </w:txbxContent>
                </v:textbox>
                <w10:wrap type="none"/>
              </v:shape>
              <v:shape style="position:absolute;left:7284;top:65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3,232,117,807</w:t>
                      </w:r>
                    </w:p>
                  </w:txbxContent>
                </v:textbox>
                <w10:wrap type="none"/>
              </v:shape>
              <v:shape style="position:absolute;left:137;top:104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其他业务成本</w:t>
                      </w:r>
                    </w:p>
                  </w:txbxContent>
                </v:textbox>
                <w10:wrap type="none"/>
              </v:shape>
              <v:shape style="position:absolute;left:5450;top:106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36,512,791</w:t>
                      </w:r>
                    </w:p>
                  </w:txbxContent>
                </v:textbox>
                <w10:wrap type="none"/>
              </v:shape>
              <v:shape style="position:absolute;left:7418;top:106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151,511,038</w:t>
                      </w:r>
                    </w:p>
                  </w:txbxContent>
                </v:textbox>
                <w10:wrap type="none"/>
              </v:shape>
              <v:shape style="position:absolute;left:1697;top:145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5225;top:147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4,004,998,405</w:t>
                      </w:r>
                    </w:p>
                  </w:txbxContent>
                </v:textbox>
                <w10:wrap type="none"/>
              </v:shape>
              <v:shape style="position:absolute;left:7284;top:147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3,383,628,845</w:t>
                      </w:r>
                    </w:p>
                  </w:txbxContent>
                </v:textbox>
                <w10:wrap type="none"/>
              </v:shape>
            </v:group>
          </v:group>
        </w:pict>
      </w:r>
      <w:r>
        <w:rPr>
          <w:rFonts w:ascii="宋体" w:hAnsi="宋体" w:cs="宋体" w:eastAsia="宋体" w:hint="default"/>
          <w:position w:val="-33"/>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tabs>
          <w:tab w:pos="1393" w:val="left" w:leader="none"/>
        </w:tabs>
        <w:spacing w:before="35"/>
        <w:ind w:left="855" w:right="3559" w:firstLine="0"/>
        <w:jc w:val="left"/>
        <w:rPr>
          <w:rFonts w:ascii="宋体" w:hAnsi="宋体" w:cs="宋体" w:eastAsia="宋体" w:hint="default"/>
          <w:sz w:val="21"/>
          <w:szCs w:val="21"/>
        </w:rPr>
      </w:pPr>
      <w:r>
        <w:rPr/>
        <w:pict>
          <v:group style="position:absolute;margin-left:119.400002pt;margin-top:17.073977pt;width:419.1pt;height:164.55pt;mso-position-horizontal-relative:page;mso-position-vertical-relative:paragraph;z-index:-1113328" coordorigin="2388,341" coordsize="8382,3291">
            <v:group style="position:absolute;left:2407;top:356;width:8336;height:2" coordorigin="2407,356" coordsize="8336,2">
              <v:shape style="position:absolute;left:2407;top:356;width:8336;height:2" coordorigin="2407,356" coordsize="8336,0" path="m2407,356l10742,356e" filled="false" stroked="true" strokeweight="1.5pt" strokecolor="#000000">
                <v:path arrowok="t"/>
              </v:shape>
              <v:shape style="position:absolute;left:4642;top:348;width:3160;height:446" type="#_x0000_t75" stroked="false">
                <v:imagedata r:id="rId272" o:title=""/>
              </v:shape>
              <v:shape style="position:absolute;left:4646;top:752;width:6124;height:449" type="#_x0000_t75" stroked="false">
                <v:imagedata r:id="rId273" o:title=""/>
              </v:shape>
              <v:shape style="position:absolute;left:2388;top:1162;width:8382;height:2470" type="#_x0000_t75" stroked="false">
                <v:imagedata r:id="rId274" o:title=""/>
              </v:shape>
              <v:shape style="position:absolute;left:5862;top:5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8898;top:5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3179;top:76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3719;top:76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5112;top:9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6662;top:9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8160;top:9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9644;top:9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2515;top:1383;width:213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系统集成、软件产品销售、</w:t>
                      </w:r>
                    </w:p>
                  </w:txbxContent>
                </v:textbox>
                <w10:wrap type="none"/>
              </v:shape>
            </v:group>
            <w10:wrap type="none"/>
          </v:group>
        </w:pict>
      </w:r>
      <w:r>
        <w:rPr>
          <w:rFonts w:ascii="宋体" w:hAnsi="宋体" w:cs="宋体" w:eastAsia="宋体" w:hint="default"/>
          <w:b/>
          <w:bCs/>
          <w:spacing w:val="1"/>
          <w:w w:val="99"/>
          <w:sz w:val="21"/>
          <w:szCs w:val="21"/>
        </w:rPr>
        <w:t>3</w:t>
      </w:r>
      <w:r>
        <w:rPr>
          <w:rFonts w:ascii="宋体" w:hAnsi="宋体" w:cs="宋体" w:eastAsia="宋体" w:hint="default"/>
          <w:b/>
          <w:bCs/>
          <w:w w:val="99"/>
          <w:sz w:val="21"/>
          <w:szCs w:val="21"/>
        </w:rPr>
        <w:t>、</w:t>
      </w:r>
      <w:r>
        <w:rPr>
          <w:rFonts w:ascii="宋体" w:hAnsi="宋体" w:cs="宋体" w:eastAsia="宋体" w:hint="default"/>
          <w:b/>
          <w:bCs/>
          <w:sz w:val="21"/>
          <w:szCs w:val="21"/>
        </w:rPr>
        <w:tab/>
      </w:r>
      <w:r>
        <w:rPr>
          <w:rFonts w:ascii="宋体" w:hAnsi="宋体" w:cs="宋体" w:eastAsia="宋体" w:hint="default"/>
          <w:b/>
          <w:bCs/>
          <w:spacing w:val="1"/>
          <w:w w:val="99"/>
          <w:sz w:val="21"/>
          <w:szCs w:val="21"/>
        </w:rPr>
        <w:t>营业收</w:t>
      </w:r>
      <w:r>
        <w:rPr>
          <w:rFonts w:ascii="宋体" w:hAnsi="宋体" w:cs="宋体" w:eastAsia="宋体" w:hint="default"/>
          <w:b/>
          <w:bCs/>
          <w:w w:val="99"/>
          <w:sz w:val="21"/>
          <w:szCs w:val="21"/>
        </w:rPr>
        <w:t>入及</w:t>
      </w:r>
      <w:r>
        <w:rPr>
          <w:rFonts w:ascii="宋体" w:hAnsi="宋体" w:cs="宋体" w:eastAsia="宋体" w:hint="default"/>
          <w:b/>
          <w:bCs/>
          <w:spacing w:val="1"/>
          <w:w w:val="99"/>
          <w:sz w:val="21"/>
          <w:szCs w:val="21"/>
        </w:rPr>
        <w:t>营业成</w:t>
      </w:r>
      <w:r>
        <w:rPr>
          <w:rFonts w:ascii="宋体" w:hAnsi="宋体" w:cs="宋体" w:eastAsia="宋体" w:hint="default"/>
          <w:b/>
          <w:bCs/>
          <w:w w:val="99"/>
          <w:sz w:val="21"/>
          <w:szCs w:val="21"/>
        </w:rPr>
        <w:t>本（</w:t>
      </w:r>
      <w:r>
        <w:rPr>
          <w:rFonts w:ascii="宋体" w:hAnsi="宋体" w:cs="宋体" w:eastAsia="宋体" w:hint="default"/>
          <w:b/>
          <w:bCs/>
          <w:spacing w:val="1"/>
          <w:w w:val="99"/>
          <w:sz w:val="21"/>
          <w:szCs w:val="21"/>
        </w:rPr>
        <w:t>分行业</w:t>
      </w:r>
      <w:r>
        <w:rPr>
          <w:rFonts w:ascii="宋体" w:hAnsi="宋体" w:cs="宋体" w:eastAsia="宋体" w:hint="default"/>
          <w:b/>
          <w:bCs/>
          <w:spacing w:val="-105"/>
          <w:w w:val="99"/>
          <w:sz w:val="21"/>
          <w:szCs w:val="21"/>
        </w:rPr>
        <w:t>）</w:t>
      </w:r>
      <w:r>
        <w:rPr>
          <w:rFonts w:ascii="宋体" w:hAnsi="宋体" w:cs="宋体" w:eastAsia="宋体" w:hint="default"/>
          <w:b/>
          <w:bCs/>
          <w:w w:val="99"/>
          <w:sz w:val="21"/>
          <w:szCs w:val="21"/>
        </w:rPr>
        <w:t>：</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tbl>
      <w:tblPr>
        <w:tblW w:w="0" w:type="auto"/>
        <w:jc w:val="left"/>
        <w:tblInd w:w="732" w:type="dxa"/>
        <w:tblLayout w:type="fixed"/>
        <w:tblCellMar>
          <w:top w:w="0" w:type="dxa"/>
          <w:left w:w="0" w:type="dxa"/>
          <w:bottom w:w="0" w:type="dxa"/>
          <w:right w:w="0" w:type="dxa"/>
        </w:tblCellMar>
        <w:tblLook w:val="01E0"/>
      </w:tblPr>
      <w:tblGrid>
        <w:gridCol w:w="4006"/>
        <w:gridCol w:w="1495"/>
        <w:gridCol w:w="1486"/>
        <w:gridCol w:w="1363"/>
      </w:tblGrid>
      <w:tr>
        <w:trPr>
          <w:trHeight w:val="412" w:hRule="exact"/>
        </w:trPr>
        <w:tc>
          <w:tcPr>
            <w:tcW w:w="4006" w:type="dxa"/>
            <w:tcBorders>
              <w:top w:val="nil" w:sz="6" w:space="0" w:color="auto"/>
              <w:left w:val="nil" w:sz="6" w:space="0" w:color="auto"/>
              <w:bottom w:val="nil" w:sz="6" w:space="0" w:color="auto"/>
              <w:right w:val="nil" w:sz="6" w:space="0" w:color="auto"/>
            </w:tcBorders>
          </w:tcPr>
          <w:p>
            <w:pPr>
              <w:pStyle w:val="TableParagraph"/>
              <w:spacing w:line="171" w:lineRule="exact"/>
              <w:ind w:right="229"/>
              <w:jc w:val="right"/>
              <w:rPr>
                <w:rFonts w:ascii="Times New Roman" w:hAnsi="Times New Roman" w:cs="Times New Roman" w:eastAsia="Times New Roman" w:hint="default"/>
                <w:sz w:val="18"/>
                <w:szCs w:val="18"/>
              </w:rPr>
            </w:pPr>
            <w:r>
              <w:rPr>
                <w:rFonts w:ascii="Times New Roman"/>
                <w:spacing w:val="-1"/>
                <w:sz w:val="18"/>
              </w:rPr>
              <w:t>4,830,519,072</w:t>
            </w:r>
          </w:p>
          <w:p>
            <w:pPr>
              <w:pStyle w:val="TableParagraph"/>
              <w:spacing w:line="206" w:lineRule="exact"/>
              <w:ind w:left="122" w:right="0"/>
              <w:jc w:val="left"/>
              <w:rPr>
                <w:rFonts w:ascii="宋体" w:hAnsi="宋体" w:cs="宋体" w:eastAsia="宋体" w:hint="default"/>
                <w:sz w:val="18"/>
                <w:szCs w:val="18"/>
              </w:rPr>
            </w:pPr>
            <w:r>
              <w:rPr>
                <w:rFonts w:ascii="宋体" w:hAnsi="宋体" w:cs="宋体" w:eastAsia="宋体" w:hint="default"/>
                <w:sz w:val="18"/>
                <w:szCs w:val="18"/>
              </w:rPr>
              <w:t>软件定制及其他劳务</w:t>
            </w:r>
          </w:p>
        </w:tc>
        <w:tc>
          <w:tcPr>
            <w:tcW w:w="1495" w:type="dxa"/>
            <w:tcBorders>
              <w:top w:val="nil" w:sz="6" w:space="0" w:color="auto"/>
              <w:left w:val="nil" w:sz="6" w:space="0" w:color="auto"/>
              <w:bottom w:val="nil" w:sz="6" w:space="0" w:color="auto"/>
              <w:right w:val="nil" w:sz="6" w:space="0" w:color="auto"/>
            </w:tcBorders>
          </w:tcPr>
          <w:p>
            <w:pPr>
              <w:pStyle w:val="TableParagraph"/>
              <w:spacing w:line="201" w:lineRule="exact"/>
              <w:ind w:right="227"/>
              <w:jc w:val="right"/>
              <w:rPr>
                <w:rFonts w:ascii="Times New Roman" w:hAnsi="Times New Roman" w:cs="Times New Roman" w:eastAsia="Times New Roman" w:hint="default"/>
                <w:sz w:val="18"/>
                <w:szCs w:val="18"/>
              </w:rPr>
            </w:pPr>
            <w:r>
              <w:rPr>
                <w:rFonts w:ascii="Times New Roman"/>
                <w:spacing w:val="-1"/>
                <w:sz w:val="18"/>
              </w:rPr>
              <w:t>3,476,555,703</w:t>
            </w:r>
          </w:p>
        </w:tc>
        <w:tc>
          <w:tcPr>
            <w:tcW w:w="1486" w:type="dxa"/>
            <w:tcBorders>
              <w:top w:val="nil" w:sz="6" w:space="0" w:color="auto"/>
              <w:left w:val="nil" w:sz="6" w:space="0" w:color="auto"/>
              <w:bottom w:val="nil" w:sz="6" w:space="0" w:color="auto"/>
              <w:right w:val="nil" w:sz="6" w:space="0" w:color="auto"/>
            </w:tcBorders>
          </w:tcPr>
          <w:p>
            <w:pPr>
              <w:pStyle w:val="TableParagraph"/>
              <w:spacing w:line="201" w:lineRule="exact"/>
              <w:ind w:right="218"/>
              <w:jc w:val="right"/>
              <w:rPr>
                <w:rFonts w:ascii="Times New Roman" w:hAnsi="Times New Roman" w:cs="Times New Roman" w:eastAsia="Times New Roman" w:hint="default"/>
                <w:sz w:val="18"/>
                <w:szCs w:val="18"/>
              </w:rPr>
            </w:pPr>
            <w:r>
              <w:rPr>
                <w:rFonts w:ascii="Times New Roman"/>
                <w:spacing w:val="-1"/>
                <w:sz w:val="18"/>
              </w:rPr>
              <w:t>3,876,980,401</w:t>
            </w:r>
          </w:p>
        </w:tc>
        <w:tc>
          <w:tcPr>
            <w:tcW w:w="1363" w:type="dxa"/>
            <w:tcBorders>
              <w:top w:val="nil" w:sz="6" w:space="0" w:color="auto"/>
              <w:left w:val="nil" w:sz="6" w:space="0" w:color="auto"/>
              <w:bottom w:val="nil" w:sz="6" w:space="0" w:color="auto"/>
              <w:right w:val="nil" w:sz="6" w:space="0" w:color="auto"/>
            </w:tcBorders>
          </w:tcPr>
          <w:p>
            <w:pPr>
              <w:pStyle w:val="TableParagraph"/>
              <w:spacing w:line="201" w:lineRule="exact"/>
              <w:ind w:right="106"/>
              <w:jc w:val="right"/>
              <w:rPr>
                <w:rFonts w:ascii="Times New Roman" w:hAnsi="Times New Roman" w:cs="Times New Roman" w:eastAsia="Times New Roman" w:hint="default"/>
                <w:sz w:val="18"/>
                <w:szCs w:val="18"/>
              </w:rPr>
            </w:pPr>
            <w:r>
              <w:rPr>
                <w:rFonts w:ascii="Times New Roman"/>
                <w:spacing w:val="-1"/>
                <w:sz w:val="18"/>
              </w:rPr>
              <w:t>2,724,331,275</w:t>
            </w:r>
          </w:p>
        </w:tc>
      </w:tr>
      <w:tr>
        <w:trPr>
          <w:trHeight w:val="510" w:hRule="exact"/>
        </w:trPr>
        <w:tc>
          <w:tcPr>
            <w:tcW w:w="4006" w:type="dxa"/>
            <w:tcBorders>
              <w:top w:val="nil" w:sz="6" w:space="0" w:color="auto"/>
              <w:left w:val="nil" w:sz="6" w:space="0" w:color="auto"/>
              <w:bottom w:val="nil" w:sz="6" w:space="0" w:color="auto"/>
              <w:right w:val="nil" w:sz="6" w:space="0" w:color="auto"/>
            </w:tcBorders>
          </w:tcPr>
          <w:p>
            <w:pPr>
              <w:pStyle w:val="TableParagraph"/>
              <w:tabs>
                <w:tab w:pos="2751" w:val="left" w:leader="none"/>
              </w:tabs>
              <w:spacing w:line="240" w:lineRule="auto" w:before="139"/>
              <w:ind w:right="228"/>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医疗系统业务</w:t>
              <w:tab/>
            </w:r>
            <w:r>
              <w:rPr>
                <w:rFonts w:ascii="Times New Roman" w:hAnsi="Times New Roman" w:cs="Times New Roman" w:eastAsia="Times New Roman" w:hint="default"/>
                <w:sz w:val="18"/>
                <w:szCs w:val="18"/>
              </w:rPr>
              <w:t>803,436,708</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227"/>
              <w:jc w:val="right"/>
              <w:rPr>
                <w:rFonts w:ascii="Times New Roman" w:hAnsi="Times New Roman" w:cs="Times New Roman" w:eastAsia="Times New Roman" w:hint="default"/>
                <w:sz w:val="18"/>
                <w:szCs w:val="18"/>
              </w:rPr>
            </w:pPr>
            <w:r>
              <w:rPr>
                <w:rFonts w:ascii="Times New Roman"/>
                <w:sz w:val="18"/>
              </w:rPr>
              <w:t>486,024,807</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218"/>
              <w:jc w:val="right"/>
              <w:rPr>
                <w:rFonts w:ascii="Times New Roman" w:hAnsi="Times New Roman" w:cs="Times New Roman" w:eastAsia="Times New Roman" w:hint="default"/>
                <w:sz w:val="18"/>
                <w:szCs w:val="18"/>
              </w:rPr>
            </w:pPr>
            <w:r>
              <w:rPr>
                <w:rFonts w:ascii="Times New Roman"/>
                <w:sz w:val="18"/>
              </w:rPr>
              <w:t>793,799,786</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495,381,828</w:t>
            </w:r>
          </w:p>
        </w:tc>
      </w:tr>
      <w:tr>
        <w:trPr>
          <w:trHeight w:val="410" w:hRule="exact"/>
        </w:trPr>
        <w:tc>
          <w:tcPr>
            <w:tcW w:w="4006" w:type="dxa"/>
            <w:tcBorders>
              <w:top w:val="nil" w:sz="6" w:space="0" w:color="auto"/>
              <w:left w:val="nil" w:sz="6" w:space="0" w:color="auto"/>
              <w:bottom w:val="nil" w:sz="6" w:space="0" w:color="auto"/>
              <w:right w:val="nil" w:sz="6" w:space="0" w:color="auto"/>
            </w:tcBorders>
          </w:tcPr>
          <w:p>
            <w:pPr>
              <w:pStyle w:val="TableParagraph"/>
              <w:tabs>
                <w:tab w:pos="2751" w:val="left" w:leader="none"/>
              </w:tabs>
              <w:spacing w:line="240" w:lineRule="auto" w:before="40"/>
              <w:ind w:right="228"/>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物业服务、租金</w:t>
              <w:tab/>
            </w:r>
            <w:r>
              <w:rPr>
                <w:rFonts w:ascii="Times New Roman" w:hAnsi="Times New Roman" w:cs="Times New Roman" w:eastAsia="Times New Roman" w:hint="default"/>
                <w:sz w:val="18"/>
                <w:szCs w:val="18"/>
              </w:rPr>
              <w:t>108,831,844</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27"/>
              <w:jc w:val="right"/>
              <w:rPr>
                <w:rFonts w:ascii="Times New Roman" w:hAnsi="Times New Roman" w:cs="Times New Roman" w:eastAsia="Times New Roman" w:hint="default"/>
                <w:sz w:val="18"/>
                <w:szCs w:val="18"/>
              </w:rPr>
            </w:pPr>
            <w:r>
              <w:rPr>
                <w:rFonts w:ascii="Times New Roman"/>
                <w:sz w:val="18"/>
              </w:rPr>
              <w:t>36,999,793</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18"/>
              <w:jc w:val="right"/>
              <w:rPr>
                <w:rFonts w:ascii="Times New Roman" w:hAnsi="Times New Roman" w:cs="Times New Roman" w:eastAsia="Times New Roman" w:hint="default"/>
                <w:sz w:val="18"/>
                <w:szCs w:val="18"/>
              </w:rPr>
            </w:pPr>
            <w:r>
              <w:rPr>
                <w:rFonts w:ascii="Times New Roman"/>
                <w:sz w:val="18"/>
              </w:rPr>
              <w:t>259,297,915</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z w:val="18"/>
              </w:rPr>
              <w:t>158,448,967</w:t>
            </w:r>
          </w:p>
        </w:tc>
      </w:tr>
      <w:tr>
        <w:trPr>
          <w:trHeight w:val="410" w:hRule="exact"/>
        </w:trPr>
        <w:tc>
          <w:tcPr>
            <w:tcW w:w="4006" w:type="dxa"/>
            <w:tcBorders>
              <w:top w:val="nil" w:sz="6" w:space="0" w:color="auto"/>
              <w:left w:val="nil" w:sz="6" w:space="0" w:color="auto"/>
              <w:bottom w:val="nil" w:sz="6" w:space="0" w:color="auto"/>
              <w:right w:val="nil" w:sz="6" w:space="0" w:color="auto"/>
            </w:tcBorders>
          </w:tcPr>
          <w:p>
            <w:pPr>
              <w:pStyle w:val="TableParagraph"/>
              <w:tabs>
                <w:tab w:pos="2931" w:val="left" w:leader="none"/>
              </w:tabs>
              <w:spacing w:line="240" w:lineRule="auto" w:before="40"/>
              <w:ind w:right="228"/>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广告</w:t>
              <w:tab/>
            </w:r>
            <w:r>
              <w:rPr>
                <w:rFonts w:ascii="Times New Roman" w:hAnsi="Times New Roman" w:cs="Times New Roman" w:eastAsia="Times New Roman" w:hint="default"/>
                <w:sz w:val="18"/>
                <w:szCs w:val="18"/>
              </w:rPr>
              <w:t>8,461,706</w:t>
            </w:r>
          </w:p>
        </w:tc>
        <w:tc>
          <w:tcPr>
            <w:tcW w:w="149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26"/>
              <w:jc w:val="right"/>
              <w:rPr>
                <w:rFonts w:ascii="Times New Roman" w:hAnsi="Times New Roman" w:cs="Times New Roman" w:eastAsia="Times New Roman" w:hint="default"/>
                <w:sz w:val="18"/>
                <w:szCs w:val="18"/>
              </w:rPr>
            </w:pPr>
            <w:r>
              <w:rPr>
                <w:rFonts w:ascii="Times New Roman"/>
                <w:sz w:val="18"/>
              </w:rPr>
              <w:t>5,418,102</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17"/>
              <w:jc w:val="right"/>
              <w:rPr>
                <w:rFonts w:ascii="Times New Roman" w:hAnsi="Times New Roman" w:cs="Times New Roman" w:eastAsia="Times New Roman" w:hint="default"/>
                <w:sz w:val="18"/>
                <w:szCs w:val="18"/>
              </w:rPr>
            </w:pPr>
            <w:r>
              <w:rPr>
                <w:rFonts w:ascii="Times New Roman"/>
                <w:sz w:val="18"/>
              </w:rPr>
              <w:t>7,618,338</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4"/>
              <w:jc w:val="right"/>
              <w:rPr>
                <w:rFonts w:ascii="Times New Roman" w:hAnsi="Times New Roman" w:cs="Times New Roman" w:eastAsia="Times New Roman" w:hint="default"/>
                <w:sz w:val="18"/>
                <w:szCs w:val="18"/>
              </w:rPr>
            </w:pPr>
            <w:r>
              <w:rPr>
                <w:rFonts w:ascii="Times New Roman"/>
                <w:sz w:val="18"/>
              </w:rPr>
              <w:t>5,466,775</w:t>
            </w:r>
          </w:p>
        </w:tc>
      </w:tr>
      <w:tr>
        <w:trPr>
          <w:trHeight w:val="319" w:hRule="exact"/>
        </w:trPr>
        <w:tc>
          <w:tcPr>
            <w:tcW w:w="4006" w:type="dxa"/>
            <w:tcBorders>
              <w:top w:val="nil" w:sz="6" w:space="0" w:color="auto"/>
              <w:left w:val="nil" w:sz="6" w:space="0" w:color="auto"/>
              <w:bottom w:val="single" w:sz="12" w:space="0" w:color="000000"/>
              <w:right w:val="nil" w:sz="6" w:space="0" w:color="auto"/>
            </w:tcBorders>
          </w:tcPr>
          <w:p>
            <w:pPr>
              <w:pStyle w:val="TableParagraph"/>
              <w:tabs>
                <w:tab w:pos="449" w:val="left" w:leader="none"/>
                <w:tab w:pos="1909" w:val="left" w:leader="none"/>
              </w:tabs>
              <w:spacing w:line="240" w:lineRule="auto" w:before="39"/>
              <w:ind w:right="229"/>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w:t>
              <w:tab/>
              <w:t>计</w:t>
              <w:tab/>
            </w:r>
            <w:r>
              <w:rPr>
                <w:rFonts w:ascii="Times New Roman" w:hAnsi="Times New Roman" w:cs="Times New Roman" w:eastAsia="Times New Roman" w:hint="default"/>
                <w:spacing w:val="-1"/>
                <w:sz w:val="18"/>
                <w:szCs w:val="18"/>
              </w:rPr>
              <w:t>5,751,249,330</w:t>
            </w:r>
          </w:p>
        </w:tc>
        <w:tc>
          <w:tcPr>
            <w:tcW w:w="1495"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227"/>
              <w:jc w:val="right"/>
              <w:rPr>
                <w:rFonts w:ascii="Times New Roman" w:hAnsi="Times New Roman" w:cs="Times New Roman" w:eastAsia="Times New Roman" w:hint="default"/>
                <w:sz w:val="18"/>
                <w:szCs w:val="18"/>
              </w:rPr>
            </w:pPr>
            <w:r>
              <w:rPr>
                <w:rFonts w:ascii="Times New Roman"/>
                <w:spacing w:val="-1"/>
                <w:sz w:val="18"/>
              </w:rPr>
              <w:t>4,004,998,405</w:t>
            </w:r>
          </w:p>
        </w:tc>
        <w:tc>
          <w:tcPr>
            <w:tcW w:w="1486"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216"/>
              <w:jc w:val="right"/>
              <w:rPr>
                <w:rFonts w:ascii="Times New Roman" w:hAnsi="Times New Roman" w:cs="Times New Roman" w:eastAsia="Times New Roman" w:hint="default"/>
                <w:sz w:val="18"/>
                <w:szCs w:val="18"/>
              </w:rPr>
            </w:pPr>
            <w:r>
              <w:rPr>
                <w:rFonts w:ascii="Times New Roman"/>
                <w:spacing w:val="-1"/>
                <w:sz w:val="18"/>
              </w:rPr>
              <w:t>4,937,696,440</w:t>
            </w:r>
          </w:p>
        </w:tc>
        <w:tc>
          <w:tcPr>
            <w:tcW w:w="1363"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pacing w:val="-1"/>
                <w:sz w:val="18"/>
              </w:rPr>
              <w:t>3,383,628,845</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03" w:top="1540" w:bottom="1200" w:left="1660" w:right="960"/>
        </w:sectPr>
      </w:pPr>
    </w:p>
    <w:p>
      <w:pPr>
        <w:spacing w:line="240" w:lineRule="auto" w:before="7"/>
        <w:rPr>
          <w:rFonts w:ascii="宋体" w:hAnsi="宋体" w:cs="宋体" w:eastAsia="宋体" w:hint="default"/>
          <w:b/>
          <w:bCs/>
          <w:sz w:val="3"/>
          <w:szCs w:val="3"/>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52.3pt;height:.5pt;mso-position-horizontal-relative:char;mso-position-vertical-relative:line" coordorigin="0,0" coordsize="9046,10">
            <v:group style="position:absolute;left:5;top:5;width:9036;height:2" coordorigin="5,5" coordsize="9036,2">
              <v:shape style="position:absolute;left:5;top:5;width:9036;height:2" coordorigin="5,5" coordsize="9036,0" path="m5,5l9041,5e" filled="false" stroked="true" strokeweight=".4799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tabs>
          <w:tab w:pos="1410" w:val="left" w:leader="none"/>
        </w:tabs>
        <w:spacing w:before="35"/>
        <w:ind w:left="855" w:right="2718" w:firstLine="0"/>
        <w:jc w:val="left"/>
        <w:rPr>
          <w:rFonts w:ascii="宋体" w:hAnsi="宋体" w:cs="宋体" w:eastAsia="宋体" w:hint="default"/>
          <w:sz w:val="21"/>
          <w:szCs w:val="21"/>
        </w:rPr>
      </w:pPr>
      <w:r>
        <w:rPr/>
        <w:pict>
          <v:group style="position:absolute;margin-left:119.400002pt;margin-top:17.073671pt;width:418.8pt;height:164.55pt;mso-position-horizontal-relative:page;mso-position-vertical-relative:paragraph;z-index:-1113064" coordorigin="2388,341" coordsize="8376,3291">
            <v:group style="position:absolute;left:2407;top:356;width:8336;height:2" coordorigin="2407,356" coordsize="8336,2">
              <v:shape style="position:absolute;left:2407;top:356;width:8336;height:2" coordorigin="2407,356" coordsize="8336,0" path="m2407,356l10742,356e" filled="false" stroked="true" strokeweight="1.5pt" strokecolor="#000000">
                <v:path arrowok="t"/>
              </v:shape>
              <v:shape style="position:absolute;left:4643;top:348;width:3156;height:446" type="#_x0000_t75" stroked="false">
                <v:imagedata r:id="rId275" o:title=""/>
              </v:shape>
              <v:shape style="position:absolute;left:4648;top:752;width:6116;height:449" type="#_x0000_t75" stroked="false">
                <v:imagedata r:id="rId276" o:title=""/>
              </v:shape>
              <v:shape style="position:absolute;left:2388;top:1162;width:8376;height:2470" type="#_x0000_t75" stroked="false">
                <v:imagedata r:id="rId277" o:title=""/>
              </v:shape>
              <v:shape style="position:absolute;left:5860;top:5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8896;top:5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3179;top:76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3719;top:76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4932;top:97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主营业务收入</w:t>
                      </w:r>
                    </w:p>
                  </w:txbxContent>
                </v:textbox>
                <w10:wrap type="none"/>
              </v:shape>
              <v:shape style="position:absolute;left:6482;top:97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主营业务成本</w:t>
                      </w:r>
                    </w:p>
                  </w:txbxContent>
                </v:textbox>
                <w10:wrap type="none"/>
              </v:shape>
              <v:shape style="position:absolute;left:7985;top:97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主营业务收入</w:t>
                      </w:r>
                    </w:p>
                  </w:txbxContent>
                </v:textbox>
                <w10:wrap type="none"/>
              </v:shape>
              <v:shape style="position:absolute;left:9470;top:97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主营业务成本</w:t>
                      </w:r>
                    </w:p>
                  </w:txbxContent>
                </v:textbox>
                <w10:wrap type="none"/>
              </v:shape>
              <v:shape style="position:absolute;left:2515;top:1383;width:213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系统集成、软件产品销售、</w:t>
                      </w:r>
                    </w:p>
                  </w:txbxContent>
                </v:textbox>
                <w10:wrap type="none"/>
              </v:shape>
            </v:group>
            <w10:wrap type="none"/>
          </v:group>
        </w:pict>
      </w:r>
      <w:r>
        <w:rPr>
          <w:rFonts w:ascii="宋体" w:hAnsi="宋体" w:cs="宋体" w:eastAsia="宋体" w:hint="default"/>
          <w:b/>
          <w:bCs/>
          <w:spacing w:val="1"/>
          <w:w w:val="99"/>
          <w:sz w:val="21"/>
          <w:szCs w:val="21"/>
        </w:rPr>
        <w:t>4</w:t>
      </w:r>
      <w:r>
        <w:rPr>
          <w:rFonts w:ascii="宋体" w:hAnsi="宋体" w:cs="宋体" w:eastAsia="宋体" w:hint="default"/>
          <w:b/>
          <w:bCs/>
          <w:w w:val="99"/>
          <w:sz w:val="21"/>
          <w:szCs w:val="21"/>
        </w:rPr>
        <w:t>、</w:t>
      </w:r>
      <w:r>
        <w:rPr>
          <w:rFonts w:ascii="宋体" w:hAnsi="宋体" w:cs="宋体" w:eastAsia="宋体" w:hint="default"/>
          <w:b/>
          <w:bCs/>
          <w:sz w:val="21"/>
          <w:szCs w:val="21"/>
        </w:rPr>
        <w:tab/>
      </w:r>
      <w:r>
        <w:rPr>
          <w:rFonts w:ascii="宋体" w:hAnsi="宋体" w:cs="宋体" w:eastAsia="宋体" w:hint="default"/>
          <w:b/>
          <w:bCs/>
          <w:spacing w:val="1"/>
          <w:w w:val="99"/>
          <w:sz w:val="21"/>
          <w:szCs w:val="21"/>
        </w:rPr>
        <w:t>主营业</w:t>
      </w:r>
      <w:r>
        <w:rPr>
          <w:rFonts w:ascii="宋体" w:hAnsi="宋体" w:cs="宋体" w:eastAsia="宋体" w:hint="default"/>
          <w:b/>
          <w:bCs/>
          <w:w w:val="99"/>
          <w:sz w:val="21"/>
          <w:szCs w:val="21"/>
        </w:rPr>
        <w:t>务收</w:t>
      </w:r>
      <w:r>
        <w:rPr>
          <w:rFonts w:ascii="宋体" w:hAnsi="宋体" w:cs="宋体" w:eastAsia="宋体" w:hint="default"/>
          <w:b/>
          <w:bCs/>
          <w:spacing w:val="1"/>
          <w:w w:val="99"/>
          <w:sz w:val="21"/>
          <w:szCs w:val="21"/>
        </w:rPr>
        <w:t>入及主</w:t>
      </w:r>
      <w:r>
        <w:rPr>
          <w:rFonts w:ascii="宋体" w:hAnsi="宋体" w:cs="宋体" w:eastAsia="宋体" w:hint="default"/>
          <w:b/>
          <w:bCs/>
          <w:w w:val="99"/>
          <w:sz w:val="21"/>
          <w:szCs w:val="21"/>
        </w:rPr>
        <w:t>营业</w:t>
      </w:r>
      <w:r>
        <w:rPr>
          <w:rFonts w:ascii="宋体" w:hAnsi="宋体" w:cs="宋体" w:eastAsia="宋体" w:hint="default"/>
          <w:b/>
          <w:bCs/>
          <w:spacing w:val="1"/>
          <w:w w:val="99"/>
          <w:sz w:val="21"/>
          <w:szCs w:val="21"/>
        </w:rPr>
        <w:t>务成本</w:t>
      </w:r>
      <w:r>
        <w:rPr>
          <w:rFonts w:ascii="宋体" w:hAnsi="宋体" w:cs="宋体" w:eastAsia="宋体" w:hint="default"/>
          <w:b/>
          <w:bCs/>
          <w:w w:val="99"/>
          <w:sz w:val="21"/>
          <w:szCs w:val="21"/>
        </w:rPr>
        <w:t>（分</w:t>
      </w:r>
      <w:r>
        <w:rPr>
          <w:rFonts w:ascii="宋体" w:hAnsi="宋体" w:cs="宋体" w:eastAsia="宋体" w:hint="default"/>
          <w:b/>
          <w:bCs/>
          <w:spacing w:val="1"/>
          <w:w w:val="99"/>
          <w:sz w:val="21"/>
          <w:szCs w:val="21"/>
        </w:rPr>
        <w:t>行业</w:t>
      </w:r>
      <w:r>
        <w:rPr>
          <w:rFonts w:ascii="宋体" w:hAnsi="宋体" w:cs="宋体" w:eastAsia="宋体" w:hint="default"/>
          <w:b/>
          <w:bCs/>
          <w:spacing w:val="-105"/>
          <w:w w:val="99"/>
          <w:sz w:val="21"/>
          <w:szCs w:val="21"/>
        </w:rPr>
        <w:t>）</w:t>
      </w:r>
      <w:r>
        <w:rPr>
          <w:rFonts w:ascii="宋体" w:hAnsi="宋体" w:cs="宋体" w:eastAsia="宋体" w:hint="default"/>
          <w:b/>
          <w:bCs/>
          <w:w w:val="99"/>
          <w:sz w:val="21"/>
          <w:szCs w:val="21"/>
        </w:rPr>
        <w:t>：</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tbl>
      <w:tblPr>
        <w:tblW w:w="0" w:type="auto"/>
        <w:jc w:val="left"/>
        <w:tblInd w:w="732" w:type="dxa"/>
        <w:tblLayout w:type="fixed"/>
        <w:tblCellMar>
          <w:top w:w="0" w:type="dxa"/>
          <w:left w:w="0" w:type="dxa"/>
          <w:bottom w:w="0" w:type="dxa"/>
          <w:right w:w="0" w:type="dxa"/>
        </w:tblCellMar>
        <w:tblLook w:val="01E0"/>
      </w:tblPr>
      <w:tblGrid>
        <w:gridCol w:w="3846"/>
        <w:gridCol w:w="1787"/>
        <w:gridCol w:w="1360"/>
        <w:gridCol w:w="1357"/>
      </w:tblGrid>
      <w:tr>
        <w:trPr>
          <w:trHeight w:val="412" w:hRule="exact"/>
        </w:trPr>
        <w:tc>
          <w:tcPr>
            <w:tcW w:w="3846" w:type="dxa"/>
            <w:tcBorders>
              <w:top w:val="nil" w:sz="6" w:space="0" w:color="auto"/>
              <w:left w:val="nil" w:sz="6" w:space="0" w:color="auto"/>
              <w:bottom w:val="nil" w:sz="6" w:space="0" w:color="auto"/>
              <w:right w:val="nil" w:sz="6" w:space="0" w:color="auto"/>
            </w:tcBorders>
          </w:tcPr>
          <w:p>
            <w:pPr>
              <w:pStyle w:val="TableParagraph"/>
              <w:spacing w:line="171" w:lineRule="exact"/>
              <w:ind w:right="68"/>
              <w:jc w:val="right"/>
              <w:rPr>
                <w:rFonts w:ascii="Times New Roman" w:hAnsi="Times New Roman" w:cs="Times New Roman" w:eastAsia="Times New Roman" w:hint="default"/>
                <w:sz w:val="18"/>
                <w:szCs w:val="18"/>
              </w:rPr>
            </w:pPr>
            <w:r>
              <w:rPr>
                <w:rFonts w:ascii="Times New Roman"/>
                <w:spacing w:val="-1"/>
                <w:sz w:val="18"/>
              </w:rPr>
              <w:t>4,830,111,571</w:t>
            </w:r>
          </w:p>
          <w:p>
            <w:pPr>
              <w:pStyle w:val="TableParagraph"/>
              <w:spacing w:line="206" w:lineRule="exact"/>
              <w:ind w:left="122" w:right="0"/>
              <w:jc w:val="left"/>
              <w:rPr>
                <w:rFonts w:ascii="宋体" w:hAnsi="宋体" w:cs="宋体" w:eastAsia="宋体" w:hint="default"/>
                <w:sz w:val="18"/>
                <w:szCs w:val="18"/>
              </w:rPr>
            </w:pPr>
            <w:r>
              <w:rPr>
                <w:rFonts w:ascii="宋体" w:hAnsi="宋体" w:cs="宋体" w:eastAsia="宋体" w:hint="default"/>
                <w:sz w:val="18"/>
                <w:szCs w:val="18"/>
              </w:rPr>
              <w:t>软件定制及其他劳务</w:t>
            </w:r>
          </w:p>
        </w:tc>
        <w:tc>
          <w:tcPr>
            <w:tcW w:w="1787" w:type="dxa"/>
            <w:tcBorders>
              <w:top w:val="nil" w:sz="6" w:space="0" w:color="auto"/>
              <w:left w:val="nil" w:sz="6" w:space="0" w:color="auto"/>
              <w:bottom w:val="nil" w:sz="6" w:space="0" w:color="auto"/>
              <w:right w:val="nil" w:sz="6" w:space="0" w:color="auto"/>
            </w:tcBorders>
          </w:tcPr>
          <w:p>
            <w:pPr>
              <w:pStyle w:val="TableParagraph"/>
              <w:spacing w:line="201" w:lineRule="exact"/>
              <w:ind w:left="388" w:right="0"/>
              <w:jc w:val="left"/>
              <w:rPr>
                <w:rFonts w:ascii="Times New Roman" w:hAnsi="Times New Roman" w:cs="Times New Roman" w:eastAsia="Times New Roman" w:hint="default"/>
                <w:sz w:val="18"/>
                <w:szCs w:val="18"/>
              </w:rPr>
            </w:pPr>
            <w:r>
              <w:rPr>
                <w:rFonts w:ascii="Times New Roman"/>
                <w:sz w:val="18"/>
              </w:rPr>
              <w:t>3,476,259,142</w:t>
            </w:r>
          </w:p>
        </w:tc>
        <w:tc>
          <w:tcPr>
            <w:tcW w:w="1360" w:type="dxa"/>
            <w:tcBorders>
              <w:top w:val="nil" w:sz="6" w:space="0" w:color="auto"/>
              <w:left w:val="nil" w:sz="6" w:space="0" w:color="auto"/>
              <w:bottom w:val="nil" w:sz="6" w:space="0" w:color="auto"/>
              <w:right w:val="nil" w:sz="6" w:space="0" w:color="auto"/>
            </w:tcBorders>
          </w:tcPr>
          <w:p>
            <w:pPr>
              <w:pStyle w:val="TableParagraph"/>
              <w:spacing w:line="201" w:lineRule="exact"/>
              <w:ind w:right="211"/>
              <w:jc w:val="right"/>
              <w:rPr>
                <w:rFonts w:ascii="Times New Roman" w:hAnsi="Times New Roman" w:cs="Times New Roman" w:eastAsia="Times New Roman" w:hint="default"/>
                <w:sz w:val="18"/>
                <w:szCs w:val="18"/>
              </w:rPr>
            </w:pPr>
            <w:r>
              <w:rPr>
                <w:rFonts w:ascii="Times New Roman"/>
                <w:spacing w:val="-1"/>
                <w:sz w:val="18"/>
              </w:rPr>
              <w:t>3,876,978,301</w:t>
            </w:r>
          </w:p>
        </w:tc>
        <w:tc>
          <w:tcPr>
            <w:tcW w:w="1357" w:type="dxa"/>
            <w:tcBorders>
              <w:top w:val="nil" w:sz="6" w:space="0" w:color="auto"/>
              <w:left w:val="nil" w:sz="6" w:space="0" w:color="auto"/>
              <w:bottom w:val="nil" w:sz="6" w:space="0" w:color="auto"/>
              <w:right w:val="nil" w:sz="6" w:space="0" w:color="auto"/>
            </w:tcBorders>
          </w:tcPr>
          <w:p>
            <w:pPr>
              <w:pStyle w:val="TableParagraph"/>
              <w:spacing w:line="201" w:lineRule="exact"/>
              <w:ind w:right="106"/>
              <w:jc w:val="right"/>
              <w:rPr>
                <w:rFonts w:ascii="Times New Roman" w:hAnsi="Times New Roman" w:cs="Times New Roman" w:eastAsia="Times New Roman" w:hint="default"/>
                <w:sz w:val="18"/>
                <w:szCs w:val="18"/>
              </w:rPr>
            </w:pPr>
            <w:r>
              <w:rPr>
                <w:rFonts w:ascii="Times New Roman"/>
                <w:spacing w:val="-1"/>
                <w:sz w:val="18"/>
              </w:rPr>
              <w:t>2,724,331,275</w:t>
            </w:r>
          </w:p>
        </w:tc>
      </w:tr>
      <w:tr>
        <w:trPr>
          <w:trHeight w:val="510"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2751" w:val="left" w:leader="none"/>
              </w:tabs>
              <w:spacing w:line="240" w:lineRule="auto" w:before="139"/>
              <w:ind w:right="70"/>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医疗系统业务</w:t>
              <w:tab/>
            </w:r>
            <w:r>
              <w:rPr>
                <w:rFonts w:ascii="Times New Roman" w:hAnsi="Times New Roman" w:cs="Times New Roman" w:eastAsia="Times New Roman" w:hint="default"/>
                <w:sz w:val="18"/>
                <w:szCs w:val="18"/>
              </w:rPr>
              <w:t>739,011,299</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522" w:right="0"/>
              <w:jc w:val="left"/>
              <w:rPr>
                <w:rFonts w:ascii="Times New Roman" w:hAnsi="Times New Roman" w:cs="Times New Roman" w:eastAsia="Times New Roman" w:hint="default"/>
                <w:sz w:val="18"/>
                <w:szCs w:val="18"/>
              </w:rPr>
            </w:pPr>
            <w:r>
              <w:rPr>
                <w:rFonts w:ascii="Times New Roman"/>
                <w:sz w:val="18"/>
              </w:rPr>
              <w:t>450,972,804</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210"/>
              <w:jc w:val="right"/>
              <w:rPr>
                <w:rFonts w:ascii="Times New Roman" w:hAnsi="Times New Roman" w:cs="Times New Roman" w:eastAsia="Times New Roman" w:hint="default"/>
                <w:sz w:val="18"/>
                <w:szCs w:val="18"/>
              </w:rPr>
            </w:pPr>
            <w:r>
              <w:rPr>
                <w:rFonts w:ascii="Times New Roman"/>
                <w:sz w:val="18"/>
              </w:rPr>
              <w:t>741,808,389</w:t>
            </w:r>
          </w:p>
        </w:tc>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468,613,895</w:t>
            </w:r>
          </w:p>
        </w:tc>
      </w:tr>
      <w:tr>
        <w:trPr>
          <w:trHeight w:val="410"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2751" w:val="left" w:leader="none"/>
              </w:tabs>
              <w:spacing w:line="240" w:lineRule="auto" w:before="40"/>
              <w:ind w:right="68"/>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物业服务、租金及其他</w:t>
              <w:tab/>
            </w:r>
            <w:r>
              <w:rPr>
                <w:rFonts w:ascii="Times New Roman" w:hAnsi="Times New Roman" w:cs="Times New Roman" w:eastAsia="Times New Roman" w:hint="default"/>
                <w:sz w:val="18"/>
                <w:szCs w:val="18"/>
              </w:rPr>
              <w:t>104,236,883</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92"/>
              <w:ind w:left="613" w:right="0"/>
              <w:jc w:val="left"/>
              <w:rPr>
                <w:rFonts w:ascii="Times New Roman" w:hAnsi="Times New Roman" w:cs="Times New Roman" w:eastAsia="Times New Roman" w:hint="default"/>
                <w:sz w:val="18"/>
                <w:szCs w:val="18"/>
              </w:rPr>
            </w:pPr>
            <w:r>
              <w:rPr>
                <w:rFonts w:ascii="Times New Roman"/>
                <w:sz w:val="18"/>
              </w:rPr>
              <w:t>35,835,566</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12"/>
              <w:jc w:val="right"/>
              <w:rPr>
                <w:rFonts w:ascii="Times New Roman" w:hAnsi="Times New Roman" w:cs="Times New Roman" w:eastAsia="Times New Roman" w:hint="default"/>
                <w:sz w:val="18"/>
                <w:szCs w:val="18"/>
              </w:rPr>
            </w:pPr>
            <w:r>
              <w:rPr>
                <w:rFonts w:ascii="Times New Roman"/>
                <w:spacing w:val="-1"/>
                <w:sz w:val="18"/>
              </w:rPr>
              <w:t>94,368,109</w:t>
            </w:r>
          </w:p>
        </w:tc>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z w:val="18"/>
              </w:rPr>
              <w:t>33,705,862</w:t>
            </w:r>
          </w:p>
        </w:tc>
      </w:tr>
      <w:tr>
        <w:trPr>
          <w:trHeight w:val="410" w:hRule="exact"/>
        </w:trPr>
        <w:tc>
          <w:tcPr>
            <w:tcW w:w="3846" w:type="dxa"/>
            <w:tcBorders>
              <w:top w:val="nil" w:sz="6" w:space="0" w:color="auto"/>
              <w:left w:val="nil" w:sz="6" w:space="0" w:color="auto"/>
              <w:bottom w:val="nil" w:sz="6" w:space="0" w:color="auto"/>
              <w:right w:val="nil" w:sz="6" w:space="0" w:color="auto"/>
            </w:tcBorders>
          </w:tcPr>
          <w:p>
            <w:pPr>
              <w:pStyle w:val="TableParagraph"/>
              <w:tabs>
                <w:tab w:pos="2931" w:val="left" w:leader="none"/>
              </w:tabs>
              <w:spacing w:line="240" w:lineRule="auto" w:before="40"/>
              <w:ind w:right="68"/>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广告</w:t>
              <w:tab/>
            </w:r>
            <w:r>
              <w:rPr>
                <w:rFonts w:ascii="Times New Roman" w:hAnsi="Times New Roman" w:cs="Times New Roman" w:eastAsia="Times New Roman" w:hint="default"/>
                <w:sz w:val="18"/>
                <w:szCs w:val="18"/>
              </w:rPr>
              <w:t>8,461,706</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92"/>
              <w:ind w:left="703" w:right="0"/>
              <w:jc w:val="left"/>
              <w:rPr>
                <w:rFonts w:ascii="Times New Roman" w:hAnsi="Times New Roman" w:cs="Times New Roman" w:eastAsia="Times New Roman" w:hint="default"/>
                <w:sz w:val="18"/>
                <w:szCs w:val="18"/>
              </w:rPr>
            </w:pPr>
            <w:r>
              <w:rPr>
                <w:rFonts w:ascii="Times New Roman"/>
                <w:sz w:val="18"/>
              </w:rPr>
              <w:t>5,418,102</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10"/>
              <w:jc w:val="right"/>
              <w:rPr>
                <w:rFonts w:ascii="Times New Roman" w:hAnsi="Times New Roman" w:cs="Times New Roman" w:eastAsia="Times New Roman" w:hint="default"/>
                <w:sz w:val="18"/>
                <w:szCs w:val="18"/>
              </w:rPr>
            </w:pPr>
            <w:r>
              <w:rPr>
                <w:rFonts w:ascii="Times New Roman"/>
                <w:sz w:val="18"/>
              </w:rPr>
              <w:t>7,618,338</w:t>
            </w:r>
          </w:p>
        </w:tc>
        <w:tc>
          <w:tcPr>
            <w:tcW w:w="135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z w:val="18"/>
              </w:rPr>
              <w:t>5,466,775</w:t>
            </w:r>
          </w:p>
        </w:tc>
      </w:tr>
      <w:tr>
        <w:trPr>
          <w:trHeight w:val="319" w:hRule="exact"/>
        </w:trPr>
        <w:tc>
          <w:tcPr>
            <w:tcW w:w="3846" w:type="dxa"/>
            <w:tcBorders>
              <w:top w:val="nil" w:sz="6" w:space="0" w:color="auto"/>
              <w:left w:val="nil" w:sz="6" w:space="0" w:color="auto"/>
              <w:bottom w:val="single" w:sz="12" w:space="0" w:color="000000"/>
              <w:right w:val="nil" w:sz="6" w:space="0" w:color="auto"/>
            </w:tcBorders>
          </w:tcPr>
          <w:p>
            <w:pPr>
              <w:pStyle w:val="TableParagraph"/>
              <w:tabs>
                <w:tab w:pos="449" w:val="left" w:leader="none"/>
                <w:tab w:pos="1907" w:val="left" w:leader="none"/>
              </w:tabs>
              <w:spacing w:line="240" w:lineRule="auto" w:before="39"/>
              <w:ind w:right="69"/>
              <w:jc w:val="righ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w:t>
              <w:tab/>
              <w:t>计</w:t>
              <w:tab/>
            </w:r>
            <w:r>
              <w:rPr>
                <w:rFonts w:ascii="Times New Roman" w:hAnsi="Times New Roman" w:cs="Times New Roman" w:eastAsia="Times New Roman" w:hint="default"/>
                <w:spacing w:val="-1"/>
                <w:sz w:val="18"/>
                <w:szCs w:val="18"/>
              </w:rPr>
              <w:t>5,681,821,459</w:t>
            </w:r>
          </w:p>
        </w:tc>
        <w:tc>
          <w:tcPr>
            <w:tcW w:w="1787"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left="388" w:right="0"/>
              <w:jc w:val="left"/>
              <w:rPr>
                <w:rFonts w:ascii="Times New Roman" w:hAnsi="Times New Roman" w:cs="Times New Roman" w:eastAsia="Times New Roman" w:hint="default"/>
                <w:sz w:val="18"/>
                <w:szCs w:val="18"/>
              </w:rPr>
            </w:pPr>
            <w:r>
              <w:rPr>
                <w:rFonts w:ascii="Times New Roman"/>
                <w:sz w:val="18"/>
              </w:rPr>
              <w:t>3,968,485,614</w:t>
            </w:r>
          </w:p>
        </w:tc>
        <w:tc>
          <w:tcPr>
            <w:tcW w:w="1360"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210"/>
              <w:jc w:val="right"/>
              <w:rPr>
                <w:rFonts w:ascii="Times New Roman" w:hAnsi="Times New Roman" w:cs="Times New Roman" w:eastAsia="Times New Roman" w:hint="default"/>
                <w:sz w:val="18"/>
                <w:szCs w:val="18"/>
              </w:rPr>
            </w:pPr>
            <w:r>
              <w:rPr>
                <w:rFonts w:ascii="Times New Roman"/>
                <w:spacing w:val="-1"/>
                <w:sz w:val="18"/>
              </w:rPr>
              <w:t>4,720,773,137</w:t>
            </w:r>
          </w:p>
        </w:tc>
        <w:tc>
          <w:tcPr>
            <w:tcW w:w="1357"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pacing w:val="-1"/>
                <w:sz w:val="18"/>
              </w:rPr>
              <w:t>3,232,117,807</w:t>
            </w:r>
          </w:p>
        </w:tc>
      </w:tr>
      <w:tr>
        <w:trPr>
          <w:trHeight w:val="829" w:hRule="exact"/>
        </w:trPr>
        <w:tc>
          <w:tcPr>
            <w:tcW w:w="3846"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8"/>
                <w:szCs w:val="18"/>
              </w:rPr>
            </w:pPr>
          </w:p>
          <w:p>
            <w:pPr>
              <w:pStyle w:val="TableParagraph"/>
              <w:tabs>
                <w:tab w:pos="555" w:val="left" w:leader="none"/>
              </w:tabs>
              <w:spacing w:line="240" w:lineRule="auto"/>
              <w:ind w:right="5"/>
              <w:jc w:val="right"/>
              <w:rPr>
                <w:rFonts w:ascii="宋体" w:hAnsi="宋体" w:cs="宋体" w:eastAsia="宋体" w:hint="default"/>
                <w:sz w:val="21"/>
                <w:szCs w:val="21"/>
              </w:rPr>
            </w:pPr>
            <w:r>
              <w:rPr>
                <w:rFonts w:ascii="宋体" w:hAnsi="宋体" w:cs="宋体" w:eastAsia="宋体" w:hint="default"/>
                <w:b/>
                <w:bCs/>
                <w:w w:val="95"/>
                <w:sz w:val="21"/>
                <w:szCs w:val="21"/>
              </w:rPr>
              <w:t>5、</w:t>
              <w:tab/>
              <w:t>公司前五名客户的营业收入情况：</w:t>
            </w:r>
            <w:r>
              <w:rPr>
                <w:rFonts w:ascii="宋体" w:hAnsi="宋体" w:cs="宋体" w:eastAsia="宋体" w:hint="default"/>
                <w:sz w:val="21"/>
                <w:szCs w:val="21"/>
              </w:rPr>
            </w:r>
          </w:p>
        </w:tc>
        <w:tc>
          <w:tcPr>
            <w:tcW w:w="1787" w:type="dxa"/>
            <w:tcBorders>
              <w:top w:val="nil" w:sz="6" w:space="0" w:color="auto"/>
              <w:left w:val="nil" w:sz="6" w:space="0" w:color="auto"/>
              <w:bottom w:val="single" w:sz="12" w:space="0" w:color="000000"/>
              <w:right w:val="nil" w:sz="6" w:space="0" w:color="auto"/>
            </w:tcBorders>
          </w:tcPr>
          <w:p>
            <w:pPr/>
          </w:p>
        </w:tc>
        <w:tc>
          <w:tcPr>
            <w:tcW w:w="2717" w:type="dxa"/>
            <w:gridSpan w:val="2"/>
            <w:tcBorders>
              <w:top w:val="nil" w:sz="6" w:space="0" w:color="auto"/>
              <w:left w:val="nil" w:sz="6" w:space="0" w:color="auto"/>
              <w:bottom w:val="single" w:sz="12" w:space="0" w:color="000000"/>
              <w:right w:val="nil" w:sz="6" w:space="0" w:color="auto"/>
            </w:tcBorders>
          </w:tcPr>
          <w:p>
            <w:pPr/>
          </w:p>
        </w:tc>
      </w:tr>
      <w:tr>
        <w:trPr>
          <w:trHeight w:val="507" w:hRule="exact"/>
        </w:trPr>
        <w:tc>
          <w:tcPr>
            <w:tcW w:w="3846"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1256" w:right="0"/>
              <w:jc w:val="left"/>
              <w:rPr>
                <w:rFonts w:ascii="宋体" w:hAnsi="宋体" w:cs="宋体" w:eastAsia="宋体" w:hint="default"/>
                <w:sz w:val="18"/>
                <w:szCs w:val="18"/>
              </w:rPr>
            </w:pPr>
            <w:r>
              <w:rPr>
                <w:rFonts w:ascii="宋体" w:hAnsi="宋体" w:cs="宋体" w:eastAsia="宋体" w:hint="default"/>
                <w:sz w:val="18"/>
                <w:szCs w:val="18"/>
              </w:rPr>
              <w:t>客户名称</w:t>
            </w:r>
          </w:p>
        </w:tc>
        <w:tc>
          <w:tcPr>
            <w:tcW w:w="1787"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7" w:right="0"/>
              <w:jc w:val="left"/>
              <w:rPr>
                <w:rFonts w:ascii="宋体" w:hAnsi="宋体" w:cs="宋体" w:eastAsia="宋体" w:hint="default"/>
                <w:sz w:val="18"/>
                <w:szCs w:val="18"/>
              </w:rPr>
            </w:pPr>
            <w:r>
              <w:rPr>
                <w:rFonts w:ascii="宋体" w:hAnsi="宋体" w:cs="宋体" w:eastAsia="宋体" w:hint="default"/>
                <w:sz w:val="18"/>
                <w:szCs w:val="18"/>
              </w:rPr>
              <w:t>营业收入总额</w:t>
            </w:r>
          </w:p>
        </w:tc>
        <w:tc>
          <w:tcPr>
            <w:tcW w:w="271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36"/>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占公司全部营业收入的比例</w:t>
            </w:r>
            <w:r>
              <w:rPr>
                <w:rFonts w:ascii="Times New Roman" w:hAnsi="Times New Roman" w:cs="Times New Roman" w:eastAsia="Times New Roman" w:hint="default"/>
                <w:sz w:val="18"/>
                <w:szCs w:val="18"/>
              </w:rPr>
              <w:t>(%)</w:t>
            </w:r>
          </w:p>
        </w:tc>
      </w:tr>
      <w:tr>
        <w:trPr>
          <w:trHeight w:val="415" w:hRule="exact"/>
        </w:trPr>
        <w:tc>
          <w:tcPr>
            <w:tcW w:w="384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212" w:right="0"/>
              <w:jc w:val="left"/>
              <w:rPr>
                <w:rFonts w:ascii="宋体" w:hAnsi="宋体" w:cs="宋体" w:eastAsia="宋体" w:hint="default"/>
                <w:sz w:val="18"/>
                <w:szCs w:val="18"/>
              </w:rPr>
            </w:pPr>
            <w:r>
              <w:rPr>
                <w:rFonts w:ascii="宋体" w:hAnsi="宋体" w:cs="宋体" w:eastAsia="宋体" w:hint="default"/>
                <w:sz w:val="18"/>
                <w:szCs w:val="18"/>
              </w:rPr>
              <w:t>索尼</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3"/>
              <w:jc w:val="right"/>
              <w:rPr>
                <w:rFonts w:ascii="Times New Roman" w:hAnsi="Times New Roman" w:cs="Times New Roman" w:eastAsia="Times New Roman" w:hint="default"/>
                <w:sz w:val="18"/>
                <w:szCs w:val="18"/>
              </w:rPr>
            </w:pPr>
            <w:r>
              <w:rPr>
                <w:rFonts w:ascii="Times New Roman"/>
                <w:sz w:val="18"/>
              </w:rPr>
              <w:t>330,734,579</w:t>
            </w:r>
          </w:p>
        </w:tc>
        <w:tc>
          <w:tcPr>
            <w:tcW w:w="271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6"/>
              <w:ind w:right="50"/>
              <w:jc w:val="right"/>
              <w:rPr>
                <w:rFonts w:ascii="Times New Roman" w:hAnsi="Times New Roman" w:cs="Times New Roman" w:eastAsia="Times New Roman" w:hint="default"/>
                <w:sz w:val="18"/>
                <w:szCs w:val="18"/>
              </w:rPr>
            </w:pPr>
            <w:r>
              <w:rPr>
                <w:rFonts w:ascii="Times New Roman"/>
                <w:sz w:val="18"/>
              </w:rPr>
              <w:t>5.75</w:t>
            </w:r>
          </w:p>
        </w:tc>
      </w:tr>
      <w:tr>
        <w:trPr>
          <w:trHeight w:val="410" w:hRule="exact"/>
        </w:trPr>
        <w:tc>
          <w:tcPr>
            <w:tcW w:w="384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12" w:right="0"/>
              <w:jc w:val="left"/>
              <w:rPr>
                <w:rFonts w:ascii="宋体" w:hAnsi="宋体" w:cs="宋体" w:eastAsia="宋体" w:hint="default"/>
                <w:sz w:val="18"/>
                <w:szCs w:val="18"/>
              </w:rPr>
            </w:pPr>
            <w:r>
              <w:rPr>
                <w:rFonts w:ascii="宋体" w:hAnsi="宋体" w:cs="宋体" w:eastAsia="宋体" w:hint="default"/>
                <w:sz w:val="18"/>
                <w:szCs w:val="18"/>
              </w:rPr>
              <w:t>诺基亚</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3"/>
              <w:jc w:val="right"/>
              <w:rPr>
                <w:rFonts w:ascii="Times New Roman" w:hAnsi="Times New Roman" w:cs="Times New Roman" w:eastAsia="Times New Roman" w:hint="default"/>
                <w:sz w:val="18"/>
                <w:szCs w:val="18"/>
              </w:rPr>
            </w:pPr>
            <w:r>
              <w:rPr>
                <w:rFonts w:ascii="Times New Roman"/>
                <w:sz w:val="18"/>
              </w:rPr>
              <w:t>240,001,827</w:t>
            </w:r>
          </w:p>
        </w:tc>
        <w:tc>
          <w:tcPr>
            <w:tcW w:w="271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right="50"/>
              <w:jc w:val="right"/>
              <w:rPr>
                <w:rFonts w:ascii="Times New Roman" w:hAnsi="Times New Roman" w:cs="Times New Roman" w:eastAsia="Times New Roman" w:hint="default"/>
                <w:sz w:val="18"/>
                <w:szCs w:val="18"/>
              </w:rPr>
            </w:pPr>
            <w:r>
              <w:rPr>
                <w:rFonts w:ascii="Times New Roman"/>
                <w:sz w:val="18"/>
              </w:rPr>
              <w:t>4.17</w:t>
            </w:r>
          </w:p>
        </w:tc>
      </w:tr>
      <w:tr>
        <w:trPr>
          <w:trHeight w:val="420" w:hRule="exact"/>
        </w:trPr>
        <w:tc>
          <w:tcPr>
            <w:tcW w:w="384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212" w:right="0"/>
              <w:jc w:val="left"/>
              <w:rPr>
                <w:rFonts w:ascii="宋体" w:hAnsi="宋体" w:cs="宋体" w:eastAsia="宋体" w:hint="default"/>
                <w:sz w:val="18"/>
                <w:szCs w:val="18"/>
              </w:rPr>
            </w:pPr>
            <w:r>
              <w:rPr>
                <w:rFonts w:ascii="宋体" w:hAnsi="宋体" w:cs="宋体" w:eastAsia="宋体" w:hint="default"/>
                <w:sz w:val="18"/>
                <w:szCs w:val="18"/>
              </w:rPr>
              <w:t>联通网通</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3"/>
              <w:jc w:val="right"/>
              <w:rPr>
                <w:rFonts w:ascii="Times New Roman" w:hAnsi="Times New Roman" w:cs="Times New Roman" w:eastAsia="Times New Roman" w:hint="default"/>
                <w:sz w:val="18"/>
                <w:szCs w:val="18"/>
              </w:rPr>
            </w:pPr>
            <w:r>
              <w:rPr>
                <w:rFonts w:ascii="Times New Roman"/>
                <w:sz w:val="18"/>
              </w:rPr>
              <w:t>220,864,984</w:t>
            </w:r>
          </w:p>
        </w:tc>
        <w:tc>
          <w:tcPr>
            <w:tcW w:w="271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right="50"/>
              <w:jc w:val="right"/>
              <w:rPr>
                <w:rFonts w:ascii="Times New Roman" w:hAnsi="Times New Roman" w:cs="Times New Roman" w:eastAsia="Times New Roman" w:hint="default"/>
                <w:sz w:val="18"/>
                <w:szCs w:val="18"/>
              </w:rPr>
            </w:pPr>
            <w:r>
              <w:rPr>
                <w:rFonts w:ascii="Times New Roman"/>
                <w:sz w:val="18"/>
              </w:rPr>
              <w:t>3.84</w:t>
            </w:r>
          </w:p>
        </w:tc>
      </w:tr>
      <w:tr>
        <w:trPr>
          <w:trHeight w:val="401" w:hRule="exact"/>
        </w:trPr>
        <w:tc>
          <w:tcPr>
            <w:tcW w:w="3846" w:type="dxa"/>
            <w:tcBorders>
              <w:top w:val="nil" w:sz="6" w:space="0" w:color="auto"/>
              <w:left w:val="nil" w:sz="6" w:space="0" w:color="auto"/>
              <w:bottom w:val="nil" w:sz="6" w:space="0" w:color="auto"/>
              <w:right w:val="nil" w:sz="6" w:space="0" w:color="auto"/>
            </w:tcBorders>
          </w:tcPr>
          <w:p>
            <w:pPr>
              <w:pStyle w:val="TableParagraph"/>
              <w:spacing w:line="240" w:lineRule="auto" w:before="92"/>
              <w:ind w:left="212" w:right="0"/>
              <w:jc w:val="left"/>
              <w:rPr>
                <w:rFonts w:ascii="Times New Roman" w:hAnsi="Times New Roman" w:cs="Times New Roman" w:eastAsia="Times New Roman" w:hint="default"/>
                <w:sz w:val="18"/>
                <w:szCs w:val="18"/>
              </w:rPr>
            </w:pPr>
            <w:r>
              <w:rPr>
                <w:rFonts w:ascii="Times New Roman"/>
                <w:sz w:val="18"/>
              </w:rPr>
              <w:t>Haman</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3"/>
              <w:jc w:val="right"/>
              <w:rPr>
                <w:rFonts w:ascii="Times New Roman" w:hAnsi="Times New Roman" w:cs="Times New Roman" w:eastAsia="Times New Roman" w:hint="default"/>
                <w:sz w:val="18"/>
                <w:szCs w:val="18"/>
              </w:rPr>
            </w:pPr>
            <w:r>
              <w:rPr>
                <w:rFonts w:ascii="Times New Roman"/>
                <w:sz w:val="18"/>
              </w:rPr>
              <w:t>206,724,653</w:t>
            </w:r>
          </w:p>
        </w:tc>
        <w:tc>
          <w:tcPr>
            <w:tcW w:w="271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2"/>
              <w:ind w:right="51"/>
              <w:jc w:val="right"/>
              <w:rPr>
                <w:rFonts w:ascii="Times New Roman" w:hAnsi="Times New Roman" w:cs="Times New Roman" w:eastAsia="Times New Roman" w:hint="default"/>
                <w:sz w:val="18"/>
                <w:szCs w:val="18"/>
              </w:rPr>
            </w:pPr>
            <w:r>
              <w:rPr>
                <w:rFonts w:ascii="Times New Roman"/>
                <w:sz w:val="18"/>
              </w:rPr>
              <w:t>3.59</w:t>
            </w:r>
          </w:p>
        </w:tc>
      </w:tr>
      <w:tr>
        <w:trPr>
          <w:trHeight w:val="410" w:hRule="exact"/>
        </w:trPr>
        <w:tc>
          <w:tcPr>
            <w:tcW w:w="384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12" w:right="0"/>
              <w:jc w:val="left"/>
              <w:rPr>
                <w:rFonts w:ascii="宋体" w:hAnsi="宋体" w:cs="宋体" w:eastAsia="宋体" w:hint="default"/>
                <w:sz w:val="18"/>
                <w:szCs w:val="18"/>
              </w:rPr>
            </w:pPr>
            <w:r>
              <w:rPr>
                <w:rFonts w:ascii="宋体" w:hAnsi="宋体" w:cs="宋体" w:eastAsia="宋体" w:hint="default"/>
                <w:sz w:val="18"/>
                <w:szCs w:val="18"/>
              </w:rPr>
              <w:t>东芝公司</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3"/>
              <w:jc w:val="right"/>
              <w:rPr>
                <w:rFonts w:ascii="Times New Roman" w:hAnsi="Times New Roman" w:cs="Times New Roman" w:eastAsia="Times New Roman" w:hint="default"/>
                <w:sz w:val="18"/>
                <w:szCs w:val="18"/>
              </w:rPr>
            </w:pPr>
            <w:r>
              <w:rPr>
                <w:rFonts w:ascii="Times New Roman"/>
                <w:sz w:val="18"/>
              </w:rPr>
              <w:t>164,878,360</w:t>
            </w:r>
          </w:p>
        </w:tc>
        <w:tc>
          <w:tcPr>
            <w:tcW w:w="271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right="50"/>
              <w:jc w:val="right"/>
              <w:rPr>
                <w:rFonts w:ascii="Times New Roman" w:hAnsi="Times New Roman" w:cs="Times New Roman" w:eastAsia="Times New Roman" w:hint="default"/>
                <w:sz w:val="18"/>
                <w:szCs w:val="18"/>
              </w:rPr>
            </w:pPr>
            <w:r>
              <w:rPr>
                <w:rFonts w:ascii="Times New Roman"/>
                <w:sz w:val="18"/>
              </w:rPr>
              <w:t>2.87</w:t>
            </w:r>
          </w:p>
        </w:tc>
      </w:tr>
      <w:tr>
        <w:trPr>
          <w:trHeight w:val="329" w:hRule="exact"/>
        </w:trPr>
        <w:tc>
          <w:tcPr>
            <w:tcW w:w="3846" w:type="dxa"/>
            <w:tcBorders>
              <w:top w:val="nil" w:sz="6" w:space="0" w:color="auto"/>
              <w:left w:val="nil" w:sz="6" w:space="0" w:color="auto"/>
              <w:bottom w:val="single" w:sz="12" w:space="0" w:color="000000"/>
              <w:right w:val="nil" w:sz="6" w:space="0" w:color="auto"/>
            </w:tcBorders>
          </w:tcPr>
          <w:p>
            <w:pPr>
              <w:pStyle w:val="TableParagraph"/>
              <w:tabs>
                <w:tab w:pos="449" w:val="left" w:leader="none"/>
              </w:tabs>
              <w:spacing w:line="240" w:lineRule="auto" w:before="49"/>
              <w:ind w:right="612"/>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787"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pacing w:val="-1"/>
                <w:sz w:val="18"/>
              </w:rPr>
              <w:t>1,163,204,403</w:t>
            </w:r>
          </w:p>
        </w:tc>
        <w:tc>
          <w:tcPr>
            <w:tcW w:w="2717"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01"/>
              <w:ind w:right="51"/>
              <w:jc w:val="right"/>
              <w:rPr>
                <w:rFonts w:ascii="Times New Roman" w:hAnsi="Times New Roman" w:cs="Times New Roman" w:eastAsia="Times New Roman" w:hint="default"/>
                <w:sz w:val="18"/>
                <w:szCs w:val="18"/>
              </w:rPr>
            </w:pPr>
            <w:r>
              <w:rPr>
                <w:rFonts w:ascii="Times New Roman"/>
                <w:sz w:val="18"/>
              </w:rPr>
              <w:t>20.22</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spacing w:before="35"/>
        <w:ind w:left="123" w:right="2718" w:firstLine="0"/>
        <w:jc w:val="left"/>
        <w:rPr>
          <w:rFonts w:ascii="宋体" w:hAnsi="宋体" w:cs="宋体" w:eastAsia="宋体" w:hint="default"/>
          <w:sz w:val="21"/>
          <w:szCs w:val="21"/>
        </w:rPr>
      </w:pPr>
      <w:r>
        <w:rPr/>
        <w:pict>
          <v:group style="position:absolute;margin-left:118.919998pt;margin-top:-168.686493pt;width:419pt;height:144.3pt;mso-position-horizontal-relative:page;mso-position-vertical-relative:paragraph;z-index:-1113040" coordorigin="2378,-3374" coordsize="8380,2886">
            <v:shape style="position:absolute;left:5581;top:-3374;width:2412;height:451" type="#_x0000_t75" stroked="false">
              <v:imagedata r:id="rId278" o:title=""/>
            </v:shape>
            <v:shape style="position:absolute;left:2378;top:-2971;width:8380;height:2483" type="#_x0000_t75" stroked="false">
              <v:imagedata r:id="rId279" o:title=""/>
            </v:shape>
            <w10:wrap type="none"/>
          </v:group>
        </w:pict>
      </w:r>
      <w:r>
        <w:rPr/>
        <w:pict>
          <v:group style="position:absolute;margin-left:118.860001pt;margin-top:17.133509pt;width:419.4pt;height:124.05pt;mso-position-horizontal-relative:page;mso-position-vertical-relative:paragraph;z-index:-1113016" coordorigin="2377,343" coordsize="8388,2481">
            <v:group style="position:absolute;left:2406;top:358;width:8333;height:2" coordorigin="2406,358" coordsize="8333,2">
              <v:shape style="position:absolute;left:2406;top:358;width:8333;height:2" coordorigin="2406,358" coordsize="8333,0" path="m2406,358l10739,358e" filled="false" stroked="true" strokeweight="1.5pt" strokecolor="#000000">
                <v:path arrowok="t"/>
              </v:shape>
              <v:shape style="position:absolute;left:4852;top:349;width:4318;height:446" type="#_x0000_t75" stroked="false">
                <v:imagedata r:id="rId280" o:title=""/>
              </v:shape>
              <v:shape style="position:absolute;left:2377;top:747;width:8388;height:2076" type="#_x0000_t75" stroked="false">
                <v:imagedata r:id="rId281" o:title=""/>
              </v:shape>
            </v:group>
            <w10:wrap type="none"/>
          </v:group>
        </w:pict>
      </w:r>
      <w:r>
        <w:rPr>
          <w:rFonts w:ascii="宋体" w:hAnsi="宋体" w:cs="宋体" w:eastAsia="宋体" w:hint="default"/>
          <w:b/>
          <w:bCs/>
          <w:sz w:val="21"/>
          <w:szCs w:val="21"/>
        </w:rPr>
        <w:t>(四十)</w:t>
      </w:r>
      <w:r>
        <w:rPr>
          <w:rFonts w:ascii="宋体" w:hAnsi="宋体" w:cs="宋体" w:eastAsia="宋体" w:hint="default"/>
          <w:b/>
          <w:bCs/>
          <w:spacing w:val="-15"/>
          <w:sz w:val="21"/>
          <w:szCs w:val="21"/>
        </w:rPr>
        <w:t> </w:t>
      </w:r>
      <w:r>
        <w:rPr>
          <w:rFonts w:ascii="宋体" w:hAnsi="宋体" w:cs="宋体" w:eastAsia="宋体" w:hint="default"/>
          <w:b/>
          <w:bCs/>
          <w:sz w:val="21"/>
          <w:szCs w:val="21"/>
        </w:rPr>
        <w:t>营业税金及附加</w:t>
      </w:r>
      <w:r>
        <w:rPr>
          <w:rFonts w:ascii="宋体" w:hAnsi="宋体" w:cs="宋体" w:eastAsia="宋体" w:hint="default"/>
          <w:sz w:val="21"/>
          <w:szCs w:val="21"/>
        </w:rPr>
      </w:r>
    </w:p>
    <w:p>
      <w:pPr>
        <w:spacing w:line="240" w:lineRule="auto" w:before="11"/>
        <w:rPr>
          <w:rFonts w:ascii="宋体" w:hAnsi="宋体" w:cs="宋体" w:eastAsia="宋体" w:hint="default"/>
          <w:b/>
          <w:bCs/>
          <w:sz w:val="11"/>
          <w:szCs w:val="11"/>
        </w:rPr>
      </w:pPr>
    </w:p>
    <w:tbl>
      <w:tblPr>
        <w:tblW w:w="0" w:type="auto"/>
        <w:jc w:val="left"/>
        <w:tblInd w:w="731" w:type="dxa"/>
        <w:tblLayout w:type="fixed"/>
        <w:tblCellMar>
          <w:top w:w="0" w:type="dxa"/>
          <w:left w:w="0" w:type="dxa"/>
          <w:bottom w:w="0" w:type="dxa"/>
          <w:right w:w="0" w:type="dxa"/>
        </w:tblCellMar>
        <w:tblLook w:val="01E0"/>
      </w:tblPr>
      <w:tblGrid>
        <w:gridCol w:w="1407"/>
        <w:gridCol w:w="1048"/>
        <w:gridCol w:w="2619"/>
        <w:gridCol w:w="1714"/>
        <w:gridCol w:w="1560"/>
      </w:tblGrid>
      <w:tr>
        <w:trPr>
          <w:trHeight w:val="815" w:hRule="exact"/>
        </w:trPr>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91" w:right="0"/>
              <w:jc w:val="left"/>
              <w:rPr>
                <w:rFonts w:ascii="宋体" w:hAnsi="宋体" w:cs="宋体" w:eastAsia="宋体" w:hint="default"/>
                <w:sz w:val="18"/>
                <w:szCs w:val="18"/>
              </w:rPr>
            </w:pPr>
            <w:r>
              <w:rPr>
                <w:rFonts w:ascii="宋体" w:hAnsi="宋体" w:cs="宋体" w:eastAsia="宋体" w:hint="default"/>
                <w:sz w:val="18"/>
                <w:szCs w:val="18"/>
              </w:rPr>
              <w:t>项</w:t>
            </w: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目</w:t>
            </w:r>
          </w:p>
        </w:tc>
        <w:tc>
          <w:tcPr>
            <w:tcW w:w="261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43"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453" w:right="0"/>
              <w:jc w:val="left"/>
              <w:rPr>
                <w:rFonts w:ascii="Times New Roman" w:hAnsi="Times New Roman" w:cs="Times New Roman" w:eastAsia="Times New Roman" w:hint="default"/>
                <w:sz w:val="18"/>
                <w:szCs w:val="18"/>
              </w:rPr>
            </w:pPr>
            <w:r>
              <w:rPr>
                <w:rFonts w:ascii="Times New Roman"/>
                <w:sz w:val="18"/>
              </w:rPr>
              <w:t>73,204,360</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3"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756" w:right="0"/>
              <w:jc w:val="left"/>
              <w:rPr>
                <w:rFonts w:ascii="Times New Roman" w:hAnsi="Times New Roman" w:cs="Times New Roman" w:eastAsia="Times New Roman" w:hint="default"/>
                <w:sz w:val="18"/>
                <w:szCs w:val="18"/>
              </w:rPr>
            </w:pPr>
            <w:r>
              <w:rPr>
                <w:rFonts w:ascii="Times New Roman"/>
                <w:sz w:val="18"/>
              </w:rPr>
              <w:t>70,827,892</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2"/>
              <w:jc w:val="right"/>
              <w:rPr>
                <w:rFonts w:ascii="宋体" w:hAnsi="宋体" w:cs="宋体" w:eastAsia="宋体" w:hint="default"/>
                <w:sz w:val="18"/>
                <w:szCs w:val="18"/>
              </w:rPr>
            </w:pPr>
            <w:r>
              <w:rPr>
                <w:rFonts w:ascii="宋体" w:hAnsi="宋体" w:cs="宋体" w:eastAsia="宋体" w:hint="default"/>
                <w:sz w:val="18"/>
                <w:szCs w:val="18"/>
              </w:rPr>
              <w:t>计缴标准（</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5</w:t>
            </w:r>
          </w:p>
        </w:tc>
      </w:tr>
      <w:tr>
        <w:trPr>
          <w:trHeight w:val="410" w:hRule="exact"/>
        </w:trPr>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1048" w:type="dxa"/>
            <w:tcBorders>
              <w:top w:val="nil" w:sz="6" w:space="0" w:color="auto"/>
              <w:left w:val="nil" w:sz="6" w:space="0" w:color="auto"/>
              <w:bottom w:val="nil" w:sz="6" w:space="0" w:color="auto"/>
              <w:right w:val="nil" w:sz="6" w:space="0" w:color="auto"/>
            </w:tcBorders>
          </w:tcPr>
          <w:p>
            <w:pPr/>
          </w:p>
        </w:tc>
        <w:tc>
          <w:tcPr>
            <w:tcW w:w="261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51"/>
              <w:jc w:val="right"/>
              <w:rPr>
                <w:rFonts w:ascii="Times New Roman" w:hAnsi="Times New Roman" w:cs="Times New Roman" w:eastAsia="Times New Roman" w:hint="default"/>
                <w:sz w:val="18"/>
                <w:szCs w:val="18"/>
              </w:rPr>
            </w:pPr>
            <w:r>
              <w:rPr>
                <w:rFonts w:ascii="Times New Roman"/>
                <w:sz w:val="18"/>
              </w:rPr>
              <w:t>11,666,600</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3"/>
              <w:jc w:val="right"/>
              <w:rPr>
                <w:rFonts w:ascii="Times New Roman" w:hAnsi="Times New Roman" w:cs="Times New Roman" w:eastAsia="Times New Roman" w:hint="default"/>
                <w:sz w:val="18"/>
                <w:szCs w:val="18"/>
              </w:rPr>
            </w:pPr>
            <w:r>
              <w:rPr>
                <w:rFonts w:ascii="Times New Roman"/>
                <w:sz w:val="18"/>
              </w:rPr>
              <w:t>5,318,097</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7</w:t>
            </w:r>
          </w:p>
        </w:tc>
      </w:tr>
      <w:tr>
        <w:trPr>
          <w:trHeight w:val="410" w:hRule="exact"/>
        </w:trPr>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1048" w:type="dxa"/>
            <w:tcBorders>
              <w:top w:val="nil" w:sz="6" w:space="0" w:color="auto"/>
              <w:left w:val="nil" w:sz="6" w:space="0" w:color="auto"/>
              <w:bottom w:val="nil" w:sz="6" w:space="0" w:color="auto"/>
              <w:right w:val="nil" w:sz="6" w:space="0" w:color="auto"/>
            </w:tcBorders>
          </w:tcPr>
          <w:p>
            <w:pPr/>
          </w:p>
        </w:tc>
        <w:tc>
          <w:tcPr>
            <w:tcW w:w="261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52"/>
              <w:jc w:val="right"/>
              <w:rPr>
                <w:rFonts w:ascii="Times New Roman" w:hAnsi="Times New Roman" w:cs="Times New Roman" w:eastAsia="Times New Roman" w:hint="default"/>
                <w:sz w:val="18"/>
                <w:szCs w:val="18"/>
              </w:rPr>
            </w:pPr>
            <w:r>
              <w:rPr>
                <w:rFonts w:ascii="Times New Roman"/>
                <w:sz w:val="18"/>
              </w:rPr>
              <w:t>9,816,712</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2"/>
              <w:jc w:val="right"/>
              <w:rPr>
                <w:rFonts w:ascii="Times New Roman" w:hAnsi="Times New Roman" w:cs="Times New Roman" w:eastAsia="Times New Roman" w:hint="default"/>
                <w:sz w:val="18"/>
                <w:szCs w:val="18"/>
              </w:rPr>
            </w:pPr>
            <w:r>
              <w:rPr>
                <w:rFonts w:ascii="Times New Roman"/>
                <w:sz w:val="18"/>
              </w:rPr>
              <w:t>3,123,856</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6"/>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p>
        </w:tc>
      </w:tr>
      <w:tr>
        <w:trPr>
          <w:trHeight w:val="410" w:hRule="exact"/>
        </w:trPr>
        <w:tc>
          <w:tcPr>
            <w:tcW w:w="1407" w:type="dxa"/>
            <w:tcBorders>
              <w:top w:val="nil" w:sz="6" w:space="0" w:color="auto"/>
              <w:left w:val="nil" w:sz="6" w:space="0" w:color="auto"/>
              <w:bottom w:val="nil" w:sz="6" w:space="0" w:color="auto"/>
              <w:right w:val="nil" w:sz="6" w:space="0" w:color="auto"/>
            </w:tcBorders>
          </w:tcPr>
          <w:p>
            <w:pPr>
              <w:pStyle w:val="TableParagraph"/>
              <w:tabs>
                <w:tab w:pos="662" w:val="left" w:leader="none"/>
              </w:tabs>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048" w:type="dxa"/>
            <w:tcBorders>
              <w:top w:val="nil" w:sz="6" w:space="0" w:color="auto"/>
              <w:left w:val="nil" w:sz="6" w:space="0" w:color="auto"/>
              <w:bottom w:val="nil" w:sz="6" w:space="0" w:color="auto"/>
              <w:right w:val="nil" w:sz="6" w:space="0" w:color="auto"/>
            </w:tcBorders>
          </w:tcPr>
          <w:p>
            <w:pPr/>
          </w:p>
        </w:tc>
        <w:tc>
          <w:tcPr>
            <w:tcW w:w="261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52"/>
              <w:jc w:val="right"/>
              <w:rPr>
                <w:rFonts w:ascii="Times New Roman" w:hAnsi="Times New Roman" w:cs="Times New Roman" w:eastAsia="Times New Roman" w:hint="default"/>
                <w:sz w:val="18"/>
                <w:szCs w:val="18"/>
              </w:rPr>
            </w:pPr>
            <w:r>
              <w:rPr>
                <w:rFonts w:ascii="Times New Roman"/>
                <w:sz w:val="18"/>
              </w:rPr>
              <w:t>1,418,015</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3"/>
              <w:jc w:val="right"/>
              <w:rPr>
                <w:rFonts w:ascii="Times New Roman" w:hAnsi="Times New Roman" w:cs="Times New Roman" w:eastAsia="Times New Roman" w:hint="default"/>
                <w:sz w:val="18"/>
                <w:szCs w:val="18"/>
              </w:rPr>
            </w:pPr>
            <w:r>
              <w:rPr>
                <w:rFonts w:ascii="Times New Roman"/>
                <w:sz w:val="18"/>
              </w:rPr>
              <w:t>1,925,335</w:t>
            </w:r>
          </w:p>
        </w:tc>
        <w:tc>
          <w:tcPr>
            <w:tcW w:w="1560" w:type="dxa"/>
            <w:tcBorders>
              <w:top w:val="nil" w:sz="6" w:space="0" w:color="auto"/>
              <w:left w:val="nil" w:sz="6" w:space="0" w:color="auto"/>
              <w:bottom w:val="nil" w:sz="6" w:space="0" w:color="auto"/>
              <w:right w:val="nil" w:sz="6" w:space="0" w:color="auto"/>
            </w:tcBorders>
          </w:tcPr>
          <w:p>
            <w:pPr/>
          </w:p>
        </w:tc>
      </w:tr>
      <w:tr>
        <w:trPr>
          <w:trHeight w:val="329" w:hRule="exact"/>
        </w:trPr>
        <w:tc>
          <w:tcPr>
            <w:tcW w:w="1407"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891" w:right="0"/>
              <w:jc w:val="left"/>
              <w:rPr>
                <w:rFonts w:ascii="宋体" w:hAnsi="宋体" w:cs="宋体" w:eastAsia="宋体" w:hint="default"/>
                <w:sz w:val="18"/>
                <w:szCs w:val="18"/>
              </w:rPr>
            </w:pPr>
            <w:r>
              <w:rPr>
                <w:rFonts w:ascii="宋体" w:hAnsi="宋体" w:cs="宋体" w:eastAsia="宋体" w:hint="default"/>
                <w:sz w:val="18"/>
                <w:szCs w:val="18"/>
              </w:rPr>
              <w:t>合</w:t>
            </w:r>
          </w:p>
        </w:tc>
        <w:tc>
          <w:tcPr>
            <w:tcW w:w="1048"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61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352"/>
              <w:jc w:val="right"/>
              <w:rPr>
                <w:rFonts w:ascii="Times New Roman" w:hAnsi="Times New Roman" w:cs="Times New Roman" w:eastAsia="Times New Roman" w:hint="default"/>
                <w:sz w:val="18"/>
                <w:szCs w:val="18"/>
              </w:rPr>
            </w:pPr>
            <w:r>
              <w:rPr>
                <w:rFonts w:ascii="Times New Roman"/>
                <w:sz w:val="18"/>
              </w:rPr>
              <w:t>96,105,687</w:t>
            </w:r>
          </w:p>
        </w:tc>
        <w:tc>
          <w:tcPr>
            <w:tcW w:w="1714"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81,195,180</w:t>
            </w:r>
          </w:p>
        </w:tc>
        <w:tc>
          <w:tcPr>
            <w:tcW w:w="1560"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0" w:footer="1003" w:top="1540" w:bottom="1200" w:left="1660" w:right="980"/>
        </w:sectPr>
      </w:pPr>
    </w:p>
    <w:p>
      <w:pPr>
        <w:spacing w:line="240" w:lineRule="auto" w:before="0"/>
        <w:rPr>
          <w:rFonts w:ascii="Times New Roman" w:hAnsi="Times New Roman" w:cs="Times New Roman" w:eastAsia="Times New Roman" w:hint="default"/>
          <w:sz w:val="20"/>
          <w:szCs w:val="20"/>
        </w:rPr>
      </w:pPr>
      <w:r>
        <w:rPr/>
        <w:pict>
          <v:group style="position:absolute;margin-left:118.919998pt;margin-top:120.389999pt;width:421.5pt;height:203.2pt;mso-position-horizontal-relative:page;mso-position-vertical-relative:page;z-index:-1112992" coordorigin="2378,2408" coordsize="8430,4064">
            <v:shape style="position:absolute;left:6037;top:2408;width:2491;height:446" type="#_x0000_t75" stroked="false">
              <v:imagedata r:id="rId282" o:title=""/>
            </v:shape>
            <v:shape style="position:absolute;left:2378;top:2806;width:8430;height:3666" type="#_x0000_t75" stroked="false">
              <v:imagedata r:id="rId283" o:title=""/>
            </v:shape>
            <w10:wrap type="none"/>
          </v:group>
        </w:pict>
      </w:r>
      <w:r>
        <w:rPr/>
        <w:pict>
          <v:group style="position:absolute;margin-left:118.919998pt;margin-top:364.140015pt;width:422.05pt;height:200.95pt;mso-position-horizontal-relative:page;mso-position-vertical-relative:page;z-index:-1112968" coordorigin="2378,7283" coordsize="8441,4019">
            <v:shape style="position:absolute;left:6034;top:7283;width:2501;height:448" type="#_x0000_t75" stroked="false">
              <v:imagedata r:id="rId284" o:title=""/>
            </v:shape>
            <v:shape style="position:absolute;left:2378;top:7673;width:8441;height:3629" type="#_x0000_t75" stroked="false">
              <v:imagedata r:id="rId285" o:title=""/>
            </v:shape>
            <w10:wrap type="none"/>
          </v:group>
        </w:pict>
      </w:r>
      <w:r>
        <w:rPr/>
        <w:pict>
          <v:group style="position:absolute;margin-left:118.919998pt;margin-top:605.640015pt;width:422.35pt;height:120.9pt;mso-position-horizontal-relative:page;mso-position-vertical-relative:page;z-index:-1112944" coordorigin="2378,12113" coordsize="8447,2418">
            <v:shape style="position:absolute;left:6007;top:12113;width:2389;height:448" type="#_x0000_t75" stroked="false">
              <v:imagedata r:id="rId286" o:title=""/>
            </v:shape>
            <v:shape style="position:absolute;left:2378;top:12503;width:8447;height:2028" type="#_x0000_t75" stroked="false">
              <v:imagedata r:id="rId287" o:title=""/>
            </v:shape>
            <w10:wrap type="none"/>
          </v:group>
        </w:pict>
      </w:r>
    </w:p>
    <w:p>
      <w:pPr>
        <w:spacing w:line="240" w:lineRule="auto" w:before="9"/>
        <w:rPr>
          <w:rFonts w:ascii="Times New Roman" w:hAnsi="Times New Roman" w:cs="Times New Roman" w:eastAsia="Times New Roman" w:hint="default"/>
          <w:sz w:val="24"/>
          <w:szCs w:val="24"/>
        </w:rPr>
      </w:pPr>
    </w:p>
    <w:tbl>
      <w:tblPr>
        <w:tblW w:w="0" w:type="auto"/>
        <w:jc w:val="left"/>
        <w:tblInd w:w="108" w:type="dxa"/>
        <w:tblLayout w:type="fixed"/>
        <w:tblCellMar>
          <w:top w:w="0" w:type="dxa"/>
          <w:left w:w="0" w:type="dxa"/>
          <w:bottom w:w="0" w:type="dxa"/>
          <w:right w:w="0" w:type="dxa"/>
        </w:tblCellMar>
        <w:tblLook w:val="01E0"/>
      </w:tblPr>
      <w:tblGrid>
        <w:gridCol w:w="2071"/>
        <w:gridCol w:w="410"/>
        <w:gridCol w:w="1488"/>
        <w:gridCol w:w="3086"/>
        <w:gridCol w:w="1987"/>
      </w:tblGrid>
      <w:tr>
        <w:trPr>
          <w:trHeight w:val="357" w:hRule="exact"/>
        </w:trPr>
        <w:tc>
          <w:tcPr>
            <w:tcW w:w="2071"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(四十一)销售费用</w:t>
            </w:r>
            <w:r>
              <w:rPr>
                <w:rFonts w:ascii="宋体" w:hAnsi="宋体" w:cs="宋体" w:eastAsia="宋体" w:hint="default"/>
                <w:sz w:val="21"/>
                <w:szCs w:val="21"/>
              </w:rPr>
            </w:r>
          </w:p>
        </w:tc>
        <w:tc>
          <w:tcPr>
            <w:tcW w:w="6971" w:type="dxa"/>
            <w:gridSpan w:val="4"/>
            <w:tcBorders>
              <w:top w:val="nil" w:sz="6" w:space="0" w:color="auto"/>
              <w:left w:val="nil" w:sz="6" w:space="0" w:color="auto"/>
              <w:bottom w:val="single" w:sz="12" w:space="0" w:color="000000"/>
              <w:right w:val="nil" w:sz="6" w:space="0" w:color="auto"/>
            </w:tcBorders>
          </w:tcPr>
          <w:p>
            <w:pPr/>
          </w:p>
        </w:tc>
      </w:tr>
      <w:tr>
        <w:trPr>
          <w:trHeight w:val="502" w:hRule="exact"/>
        </w:trPr>
        <w:tc>
          <w:tcPr>
            <w:tcW w:w="2071" w:type="dxa"/>
            <w:tcBorders>
              <w:top w:val="single" w:sz="12" w:space="0" w:color="000000"/>
              <w:left w:val="nil" w:sz="6" w:space="0" w:color="auto"/>
              <w:bottom w:val="nil" w:sz="6" w:space="0" w:color="auto"/>
              <w:right w:val="nil" w:sz="6" w:space="0" w:color="auto"/>
            </w:tcBorders>
          </w:tcPr>
          <w:p>
            <w:pPr/>
          </w:p>
        </w:tc>
        <w:tc>
          <w:tcPr>
            <w:tcW w:w="410"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56" w:right="0"/>
              <w:jc w:val="left"/>
              <w:rPr>
                <w:rFonts w:ascii="宋体" w:hAnsi="宋体" w:cs="宋体" w:eastAsia="宋体" w:hint="default"/>
                <w:sz w:val="18"/>
                <w:szCs w:val="18"/>
              </w:rPr>
            </w:pPr>
            <w:r>
              <w:rPr>
                <w:rFonts w:ascii="宋体" w:hAnsi="宋体" w:cs="宋体" w:eastAsia="宋体" w:hint="default"/>
                <w:sz w:val="18"/>
                <w:szCs w:val="18"/>
              </w:rPr>
              <w:t>项</w:t>
            </w:r>
          </w:p>
        </w:tc>
        <w:tc>
          <w:tcPr>
            <w:tcW w:w="1488"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186" w:right="0"/>
              <w:jc w:val="left"/>
              <w:rPr>
                <w:rFonts w:ascii="宋体" w:hAnsi="宋体" w:cs="宋体" w:eastAsia="宋体" w:hint="default"/>
                <w:sz w:val="18"/>
                <w:szCs w:val="18"/>
              </w:rPr>
            </w:pPr>
            <w:r>
              <w:rPr>
                <w:rFonts w:ascii="宋体" w:hAnsi="宋体" w:cs="宋体" w:eastAsia="宋体" w:hint="default"/>
                <w:sz w:val="18"/>
                <w:szCs w:val="18"/>
              </w:rPr>
              <w:t>目</w:t>
            </w:r>
          </w:p>
        </w:tc>
        <w:tc>
          <w:tcPr>
            <w:tcW w:w="3086"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38"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1987"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473"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2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66"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410"/>
              <w:jc w:val="right"/>
              <w:rPr>
                <w:rFonts w:ascii="Times New Roman" w:hAnsi="Times New Roman" w:cs="Times New Roman" w:eastAsia="Times New Roman" w:hint="default"/>
                <w:sz w:val="18"/>
                <w:szCs w:val="18"/>
              </w:rPr>
            </w:pPr>
            <w:r>
              <w:rPr>
                <w:rFonts w:ascii="Times New Roman"/>
                <w:sz w:val="18"/>
              </w:rPr>
              <w:t>278,160,881</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19"/>
              <w:jc w:val="right"/>
              <w:rPr>
                <w:rFonts w:ascii="Times New Roman" w:hAnsi="Times New Roman" w:cs="Times New Roman" w:eastAsia="Times New Roman" w:hint="default"/>
                <w:sz w:val="18"/>
                <w:szCs w:val="18"/>
              </w:rPr>
            </w:pPr>
            <w:r>
              <w:rPr>
                <w:rFonts w:ascii="Times New Roman"/>
                <w:sz w:val="18"/>
              </w:rPr>
              <w:t>212,197,272</w:t>
            </w:r>
          </w:p>
        </w:tc>
      </w:tr>
      <w:tr>
        <w:trPr>
          <w:trHeight w:val="41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66" w:right="0"/>
              <w:jc w:val="left"/>
              <w:rPr>
                <w:rFonts w:ascii="宋体" w:hAnsi="宋体" w:cs="宋体" w:eastAsia="宋体" w:hint="default"/>
                <w:sz w:val="18"/>
                <w:szCs w:val="18"/>
              </w:rPr>
            </w:pPr>
            <w:r>
              <w:rPr>
                <w:rFonts w:ascii="宋体" w:hAnsi="宋体" w:cs="宋体" w:eastAsia="宋体" w:hint="default"/>
                <w:sz w:val="18"/>
                <w:szCs w:val="18"/>
              </w:rPr>
              <w:t>交通差旅</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0"/>
              <w:jc w:val="right"/>
              <w:rPr>
                <w:rFonts w:ascii="Times New Roman" w:hAnsi="Times New Roman" w:cs="Times New Roman" w:eastAsia="Times New Roman" w:hint="default"/>
                <w:sz w:val="18"/>
                <w:szCs w:val="18"/>
              </w:rPr>
            </w:pPr>
            <w:r>
              <w:rPr>
                <w:rFonts w:ascii="Times New Roman"/>
                <w:sz w:val="18"/>
              </w:rPr>
              <w:t>62,678,714</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9"/>
              <w:jc w:val="right"/>
              <w:rPr>
                <w:rFonts w:ascii="Times New Roman" w:hAnsi="Times New Roman" w:cs="Times New Roman" w:eastAsia="Times New Roman" w:hint="default"/>
                <w:sz w:val="18"/>
                <w:szCs w:val="18"/>
              </w:rPr>
            </w:pPr>
            <w:r>
              <w:rPr>
                <w:rFonts w:ascii="Times New Roman"/>
                <w:sz w:val="18"/>
              </w:rPr>
              <w:t>48,388,749</w:t>
            </w:r>
          </w:p>
        </w:tc>
      </w:tr>
      <w:tr>
        <w:trPr>
          <w:trHeight w:val="41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66" w:right="0"/>
              <w:jc w:val="left"/>
              <w:rPr>
                <w:rFonts w:ascii="宋体" w:hAnsi="宋体" w:cs="宋体" w:eastAsia="宋体" w:hint="default"/>
                <w:sz w:val="18"/>
                <w:szCs w:val="18"/>
              </w:rPr>
            </w:pPr>
            <w:r>
              <w:rPr>
                <w:rFonts w:ascii="宋体" w:hAnsi="宋体" w:cs="宋体" w:eastAsia="宋体" w:hint="default"/>
                <w:sz w:val="18"/>
                <w:szCs w:val="18"/>
              </w:rPr>
              <w:t>广告宣传</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0"/>
              <w:jc w:val="right"/>
              <w:rPr>
                <w:rFonts w:ascii="Times New Roman" w:hAnsi="Times New Roman" w:cs="Times New Roman" w:eastAsia="Times New Roman" w:hint="default"/>
                <w:sz w:val="18"/>
                <w:szCs w:val="18"/>
              </w:rPr>
            </w:pPr>
            <w:r>
              <w:rPr>
                <w:rFonts w:ascii="Times New Roman"/>
                <w:sz w:val="18"/>
              </w:rPr>
              <w:t>48,043,707</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9"/>
              <w:jc w:val="right"/>
              <w:rPr>
                <w:rFonts w:ascii="Times New Roman" w:hAnsi="Times New Roman" w:cs="Times New Roman" w:eastAsia="Times New Roman" w:hint="default"/>
                <w:sz w:val="18"/>
                <w:szCs w:val="18"/>
              </w:rPr>
            </w:pPr>
            <w:r>
              <w:rPr>
                <w:rFonts w:ascii="Times New Roman"/>
                <w:sz w:val="18"/>
              </w:rPr>
              <w:t>39,723,746</w:t>
            </w:r>
          </w:p>
        </w:tc>
      </w:tr>
      <w:tr>
        <w:trPr>
          <w:trHeight w:val="405"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66" w:right="0"/>
              <w:jc w:val="left"/>
              <w:rPr>
                <w:rFonts w:ascii="宋体" w:hAnsi="宋体" w:cs="宋体" w:eastAsia="宋体" w:hint="default"/>
                <w:sz w:val="18"/>
                <w:szCs w:val="18"/>
              </w:rPr>
            </w:pPr>
            <w:r>
              <w:rPr>
                <w:rFonts w:ascii="宋体" w:hAnsi="宋体" w:cs="宋体" w:eastAsia="宋体" w:hint="default"/>
                <w:sz w:val="18"/>
                <w:szCs w:val="18"/>
              </w:rPr>
              <w:t>办公物料</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0"/>
              <w:jc w:val="right"/>
              <w:rPr>
                <w:rFonts w:ascii="Times New Roman" w:hAnsi="Times New Roman" w:cs="Times New Roman" w:eastAsia="Times New Roman" w:hint="default"/>
                <w:sz w:val="18"/>
                <w:szCs w:val="18"/>
              </w:rPr>
            </w:pPr>
            <w:r>
              <w:rPr>
                <w:rFonts w:ascii="Times New Roman"/>
                <w:sz w:val="18"/>
              </w:rPr>
              <w:t>43,585,948</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9"/>
              <w:jc w:val="right"/>
              <w:rPr>
                <w:rFonts w:ascii="Times New Roman" w:hAnsi="Times New Roman" w:cs="Times New Roman" w:eastAsia="Times New Roman" w:hint="default"/>
                <w:sz w:val="18"/>
                <w:szCs w:val="18"/>
              </w:rPr>
            </w:pPr>
            <w:r>
              <w:rPr>
                <w:rFonts w:ascii="Times New Roman"/>
                <w:sz w:val="18"/>
              </w:rPr>
              <w:t>30,306,924</w:t>
            </w:r>
          </w:p>
        </w:tc>
      </w:tr>
      <w:tr>
        <w:trPr>
          <w:trHeight w:val="40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 w:right="0"/>
              <w:jc w:val="center"/>
              <w:rPr>
                <w:rFonts w:ascii="宋体" w:hAnsi="宋体" w:cs="宋体" w:eastAsia="宋体" w:hint="default"/>
                <w:sz w:val="18"/>
                <w:szCs w:val="18"/>
              </w:rPr>
            </w:pPr>
            <w:r>
              <w:rPr>
                <w:rFonts w:ascii="宋体" w:hAnsi="宋体" w:cs="宋体" w:eastAsia="宋体" w:hint="default"/>
                <w:sz w:val="18"/>
                <w:szCs w:val="18"/>
              </w:rPr>
              <w:t>交际费</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10"/>
              <w:jc w:val="right"/>
              <w:rPr>
                <w:rFonts w:ascii="Times New Roman" w:hAnsi="Times New Roman" w:cs="Times New Roman" w:eastAsia="Times New Roman" w:hint="default"/>
                <w:sz w:val="18"/>
                <w:szCs w:val="18"/>
              </w:rPr>
            </w:pPr>
            <w:r>
              <w:rPr>
                <w:rFonts w:ascii="Times New Roman"/>
                <w:sz w:val="18"/>
              </w:rPr>
              <w:t>19,365,360</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9"/>
              <w:jc w:val="right"/>
              <w:rPr>
                <w:rFonts w:ascii="Times New Roman" w:hAnsi="Times New Roman" w:cs="Times New Roman" w:eastAsia="Times New Roman" w:hint="default"/>
                <w:sz w:val="18"/>
                <w:szCs w:val="18"/>
              </w:rPr>
            </w:pPr>
            <w:r>
              <w:rPr>
                <w:rFonts w:ascii="Times New Roman"/>
                <w:sz w:val="18"/>
              </w:rPr>
              <w:t>9,474,341</w:t>
            </w:r>
          </w:p>
        </w:tc>
      </w:tr>
      <w:tr>
        <w:trPr>
          <w:trHeight w:val="40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5"/>
              <w:ind w:left="766" w:right="0"/>
              <w:jc w:val="left"/>
              <w:rPr>
                <w:rFonts w:ascii="宋体" w:hAnsi="宋体" w:cs="宋体" w:eastAsia="宋体" w:hint="default"/>
                <w:sz w:val="18"/>
                <w:szCs w:val="18"/>
              </w:rPr>
            </w:pPr>
            <w:r>
              <w:rPr>
                <w:rFonts w:ascii="宋体" w:hAnsi="宋体" w:cs="宋体" w:eastAsia="宋体" w:hint="default"/>
                <w:sz w:val="18"/>
                <w:szCs w:val="18"/>
              </w:rPr>
              <w:t>房租物业</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10"/>
              <w:jc w:val="right"/>
              <w:rPr>
                <w:rFonts w:ascii="Times New Roman" w:hAnsi="Times New Roman" w:cs="Times New Roman" w:eastAsia="Times New Roman" w:hint="default"/>
                <w:sz w:val="18"/>
                <w:szCs w:val="18"/>
              </w:rPr>
            </w:pPr>
            <w:r>
              <w:rPr>
                <w:rFonts w:ascii="Times New Roman"/>
                <w:sz w:val="18"/>
              </w:rPr>
              <w:t>6,252,920</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9"/>
              <w:jc w:val="right"/>
              <w:rPr>
                <w:rFonts w:ascii="Times New Roman" w:hAnsi="Times New Roman" w:cs="Times New Roman" w:eastAsia="Times New Roman" w:hint="default"/>
                <w:sz w:val="18"/>
                <w:szCs w:val="18"/>
              </w:rPr>
            </w:pPr>
            <w:r>
              <w:rPr>
                <w:rFonts w:ascii="Times New Roman"/>
                <w:sz w:val="18"/>
              </w:rPr>
              <w:t>6,343,166</w:t>
            </w:r>
          </w:p>
        </w:tc>
      </w:tr>
      <w:tr>
        <w:trPr>
          <w:trHeight w:val="40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6" w:right="0"/>
              <w:jc w:val="left"/>
              <w:rPr>
                <w:rFonts w:ascii="宋体" w:hAnsi="宋体" w:cs="宋体" w:eastAsia="宋体" w:hint="default"/>
                <w:sz w:val="18"/>
                <w:szCs w:val="18"/>
              </w:rPr>
            </w:pPr>
            <w:r>
              <w:rPr>
                <w:rFonts w:ascii="宋体" w:hAnsi="宋体" w:cs="宋体" w:eastAsia="宋体" w:hint="default"/>
                <w:sz w:val="18"/>
                <w:szCs w:val="18"/>
              </w:rPr>
              <w:t>折旧摊销</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10"/>
              <w:jc w:val="right"/>
              <w:rPr>
                <w:rFonts w:ascii="Times New Roman" w:hAnsi="Times New Roman" w:cs="Times New Roman" w:eastAsia="Times New Roman" w:hint="default"/>
                <w:sz w:val="18"/>
                <w:szCs w:val="18"/>
              </w:rPr>
            </w:pPr>
            <w:r>
              <w:rPr>
                <w:rFonts w:ascii="Times New Roman"/>
                <w:sz w:val="18"/>
              </w:rPr>
              <w:t>5,848,673</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9"/>
              <w:jc w:val="right"/>
              <w:rPr>
                <w:rFonts w:ascii="Times New Roman" w:hAnsi="Times New Roman" w:cs="Times New Roman" w:eastAsia="Times New Roman" w:hint="default"/>
                <w:sz w:val="18"/>
                <w:szCs w:val="18"/>
              </w:rPr>
            </w:pPr>
            <w:r>
              <w:rPr>
                <w:rFonts w:ascii="Times New Roman"/>
                <w:sz w:val="18"/>
              </w:rPr>
              <w:t>4,897,512</w:t>
            </w:r>
          </w:p>
        </w:tc>
      </w:tr>
      <w:tr>
        <w:trPr>
          <w:trHeight w:val="40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75"/>
              <w:jc w:val="center"/>
              <w:rPr>
                <w:rFonts w:ascii="宋体" w:hAnsi="宋体" w:cs="宋体" w:eastAsia="宋体" w:hint="default"/>
                <w:sz w:val="18"/>
                <w:szCs w:val="18"/>
              </w:rPr>
            </w:pPr>
            <w:r>
              <w:rPr>
                <w:rFonts w:ascii="宋体" w:hAnsi="宋体" w:cs="宋体" w:eastAsia="宋体" w:hint="default"/>
                <w:sz w:val="18"/>
                <w:szCs w:val="18"/>
              </w:rPr>
              <w:t>其他</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10"/>
              <w:jc w:val="right"/>
              <w:rPr>
                <w:rFonts w:ascii="Times New Roman" w:hAnsi="Times New Roman" w:cs="Times New Roman" w:eastAsia="Times New Roman" w:hint="default"/>
                <w:sz w:val="18"/>
                <w:szCs w:val="18"/>
              </w:rPr>
            </w:pPr>
            <w:r>
              <w:rPr>
                <w:rFonts w:ascii="Times New Roman"/>
                <w:sz w:val="18"/>
              </w:rPr>
              <w:t>33,983,958</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9"/>
              <w:jc w:val="right"/>
              <w:rPr>
                <w:rFonts w:ascii="Times New Roman" w:hAnsi="Times New Roman" w:cs="Times New Roman" w:eastAsia="Times New Roman" w:hint="default"/>
                <w:sz w:val="18"/>
                <w:szCs w:val="18"/>
              </w:rPr>
            </w:pPr>
            <w:r>
              <w:rPr>
                <w:rFonts w:ascii="Times New Roman"/>
                <w:sz w:val="18"/>
              </w:rPr>
              <w:t>40,572,425</w:t>
            </w:r>
          </w:p>
        </w:tc>
      </w:tr>
      <w:tr>
        <w:trPr>
          <w:trHeight w:val="323" w:hRule="exact"/>
        </w:trPr>
        <w:tc>
          <w:tcPr>
            <w:tcW w:w="2071" w:type="dxa"/>
            <w:tcBorders>
              <w:top w:val="nil" w:sz="6" w:space="0" w:color="auto"/>
              <w:left w:val="nil" w:sz="6" w:space="0" w:color="auto"/>
              <w:bottom w:val="single" w:sz="12" w:space="0" w:color="000000"/>
              <w:right w:val="nil" w:sz="6" w:space="0" w:color="auto"/>
            </w:tcBorders>
          </w:tcPr>
          <w:p>
            <w:pPr/>
          </w:p>
        </w:tc>
        <w:tc>
          <w:tcPr>
            <w:tcW w:w="410"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left="56" w:right="0"/>
              <w:jc w:val="left"/>
              <w:rPr>
                <w:rFonts w:ascii="宋体" w:hAnsi="宋体" w:cs="宋体" w:eastAsia="宋体" w:hint="default"/>
                <w:sz w:val="18"/>
                <w:szCs w:val="18"/>
              </w:rPr>
            </w:pPr>
            <w:r>
              <w:rPr>
                <w:rFonts w:ascii="宋体" w:hAnsi="宋体" w:cs="宋体" w:eastAsia="宋体" w:hint="default"/>
                <w:sz w:val="18"/>
                <w:szCs w:val="18"/>
              </w:rPr>
              <w:t>合</w:t>
            </w:r>
          </w:p>
        </w:tc>
        <w:tc>
          <w:tcPr>
            <w:tcW w:w="1488"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left="186"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086"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410"/>
              <w:jc w:val="right"/>
              <w:rPr>
                <w:rFonts w:ascii="Times New Roman" w:hAnsi="Times New Roman" w:cs="Times New Roman" w:eastAsia="Times New Roman" w:hint="default"/>
                <w:sz w:val="18"/>
                <w:szCs w:val="18"/>
              </w:rPr>
            </w:pPr>
            <w:r>
              <w:rPr>
                <w:rFonts w:ascii="Times New Roman"/>
                <w:sz w:val="18"/>
              </w:rPr>
              <w:t>497,920,161</w:t>
            </w:r>
          </w:p>
        </w:tc>
        <w:tc>
          <w:tcPr>
            <w:tcW w:w="1987"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119"/>
              <w:jc w:val="right"/>
              <w:rPr>
                <w:rFonts w:ascii="Times New Roman" w:hAnsi="Times New Roman" w:cs="Times New Roman" w:eastAsia="Times New Roman" w:hint="default"/>
                <w:sz w:val="18"/>
                <w:szCs w:val="18"/>
              </w:rPr>
            </w:pPr>
            <w:r>
              <w:rPr>
                <w:rFonts w:ascii="Times New Roman"/>
                <w:sz w:val="18"/>
              </w:rPr>
              <w:t>391,904,135</w:t>
            </w:r>
          </w:p>
        </w:tc>
      </w:tr>
      <w:tr>
        <w:trPr>
          <w:trHeight w:val="810" w:hRule="exact"/>
        </w:trPr>
        <w:tc>
          <w:tcPr>
            <w:tcW w:w="2071"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b/>
                <w:bCs/>
                <w:sz w:val="21"/>
                <w:szCs w:val="21"/>
              </w:rPr>
              <w:t>(四十二)管理费用</w:t>
            </w:r>
            <w:r>
              <w:rPr>
                <w:rFonts w:ascii="宋体" w:hAnsi="宋体" w:cs="宋体" w:eastAsia="宋体" w:hint="default"/>
                <w:sz w:val="21"/>
                <w:szCs w:val="21"/>
              </w:rPr>
            </w:r>
          </w:p>
        </w:tc>
        <w:tc>
          <w:tcPr>
            <w:tcW w:w="410" w:type="dxa"/>
            <w:tcBorders>
              <w:top w:val="nil" w:sz="6" w:space="0" w:color="auto"/>
              <w:left w:val="nil" w:sz="6" w:space="0" w:color="auto"/>
              <w:bottom w:val="single" w:sz="12" w:space="0" w:color="000000"/>
              <w:right w:val="nil" w:sz="6" w:space="0" w:color="auto"/>
            </w:tcBorders>
          </w:tcPr>
          <w:p>
            <w:pPr/>
          </w:p>
        </w:tc>
        <w:tc>
          <w:tcPr>
            <w:tcW w:w="1488" w:type="dxa"/>
            <w:tcBorders>
              <w:top w:val="nil" w:sz="6" w:space="0" w:color="auto"/>
              <w:left w:val="nil" w:sz="6" w:space="0" w:color="auto"/>
              <w:bottom w:val="single" w:sz="12" w:space="0" w:color="000000"/>
              <w:right w:val="nil" w:sz="6" w:space="0" w:color="auto"/>
            </w:tcBorders>
          </w:tcPr>
          <w:p>
            <w:pPr/>
          </w:p>
        </w:tc>
        <w:tc>
          <w:tcPr>
            <w:tcW w:w="3086" w:type="dxa"/>
            <w:tcBorders>
              <w:top w:val="nil" w:sz="6" w:space="0" w:color="auto"/>
              <w:left w:val="nil" w:sz="6" w:space="0" w:color="auto"/>
              <w:bottom w:val="single" w:sz="12" w:space="0" w:color="000000"/>
              <w:right w:val="nil" w:sz="6" w:space="0" w:color="auto"/>
            </w:tcBorders>
          </w:tcPr>
          <w:p>
            <w:pPr/>
          </w:p>
        </w:tc>
        <w:tc>
          <w:tcPr>
            <w:tcW w:w="1987" w:type="dxa"/>
            <w:tcBorders>
              <w:top w:val="nil" w:sz="6" w:space="0" w:color="auto"/>
              <w:left w:val="nil" w:sz="6" w:space="0" w:color="auto"/>
              <w:bottom w:val="single" w:sz="12" w:space="0" w:color="000000"/>
              <w:right w:val="nil" w:sz="6" w:space="0" w:color="auto"/>
            </w:tcBorders>
          </w:tcPr>
          <w:p>
            <w:pPr/>
          </w:p>
        </w:tc>
      </w:tr>
      <w:tr>
        <w:trPr>
          <w:trHeight w:val="487" w:hRule="exact"/>
        </w:trPr>
        <w:tc>
          <w:tcPr>
            <w:tcW w:w="2071" w:type="dxa"/>
            <w:tcBorders>
              <w:top w:val="single" w:sz="12" w:space="0" w:color="000000"/>
              <w:left w:val="nil" w:sz="6" w:space="0" w:color="auto"/>
              <w:bottom w:val="nil" w:sz="6" w:space="0" w:color="auto"/>
              <w:right w:val="nil" w:sz="6" w:space="0" w:color="auto"/>
            </w:tcBorders>
          </w:tcPr>
          <w:p>
            <w:pPr/>
          </w:p>
        </w:tc>
        <w:tc>
          <w:tcPr>
            <w:tcW w:w="410" w:type="dxa"/>
            <w:tcBorders>
              <w:top w:val="single" w:sz="12" w:space="0" w:color="000000"/>
              <w:left w:val="nil" w:sz="6" w:space="0" w:color="auto"/>
              <w:bottom w:val="nil" w:sz="6" w:space="0" w:color="auto"/>
              <w:right w:val="nil" w:sz="6" w:space="0" w:color="auto"/>
            </w:tcBorders>
          </w:tcPr>
          <w:p>
            <w:pPr>
              <w:pStyle w:val="TableParagraph"/>
              <w:spacing w:line="240" w:lineRule="auto" w:before="127"/>
              <w:ind w:left="56" w:right="0"/>
              <w:jc w:val="left"/>
              <w:rPr>
                <w:rFonts w:ascii="宋体" w:hAnsi="宋体" w:cs="宋体" w:eastAsia="宋体" w:hint="default"/>
                <w:sz w:val="18"/>
                <w:szCs w:val="18"/>
              </w:rPr>
            </w:pPr>
            <w:r>
              <w:rPr>
                <w:rFonts w:ascii="宋体" w:hAnsi="宋体" w:cs="宋体" w:eastAsia="宋体" w:hint="default"/>
                <w:sz w:val="18"/>
                <w:szCs w:val="18"/>
              </w:rPr>
              <w:t>项</w:t>
            </w:r>
          </w:p>
        </w:tc>
        <w:tc>
          <w:tcPr>
            <w:tcW w:w="1488" w:type="dxa"/>
            <w:tcBorders>
              <w:top w:val="single" w:sz="12" w:space="0" w:color="000000"/>
              <w:left w:val="nil" w:sz="6" w:space="0" w:color="auto"/>
              <w:bottom w:val="nil" w:sz="6" w:space="0" w:color="auto"/>
              <w:right w:val="nil" w:sz="6" w:space="0" w:color="auto"/>
            </w:tcBorders>
          </w:tcPr>
          <w:p>
            <w:pPr>
              <w:pStyle w:val="TableParagraph"/>
              <w:spacing w:line="240" w:lineRule="auto" w:before="127"/>
              <w:ind w:left="186" w:right="0"/>
              <w:jc w:val="left"/>
              <w:rPr>
                <w:rFonts w:ascii="宋体" w:hAnsi="宋体" w:cs="宋体" w:eastAsia="宋体" w:hint="default"/>
                <w:sz w:val="18"/>
                <w:szCs w:val="18"/>
              </w:rPr>
            </w:pPr>
            <w:r>
              <w:rPr>
                <w:rFonts w:ascii="宋体" w:hAnsi="宋体" w:cs="宋体" w:eastAsia="宋体" w:hint="default"/>
                <w:sz w:val="18"/>
                <w:szCs w:val="18"/>
              </w:rPr>
              <w:t>目</w:t>
            </w:r>
          </w:p>
        </w:tc>
        <w:tc>
          <w:tcPr>
            <w:tcW w:w="3086" w:type="dxa"/>
            <w:tcBorders>
              <w:top w:val="single" w:sz="12" w:space="0" w:color="000000"/>
              <w:left w:val="nil" w:sz="6" w:space="0" w:color="auto"/>
              <w:bottom w:val="nil" w:sz="6" w:space="0" w:color="auto"/>
              <w:right w:val="nil" w:sz="6" w:space="0" w:color="auto"/>
            </w:tcBorders>
          </w:tcPr>
          <w:p>
            <w:pPr>
              <w:pStyle w:val="TableParagraph"/>
              <w:spacing w:line="240" w:lineRule="auto" w:before="127"/>
              <w:ind w:left="43"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1987" w:type="dxa"/>
            <w:tcBorders>
              <w:top w:val="single" w:sz="12" w:space="0" w:color="000000"/>
              <w:left w:val="nil" w:sz="6" w:space="0" w:color="auto"/>
              <w:bottom w:val="nil" w:sz="6" w:space="0" w:color="auto"/>
              <w:right w:val="nil" w:sz="6" w:space="0" w:color="auto"/>
            </w:tcBorders>
          </w:tcPr>
          <w:p>
            <w:pPr>
              <w:pStyle w:val="TableParagraph"/>
              <w:spacing w:line="240" w:lineRule="auto" w:before="127"/>
              <w:ind w:left="480"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9"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766"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09"/>
              <w:jc w:val="right"/>
              <w:rPr>
                <w:rFonts w:ascii="Times New Roman" w:hAnsi="Times New Roman" w:cs="Times New Roman" w:eastAsia="Times New Roman" w:hint="default"/>
                <w:sz w:val="18"/>
                <w:szCs w:val="18"/>
              </w:rPr>
            </w:pPr>
            <w:r>
              <w:rPr>
                <w:rFonts w:ascii="Times New Roman"/>
                <w:sz w:val="18"/>
              </w:rPr>
              <w:t>459,790,468</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6"/>
              <w:jc w:val="right"/>
              <w:rPr>
                <w:rFonts w:ascii="Times New Roman" w:hAnsi="Times New Roman" w:cs="Times New Roman" w:eastAsia="Times New Roman" w:hint="default"/>
                <w:sz w:val="18"/>
                <w:szCs w:val="18"/>
              </w:rPr>
            </w:pPr>
            <w:r>
              <w:rPr>
                <w:rFonts w:ascii="Times New Roman"/>
                <w:sz w:val="18"/>
              </w:rPr>
              <w:t>365,382,578</w:t>
            </w:r>
          </w:p>
        </w:tc>
      </w:tr>
      <w:tr>
        <w:trPr>
          <w:trHeight w:val="40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 w:right="0"/>
              <w:jc w:val="center"/>
              <w:rPr>
                <w:rFonts w:ascii="宋体" w:hAnsi="宋体" w:cs="宋体" w:eastAsia="宋体" w:hint="default"/>
                <w:sz w:val="18"/>
                <w:szCs w:val="18"/>
              </w:rPr>
            </w:pPr>
            <w:r>
              <w:rPr>
                <w:rFonts w:ascii="宋体" w:hAnsi="宋体" w:cs="宋体" w:eastAsia="宋体" w:hint="default"/>
                <w:sz w:val="18"/>
                <w:szCs w:val="18"/>
              </w:rPr>
              <w:t>交际费</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08"/>
              <w:jc w:val="right"/>
              <w:rPr>
                <w:rFonts w:ascii="Times New Roman" w:hAnsi="Times New Roman" w:cs="Times New Roman" w:eastAsia="Times New Roman" w:hint="default"/>
                <w:sz w:val="18"/>
                <w:szCs w:val="18"/>
              </w:rPr>
            </w:pPr>
            <w:r>
              <w:rPr>
                <w:rFonts w:ascii="Times New Roman"/>
                <w:sz w:val="18"/>
              </w:rPr>
              <w:t>60,590,196</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60,403,411</w:t>
            </w:r>
          </w:p>
        </w:tc>
      </w:tr>
      <w:tr>
        <w:trPr>
          <w:trHeight w:val="40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5"/>
              <w:ind w:left="766" w:right="0"/>
              <w:jc w:val="left"/>
              <w:rPr>
                <w:rFonts w:ascii="宋体" w:hAnsi="宋体" w:cs="宋体" w:eastAsia="宋体" w:hint="default"/>
                <w:sz w:val="18"/>
                <w:szCs w:val="18"/>
              </w:rPr>
            </w:pPr>
            <w:r>
              <w:rPr>
                <w:rFonts w:ascii="宋体" w:hAnsi="宋体" w:cs="宋体" w:eastAsia="宋体" w:hint="default"/>
                <w:sz w:val="18"/>
                <w:szCs w:val="18"/>
              </w:rPr>
              <w:t>折旧摊销</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08"/>
              <w:jc w:val="right"/>
              <w:rPr>
                <w:rFonts w:ascii="Times New Roman" w:hAnsi="Times New Roman" w:cs="Times New Roman" w:eastAsia="Times New Roman" w:hint="default"/>
                <w:sz w:val="18"/>
                <w:szCs w:val="18"/>
              </w:rPr>
            </w:pPr>
            <w:r>
              <w:rPr>
                <w:rFonts w:ascii="Times New Roman"/>
                <w:sz w:val="18"/>
              </w:rPr>
              <w:t>65,556,233</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z w:val="18"/>
              </w:rPr>
              <w:t>66,402,268</w:t>
            </w:r>
          </w:p>
        </w:tc>
      </w:tr>
      <w:tr>
        <w:trPr>
          <w:trHeight w:val="40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6" w:right="0"/>
              <w:jc w:val="left"/>
              <w:rPr>
                <w:rFonts w:ascii="宋体" w:hAnsi="宋体" w:cs="宋体" w:eastAsia="宋体" w:hint="default"/>
                <w:sz w:val="18"/>
                <w:szCs w:val="18"/>
              </w:rPr>
            </w:pPr>
            <w:r>
              <w:rPr>
                <w:rFonts w:ascii="宋体" w:hAnsi="宋体" w:cs="宋体" w:eastAsia="宋体" w:hint="default"/>
                <w:sz w:val="18"/>
                <w:szCs w:val="18"/>
              </w:rPr>
              <w:t>办公物料</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08"/>
              <w:jc w:val="right"/>
              <w:rPr>
                <w:rFonts w:ascii="Times New Roman" w:hAnsi="Times New Roman" w:cs="Times New Roman" w:eastAsia="Times New Roman" w:hint="default"/>
                <w:sz w:val="18"/>
                <w:szCs w:val="18"/>
              </w:rPr>
            </w:pPr>
            <w:r>
              <w:rPr>
                <w:rFonts w:ascii="Times New Roman"/>
                <w:sz w:val="18"/>
              </w:rPr>
              <w:t>82,462,759</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41,927,831</w:t>
            </w:r>
          </w:p>
        </w:tc>
      </w:tr>
      <w:tr>
        <w:trPr>
          <w:trHeight w:val="40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6" w:right="0"/>
              <w:jc w:val="left"/>
              <w:rPr>
                <w:rFonts w:ascii="宋体" w:hAnsi="宋体" w:cs="宋体" w:eastAsia="宋体" w:hint="default"/>
                <w:sz w:val="18"/>
                <w:szCs w:val="18"/>
              </w:rPr>
            </w:pPr>
            <w:r>
              <w:rPr>
                <w:rFonts w:ascii="宋体" w:hAnsi="宋体" w:cs="宋体" w:eastAsia="宋体" w:hint="default"/>
                <w:sz w:val="18"/>
                <w:szCs w:val="18"/>
              </w:rPr>
              <w:t>交通差旅</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08"/>
              <w:jc w:val="right"/>
              <w:rPr>
                <w:rFonts w:ascii="Times New Roman" w:hAnsi="Times New Roman" w:cs="Times New Roman" w:eastAsia="Times New Roman" w:hint="default"/>
                <w:sz w:val="18"/>
                <w:szCs w:val="18"/>
              </w:rPr>
            </w:pPr>
            <w:r>
              <w:rPr>
                <w:rFonts w:ascii="Times New Roman"/>
                <w:sz w:val="18"/>
              </w:rPr>
              <w:t>40,242,683</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40,277,684</w:t>
            </w:r>
          </w:p>
        </w:tc>
      </w:tr>
      <w:tr>
        <w:trPr>
          <w:trHeight w:val="40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5"/>
              <w:ind w:left="766" w:right="0"/>
              <w:jc w:val="left"/>
              <w:rPr>
                <w:rFonts w:ascii="宋体" w:hAnsi="宋体" w:cs="宋体" w:eastAsia="宋体" w:hint="default"/>
                <w:sz w:val="18"/>
                <w:szCs w:val="18"/>
              </w:rPr>
            </w:pPr>
            <w:r>
              <w:rPr>
                <w:rFonts w:ascii="宋体" w:hAnsi="宋体" w:cs="宋体" w:eastAsia="宋体" w:hint="default"/>
                <w:sz w:val="18"/>
                <w:szCs w:val="18"/>
              </w:rPr>
              <w:t>房租物业</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08"/>
              <w:jc w:val="right"/>
              <w:rPr>
                <w:rFonts w:ascii="Times New Roman" w:hAnsi="Times New Roman" w:cs="Times New Roman" w:eastAsia="Times New Roman" w:hint="default"/>
                <w:sz w:val="18"/>
                <w:szCs w:val="18"/>
              </w:rPr>
            </w:pPr>
            <w:r>
              <w:rPr>
                <w:rFonts w:ascii="Times New Roman"/>
                <w:sz w:val="18"/>
              </w:rPr>
              <w:t>32,015,989</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z w:val="18"/>
              </w:rPr>
              <w:t>33,773,823</w:t>
            </w:r>
          </w:p>
        </w:tc>
      </w:tr>
      <w:tr>
        <w:trPr>
          <w:trHeight w:val="40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6" w:right="0"/>
              <w:jc w:val="left"/>
              <w:rPr>
                <w:rFonts w:ascii="宋体" w:hAnsi="宋体" w:cs="宋体" w:eastAsia="宋体" w:hint="default"/>
                <w:sz w:val="18"/>
                <w:szCs w:val="18"/>
              </w:rPr>
            </w:pPr>
            <w:r>
              <w:rPr>
                <w:rFonts w:ascii="宋体" w:hAnsi="宋体" w:cs="宋体" w:eastAsia="宋体" w:hint="default"/>
                <w:sz w:val="18"/>
                <w:szCs w:val="18"/>
              </w:rPr>
              <w:t>广告宣传</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09"/>
              <w:jc w:val="right"/>
              <w:rPr>
                <w:rFonts w:ascii="Times New Roman" w:hAnsi="Times New Roman" w:cs="Times New Roman" w:eastAsia="Times New Roman" w:hint="default"/>
                <w:sz w:val="18"/>
                <w:szCs w:val="18"/>
              </w:rPr>
            </w:pPr>
            <w:r>
              <w:rPr>
                <w:rFonts w:ascii="Times New Roman"/>
                <w:sz w:val="18"/>
              </w:rPr>
              <w:t>4,170,350</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3,337,954</w:t>
            </w:r>
          </w:p>
        </w:tc>
      </w:tr>
      <w:tr>
        <w:trPr>
          <w:trHeight w:val="40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75"/>
              <w:jc w:val="center"/>
              <w:rPr>
                <w:rFonts w:ascii="宋体" w:hAnsi="宋体" w:cs="宋体" w:eastAsia="宋体" w:hint="default"/>
                <w:sz w:val="18"/>
                <w:szCs w:val="18"/>
              </w:rPr>
            </w:pPr>
            <w:r>
              <w:rPr>
                <w:rFonts w:ascii="宋体" w:hAnsi="宋体" w:cs="宋体" w:eastAsia="宋体" w:hint="default"/>
                <w:sz w:val="18"/>
                <w:szCs w:val="18"/>
              </w:rPr>
              <w:t>其他</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09"/>
              <w:jc w:val="right"/>
              <w:rPr>
                <w:rFonts w:ascii="Times New Roman" w:hAnsi="Times New Roman" w:cs="Times New Roman" w:eastAsia="Times New Roman" w:hint="default"/>
                <w:sz w:val="18"/>
                <w:szCs w:val="18"/>
              </w:rPr>
            </w:pPr>
            <w:r>
              <w:rPr>
                <w:rFonts w:ascii="Times New Roman"/>
                <w:sz w:val="18"/>
              </w:rPr>
              <w:t>75,129,147</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102,411,126</w:t>
            </w:r>
          </w:p>
        </w:tc>
      </w:tr>
      <w:tr>
        <w:trPr>
          <w:trHeight w:val="323" w:hRule="exact"/>
        </w:trPr>
        <w:tc>
          <w:tcPr>
            <w:tcW w:w="2071" w:type="dxa"/>
            <w:tcBorders>
              <w:top w:val="nil" w:sz="6" w:space="0" w:color="auto"/>
              <w:left w:val="nil" w:sz="6" w:space="0" w:color="auto"/>
              <w:bottom w:val="single" w:sz="12" w:space="0" w:color="000000"/>
              <w:right w:val="nil" w:sz="6" w:space="0" w:color="auto"/>
            </w:tcBorders>
          </w:tcPr>
          <w:p>
            <w:pPr/>
          </w:p>
        </w:tc>
        <w:tc>
          <w:tcPr>
            <w:tcW w:w="410"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left="56" w:right="0"/>
              <w:jc w:val="left"/>
              <w:rPr>
                <w:rFonts w:ascii="宋体" w:hAnsi="宋体" w:cs="宋体" w:eastAsia="宋体" w:hint="default"/>
                <w:sz w:val="18"/>
                <w:szCs w:val="18"/>
              </w:rPr>
            </w:pPr>
            <w:r>
              <w:rPr>
                <w:rFonts w:ascii="宋体" w:hAnsi="宋体" w:cs="宋体" w:eastAsia="宋体" w:hint="default"/>
                <w:sz w:val="18"/>
                <w:szCs w:val="18"/>
              </w:rPr>
              <w:t>合</w:t>
            </w:r>
          </w:p>
        </w:tc>
        <w:tc>
          <w:tcPr>
            <w:tcW w:w="1488"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left="186"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086"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410"/>
              <w:jc w:val="right"/>
              <w:rPr>
                <w:rFonts w:ascii="Times New Roman" w:hAnsi="Times New Roman" w:cs="Times New Roman" w:eastAsia="Times New Roman" w:hint="default"/>
                <w:sz w:val="18"/>
                <w:szCs w:val="18"/>
              </w:rPr>
            </w:pPr>
            <w:r>
              <w:rPr>
                <w:rFonts w:ascii="Times New Roman"/>
                <w:sz w:val="18"/>
              </w:rPr>
              <w:t>819,957,825</w:t>
            </w:r>
          </w:p>
        </w:tc>
        <w:tc>
          <w:tcPr>
            <w:tcW w:w="1987"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z w:val="18"/>
              </w:rPr>
              <w:t>713,916,675</w:t>
            </w:r>
          </w:p>
        </w:tc>
      </w:tr>
      <w:tr>
        <w:trPr>
          <w:trHeight w:val="810" w:hRule="exact"/>
        </w:trPr>
        <w:tc>
          <w:tcPr>
            <w:tcW w:w="2071"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b/>
                <w:bCs/>
                <w:sz w:val="21"/>
                <w:szCs w:val="21"/>
              </w:rPr>
              <w:t>(四十三)财务费用</w:t>
            </w:r>
            <w:r>
              <w:rPr>
                <w:rFonts w:ascii="宋体" w:hAnsi="宋体" w:cs="宋体" w:eastAsia="宋体" w:hint="default"/>
                <w:sz w:val="21"/>
                <w:szCs w:val="21"/>
              </w:rPr>
            </w:r>
          </w:p>
        </w:tc>
        <w:tc>
          <w:tcPr>
            <w:tcW w:w="410" w:type="dxa"/>
            <w:tcBorders>
              <w:top w:val="nil" w:sz="6" w:space="0" w:color="auto"/>
              <w:left w:val="nil" w:sz="6" w:space="0" w:color="auto"/>
              <w:bottom w:val="single" w:sz="12" w:space="0" w:color="000000"/>
              <w:right w:val="nil" w:sz="6" w:space="0" w:color="auto"/>
            </w:tcBorders>
          </w:tcPr>
          <w:p>
            <w:pPr/>
          </w:p>
        </w:tc>
        <w:tc>
          <w:tcPr>
            <w:tcW w:w="1488" w:type="dxa"/>
            <w:tcBorders>
              <w:top w:val="nil" w:sz="6" w:space="0" w:color="auto"/>
              <w:left w:val="nil" w:sz="6" w:space="0" w:color="auto"/>
              <w:bottom w:val="single" w:sz="12" w:space="0" w:color="000000"/>
              <w:right w:val="nil" w:sz="6" w:space="0" w:color="auto"/>
            </w:tcBorders>
          </w:tcPr>
          <w:p>
            <w:pPr/>
          </w:p>
        </w:tc>
        <w:tc>
          <w:tcPr>
            <w:tcW w:w="3086" w:type="dxa"/>
            <w:tcBorders>
              <w:top w:val="nil" w:sz="6" w:space="0" w:color="auto"/>
              <w:left w:val="nil" w:sz="6" w:space="0" w:color="auto"/>
              <w:bottom w:val="single" w:sz="12" w:space="0" w:color="000000"/>
              <w:right w:val="nil" w:sz="6" w:space="0" w:color="auto"/>
            </w:tcBorders>
          </w:tcPr>
          <w:p>
            <w:pPr/>
          </w:p>
        </w:tc>
        <w:tc>
          <w:tcPr>
            <w:tcW w:w="1987" w:type="dxa"/>
            <w:tcBorders>
              <w:top w:val="nil" w:sz="6" w:space="0" w:color="auto"/>
              <w:left w:val="nil" w:sz="6" w:space="0" w:color="auto"/>
              <w:bottom w:val="single" w:sz="12" w:space="0" w:color="000000"/>
              <w:right w:val="nil" w:sz="6" w:space="0" w:color="auto"/>
            </w:tcBorders>
          </w:tcPr>
          <w:p>
            <w:pPr/>
          </w:p>
        </w:tc>
      </w:tr>
      <w:tr>
        <w:trPr>
          <w:trHeight w:val="487" w:hRule="exact"/>
        </w:trPr>
        <w:tc>
          <w:tcPr>
            <w:tcW w:w="2071" w:type="dxa"/>
            <w:tcBorders>
              <w:top w:val="single" w:sz="12" w:space="0" w:color="000000"/>
              <w:left w:val="nil" w:sz="6" w:space="0" w:color="auto"/>
              <w:bottom w:val="nil" w:sz="6" w:space="0" w:color="auto"/>
              <w:right w:val="nil" w:sz="6" w:space="0" w:color="auto"/>
            </w:tcBorders>
          </w:tcPr>
          <w:p>
            <w:pPr/>
          </w:p>
        </w:tc>
        <w:tc>
          <w:tcPr>
            <w:tcW w:w="410" w:type="dxa"/>
            <w:tcBorders>
              <w:top w:val="single" w:sz="12" w:space="0" w:color="000000"/>
              <w:left w:val="nil" w:sz="6" w:space="0" w:color="auto"/>
              <w:bottom w:val="nil" w:sz="6" w:space="0" w:color="auto"/>
              <w:right w:val="nil" w:sz="6" w:space="0" w:color="auto"/>
            </w:tcBorders>
          </w:tcPr>
          <w:p>
            <w:pPr>
              <w:pStyle w:val="TableParagraph"/>
              <w:spacing w:line="240" w:lineRule="auto" w:before="127"/>
              <w:ind w:left="44" w:right="0"/>
              <w:jc w:val="left"/>
              <w:rPr>
                <w:rFonts w:ascii="宋体" w:hAnsi="宋体" w:cs="宋体" w:eastAsia="宋体" w:hint="default"/>
                <w:sz w:val="18"/>
                <w:szCs w:val="18"/>
              </w:rPr>
            </w:pPr>
            <w:r>
              <w:rPr>
                <w:rFonts w:ascii="宋体" w:hAnsi="宋体" w:cs="宋体" w:eastAsia="宋体" w:hint="default"/>
                <w:sz w:val="18"/>
                <w:szCs w:val="18"/>
              </w:rPr>
              <w:t>类</w:t>
            </w:r>
          </w:p>
        </w:tc>
        <w:tc>
          <w:tcPr>
            <w:tcW w:w="1488" w:type="dxa"/>
            <w:tcBorders>
              <w:top w:val="single" w:sz="12" w:space="0" w:color="000000"/>
              <w:left w:val="nil" w:sz="6" w:space="0" w:color="auto"/>
              <w:bottom w:val="nil" w:sz="6" w:space="0" w:color="auto"/>
              <w:right w:val="nil" w:sz="6" w:space="0" w:color="auto"/>
            </w:tcBorders>
          </w:tcPr>
          <w:p>
            <w:pPr>
              <w:pStyle w:val="TableParagraph"/>
              <w:spacing w:line="240" w:lineRule="auto" w:before="127"/>
              <w:ind w:left="174" w:right="0"/>
              <w:jc w:val="left"/>
              <w:rPr>
                <w:rFonts w:ascii="宋体" w:hAnsi="宋体" w:cs="宋体" w:eastAsia="宋体" w:hint="default"/>
                <w:sz w:val="18"/>
                <w:szCs w:val="18"/>
              </w:rPr>
            </w:pPr>
            <w:r>
              <w:rPr>
                <w:rFonts w:ascii="宋体" w:hAnsi="宋体" w:cs="宋体" w:eastAsia="宋体" w:hint="default"/>
                <w:sz w:val="18"/>
                <w:szCs w:val="18"/>
              </w:rPr>
              <w:t>别</w:t>
            </w:r>
          </w:p>
        </w:tc>
        <w:tc>
          <w:tcPr>
            <w:tcW w:w="3086" w:type="dxa"/>
            <w:tcBorders>
              <w:top w:val="single" w:sz="12" w:space="0" w:color="000000"/>
              <w:left w:val="nil" w:sz="6" w:space="0" w:color="auto"/>
              <w:bottom w:val="nil" w:sz="6" w:space="0" w:color="auto"/>
              <w:right w:val="nil" w:sz="6" w:space="0" w:color="auto"/>
            </w:tcBorders>
          </w:tcPr>
          <w:p>
            <w:pPr>
              <w:pStyle w:val="TableParagraph"/>
              <w:spacing w:line="240" w:lineRule="auto" w:before="127"/>
              <w:ind w:right="119"/>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1987" w:type="dxa"/>
            <w:tcBorders>
              <w:top w:val="single" w:sz="12" w:space="0" w:color="000000"/>
              <w:left w:val="nil" w:sz="6" w:space="0" w:color="auto"/>
              <w:bottom w:val="nil" w:sz="6" w:space="0" w:color="auto"/>
              <w:right w:val="nil" w:sz="6" w:space="0" w:color="auto"/>
            </w:tcBorders>
          </w:tcPr>
          <w:p>
            <w:pPr>
              <w:pStyle w:val="TableParagraph"/>
              <w:spacing w:line="240" w:lineRule="auto" w:before="127"/>
              <w:ind w:left="410"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9"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766"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1725" w:right="0"/>
              <w:jc w:val="left"/>
              <w:rPr>
                <w:rFonts w:ascii="Times New Roman" w:hAnsi="Times New Roman" w:cs="Times New Roman" w:eastAsia="Times New Roman" w:hint="default"/>
                <w:sz w:val="18"/>
                <w:szCs w:val="18"/>
              </w:rPr>
            </w:pPr>
            <w:r>
              <w:rPr>
                <w:rFonts w:ascii="Times New Roman"/>
                <w:sz w:val="18"/>
              </w:rPr>
              <w:t>34,540,370</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6"/>
              <w:jc w:val="right"/>
              <w:rPr>
                <w:rFonts w:ascii="Times New Roman" w:hAnsi="Times New Roman" w:cs="Times New Roman" w:eastAsia="Times New Roman" w:hint="default"/>
                <w:sz w:val="18"/>
                <w:szCs w:val="18"/>
              </w:rPr>
            </w:pPr>
            <w:r>
              <w:rPr>
                <w:rFonts w:ascii="Times New Roman"/>
                <w:sz w:val="18"/>
              </w:rPr>
              <w:t>16,279,491</w:t>
            </w:r>
          </w:p>
        </w:tc>
      </w:tr>
      <w:tr>
        <w:trPr>
          <w:trHeight w:val="40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46"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725" w:right="0"/>
              <w:jc w:val="left"/>
              <w:rPr>
                <w:rFonts w:ascii="Times New Roman" w:hAnsi="Times New Roman" w:cs="Times New Roman" w:eastAsia="Times New Roman" w:hint="default"/>
                <w:sz w:val="18"/>
                <w:szCs w:val="18"/>
              </w:rPr>
            </w:pPr>
            <w:r>
              <w:rPr>
                <w:rFonts w:ascii="Times New Roman"/>
                <w:sz w:val="18"/>
              </w:rPr>
              <w:t>20,429,876</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19,302,754</w:t>
            </w:r>
          </w:p>
        </w:tc>
      </w:tr>
      <w:tr>
        <w:trPr>
          <w:trHeight w:val="40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5"/>
              <w:ind w:left="766"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815" w:right="0"/>
              <w:jc w:val="left"/>
              <w:rPr>
                <w:rFonts w:ascii="Times New Roman" w:hAnsi="Times New Roman" w:cs="Times New Roman" w:eastAsia="Times New Roman" w:hint="default"/>
                <w:sz w:val="18"/>
                <w:szCs w:val="18"/>
              </w:rPr>
            </w:pPr>
            <w:r>
              <w:rPr>
                <w:rFonts w:ascii="Times New Roman"/>
                <w:sz w:val="18"/>
              </w:rPr>
              <w:t>6,278,727</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z w:val="18"/>
              </w:rPr>
              <w:t>1,219,820</w:t>
            </w:r>
          </w:p>
        </w:tc>
      </w:tr>
      <w:tr>
        <w:trPr>
          <w:trHeight w:val="400" w:hRule="exact"/>
        </w:trPr>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6" w:right="0"/>
              <w:jc w:val="left"/>
              <w:rPr>
                <w:rFonts w:ascii="宋体" w:hAnsi="宋体" w:cs="宋体" w:eastAsia="宋体" w:hint="default"/>
                <w:sz w:val="18"/>
                <w:szCs w:val="18"/>
              </w:rPr>
            </w:pPr>
            <w:r>
              <w:rPr>
                <w:rFonts w:ascii="宋体" w:hAnsi="宋体" w:cs="宋体" w:eastAsia="宋体" w:hint="default"/>
                <w:sz w:val="18"/>
                <w:szCs w:val="18"/>
              </w:rPr>
              <w:t>手续费及其他</w:t>
            </w:r>
          </w:p>
        </w:tc>
        <w:tc>
          <w:tcPr>
            <w:tcW w:w="410" w:type="dxa"/>
            <w:tcBorders>
              <w:top w:val="nil" w:sz="6" w:space="0" w:color="auto"/>
              <w:left w:val="nil" w:sz="6" w:space="0" w:color="auto"/>
              <w:bottom w:val="nil" w:sz="6" w:space="0" w:color="auto"/>
              <w:right w:val="nil" w:sz="6" w:space="0" w:color="auto"/>
            </w:tcBorders>
          </w:tcPr>
          <w:p>
            <w:pPr/>
          </w:p>
        </w:tc>
        <w:tc>
          <w:tcPr>
            <w:tcW w:w="1488" w:type="dxa"/>
            <w:tcBorders>
              <w:top w:val="nil" w:sz="6" w:space="0" w:color="auto"/>
              <w:left w:val="nil" w:sz="6" w:space="0" w:color="auto"/>
              <w:bottom w:val="nil" w:sz="6" w:space="0" w:color="auto"/>
              <w:right w:val="nil" w:sz="6" w:space="0" w:color="auto"/>
            </w:tcBorders>
          </w:tcPr>
          <w:p>
            <w:pPr/>
          </w:p>
        </w:tc>
        <w:tc>
          <w:tcPr>
            <w:tcW w:w="3086"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815" w:right="0"/>
              <w:jc w:val="left"/>
              <w:rPr>
                <w:rFonts w:ascii="Times New Roman" w:hAnsi="Times New Roman" w:cs="Times New Roman" w:eastAsia="Times New Roman" w:hint="default"/>
                <w:sz w:val="18"/>
                <w:szCs w:val="18"/>
              </w:rPr>
            </w:pPr>
            <w:r>
              <w:rPr>
                <w:rFonts w:ascii="Times New Roman"/>
                <w:sz w:val="18"/>
              </w:rPr>
              <w:t>3,259,975</w:t>
            </w:r>
          </w:p>
        </w:tc>
        <w:tc>
          <w:tcPr>
            <w:tcW w:w="198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z w:val="18"/>
              </w:rPr>
              <w:t>1,446,694</w:t>
            </w:r>
          </w:p>
        </w:tc>
      </w:tr>
      <w:tr>
        <w:trPr>
          <w:trHeight w:val="323" w:hRule="exact"/>
        </w:trPr>
        <w:tc>
          <w:tcPr>
            <w:tcW w:w="2071" w:type="dxa"/>
            <w:tcBorders>
              <w:top w:val="nil" w:sz="6" w:space="0" w:color="auto"/>
              <w:left w:val="nil" w:sz="6" w:space="0" w:color="auto"/>
              <w:bottom w:val="single" w:sz="12" w:space="0" w:color="000000"/>
              <w:right w:val="nil" w:sz="6" w:space="0" w:color="auto"/>
            </w:tcBorders>
          </w:tcPr>
          <w:p>
            <w:pPr/>
          </w:p>
        </w:tc>
        <w:tc>
          <w:tcPr>
            <w:tcW w:w="410"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44" w:right="0"/>
              <w:jc w:val="left"/>
              <w:rPr>
                <w:rFonts w:ascii="宋体" w:hAnsi="宋体" w:cs="宋体" w:eastAsia="宋体" w:hint="default"/>
                <w:sz w:val="18"/>
                <w:szCs w:val="18"/>
              </w:rPr>
            </w:pPr>
            <w:r>
              <w:rPr>
                <w:rFonts w:ascii="宋体" w:hAnsi="宋体" w:cs="宋体" w:eastAsia="宋体" w:hint="default"/>
                <w:sz w:val="18"/>
                <w:szCs w:val="18"/>
              </w:rPr>
              <w:t>合</w:t>
            </w:r>
          </w:p>
        </w:tc>
        <w:tc>
          <w:tcPr>
            <w:tcW w:w="1488" w:type="dxa"/>
            <w:tcBorders>
              <w:top w:val="nil" w:sz="6" w:space="0" w:color="auto"/>
              <w:left w:val="nil" w:sz="6" w:space="0" w:color="auto"/>
              <w:bottom w:val="single" w:sz="12" w:space="0" w:color="000000"/>
              <w:right w:val="nil" w:sz="6" w:space="0" w:color="auto"/>
            </w:tcBorders>
          </w:tcPr>
          <w:p>
            <w:pPr>
              <w:pStyle w:val="TableParagraph"/>
              <w:spacing w:line="240" w:lineRule="auto" w:before="44"/>
              <w:ind w:left="174"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086"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left="1725" w:right="0"/>
              <w:jc w:val="left"/>
              <w:rPr>
                <w:rFonts w:ascii="Times New Roman" w:hAnsi="Times New Roman" w:cs="Times New Roman" w:eastAsia="Times New Roman" w:hint="default"/>
                <w:sz w:val="18"/>
                <w:szCs w:val="18"/>
              </w:rPr>
            </w:pPr>
            <w:r>
              <w:rPr>
                <w:rFonts w:ascii="Times New Roman"/>
                <w:sz w:val="18"/>
              </w:rPr>
              <w:t>23,649,196</w:t>
            </w:r>
          </w:p>
        </w:tc>
        <w:tc>
          <w:tcPr>
            <w:tcW w:w="1987"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07"/>
              <w:jc w:val="right"/>
              <w:rPr>
                <w:rFonts w:ascii="Times New Roman" w:hAnsi="Times New Roman" w:cs="Times New Roman" w:eastAsia="Times New Roman" w:hint="default"/>
                <w:sz w:val="18"/>
                <w:szCs w:val="18"/>
              </w:rPr>
            </w:pPr>
            <w:r>
              <w:rPr>
                <w:rFonts w:ascii="Times New Roman"/>
                <w:w w:val="95"/>
                <w:sz w:val="18"/>
              </w:rPr>
              <w:t>-356,749</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03" w:top="1540" w:bottom="1200" w:left="1640" w:right="9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3"/>
          <w:szCs w:val="23"/>
        </w:rPr>
      </w:pPr>
    </w:p>
    <w:p>
      <w:pPr>
        <w:spacing w:before="35"/>
        <w:ind w:left="123" w:right="2718" w:firstLine="0"/>
        <w:jc w:val="left"/>
        <w:rPr>
          <w:rFonts w:ascii="宋体" w:hAnsi="宋体" w:cs="宋体" w:eastAsia="宋体" w:hint="default"/>
          <w:sz w:val="21"/>
          <w:szCs w:val="21"/>
        </w:rPr>
      </w:pPr>
      <w:r>
        <w:rPr/>
        <w:pict>
          <v:group style="position:absolute;margin-left:118.919998pt;margin-top:17.074425pt;width:421.35pt;height:121.05pt;mso-position-horizontal-relative:page;mso-position-vertical-relative:paragraph;z-index:-1112920" coordorigin="2378,341" coordsize="8427,2421">
            <v:group style="position:absolute;left:2407;top:356;width:8369;height:2" coordorigin="2407,356" coordsize="8369,2">
              <v:shape style="position:absolute;left:2407;top:356;width:8369;height:2" coordorigin="2407,356" coordsize="8369,0" path="m2407,356l10776,356e" filled="false" stroked="true" strokeweight="1.5pt" strokecolor="#000000">
                <v:path arrowok="t"/>
              </v:shape>
              <v:shape style="position:absolute;left:6223;top:343;width:2201;height:448" type="#_x0000_t75" stroked="false">
                <v:imagedata r:id="rId288" o:title=""/>
              </v:shape>
              <v:shape style="position:absolute;left:2378;top:733;width:8426;height:2029" type="#_x0000_t75" stroked="false">
                <v:imagedata r:id="rId289" o:title=""/>
              </v:shape>
            </v:group>
            <w10:wrap type="none"/>
          </v:group>
        </w:pict>
      </w:r>
      <w:r>
        <w:rPr>
          <w:rFonts w:ascii="宋体" w:hAnsi="宋体" w:cs="宋体" w:eastAsia="宋体" w:hint="default"/>
          <w:b/>
          <w:bCs/>
          <w:sz w:val="21"/>
          <w:szCs w:val="21"/>
        </w:rPr>
        <w:t>(四十四)公允价值变动收益</w:t>
      </w:r>
      <w:r>
        <w:rPr>
          <w:rFonts w:ascii="宋体" w:hAnsi="宋体" w:cs="宋体" w:eastAsia="宋体" w:hint="default"/>
          <w:sz w:val="21"/>
          <w:szCs w:val="21"/>
        </w:rPr>
      </w:r>
    </w:p>
    <w:p>
      <w:pPr>
        <w:spacing w:line="240" w:lineRule="auto" w:before="0"/>
        <w:rPr>
          <w:rFonts w:ascii="宋体" w:hAnsi="宋体" w:cs="宋体" w:eastAsia="宋体" w:hint="default"/>
          <w:b/>
          <w:bCs/>
          <w:sz w:val="11"/>
          <w:szCs w:val="11"/>
        </w:rPr>
      </w:pPr>
    </w:p>
    <w:tbl>
      <w:tblPr>
        <w:tblW w:w="0" w:type="auto"/>
        <w:jc w:val="left"/>
        <w:tblInd w:w="732" w:type="dxa"/>
        <w:tblLayout w:type="fixed"/>
        <w:tblCellMar>
          <w:top w:w="0" w:type="dxa"/>
          <w:left w:w="0" w:type="dxa"/>
          <w:bottom w:w="0" w:type="dxa"/>
          <w:right w:w="0" w:type="dxa"/>
        </w:tblCellMar>
        <w:tblLook w:val="01E0"/>
      </w:tblPr>
      <w:tblGrid>
        <w:gridCol w:w="4146"/>
        <w:gridCol w:w="2213"/>
        <w:gridCol w:w="2024"/>
      </w:tblGrid>
      <w:tr>
        <w:trPr>
          <w:trHeight w:val="800" w:hRule="exact"/>
        </w:trPr>
        <w:tc>
          <w:tcPr>
            <w:tcW w:w="4146" w:type="dxa"/>
            <w:tcBorders>
              <w:top w:val="nil" w:sz="6" w:space="0" w:color="auto"/>
              <w:left w:val="nil" w:sz="6" w:space="0" w:color="auto"/>
              <w:bottom w:val="nil" w:sz="6" w:space="0" w:color="auto"/>
              <w:right w:val="nil" w:sz="6" w:space="0" w:color="auto"/>
            </w:tcBorders>
          </w:tcPr>
          <w:p>
            <w:pPr>
              <w:pStyle w:val="TableParagraph"/>
              <w:spacing w:line="408" w:lineRule="auto" w:before="44"/>
              <w:ind w:left="122" w:right="1037" w:firstLine="645"/>
              <w:jc w:val="left"/>
              <w:rPr>
                <w:rFonts w:ascii="宋体" w:hAnsi="宋体" w:cs="宋体" w:eastAsia="宋体" w:hint="default"/>
                <w:sz w:val="18"/>
                <w:szCs w:val="18"/>
              </w:rPr>
            </w:pPr>
            <w:r>
              <w:rPr>
                <w:rFonts w:ascii="宋体" w:hAnsi="宋体" w:cs="宋体" w:eastAsia="宋体" w:hint="default"/>
                <w:sz w:val="18"/>
                <w:szCs w:val="18"/>
              </w:rPr>
              <w:t>产生公允价值变动收益的来源 交易性金融资产</w:t>
            </w:r>
            <w:r>
              <w:rPr>
                <w:rFonts w:ascii="Times New Roman" w:hAnsi="Times New Roman" w:cs="Times New Roman" w:eastAsia="Times New Roman" w:hint="default"/>
                <w:sz w:val="18"/>
                <w:szCs w:val="18"/>
              </w:rPr>
              <w:t>-</w:t>
            </w:r>
            <w:r>
              <w:rPr>
                <w:rFonts w:ascii="宋体" w:hAnsi="宋体" w:cs="宋体" w:eastAsia="宋体" w:hint="default"/>
                <w:sz w:val="18"/>
                <w:szCs w:val="18"/>
              </w:rPr>
              <w:t>外币远期结汇合同</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23"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1096" w:right="0"/>
              <w:jc w:val="left"/>
              <w:rPr>
                <w:rFonts w:ascii="Times New Roman" w:hAnsi="Times New Roman" w:cs="Times New Roman" w:eastAsia="Times New Roman" w:hint="default"/>
                <w:sz w:val="18"/>
                <w:szCs w:val="18"/>
              </w:rPr>
            </w:pPr>
            <w:r>
              <w:rPr>
                <w:rFonts w:ascii="Times New Roman"/>
                <w:sz w:val="18"/>
              </w:rPr>
              <w:t>-106,180</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69"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1330" w:right="0"/>
              <w:jc w:val="left"/>
              <w:rPr>
                <w:rFonts w:ascii="Times New Roman" w:hAnsi="Times New Roman" w:cs="Times New Roman" w:eastAsia="Times New Roman" w:hint="default"/>
                <w:sz w:val="18"/>
                <w:szCs w:val="18"/>
              </w:rPr>
            </w:pPr>
            <w:r>
              <w:rPr>
                <w:rFonts w:ascii="Times New Roman"/>
                <w:sz w:val="18"/>
              </w:rPr>
              <w:t>532,990</w:t>
            </w:r>
          </w:p>
        </w:tc>
      </w:tr>
      <w:tr>
        <w:trPr>
          <w:trHeight w:val="390" w:hRule="exact"/>
        </w:trPr>
        <w:tc>
          <w:tcPr>
            <w:tcW w:w="414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99"/>
              <w:jc w:val="center"/>
              <w:rPr>
                <w:rFonts w:ascii="宋体" w:hAnsi="宋体" w:cs="宋体" w:eastAsia="宋体" w:hint="default"/>
                <w:sz w:val="18"/>
                <w:szCs w:val="18"/>
              </w:rPr>
            </w:pPr>
            <w:r>
              <w:rPr>
                <w:rFonts w:ascii="宋体" w:hAnsi="宋体" w:cs="宋体" w:eastAsia="宋体" w:hint="default"/>
                <w:sz w:val="18"/>
                <w:szCs w:val="18"/>
              </w:rPr>
              <w:t>其中：衍生金融工具产生的公允价值变动收益</w:t>
            </w:r>
          </w:p>
        </w:tc>
        <w:tc>
          <w:tcPr>
            <w:tcW w:w="2213" w:type="dxa"/>
            <w:tcBorders>
              <w:top w:val="nil" w:sz="6" w:space="0" w:color="auto"/>
              <w:left w:val="nil" w:sz="6" w:space="0" w:color="auto"/>
              <w:bottom w:val="nil" w:sz="6" w:space="0" w:color="auto"/>
              <w:right w:val="nil" w:sz="6" w:space="0" w:color="auto"/>
            </w:tcBorders>
          </w:tcPr>
          <w:p>
            <w:pPr/>
          </w:p>
        </w:tc>
        <w:tc>
          <w:tcPr>
            <w:tcW w:w="2024" w:type="dxa"/>
            <w:tcBorders>
              <w:top w:val="nil" w:sz="6" w:space="0" w:color="auto"/>
              <w:left w:val="nil" w:sz="6" w:space="0" w:color="auto"/>
              <w:bottom w:val="nil" w:sz="6" w:space="0" w:color="auto"/>
              <w:right w:val="nil" w:sz="6" w:space="0" w:color="auto"/>
            </w:tcBorders>
          </w:tcPr>
          <w:p>
            <w:pPr/>
          </w:p>
        </w:tc>
      </w:tr>
      <w:tr>
        <w:trPr>
          <w:trHeight w:val="800" w:hRule="exact"/>
        </w:trPr>
        <w:tc>
          <w:tcPr>
            <w:tcW w:w="4146" w:type="dxa"/>
            <w:tcBorders>
              <w:top w:val="nil" w:sz="6" w:space="0" w:color="auto"/>
              <w:left w:val="nil" w:sz="6" w:space="0" w:color="auto"/>
              <w:bottom w:val="nil" w:sz="6" w:space="0" w:color="auto"/>
              <w:right w:val="nil" w:sz="6" w:space="0" w:color="auto"/>
            </w:tcBorders>
          </w:tcPr>
          <w:p>
            <w:pPr>
              <w:pStyle w:val="TableParagraph"/>
              <w:spacing w:line="386" w:lineRule="auto" w:before="54"/>
              <w:ind w:left="122" w:right="1261"/>
              <w:jc w:val="left"/>
              <w:rPr>
                <w:rFonts w:ascii="宋体" w:hAnsi="宋体" w:cs="宋体" w:eastAsia="宋体" w:hint="default"/>
                <w:sz w:val="18"/>
                <w:szCs w:val="18"/>
              </w:rPr>
            </w:pPr>
            <w:r>
              <w:rPr>
                <w:rFonts w:ascii="宋体" w:hAnsi="宋体" w:cs="宋体" w:eastAsia="宋体" w:hint="default"/>
                <w:sz w:val="18"/>
                <w:szCs w:val="18"/>
              </w:rPr>
              <w:t>交易性金融负债</w:t>
            </w:r>
            <w:r>
              <w:rPr>
                <w:rFonts w:ascii="Times New Roman" w:hAnsi="Times New Roman" w:cs="Times New Roman" w:eastAsia="Times New Roman" w:hint="default"/>
                <w:sz w:val="18"/>
                <w:szCs w:val="18"/>
              </w:rPr>
              <w:t>-</w:t>
            </w:r>
            <w:r>
              <w:rPr>
                <w:rFonts w:ascii="宋体" w:hAnsi="宋体" w:cs="宋体" w:eastAsia="宋体" w:hint="default"/>
                <w:sz w:val="18"/>
                <w:szCs w:val="18"/>
              </w:rPr>
              <w:t>外币远期结汇合同 按公允价值计量的投资性房地产</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67"/>
              <w:jc w:val="right"/>
              <w:rPr>
                <w:rFonts w:ascii="Times New Roman" w:hAnsi="Times New Roman" w:cs="Times New Roman" w:eastAsia="Times New Roman" w:hint="default"/>
                <w:sz w:val="18"/>
                <w:szCs w:val="18"/>
              </w:rPr>
            </w:pPr>
            <w:r>
              <w:rPr>
                <w:rFonts w:ascii="Times New Roman"/>
                <w:sz w:val="18"/>
              </w:rPr>
              <w:t>1,056,737</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6"/>
              <w:jc w:val="right"/>
              <w:rPr>
                <w:rFonts w:ascii="Times New Roman" w:hAnsi="Times New Roman" w:cs="Times New Roman" w:eastAsia="Times New Roman" w:hint="default"/>
                <w:sz w:val="18"/>
                <w:szCs w:val="18"/>
              </w:rPr>
            </w:pPr>
            <w:r>
              <w:rPr>
                <w:rFonts w:ascii="Times New Roman"/>
                <w:w w:val="95"/>
                <w:sz w:val="18"/>
              </w:rPr>
              <w:t>-1,227,304</w:t>
            </w:r>
            <w:r>
              <w:rPr>
                <w:rFonts w:ascii="Times New Roman"/>
                <w:sz w:val="18"/>
              </w:rPr>
            </w:r>
          </w:p>
        </w:tc>
      </w:tr>
      <w:tr>
        <w:trPr>
          <w:trHeight w:val="332" w:hRule="exact"/>
        </w:trPr>
        <w:tc>
          <w:tcPr>
            <w:tcW w:w="4146" w:type="dxa"/>
            <w:tcBorders>
              <w:top w:val="nil" w:sz="6" w:space="0" w:color="auto"/>
              <w:left w:val="nil" w:sz="6" w:space="0" w:color="auto"/>
              <w:bottom w:val="single" w:sz="12" w:space="0" w:color="000000"/>
              <w:right w:val="nil" w:sz="6" w:space="0" w:color="auto"/>
            </w:tcBorders>
          </w:tcPr>
          <w:p>
            <w:pPr>
              <w:pStyle w:val="TableParagraph"/>
              <w:tabs>
                <w:tab w:pos="539" w:val="left" w:leader="none"/>
              </w:tabs>
              <w:spacing w:line="240" w:lineRule="auto" w:before="54"/>
              <w:ind w:right="268"/>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213" w:type="dxa"/>
            <w:tcBorders>
              <w:top w:val="nil" w:sz="6" w:space="0" w:color="auto"/>
              <w:left w:val="nil" w:sz="6" w:space="0" w:color="auto"/>
              <w:bottom w:val="single" w:sz="12" w:space="0" w:color="000000"/>
              <w:right w:val="nil" w:sz="6" w:space="0" w:color="auto"/>
            </w:tcBorders>
          </w:tcPr>
          <w:p>
            <w:pPr>
              <w:pStyle w:val="TableParagraph"/>
              <w:spacing w:line="240" w:lineRule="auto" w:before="106"/>
              <w:ind w:right="467"/>
              <w:jc w:val="right"/>
              <w:rPr>
                <w:rFonts w:ascii="Times New Roman" w:hAnsi="Times New Roman" w:cs="Times New Roman" w:eastAsia="Times New Roman" w:hint="default"/>
                <w:sz w:val="18"/>
                <w:szCs w:val="18"/>
              </w:rPr>
            </w:pPr>
            <w:r>
              <w:rPr>
                <w:rFonts w:ascii="Times New Roman"/>
                <w:sz w:val="18"/>
              </w:rPr>
              <w:t>950,557</w:t>
            </w:r>
          </w:p>
        </w:tc>
        <w:tc>
          <w:tcPr>
            <w:tcW w:w="2024" w:type="dxa"/>
            <w:tcBorders>
              <w:top w:val="nil" w:sz="6" w:space="0" w:color="auto"/>
              <w:left w:val="nil" w:sz="6" w:space="0" w:color="auto"/>
              <w:bottom w:val="single" w:sz="12" w:space="0" w:color="000000"/>
              <w:right w:val="nil" w:sz="6" w:space="0" w:color="auto"/>
            </w:tcBorders>
          </w:tcPr>
          <w:p>
            <w:pPr>
              <w:pStyle w:val="TableParagraph"/>
              <w:spacing w:line="240" w:lineRule="auto" w:before="106"/>
              <w:ind w:right="107"/>
              <w:jc w:val="right"/>
              <w:rPr>
                <w:rFonts w:ascii="Times New Roman" w:hAnsi="Times New Roman" w:cs="Times New Roman" w:eastAsia="Times New Roman" w:hint="default"/>
                <w:sz w:val="18"/>
                <w:szCs w:val="18"/>
              </w:rPr>
            </w:pPr>
            <w:r>
              <w:rPr>
                <w:rFonts w:ascii="Times New Roman"/>
                <w:w w:val="95"/>
                <w:sz w:val="18"/>
              </w:rPr>
              <w:t>-694,314</w:t>
            </w:r>
            <w:r>
              <w:rPr>
                <w:rFonts w:ascii="Times New Roman"/>
                <w:sz w:val="18"/>
              </w:rPr>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spacing w:before="35"/>
        <w:ind w:left="123" w:right="2718" w:firstLine="0"/>
        <w:jc w:val="left"/>
        <w:rPr>
          <w:rFonts w:ascii="宋体" w:hAnsi="宋体" w:cs="宋体" w:eastAsia="宋体" w:hint="default"/>
          <w:sz w:val="21"/>
          <w:szCs w:val="21"/>
        </w:rPr>
      </w:pPr>
      <w:r>
        <w:rPr>
          <w:rFonts w:ascii="宋体" w:hAnsi="宋体" w:cs="宋体" w:eastAsia="宋体" w:hint="default"/>
          <w:b/>
          <w:bCs/>
          <w:sz w:val="21"/>
          <w:szCs w:val="21"/>
        </w:rPr>
        <w:t>(四十五)投资收益</w:t>
      </w:r>
      <w:r>
        <w:rPr>
          <w:rFonts w:ascii="宋体" w:hAnsi="宋体" w:cs="宋体" w:eastAsia="宋体" w:hint="default"/>
          <w:sz w:val="21"/>
          <w:szCs w:val="21"/>
        </w:rPr>
      </w:r>
    </w:p>
    <w:p>
      <w:pPr>
        <w:tabs>
          <w:tab w:pos="1393" w:val="left" w:leader="none"/>
        </w:tabs>
        <w:spacing w:before="126"/>
        <w:ind w:left="855" w:right="2718" w:firstLine="0"/>
        <w:jc w:val="left"/>
        <w:rPr>
          <w:rFonts w:ascii="宋体" w:hAnsi="宋体" w:cs="宋体" w:eastAsia="宋体" w:hint="default"/>
          <w:sz w:val="21"/>
          <w:szCs w:val="21"/>
        </w:rPr>
      </w:pPr>
      <w:r>
        <w:rPr/>
        <w:pict>
          <v:group style="position:absolute;margin-left:118.919998pt;margin-top:21.623245pt;width:421.45pt;height:206pt;mso-position-horizontal-relative:page;mso-position-vertical-relative:paragraph;z-index:-1112896" coordorigin="2378,432" coordsize="8429,4120">
            <v:group style="position:absolute;left:2407;top:447;width:8369;height:2" coordorigin="2407,447" coordsize="8369,2">
              <v:shape style="position:absolute;left:2407;top:447;width:8369;height:2" coordorigin="2407,447" coordsize="8369,0" path="m2407,447l10776,447e" filled="false" stroked="true" strokeweight="1.5pt" strokecolor="#000000">
                <v:path arrowok="t"/>
              </v:shape>
              <v:shape style="position:absolute;left:6466;top:439;width:2342;height:446" type="#_x0000_t75" stroked="false">
                <v:imagedata r:id="rId290" o:title=""/>
              </v:shape>
              <v:shape style="position:absolute;left:2378;top:837;width:8429;height:3715" type="#_x0000_t75" stroked="false">
                <v:imagedata r:id="rId291" o:title=""/>
              </v:shape>
            </v:group>
            <w10:wrap type="none"/>
          </v:group>
        </w:pict>
      </w:r>
      <w:r>
        <w:rPr>
          <w:rFonts w:ascii="宋体" w:hAnsi="宋体" w:cs="宋体" w:eastAsia="宋体" w:hint="default"/>
          <w:b/>
          <w:bCs/>
          <w:w w:val="95"/>
          <w:sz w:val="21"/>
          <w:szCs w:val="21"/>
        </w:rPr>
        <w:t>1、</w:t>
        <w:tab/>
      </w:r>
      <w:r>
        <w:rPr>
          <w:rFonts w:ascii="宋体" w:hAnsi="宋体" w:cs="宋体" w:eastAsia="宋体" w:hint="default"/>
          <w:b/>
          <w:bCs/>
          <w:sz w:val="21"/>
          <w:szCs w:val="21"/>
        </w:rPr>
        <w:t>投资收益明细情况</w:t>
      </w:r>
      <w:r>
        <w:rPr>
          <w:rFonts w:ascii="宋体" w:hAnsi="宋体" w:cs="宋体" w:eastAsia="宋体" w:hint="default"/>
          <w:sz w:val="21"/>
          <w:szCs w:val="21"/>
        </w:rPr>
      </w:r>
    </w:p>
    <w:p>
      <w:pPr>
        <w:spacing w:line="240" w:lineRule="auto" w:before="10"/>
        <w:rPr>
          <w:rFonts w:ascii="宋体" w:hAnsi="宋体" w:cs="宋体" w:eastAsia="宋体" w:hint="default"/>
          <w:b/>
          <w:bCs/>
          <w:sz w:val="11"/>
          <w:szCs w:val="11"/>
        </w:rPr>
      </w:pPr>
    </w:p>
    <w:tbl>
      <w:tblPr>
        <w:tblW w:w="0" w:type="auto"/>
        <w:jc w:val="left"/>
        <w:tblInd w:w="732" w:type="dxa"/>
        <w:tblLayout w:type="fixed"/>
        <w:tblCellMar>
          <w:top w:w="0" w:type="dxa"/>
          <w:left w:w="0" w:type="dxa"/>
          <w:bottom w:w="0" w:type="dxa"/>
          <w:right w:w="0" w:type="dxa"/>
        </w:tblCellMar>
        <w:tblLook w:val="01E0"/>
      </w:tblPr>
      <w:tblGrid>
        <w:gridCol w:w="4303"/>
        <w:gridCol w:w="2350"/>
        <w:gridCol w:w="1730"/>
      </w:tblGrid>
      <w:tr>
        <w:trPr>
          <w:trHeight w:val="1225" w:hRule="exact"/>
        </w:trPr>
        <w:tc>
          <w:tcPr>
            <w:tcW w:w="4303" w:type="dxa"/>
            <w:tcBorders>
              <w:top w:val="nil" w:sz="6" w:space="0" w:color="auto"/>
              <w:left w:val="nil" w:sz="6" w:space="0" w:color="auto"/>
              <w:bottom w:val="nil" w:sz="6" w:space="0" w:color="auto"/>
              <w:right w:val="nil" w:sz="6" w:space="0" w:color="auto"/>
            </w:tcBorders>
          </w:tcPr>
          <w:p>
            <w:pPr>
              <w:pStyle w:val="TableParagraph"/>
              <w:tabs>
                <w:tab w:pos="2237" w:val="left" w:leader="none"/>
              </w:tabs>
              <w:spacing w:line="417" w:lineRule="auto" w:before="44"/>
              <w:ind w:left="122" w:right="1658" w:firstLine="1575"/>
              <w:jc w:val="left"/>
              <w:rPr>
                <w:rFonts w:ascii="宋体" w:hAnsi="宋体" w:cs="宋体" w:eastAsia="宋体" w:hint="default"/>
                <w:sz w:val="18"/>
                <w:szCs w:val="18"/>
              </w:rPr>
            </w:pPr>
            <w:r>
              <w:rPr>
                <w:rFonts w:ascii="宋体" w:hAnsi="宋体" w:cs="宋体" w:eastAsia="宋体" w:hint="default"/>
                <w:sz w:val="18"/>
                <w:szCs w:val="18"/>
              </w:rPr>
              <w:t>项</w:t>
              <w:tab/>
              <w:t>目 成本法核算的长期股权投资收益 权益法核算的长期股权投资收益</w:t>
            </w: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80"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166" w:right="0"/>
              <w:jc w:val="left"/>
              <w:rPr>
                <w:rFonts w:ascii="Times New Roman" w:hAnsi="Times New Roman" w:cs="Times New Roman" w:eastAsia="Times New Roman" w:hint="default"/>
                <w:sz w:val="18"/>
                <w:szCs w:val="18"/>
              </w:rPr>
            </w:pPr>
            <w:r>
              <w:rPr>
                <w:rFonts w:ascii="Times New Roman"/>
                <w:sz w:val="18"/>
              </w:rPr>
              <w:t>39,714,198</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71"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811" w:right="0"/>
              <w:jc w:val="left"/>
              <w:rPr>
                <w:rFonts w:ascii="Times New Roman" w:hAnsi="Times New Roman" w:cs="Times New Roman" w:eastAsia="Times New Roman" w:hint="default"/>
                <w:sz w:val="18"/>
                <w:szCs w:val="18"/>
              </w:rPr>
            </w:pPr>
            <w:r>
              <w:rPr>
                <w:rFonts w:ascii="Times New Roman"/>
                <w:sz w:val="18"/>
              </w:rPr>
              <w:t>46,038,503</w:t>
            </w:r>
          </w:p>
        </w:tc>
      </w:tr>
      <w:tr>
        <w:trPr>
          <w:trHeight w:val="410" w:hRule="exact"/>
        </w:trPr>
        <w:tc>
          <w:tcPr>
            <w:tcW w:w="430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9"/>
              <w:jc w:val="right"/>
              <w:rPr>
                <w:rFonts w:ascii="Times New Roman" w:hAnsi="Times New Roman" w:cs="Times New Roman" w:eastAsia="Times New Roman" w:hint="default"/>
                <w:sz w:val="18"/>
                <w:szCs w:val="18"/>
              </w:rPr>
            </w:pPr>
            <w:r>
              <w:rPr>
                <w:rFonts w:ascii="Times New Roman"/>
                <w:w w:val="95"/>
                <w:sz w:val="18"/>
              </w:rPr>
              <w:t>-731,026</w:t>
            </w:r>
            <w:r>
              <w:rPr>
                <w:rFonts w:ascii="Times New Roman"/>
                <w:sz w:val="18"/>
              </w:rPr>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83,437</w:t>
            </w:r>
          </w:p>
        </w:tc>
      </w:tr>
      <w:tr>
        <w:trPr>
          <w:trHeight w:val="810" w:hRule="exact"/>
        </w:trPr>
        <w:tc>
          <w:tcPr>
            <w:tcW w:w="4303" w:type="dxa"/>
            <w:tcBorders>
              <w:top w:val="nil" w:sz="6" w:space="0" w:color="auto"/>
              <w:left w:val="nil" w:sz="6" w:space="0" w:color="auto"/>
              <w:bottom w:val="nil" w:sz="6" w:space="0" w:color="auto"/>
              <w:right w:val="nil" w:sz="6" w:space="0" w:color="auto"/>
            </w:tcBorders>
          </w:tcPr>
          <w:p>
            <w:pPr>
              <w:pStyle w:val="TableParagraph"/>
              <w:spacing w:line="417" w:lineRule="auto" w:before="50"/>
              <w:ind w:left="122" w:right="578"/>
              <w:jc w:val="left"/>
              <w:rPr>
                <w:rFonts w:ascii="宋体" w:hAnsi="宋体" w:cs="宋体" w:eastAsia="宋体" w:hint="default"/>
                <w:sz w:val="18"/>
                <w:szCs w:val="18"/>
              </w:rPr>
            </w:pPr>
            <w:r>
              <w:rPr>
                <w:rFonts w:ascii="宋体" w:hAnsi="宋体" w:cs="宋体" w:eastAsia="宋体" w:hint="default"/>
                <w:sz w:val="18"/>
                <w:szCs w:val="18"/>
              </w:rPr>
              <w:t>持有至到期投资期间取得的投资收益 持有可供出售金融资产等期间取得的投资收益</w:t>
            </w: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70"/>
              <w:jc w:val="right"/>
              <w:rPr>
                <w:rFonts w:ascii="Times New Roman" w:hAnsi="Times New Roman" w:cs="Times New Roman" w:eastAsia="Times New Roman" w:hint="default"/>
                <w:sz w:val="18"/>
                <w:szCs w:val="18"/>
              </w:rPr>
            </w:pPr>
            <w:r>
              <w:rPr>
                <w:rFonts w:ascii="Times New Roman"/>
                <w:sz w:val="18"/>
              </w:rPr>
              <w:t>1,931,507</w:t>
            </w:r>
          </w:p>
        </w:tc>
        <w:tc>
          <w:tcPr>
            <w:tcW w:w="1730" w:type="dxa"/>
            <w:tcBorders>
              <w:top w:val="nil" w:sz="6" w:space="0" w:color="auto"/>
              <w:left w:val="nil" w:sz="6" w:space="0" w:color="auto"/>
              <w:bottom w:val="nil" w:sz="6" w:space="0" w:color="auto"/>
              <w:right w:val="nil" w:sz="6" w:space="0" w:color="auto"/>
            </w:tcBorders>
          </w:tcPr>
          <w:p>
            <w:pPr/>
          </w:p>
        </w:tc>
      </w:tr>
      <w:tr>
        <w:trPr>
          <w:trHeight w:val="410" w:hRule="exact"/>
        </w:trPr>
        <w:tc>
          <w:tcPr>
            <w:tcW w:w="430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处置交易性金融资产取得的投资收益</w:t>
            </w:r>
          </w:p>
        </w:tc>
        <w:tc>
          <w:tcPr>
            <w:tcW w:w="2350"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nil" w:sz="6" w:space="0" w:color="auto"/>
              <w:right w:val="nil" w:sz="6" w:space="0" w:color="auto"/>
            </w:tcBorders>
          </w:tcPr>
          <w:p>
            <w:pPr/>
          </w:p>
        </w:tc>
      </w:tr>
      <w:tr>
        <w:trPr>
          <w:trHeight w:val="410" w:hRule="exact"/>
        </w:trPr>
        <w:tc>
          <w:tcPr>
            <w:tcW w:w="430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处置可供出售金融资产等取得的投资收益</w:t>
            </w:r>
          </w:p>
        </w:tc>
        <w:tc>
          <w:tcPr>
            <w:tcW w:w="2350"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nil" w:sz="6" w:space="0" w:color="auto"/>
              <w:right w:val="nil" w:sz="6" w:space="0" w:color="auto"/>
            </w:tcBorders>
          </w:tcPr>
          <w:p>
            <w:pPr/>
          </w:p>
        </w:tc>
      </w:tr>
      <w:tr>
        <w:trPr>
          <w:trHeight w:val="420" w:hRule="exact"/>
        </w:trPr>
        <w:tc>
          <w:tcPr>
            <w:tcW w:w="4303" w:type="dxa"/>
            <w:tcBorders>
              <w:top w:val="nil" w:sz="6" w:space="0" w:color="auto"/>
              <w:left w:val="nil" w:sz="6" w:space="0" w:color="auto"/>
              <w:bottom w:val="nil" w:sz="6" w:space="0" w:color="auto"/>
              <w:right w:val="nil" w:sz="6" w:space="0" w:color="auto"/>
            </w:tcBorders>
          </w:tcPr>
          <w:p>
            <w:pPr>
              <w:pStyle w:val="TableParagraph"/>
              <w:tabs>
                <w:tab w:pos="662" w:val="left" w:leader="none"/>
              </w:tabs>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其</w:t>
              <w:tab/>
              <w:t>他（注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70"/>
              <w:jc w:val="right"/>
              <w:rPr>
                <w:rFonts w:ascii="Times New Roman" w:hAnsi="Times New Roman" w:cs="Times New Roman" w:eastAsia="Times New Roman" w:hint="default"/>
                <w:sz w:val="18"/>
                <w:szCs w:val="18"/>
              </w:rPr>
            </w:pPr>
            <w:r>
              <w:rPr>
                <w:rFonts w:ascii="Times New Roman"/>
                <w:sz w:val="18"/>
              </w:rPr>
              <w:t>1,221,899</w:t>
            </w:r>
          </w:p>
        </w:tc>
        <w:tc>
          <w:tcPr>
            <w:tcW w:w="1730" w:type="dxa"/>
            <w:tcBorders>
              <w:top w:val="nil" w:sz="6" w:space="0" w:color="auto"/>
              <w:left w:val="nil" w:sz="6" w:space="0" w:color="auto"/>
              <w:bottom w:val="nil" w:sz="6" w:space="0" w:color="auto"/>
              <w:right w:val="nil" w:sz="6" w:space="0" w:color="auto"/>
            </w:tcBorders>
          </w:tcPr>
          <w:p>
            <w:pPr/>
          </w:p>
        </w:tc>
      </w:tr>
      <w:tr>
        <w:trPr>
          <w:trHeight w:val="328" w:hRule="exact"/>
        </w:trPr>
        <w:tc>
          <w:tcPr>
            <w:tcW w:w="4303" w:type="dxa"/>
            <w:tcBorders>
              <w:top w:val="nil" w:sz="6" w:space="0" w:color="auto"/>
              <w:left w:val="nil" w:sz="6" w:space="0" w:color="auto"/>
              <w:bottom w:val="single" w:sz="12" w:space="0" w:color="000000"/>
              <w:right w:val="nil" w:sz="6" w:space="0" w:color="auto"/>
            </w:tcBorders>
          </w:tcPr>
          <w:p>
            <w:pPr>
              <w:pStyle w:val="TableParagraph"/>
              <w:tabs>
                <w:tab w:pos="539" w:val="left" w:leader="none"/>
              </w:tabs>
              <w:spacing w:line="240" w:lineRule="auto" w:before="50"/>
              <w:ind w:right="185"/>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35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371"/>
              <w:jc w:val="right"/>
              <w:rPr>
                <w:rFonts w:ascii="Times New Roman" w:hAnsi="Times New Roman" w:cs="Times New Roman" w:eastAsia="Times New Roman" w:hint="default"/>
                <w:sz w:val="18"/>
                <w:szCs w:val="18"/>
              </w:rPr>
            </w:pPr>
            <w:r>
              <w:rPr>
                <w:rFonts w:ascii="Times New Roman"/>
                <w:sz w:val="18"/>
              </w:rPr>
              <w:t>42,136,578</w:t>
            </w:r>
          </w:p>
        </w:tc>
        <w:tc>
          <w:tcPr>
            <w:tcW w:w="173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46,121,940</w:t>
            </w:r>
          </w:p>
        </w:tc>
      </w:tr>
    </w:tbl>
    <w:p>
      <w:pPr>
        <w:pStyle w:val="BodyText"/>
        <w:spacing w:line="240" w:lineRule="auto" w:before="78"/>
        <w:ind w:left="855" w:right="0"/>
        <w:jc w:val="both"/>
      </w:pPr>
      <w:r>
        <w:rPr/>
        <w:t>注</w:t>
      </w:r>
      <w:r>
        <w:rPr>
          <w:spacing w:val="-54"/>
        </w:rPr>
        <w:t> </w:t>
      </w:r>
      <w:r>
        <w:rPr/>
        <w:t>1：本期因北京源越通清算确认的投资损失</w:t>
      </w:r>
      <w:r>
        <w:rPr>
          <w:spacing w:val="-54"/>
        </w:rPr>
        <w:t> </w:t>
      </w:r>
      <w:r>
        <w:rPr/>
        <w:t>731,026</w:t>
      </w:r>
      <w:r>
        <w:rPr>
          <w:spacing w:val="-53"/>
        </w:rPr>
        <w:t> </w:t>
      </w:r>
      <w:r>
        <w:rPr/>
        <w:t>元。</w:t>
      </w:r>
    </w:p>
    <w:p>
      <w:pPr>
        <w:pStyle w:val="BodyText"/>
        <w:spacing w:line="348" w:lineRule="auto" w:before="126"/>
        <w:ind w:left="855" w:right="148"/>
        <w:jc w:val="both"/>
      </w:pPr>
      <w:r>
        <w:rPr/>
        <w:t>注 2：主要为本期本公司购买北京利博赛社保信息技术有限公司</w:t>
      </w:r>
      <w:r>
        <w:rPr>
          <w:spacing w:val="-40"/>
        </w:rPr>
        <w:t> </w:t>
      </w:r>
      <w:r>
        <w:rPr/>
        <w:t>28.33%的权益，加上之前</w:t>
      </w:r>
      <w:r>
        <w:rPr/>
        <w:t> 已持有</w:t>
      </w:r>
      <w:r>
        <w:rPr>
          <w:spacing w:val="-71"/>
        </w:rPr>
        <w:t> </w:t>
      </w:r>
      <w:r>
        <w:rPr/>
        <w:t>33.33%的权益，合计持有权益</w:t>
      </w:r>
      <w:r>
        <w:rPr>
          <w:spacing w:val="-71"/>
        </w:rPr>
        <w:t> </w:t>
      </w:r>
      <w:r>
        <w:rPr/>
        <w:t>61.67%，购买后将其纳入集团合并财务报表范围，购</w:t>
      </w:r>
      <w:r>
        <w:rPr/>
        <w:t> 买前投资成本与应享有可辨认净资产公允价值之差额确认投资收益 465,997</w:t>
      </w:r>
      <w:r>
        <w:rPr>
          <w:spacing w:val="-39"/>
        </w:rPr>
        <w:t> </w:t>
      </w:r>
      <w:r>
        <w:rPr/>
        <w:t>元，同时，将</w:t>
      </w:r>
    </w:p>
    <w:p>
      <w:pPr>
        <w:pStyle w:val="BodyText"/>
        <w:spacing w:line="240" w:lineRule="auto" w:before="31"/>
        <w:ind w:left="855" w:right="0"/>
        <w:jc w:val="both"/>
      </w:pPr>
      <w:r>
        <w:rPr/>
        <w:t>之前计入资本公积里的其他综合收益</w:t>
      </w:r>
      <w:r>
        <w:rPr>
          <w:spacing w:val="-53"/>
        </w:rPr>
        <w:t> </w:t>
      </w:r>
      <w:r>
        <w:rPr/>
        <w:t>755,902</w:t>
      </w:r>
      <w:r>
        <w:rPr>
          <w:spacing w:val="-53"/>
        </w:rPr>
        <w:t> </w:t>
      </w:r>
      <w:r>
        <w:rPr/>
        <w:t>元在合并报表时确认为投资收益。</w:t>
      </w:r>
    </w:p>
    <w:p>
      <w:pPr>
        <w:spacing w:after="0" w:line="240" w:lineRule="auto"/>
        <w:jc w:val="both"/>
        <w:sectPr>
          <w:pgSz w:w="11910" w:h="16840"/>
          <w:pgMar w:header="0" w:footer="1003" w:top="1540" w:bottom="1200" w:left="1660" w:right="9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pStyle w:val="Heading6"/>
        <w:tabs>
          <w:tab w:pos="1430" w:val="left" w:leader="none"/>
        </w:tabs>
        <w:spacing w:line="240" w:lineRule="auto"/>
        <w:ind w:left="875" w:right="3559"/>
        <w:jc w:val="left"/>
        <w:rPr>
          <w:b w:val="0"/>
          <w:bCs w:val="0"/>
        </w:rPr>
      </w:pPr>
      <w:r>
        <w:rPr/>
        <w:pict>
          <v:group style="position:absolute;margin-left:118.919998pt;margin-top:17.073671pt;width:419.65pt;height:226.5pt;mso-position-horizontal-relative:page;mso-position-vertical-relative:paragraph;z-index:-1112872" coordorigin="2378,341" coordsize="8393,4530">
            <v:group style="position:absolute;left:2407;top:356;width:5902;height:2" coordorigin="2407,356" coordsize="5902,2">
              <v:shape style="position:absolute;left:2407;top:356;width:5902;height:2" coordorigin="2407,356" coordsize="5902,0" path="m2407,356l8309,356e" filled="false" stroked="true" strokeweight="1.5pt" strokecolor="#000000">
                <v:path arrowok="t"/>
              </v:shape>
            </v:group>
            <v:group style="position:absolute;left:8309;top:356;width:2434;height:2" coordorigin="8309,356" coordsize="2434,2">
              <v:shape style="position:absolute;left:8309;top:356;width:2434;height:2" coordorigin="8309,356" coordsize="2434,0" path="m8309,356l10742,356e" filled="false" stroked="true" strokeweight="1.5pt" strokecolor="#000000">
                <v:path arrowok="t"/>
              </v:shape>
              <v:shape style="position:absolute;left:5733;top:348;width:2579;height:446" type="#_x0000_t75" stroked="false">
                <v:imagedata r:id="rId292" o:title=""/>
              </v:shape>
              <v:shape style="position:absolute;left:2378;top:746;width:8393;height:4126" type="#_x0000_t75" stroked="false">
                <v:imagedata r:id="rId293" o:title=""/>
              </v:shape>
            </v:group>
            <w10:wrap type="none"/>
          </v:group>
        </w:pict>
      </w:r>
      <w:r>
        <w:rPr>
          <w:w w:val="95"/>
        </w:rPr>
        <w:t>2、</w:t>
        <w:tab/>
      </w:r>
      <w:r>
        <w:rPr/>
        <w:t>按权益法核算的长期股权投资收益：</w:t>
      </w:r>
      <w:r>
        <w:rPr>
          <w:b w:val="0"/>
          <w:bCs w:val="0"/>
        </w:rPr>
      </w:r>
    </w:p>
    <w:p>
      <w:pPr>
        <w:spacing w:line="240" w:lineRule="auto" w:before="10"/>
        <w:rPr>
          <w:rFonts w:ascii="宋体" w:hAnsi="宋体" w:cs="宋体" w:eastAsia="宋体" w:hint="default"/>
          <w:b/>
          <w:bCs/>
          <w:sz w:val="11"/>
          <w:szCs w:val="11"/>
        </w:rPr>
      </w:pPr>
    </w:p>
    <w:tbl>
      <w:tblPr>
        <w:tblW w:w="0" w:type="auto"/>
        <w:jc w:val="left"/>
        <w:tblInd w:w="752" w:type="dxa"/>
        <w:tblLayout w:type="fixed"/>
        <w:tblCellMar>
          <w:top w:w="0" w:type="dxa"/>
          <w:left w:w="0" w:type="dxa"/>
          <w:bottom w:w="0" w:type="dxa"/>
          <w:right w:w="0" w:type="dxa"/>
        </w:tblCellMar>
        <w:tblLook w:val="01E0"/>
      </w:tblPr>
      <w:tblGrid>
        <w:gridCol w:w="3405"/>
        <w:gridCol w:w="1290"/>
        <w:gridCol w:w="1196"/>
        <w:gridCol w:w="2459"/>
      </w:tblGrid>
      <w:tr>
        <w:trPr>
          <w:trHeight w:val="815"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400" w:firstLine="1118"/>
              <w:jc w:val="left"/>
              <w:rPr>
                <w:rFonts w:ascii="宋体" w:hAnsi="宋体" w:cs="宋体" w:eastAsia="宋体" w:hint="default"/>
                <w:sz w:val="18"/>
                <w:szCs w:val="18"/>
              </w:rPr>
            </w:pPr>
            <w:r>
              <w:rPr>
                <w:rFonts w:ascii="宋体" w:hAnsi="宋体" w:cs="宋体" w:eastAsia="宋体" w:hint="default"/>
                <w:sz w:val="18"/>
                <w:szCs w:val="18"/>
              </w:rPr>
              <w:t>被投资单位 诺基亚西门子东软通信技术有限公司</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2"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374" w:right="0"/>
              <w:jc w:val="left"/>
              <w:rPr>
                <w:rFonts w:ascii="Times New Roman" w:hAnsi="Times New Roman" w:cs="Times New Roman" w:eastAsia="Times New Roman" w:hint="default"/>
                <w:sz w:val="18"/>
                <w:szCs w:val="18"/>
              </w:rPr>
            </w:pPr>
            <w:r>
              <w:rPr>
                <w:rFonts w:ascii="Times New Roman"/>
                <w:sz w:val="18"/>
              </w:rPr>
              <w:t>8,231,268</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3"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366" w:right="0"/>
              <w:jc w:val="left"/>
              <w:rPr>
                <w:rFonts w:ascii="Times New Roman" w:hAnsi="Times New Roman" w:cs="Times New Roman" w:eastAsia="Times New Roman" w:hint="default"/>
                <w:sz w:val="18"/>
                <w:szCs w:val="18"/>
              </w:rPr>
            </w:pPr>
            <w:r>
              <w:rPr>
                <w:rFonts w:ascii="Times New Roman"/>
                <w:sz w:val="18"/>
              </w:rPr>
              <w:t>9,586,872</w:t>
            </w:r>
          </w:p>
        </w:tc>
        <w:tc>
          <w:tcPr>
            <w:tcW w:w="2459"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07" w:right="149" w:firstLine="40"/>
              <w:jc w:val="left"/>
              <w:rPr>
                <w:rFonts w:ascii="宋体" w:hAnsi="宋体" w:cs="宋体" w:eastAsia="宋体" w:hint="default"/>
                <w:sz w:val="18"/>
                <w:szCs w:val="18"/>
              </w:rPr>
            </w:pPr>
            <w:r>
              <w:rPr>
                <w:rFonts w:ascii="宋体" w:hAnsi="宋体" w:cs="宋体" w:eastAsia="宋体" w:hint="default"/>
                <w:sz w:val="18"/>
                <w:szCs w:val="18"/>
              </w:rPr>
              <w:t>本期比上期增减变动的原因 被投资单位净利润变动影响</w:t>
            </w:r>
          </w:p>
        </w:tc>
      </w:tr>
      <w:tr>
        <w:trPr>
          <w:trHeight w:val="410"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北京利博赛社保信息技术有限公司</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1"/>
              <w:jc w:val="right"/>
              <w:rPr>
                <w:rFonts w:ascii="Times New Roman" w:hAnsi="Times New Roman" w:cs="Times New Roman" w:eastAsia="Times New Roman" w:hint="default"/>
                <w:sz w:val="18"/>
                <w:szCs w:val="18"/>
              </w:rPr>
            </w:pPr>
            <w:r>
              <w:rPr>
                <w:rFonts w:ascii="Times New Roman"/>
                <w:w w:val="95"/>
                <w:sz w:val="18"/>
              </w:rPr>
              <w:t>-456,868</w:t>
            </w:r>
            <w:r>
              <w:rPr>
                <w:rFonts w:ascii="Times New Roman"/>
                <w:sz w:val="18"/>
              </w:rPr>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w w:val="95"/>
                <w:sz w:val="18"/>
              </w:rPr>
              <w:t>-1,542,774</w:t>
            </w:r>
            <w:r>
              <w:rPr>
                <w:rFonts w:ascii="Times New Roman"/>
                <w:sz w:val="18"/>
              </w:rPr>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被投资单位净利润变动影响</w:t>
            </w:r>
          </w:p>
        </w:tc>
      </w:tr>
      <w:tr>
        <w:trPr>
          <w:trHeight w:val="410"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沈阳凯塔数据科技有限公司</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1"/>
              <w:jc w:val="right"/>
              <w:rPr>
                <w:rFonts w:ascii="Times New Roman" w:hAnsi="Times New Roman" w:cs="Times New Roman" w:eastAsia="Times New Roman" w:hint="default"/>
                <w:sz w:val="18"/>
                <w:szCs w:val="18"/>
              </w:rPr>
            </w:pPr>
            <w:r>
              <w:rPr>
                <w:rFonts w:ascii="Times New Roman"/>
                <w:w w:val="95"/>
                <w:sz w:val="18"/>
              </w:rPr>
              <w:t>-839,530</w:t>
            </w:r>
            <w:r>
              <w:rPr>
                <w:rFonts w:ascii="Times New Roman"/>
                <w:sz w:val="18"/>
              </w:rPr>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w w:val="95"/>
                <w:sz w:val="18"/>
              </w:rPr>
              <w:t>-324,809</w:t>
            </w:r>
            <w:r>
              <w:rPr>
                <w:rFonts w:ascii="Times New Roman"/>
                <w:sz w:val="18"/>
              </w:rPr>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被投资单位净利润变动影响</w:t>
            </w:r>
          </w:p>
        </w:tc>
      </w:tr>
      <w:tr>
        <w:trPr>
          <w:trHeight w:val="410"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沈阳东芝东软信息系统有限公司</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1"/>
              <w:jc w:val="right"/>
              <w:rPr>
                <w:rFonts w:ascii="Times New Roman" w:hAnsi="Times New Roman" w:cs="Times New Roman" w:eastAsia="Times New Roman" w:hint="default"/>
                <w:sz w:val="18"/>
                <w:szCs w:val="18"/>
              </w:rPr>
            </w:pPr>
            <w:r>
              <w:rPr>
                <w:rFonts w:ascii="Times New Roman"/>
                <w:w w:val="95"/>
                <w:sz w:val="18"/>
              </w:rPr>
              <w:t>-896,252</w:t>
            </w:r>
            <w:r>
              <w:rPr>
                <w:rFonts w:ascii="Times New Roman"/>
                <w:sz w:val="18"/>
              </w:rPr>
            </w:r>
          </w:p>
        </w:tc>
        <w:tc>
          <w:tcPr>
            <w:tcW w:w="1196" w:type="dxa"/>
            <w:tcBorders>
              <w:top w:val="nil" w:sz="6" w:space="0" w:color="auto"/>
              <w:left w:val="nil" w:sz="6" w:space="0" w:color="auto"/>
              <w:bottom w:val="nil" w:sz="6" w:space="0" w:color="auto"/>
              <w:right w:val="nil" w:sz="6" w:space="0" w:color="auto"/>
            </w:tcBorders>
          </w:tcPr>
          <w:p>
            <w:pP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被投资单位净利润变动影响</w:t>
            </w:r>
          </w:p>
        </w:tc>
      </w:tr>
      <w:tr>
        <w:trPr>
          <w:trHeight w:val="410"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东软飞利浦医疗设备系统有限责任公司</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1"/>
              <w:jc w:val="right"/>
              <w:rPr>
                <w:rFonts w:ascii="Times New Roman" w:hAnsi="Times New Roman" w:cs="Times New Roman" w:eastAsia="Times New Roman" w:hint="default"/>
                <w:sz w:val="18"/>
                <w:szCs w:val="18"/>
              </w:rPr>
            </w:pPr>
            <w:r>
              <w:rPr>
                <w:rFonts w:ascii="Times New Roman"/>
                <w:sz w:val="18"/>
              </w:rPr>
              <w:t>34,780,482</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38,165,939</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被投资单位净利润变动影响</w:t>
            </w:r>
          </w:p>
        </w:tc>
      </w:tr>
      <w:tr>
        <w:trPr>
          <w:trHeight w:val="410"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辽宁盛京熙康健康管理有限公司</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1"/>
              <w:jc w:val="right"/>
              <w:rPr>
                <w:rFonts w:ascii="Times New Roman" w:hAnsi="Times New Roman" w:cs="Times New Roman" w:eastAsia="Times New Roman" w:hint="default"/>
                <w:sz w:val="18"/>
                <w:szCs w:val="18"/>
              </w:rPr>
            </w:pPr>
            <w:r>
              <w:rPr>
                <w:rFonts w:ascii="Times New Roman"/>
                <w:w w:val="95"/>
                <w:sz w:val="18"/>
              </w:rPr>
              <w:t>-162,886</w:t>
            </w:r>
            <w:r>
              <w:rPr>
                <w:rFonts w:ascii="Times New Roman"/>
                <w:sz w:val="18"/>
              </w:rPr>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153,275</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被投资单位净利润变动影响</w:t>
            </w:r>
          </w:p>
        </w:tc>
      </w:tr>
      <w:tr>
        <w:trPr>
          <w:trHeight w:val="410"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重庆国奥百年熙康健康管理有限公司</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3"/>
              <w:jc w:val="right"/>
              <w:rPr>
                <w:rFonts w:ascii="Times New Roman" w:hAnsi="Times New Roman" w:cs="Times New Roman" w:eastAsia="Times New Roman" w:hint="default"/>
                <w:sz w:val="18"/>
                <w:szCs w:val="18"/>
              </w:rPr>
            </w:pPr>
            <w:r>
              <w:rPr>
                <w:rFonts w:ascii="Times New Roman"/>
                <w:spacing w:val="-1"/>
                <w:w w:val="95"/>
                <w:sz w:val="18"/>
              </w:rPr>
              <w:t>-119,702</w:t>
            </w:r>
            <w:r>
              <w:rPr>
                <w:rFonts w:ascii="Times New Roman"/>
                <w:spacing w:val="-1"/>
                <w:sz w:val="18"/>
              </w:rPr>
            </w:r>
          </w:p>
        </w:tc>
        <w:tc>
          <w:tcPr>
            <w:tcW w:w="1196" w:type="dxa"/>
            <w:tcBorders>
              <w:top w:val="nil" w:sz="6" w:space="0" w:color="auto"/>
              <w:left w:val="nil" w:sz="6" w:space="0" w:color="auto"/>
              <w:bottom w:val="nil" w:sz="6" w:space="0" w:color="auto"/>
              <w:right w:val="nil" w:sz="6" w:space="0" w:color="auto"/>
            </w:tcBorders>
          </w:tcPr>
          <w:p>
            <w:pP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被投资单位净利润变动影响</w:t>
            </w:r>
          </w:p>
        </w:tc>
      </w:tr>
      <w:tr>
        <w:trPr>
          <w:trHeight w:val="410"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22" w:right="0"/>
              <w:jc w:val="left"/>
              <w:rPr>
                <w:rFonts w:ascii="Times New Roman" w:hAnsi="Times New Roman" w:cs="Times New Roman" w:eastAsia="Times New Roman" w:hint="default"/>
                <w:sz w:val="18"/>
                <w:szCs w:val="18"/>
              </w:rPr>
            </w:pPr>
            <w:r>
              <w:rPr>
                <w:rFonts w:ascii="Times New Roman"/>
                <w:sz w:val="18"/>
              </w:rPr>
              <w:t>Aerotel Medical</w:t>
            </w:r>
            <w:r>
              <w:rPr>
                <w:rFonts w:ascii="Times New Roman"/>
                <w:spacing w:val="-28"/>
                <w:sz w:val="18"/>
              </w:rPr>
              <w:t> </w:t>
            </w:r>
            <w:r>
              <w:rPr>
                <w:rFonts w:ascii="Times New Roman"/>
                <w:sz w:val="18"/>
              </w:rPr>
              <w:t>Systems(1998)Ltd.</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2"/>
              <w:jc w:val="right"/>
              <w:rPr>
                <w:rFonts w:ascii="Times New Roman" w:hAnsi="Times New Roman" w:cs="Times New Roman" w:eastAsia="Times New Roman" w:hint="default"/>
                <w:sz w:val="18"/>
                <w:szCs w:val="18"/>
              </w:rPr>
            </w:pPr>
            <w:r>
              <w:rPr>
                <w:rFonts w:ascii="Times New Roman"/>
                <w:spacing w:val="-1"/>
                <w:sz w:val="18"/>
              </w:rPr>
              <w:t>439,595</w:t>
            </w:r>
            <w:r>
              <w:rPr>
                <w:rFonts w:ascii="Times New Roman"/>
                <w:sz w:val="18"/>
              </w:rPr>
            </w:r>
          </w:p>
        </w:tc>
        <w:tc>
          <w:tcPr>
            <w:tcW w:w="1196" w:type="dxa"/>
            <w:tcBorders>
              <w:top w:val="nil" w:sz="6" w:space="0" w:color="auto"/>
              <w:left w:val="nil" w:sz="6" w:space="0" w:color="auto"/>
              <w:bottom w:val="nil" w:sz="6" w:space="0" w:color="auto"/>
              <w:right w:val="nil" w:sz="6" w:space="0" w:color="auto"/>
            </w:tcBorders>
          </w:tcPr>
          <w:p>
            <w:pP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被投资单位净利润变动影响</w:t>
            </w:r>
          </w:p>
        </w:tc>
      </w:tr>
      <w:tr>
        <w:trPr>
          <w:trHeight w:val="410" w:hRule="exact"/>
        </w:trPr>
        <w:tc>
          <w:tcPr>
            <w:tcW w:w="340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日电东软信息技术有限公司</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1"/>
              <w:jc w:val="right"/>
              <w:rPr>
                <w:rFonts w:ascii="Times New Roman" w:hAnsi="Times New Roman" w:cs="Times New Roman" w:eastAsia="Times New Roman" w:hint="default"/>
                <w:sz w:val="18"/>
                <w:szCs w:val="18"/>
              </w:rPr>
            </w:pPr>
            <w:r>
              <w:rPr>
                <w:rFonts w:ascii="Times New Roman"/>
                <w:w w:val="95"/>
                <w:sz w:val="18"/>
              </w:rPr>
              <w:t>-1,261,909</w:t>
            </w:r>
            <w:r>
              <w:rPr>
                <w:rFonts w:ascii="Times New Roman"/>
                <w:sz w:val="18"/>
              </w:rPr>
            </w:r>
          </w:p>
        </w:tc>
        <w:tc>
          <w:tcPr>
            <w:tcW w:w="1196" w:type="dxa"/>
            <w:tcBorders>
              <w:top w:val="nil" w:sz="6" w:space="0" w:color="auto"/>
              <w:left w:val="nil" w:sz="6" w:space="0" w:color="auto"/>
              <w:bottom w:val="nil" w:sz="6" w:space="0" w:color="auto"/>
              <w:right w:val="nil" w:sz="6" w:space="0" w:color="auto"/>
            </w:tcBorders>
          </w:tcPr>
          <w:p>
            <w:pP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被投资单位净利润变动影响</w:t>
            </w:r>
          </w:p>
        </w:tc>
      </w:tr>
      <w:tr>
        <w:trPr>
          <w:trHeight w:val="328" w:hRule="exact"/>
        </w:trPr>
        <w:tc>
          <w:tcPr>
            <w:tcW w:w="3405" w:type="dxa"/>
            <w:tcBorders>
              <w:top w:val="nil" w:sz="6" w:space="0" w:color="auto"/>
              <w:left w:val="nil" w:sz="6" w:space="0" w:color="auto"/>
              <w:bottom w:val="single" w:sz="12" w:space="0" w:color="000000"/>
              <w:right w:val="nil" w:sz="6" w:space="0" w:color="auto"/>
            </w:tcBorders>
          </w:tcPr>
          <w:p>
            <w:pPr>
              <w:pStyle w:val="TableParagraph"/>
              <w:tabs>
                <w:tab w:pos="539" w:val="left" w:leader="none"/>
              </w:tabs>
              <w:spacing w:line="240" w:lineRule="auto" w:before="50"/>
              <w:ind w:right="21"/>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29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91"/>
              <w:jc w:val="right"/>
              <w:rPr>
                <w:rFonts w:ascii="Times New Roman" w:hAnsi="Times New Roman" w:cs="Times New Roman" w:eastAsia="Times New Roman" w:hint="default"/>
                <w:sz w:val="18"/>
                <w:szCs w:val="18"/>
              </w:rPr>
            </w:pPr>
            <w:r>
              <w:rPr>
                <w:rFonts w:ascii="Times New Roman"/>
                <w:sz w:val="18"/>
              </w:rPr>
              <w:t>39,714,198</w:t>
            </w:r>
          </w:p>
        </w:tc>
        <w:tc>
          <w:tcPr>
            <w:tcW w:w="1196"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46,038,503</w:t>
            </w:r>
          </w:p>
        </w:tc>
        <w:tc>
          <w:tcPr>
            <w:tcW w:w="2459"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413" w:val="left" w:leader="none"/>
        </w:tabs>
        <w:spacing w:line="350" w:lineRule="auto" w:before="35"/>
        <w:ind w:left="1417" w:right="4294" w:hanging="543"/>
        <w:jc w:val="left"/>
        <w:rPr>
          <w:rFonts w:ascii="宋体" w:hAnsi="宋体" w:cs="宋体" w:eastAsia="宋体" w:hint="default"/>
          <w:sz w:val="21"/>
          <w:szCs w:val="21"/>
        </w:rPr>
      </w:pPr>
      <w:r>
        <w:rPr/>
        <w:pict>
          <v:group style="position:absolute;margin-left:118.919998pt;margin-top:74.19368pt;width:421.4pt;height:209.95pt;mso-position-horizontal-relative:page;mso-position-vertical-relative:paragraph;z-index:-1112848" coordorigin="2378,1484" coordsize="8428,4199">
            <v:shape style="position:absolute;left:6128;top:1484;width:2393;height:427" type="#_x0000_t75" stroked="false">
              <v:imagedata r:id="rId294" o:title=""/>
            </v:shape>
            <v:shape style="position:absolute;left:2378;top:1853;width:8428;height:3829" type="#_x0000_t75" stroked="false">
              <v:imagedata r:id="rId295" o:title=""/>
            </v:shape>
            <w10:wrap type="none"/>
          </v:group>
        </w:pict>
      </w:r>
      <w:r>
        <w:rPr>
          <w:rFonts w:ascii="宋体" w:hAnsi="宋体" w:cs="宋体" w:eastAsia="宋体" w:hint="default"/>
          <w:b/>
          <w:bCs/>
          <w:w w:val="95"/>
          <w:sz w:val="21"/>
          <w:szCs w:val="21"/>
        </w:rPr>
        <w:t>3、</w:t>
        <w:tab/>
      </w:r>
      <w:r>
        <w:rPr>
          <w:rFonts w:ascii="宋体" w:hAnsi="宋体" w:cs="宋体" w:eastAsia="宋体" w:hint="default"/>
          <w:b/>
          <w:bCs/>
          <w:sz w:val="21"/>
          <w:szCs w:val="21"/>
        </w:rPr>
        <w:t>投资收益的说明：</w:t>
      </w:r>
      <w:r>
        <w:rPr>
          <w:rFonts w:ascii="宋体" w:hAnsi="宋体" w:cs="宋体" w:eastAsia="宋体" w:hint="default"/>
          <w:b/>
          <w:bCs/>
          <w:spacing w:val="1"/>
          <w:w w:val="99"/>
          <w:sz w:val="21"/>
          <w:szCs w:val="21"/>
        </w:rPr>
        <w:t> </w:t>
      </w:r>
      <w:r>
        <w:rPr>
          <w:rFonts w:ascii="宋体" w:hAnsi="宋体" w:cs="宋体" w:eastAsia="宋体" w:hint="default"/>
          <w:sz w:val="21"/>
          <w:szCs w:val="21"/>
        </w:rPr>
        <w:t>本期投资收益汇回无重大受限制情况。</w:t>
      </w:r>
    </w:p>
    <w:p>
      <w:pPr>
        <w:spacing w:line="240" w:lineRule="auto" w:before="5"/>
        <w:rPr>
          <w:rFonts w:ascii="宋体" w:hAnsi="宋体" w:cs="宋体" w:eastAsia="宋体" w:hint="default"/>
          <w:sz w:val="25"/>
          <w:szCs w:val="25"/>
        </w:rPr>
      </w:pPr>
    </w:p>
    <w:tbl>
      <w:tblPr>
        <w:tblW w:w="0" w:type="auto"/>
        <w:jc w:val="left"/>
        <w:tblInd w:w="108" w:type="dxa"/>
        <w:tblLayout w:type="fixed"/>
        <w:tblCellMar>
          <w:top w:w="0" w:type="dxa"/>
          <w:left w:w="0" w:type="dxa"/>
          <w:bottom w:w="0" w:type="dxa"/>
          <w:right w:w="0" w:type="dxa"/>
        </w:tblCellMar>
        <w:tblLook w:val="01E0"/>
      </w:tblPr>
      <w:tblGrid>
        <w:gridCol w:w="2641"/>
        <w:gridCol w:w="1414"/>
        <w:gridCol w:w="3022"/>
        <w:gridCol w:w="1951"/>
      </w:tblGrid>
      <w:tr>
        <w:trPr>
          <w:trHeight w:val="358" w:hRule="exact"/>
        </w:trPr>
        <w:tc>
          <w:tcPr>
            <w:tcW w:w="2641"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(四十六)资产减值损失</w:t>
            </w:r>
            <w:r>
              <w:rPr>
                <w:rFonts w:ascii="宋体" w:hAnsi="宋体" w:cs="宋体" w:eastAsia="宋体" w:hint="default"/>
                <w:sz w:val="21"/>
                <w:szCs w:val="21"/>
              </w:rPr>
            </w:r>
          </w:p>
        </w:tc>
        <w:tc>
          <w:tcPr>
            <w:tcW w:w="6386" w:type="dxa"/>
            <w:gridSpan w:val="3"/>
            <w:tcBorders>
              <w:top w:val="nil" w:sz="6" w:space="0" w:color="auto"/>
              <w:left w:val="nil" w:sz="6" w:space="0" w:color="auto"/>
              <w:bottom w:val="single" w:sz="12" w:space="0" w:color="000000"/>
              <w:right w:val="nil" w:sz="6" w:space="0" w:color="auto"/>
            </w:tcBorders>
          </w:tcPr>
          <w:p>
            <w:pPr/>
          </w:p>
        </w:tc>
      </w:tr>
      <w:tr>
        <w:trPr>
          <w:trHeight w:val="457" w:hRule="exact"/>
        </w:trPr>
        <w:tc>
          <w:tcPr>
            <w:tcW w:w="2641" w:type="dxa"/>
            <w:tcBorders>
              <w:top w:val="single" w:sz="12" w:space="0" w:color="000000"/>
              <w:left w:val="nil" w:sz="6" w:space="0" w:color="auto"/>
              <w:bottom w:val="nil" w:sz="6" w:space="0" w:color="auto"/>
              <w:right w:val="nil" w:sz="6" w:space="0" w:color="auto"/>
            </w:tcBorders>
          </w:tcPr>
          <w:p>
            <w:pPr>
              <w:pStyle w:val="TableParagraph"/>
              <w:spacing w:line="240" w:lineRule="auto" w:before="106"/>
              <w:ind w:right="283"/>
              <w:jc w:val="right"/>
              <w:rPr>
                <w:rFonts w:ascii="宋体" w:hAnsi="宋体" w:cs="宋体" w:eastAsia="宋体" w:hint="default"/>
                <w:sz w:val="18"/>
                <w:szCs w:val="18"/>
              </w:rPr>
            </w:pPr>
            <w:r>
              <w:rPr>
                <w:rFonts w:ascii="宋体" w:hAnsi="宋体" w:cs="宋体" w:eastAsia="宋体" w:hint="default"/>
                <w:sz w:val="18"/>
                <w:szCs w:val="18"/>
              </w:rPr>
              <w:t>项</w:t>
            </w:r>
          </w:p>
        </w:tc>
        <w:tc>
          <w:tcPr>
            <w:tcW w:w="1414" w:type="dxa"/>
            <w:tcBorders>
              <w:top w:val="single" w:sz="12" w:space="0" w:color="000000"/>
              <w:left w:val="nil" w:sz="6" w:space="0" w:color="auto"/>
              <w:bottom w:val="nil" w:sz="6" w:space="0" w:color="auto"/>
              <w:right w:val="nil" w:sz="6" w:space="0" w:color="auto"/>
            </w:tcBorders>
          </w:tcPr>
          <w:p>
            <w:pPr>
              <w:pStyle w:val="TableParagraph"/>
              <w:spacing w:line="240" w:lineRule="auto" w:before="106"/>
              <w:ind w:left="74" w:right="0"/>
              <w:jc w:val="left"/>
              <w:rPr>
                <w:rFonts w:ascii="宋体" w:hAnsi="宋体" w:cs="宋体" w:eastAsia="宋体" w:hint="default"/>
                <w:sz w:val="18"/>
                <w:szCs w:val="18"/>
              </w:rPr>
            </w:pPr>
            <w:r>
              <w:rPr>
                <w:rFonts w:ascii="宋体" w:hAnsi="宋体" w:cs="宋体" w:eastAsia="宋体" w:hint="default"/>
                <w:sz w:val="18"/>
                <w:szCs w:val="18"/>
              </w:rPr>
              <w:t>目</w:t>
            </w:r>
          </w:p>
        </w:tc>
        <w:tc>
          <w:tcPr>
            <w:tcW w:w="3022" w:type="dxa"/>
            <w:tcBorders>
              <w:top w:val="single" w:sz="12" w:space="0" w:color="000000"/>
              <w:left w:val="nil" w:sz="6" w:space="0" w:color="auto"/>
              <w:bottom w:val="nil" w:sz="6" w:space="0" w:color="auto"/>
              <w:right w:val="nil" w:sz="6" w:space="0" w:color="auto"/>
            </w:tcBorders>
          </w:tcPr>
          <w:p>
            <w:pPr>
              <w:pStyle w:val="TableParagraph"/>
              <w:spacing w:line="240" w:lineRule="auto" w:before="106"/>
              <w:ind w:left="17"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1951" w:type="dxa"/>
            <w:tcBorders>
              <w:top w:val="single" w:sz="12" w:space="0" w:color="000000"/>
              <w:left w:val="nil" w:sz="6" w:space="0" w:color="auto"/>
              <w:bottom w:val="nil" w:sz="6" w:space="0" w:color="auto"/>
              <w:right w:val="nil" w:sz="6" w:space="0" w:color="auto"/>
            </w:tcBorders>
          </w:tcPr>
          <w:p>
            <w:pPr>
              <w:pStyle w:val="TableParagraph"/>
              <w:spacing w:line="240" w:lineRule="auto" w:before="106"/>
              <w:ind w:left="445"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90" w:hRule="exact"/>
        </w:trPr>
        <w:tc>
          <w:tcPr>
            <w:tcW w:w="264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6" w:right="0"/>
              <w:jc w:val="left"/>
              <w:rPr>
                <w:rFonts w:ascii="宋体" w:hAnsi="宋体" w:cs="宋体" w:eastAsia="宋体" w:hint="default"/>
                <w:sz w:val="18"/>
                <w:szCs w:val="18"/>
              </w:rPr>
            </w:pPr>
            <w:r>
              <w:rPr>
                <w:rFonts w:ascii="宋体" w:hAnsi="宋体" w:cs="宋体" w:eastAsia="宋体" w:hint="default"/>
                <w:sz w:val="18"/>
                <w:szCs w:val="18"/>
              </w:rPr>
              <w:t>坏账损失</w:t>
            </w:r>
          </w:p>
        </w:tc>
        <w:tc>
          <w:tcPr>
            <w:tcW w:w="1414"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43"/>
              <w:jc w:val="right"/>
              <w:rPr>
                <w:rFonts w:ascii="Times New Roman" w:hAnsi="Times New Roman" w:cs="Times New Roman" w:eastAsia="Times New Roman" w:hint="default"/>
                <w:sz w:val="18"/>
                <w:szCs w:val="18"/>
              </w:rPr>
            </w:pPr>
            <w:r>
              <w:rPr>
                <w:rFonts w:ascii="Times New Roman"/>
                <w:sz w:val="18"/>
              </w:rPr>
              <w:t>25,898,767</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w w:val="95"/>
                <w:sz w:val="18"/>
              </w:rPr>
              <w:t>-13,931,157</w:t>
            </w:r>
            <w:r>
              <w:rPr>
                <w:rFonts w:ascii="Times New Roman"/>
                <w:sz w:val="18"/>
              </w:rPr>
            </w:r>
          </w:p>
        </w:tc>
      </w:tr>
      <w:tr>
        <w:trPr>
          <w:trHeight w:val="380" w:hRule="exact"/>
        </w:trPr>
        <w:tc>
          <w:tcPr>
            <w:tcW w:w="264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66" w:right="0"/>
              <w:jc w:val="left"/>
              <w:rPr>
                <w:rFonts w:ascii="宋体" w:hAnsi="宋体" w:cs="宋体" w:eastAsia="宋体" w:hint="default"/>
                <w:sz w:val="18"/>
                <w:szCs w:val="18"/>
              </w:rPr>
            </w:pPr>
            <w:r>
              <w:rPr>
                <w:rFonts w:ascii="宋体" w:hAnsi="宋体" w:cs="宋体" w:eastAsia="宋体" w:hint="default"/>
                <w:sz w:val="18"/>
                <w:szCs w:val="18"/>
              </w:rPr>
              <w:t>存货跌价损失</w:t>
            </w:r>
          </w:p>
        </w:tc>
        <w:tc>
          <w:tcPr>
            <w:tcW w:w="1414"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43"/>
              <w:jc w:val="right"/>
              <w:rPr>
                <w:rFonts w:ascii="Times New Roman" w:hAnsi="Times New Roman" w:cs="Times New Roman" w:eastAsia="Times New Roman" w:hint="default"/>
                <w:sz w:val="18"/>
                <w:szCs w:val="18"/>
              </w:rPr>
            </w:pPr>
            <w:r>
              <w:rPr>
                <w:rFonts w:ascii="Times New Roman"/>
                <w:sz w:val="18"/>
              </w:rPr>
              <w:t>5,077,146</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z w:val="18"/>
              </w:rPr>
              <w:t>1,632,507</w:t>
            </w:r>
          </w:p>
        </w:tc>
      </w:tr>
      <w:tr>
        <w:trPr>
          <w:trHeight w:val="750" w:hRule="exact"/>
        </w:trPr>
        <w:tc>
          <w:tcPr>
            <w:tcW w:w="2641" w:type="dxa"/>
            <w:tcBorders>
              <w:top w:val="nil" w:sz="6" w:space="0" w:color="auto"/>
              <w:left w:val="nil" w:sz="6" w:space="0" w:color="auto"/>
              <w:bottom w:val="nil" w:sz="6" w:space="0" w:color="auto"/>
              <w:right w:val="nil" w:sz="6" w:space="0" w:color="auto"/>
            </w:tcBorders>
          </w:tcPr>
          <w:p>
            <w:pPr>
              <w:pStyle w:val="TableParagraph"/>
              <w:spacing w:line="386" w:lineRule="auto" w:before="35"/>
              <w:ind w:left="766" w:right="72"/>
              <w:jc w:val="left"/>
              <w:rPr>
                <w:rFonts w:ascii="宋体" w:hAnsi="宋体" w:cs="宋体" w:eastAsia="宋体" w:hint="default"/>
                <w:sz w:val="18"/>
                <w:szCs w:val="18"/>
              </w:rPr>
            </w:pPr>
            <w:r>
              <w:rPr>
                <w:rFonts w:ascii="宋体" w:hAnsi="宋体" w:cs="宋体" w:eastAsia="宋体" w:hint="default"/>
                <w:sz w:val="18"/>
                <w:szCs w:val="18"/>
              </w:rPr>
              <w:t>长期股权投资减值损失 投资性房地产减值损失</w:t>
            </w:r>
          </w:p>
        </w:tc>
        <w:tc>
          <w:tcPr>
            <w:tcW w:w="1414"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45"/>
              <w:jc w:val="right"/>
              <w:rPr>
                <w:rFonts w:ascii="Times New Roman" w:hAnsi="Times New Roman" w:cs="Times New Roman" w:eastAsia="Times New Roman" w:hint="default"/>
                <w:sz w:val="18"/>
                <w:szCs w:val="18"/>
              </w:rPr>
            </w:pPr>
            <w:r>
              <w:rPr>
                <w:rFonts w:ascii="Times New Roman"/>
                <w:sz w:val="18"/>
              </w:rPr>
              <w:t>1,448,028</w:t>
            </w:r>
          </w:p>
        </w:tc>
        <w:tc>
          <w:tcPr>
            <w:tcW w:w="1951" w:type="dxa"/>
            <w:tcBorders>
              <w:top w:val="nil" w:sz="6" w:space="0" w:color="auto"/>
              <w:left w:val="nil" w:sz="6" w:space="0" w:color="auto"/>
              <w:bottom w:val="nil" w:sz="6" w:space="0" w:color="auto"/>
              <w:right w:val="nil" w:sz="6" w:space="0" w:color="auto"/>
            </w:tcBorders>
          </w:tcPr>
          <w:p>
            <w:pPr/>
          </w:p>
        </w:tc>
      </w:tr>
      <w:tr>
        <w:trPr>
          <w:trHeight w:val="380" w:hRule="exact"/>
        </w:trPr>
        <w:tc>
          <w:tcPr>
            <w:tcW w:w="264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6" w:right="0"/>
              <w:jc w:val="left"/>
              <w:rPr>
                <w:rFonts w:ascii="宋体" w:hAnsi="宋体" w:cs="宋体" w:eastAsia="宋体" w:hint="default"/>
                <w:sz w:val="18"/>
                <w:szCs w:val="18"/>
              </w:rPr>
            </w:pPr>
            <w:r>
              <w:rPr>
                <w:rFonts w:ascii="宋体" w:hAnsi="宋体" w:cs="宋体" w:eastAsia="宋体" w:hint="default"/>
                <w:sz w:val="18"/>
                <w:szCs w:val="18"/>
              </w:rPr>
              <w:t>固定资产减值损失</w:t>
            </w:r>
          </w:p>
        </w:tc>
        <w:tc>
          <w:tcPr>
            <w:tcW w:w="1414"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nil" w:sz="6" w:space="0" w:color="auto"/>
            </w:tcBorders>
          </w:tcPr>
          <w:p>
            <w:pPr/>
          </w:p>
        </w:tc>
        <w:tc>
          <w:tcPr>
            <w:tcW w:w="1951" w:type="dxa"/>
            <w:tcBorders>
              <w:top w:val="nil" w:sz="6" w:space="0" w:color="auto"/>
              <w:left w:val="nil" w:sz="6" w:space="0" w:color="auto"/>
              <w:bottom w:val="nil" w:sz="6" w:space="0" w:color="auto"/>
              <w:right w:val="nil" w:sz="6" w:space="0" w:color="auto"/>
            </w:tcBorders>
          </w:tcPr>
          <w:p>
            <w:pPr/>
          </w:p>
        </w:tc>
      </w:tr>
      <w:tr>
        <w:trPr>
          <w:trHeight w:val="380" w:hRule="exact"/>
        </w:trPr>
        <w:tc>
          <w:tcPr>
            <w:tcW w:w="264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6" w:right="0"/>
              <w:jc w:val="left"/>
              <w:rPr>
                <w:rFonts w:ascii="宋体" w:hAnsi="宋体" w:cs="宋体" w:eastAsia="宋体" w:hint="default"/>
                <w:sz w:val="18"/>
                <w:szCs w:val="18"/>
              </w:rPr>
            </w:pPr>
            <w:r>
              <w:rPr>
                <w:rFonts w:ascii="宋体" w:hAnsi="宋体" w:cs="宋体" w:eastAsia="宋体" w:hint="default"/>
                <w:sz w:val="18"/>
                <w:szCs w:val="18"/>
              </w:rPr>
              <w:t>工程物资减值损失</w:t>
            </w:r>
          </w:p>
        </w:tc>
        <w:tc>
          <w:tcPr>
            <w:tcW w:w="1414"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nil" w:sz="6" w:space="0" w:color="auto"/>
            </w:tcBorders>
          </w:tcPr>
          <w:p>
            <w:pPr/>
          </w:p>
        </w:tc>
        <w:tc>
          <w:tcPr>
            <w:tcW w:w="1951" w:type="dxa"/>
            <w:tcBorders>
              <w:top w:val="nil" w:sz="6" w:space="0" w:color="auto"/>
              <w:left w:val="nil" w:sz="6" w:space="0" w:color="auto"/>
              <w:bottom w:val="nil" w:sz="6" w:space="0" w:color="auto"/>
              <w:right w:val="nil" w:sz="6" w:space="0" w:color="auto"/>
            </w:tcBorders>
          </w:tcPr>
          <w:p>
            <w:pPr/>
          </w:p>
        </w:tc>
      </w:tr>
      <w:tr>
        <w:trPr>
          <w:trHeight w:val="380" w:hRule="exact"/>
        </w:trPr>
        <w:tc>
          <w:tcPr>
            <w:tcW w:w="264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6" w:right="0"/>
              <w:jc w:val="left"/>
              <w:rPr>
                <w:rFonts w:ascii="宋体" w:hAnsi="宋体" w:cs="宋体" w:eastAsia="宋体" w:hint="default"/>
                <w:sz w:val="18"/>
                <w:szCs w:val="18"/>
              </w:rPr>
            </w:pPr>
            <w:r>
              <w:rPr>
                <w:rFonts w:ascii="宋体" w:hAnsi="宋体" w:cs="宋体" w:eastAsia="宋体" w:hint="default"/>
                <w:sz w:val="18"/>
                <w:szCs w:val="18"/>
              </w:rPr>
              <w:t>在建工程减值损失</w:t>
            </w:r>
          </w:p>
        </w:tc>
        <w:tc>
          <w:tcPr>
            <w:tcW w:w="1414"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nil" w:sz="6" w:space="0" w:color="auto"/>
            </w:tcBorders>
          </w:tcPr>
          <w:p>
            <w:pPr/>
          </w:p>
        </w:tc>
        <w:tc>
          <w:tcPr>
            <w:tcW w:w="1951" w:type="dxa"/>
            <w:tcBorders>
              <w:top w:val="nil" w:sz="6" w:space="0" w:color="auto"/>
              <w:left w:val="nil" w:sz="6" w:space="0" w:color="auto"/>
              <w:bottom w:val="nil" w:sz="6" w:space="0" w:color="auto"/>
              <w:right w:val="nil" w:sz="6" w:space="0" w:color="auto"/>
            </w:tcBorders>
          </w:tcPr>
          <w:p>
            <w:pPr/>
          </w:p>
        </w:tc>
      </w:tr>
      <w:tr>
        <w:trPr>
          <w:trHeight w:val="380" w:hRule="exact"/>
        </w:trPr>
        <w:tc>
          <w:tcPr>
            <w:tcW w:w="264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6" w:right="0"/>
              <w:jc w:val="left"/>
              <w:rPr>
                <w:rFonts w:ascii="宋体" w:hAnsi="宋体" w:cs="宋体" w:eastAsia="宋体" w:hint="default"/>
                <w:sz w:val="18"/>
                <w:szCs w:val="18"/>
              </w:rPr>
            </w:pPr>
            <w:r>
              <w:rPr>
                <w:rFonts w:ascii="宋体" w:hAnsi="宋体" w:cs="宋体" w:eastAsia="宋体" w:hint="default"/>
                <w:sz w:val="18"/>
                <w:szCs w:val="18"/>
              </w:rPr>
              <w:t>无形资产减值损失</w:t>
            </w:r>
          </w:p>
        </w:tc>
        <w:tc>
          <w:tcPr>
            <w:tcW w:w="1414"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nil" w:sz="6" w:space="0" w:color="auto"/>
            </w:tcBorders>
          </w:tcPr>
          <w:p>
            <w:pPr/>
          </w:p>
        </w:tc>
        <w:tc>
          <w:tcPr>
            <w:tcW w:w="1951" w:type="dxa"/>
            <w:tcBorders>
              <w:top w:val="nil" w:sz="6" w:space="0" w:color="auto"/>
              <w:left w:val="nil" w:sz="6" w:space="0" w:color="auto"/>
              <w:bottom w:val="nil" w:sz="6" w:space="0" w:color="auto"/>
              <w:right w:val="nil" w:sz="6" w:space="0" w:color="auto"/>
            </w:tcBorders>
          </w:tcPr>
          <w:p>
            <w:pPr/>
          </w:p>
        </w:tc>
      </w:tr>
      <w:tr>
        <w:trPr>
          <w:trHeight w:val="390" w:hRule="exact"/>
        </w:trPr>
        <w:tc>
          <w:tcPr>
            <w:tcW w:w="264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66" w:right="0"/>
              <w:jc w:val="left"/>
              <w:rPr>
                <w:rFonts w:ascii="宋体" w:hAnsi="宋体" w:cs="宋体" w:eastAsia="宋体" w:hint="default"/>
                <w:sz w:val="18"/>
                <w:szCs w:val="18"/>
              </w:rPr>
            </w:pPr>
            <w:r>
              <w:rPr>
                <w:rFonts w:ascii="宋体" w:hAnsi="宋体" w:cs="宋体" w:eastAsia="宋体" w:hint="default"/>
                <w:sz w:val="18"/>
                <w:szCs w:val="18"/>
              </w:rPr>
              <w:t>商誉减值损失</w:t>
            </w:r>
          </w:p>
        </w:tc>
        <w:tc>
          <w:tcPr>
            <w:tcW w:w="1414"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45"/>
              <w:jc w:val="right"/>
              <w:rPr>
                <w:rFonts w:ascii="Times New Roman" w:hAnsi="Times New Roman" w:cs="Times New Roman" w:eastAsia="Times New Roman" w:hint="default"/>
                <w:sz w:val="18"/>
                <w:szCs w:val="18"/>
              </w:rPr>
            </w:pPr>
            <w:r>
              <w:rPr>
                <w:rFonts w:ascii="Times New Roman"/>
                <w:sz w:val="18"/>
              </w:rPr>
              <w:t>8,981,071</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z w:val="18"/>
              </w:rPr>
              <w:t>17,642,750</w:t>
            </w:r>
          </w:p>
        </w:tc>
      </w:tr>
      <w:tr>
        <w:trPr>
          <w:trHeight w:val="314" w:hRule="exact"/>
        </w:trPr>
        <w:tc>
          <w:tcPr>
            <w:tcW w:w="2641"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right="283"/>
              <w:jc w:val="right"/>
              <w:rPr>
                <w:rFonts w:ascii="宋体" w:hAnsi="宋体" w:cs="宋体" w:eastAsia="宋体" w:hint="default"/>
                <w:sz w:val="18"/>
                <w:szCs w:val="18"/>
              </w:rPr>
            </w:pPr>
            <w:r>
              <w:rPr>
                <w:rFonts w:ascii="宋体" w:hAnsi="宋体" w:cs="宋体" w:eastAsia="宋体" w:hint="default"/>
                <w:sz w:val="18"/>
                <w:szCs w:val="18"/>
              </w:rPr>
              <w:t>合</w:t>
            </w:r>
          </w:p>
        </w:tc>
        <w:tc>
          <w:tcPr>
            <w:tcW w:w="1414"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left="74"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022"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443"/>
              <w:jc w:val="right"/>
              <w:rPr>
                <w:rFonts w:ascii="Times New Roman" w:hAnsi="Times New Roman" w:cs="Times New Roman" w:eastAsia="Times New Roman" w:hint="default"/>
                <w:sz w:val="18"/>
                <w:szCs w:val="18"/>
              </w:rPr>
            </w:pPr>
            <w:r>
              <w:rPr>
                <w:rFonts w:ascii="Times New Roman"/>
                <w:sz w:val="18"/>
              </w:rPr>
              <w:t>41,405,012</w:t>
            </w:r>
          </w:p>
        </w:tc>
        <w:tc>
          <w:tcPr>
            <w:tcW w:w="1951"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104"/>
              <w:jc w:val="right"/>
              <w:rPr>
                <w:rFonts w:ascii="Times New Roman" w:hAnsi="Times New Roman" w:cs="Times New Roman" w:eastAsia="Times New Roman" w:hint="default"/>
                <w:sz w:val="18"/>
                <w:szCs w:val="18"/>
              </w:rPr>
            </w:pPr>
            <w:r>
              <w:rPr>
                <w:rFonts w:ascii="Times New Roman"/>
                <w:sz w:val="18"/>
              </w:rPr>
              <w:t>5,344,100</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03" w:top="1540" w:bottom="1200" w:left="1640" w:right="98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pStyle w:val="Heading6"/>
        <w:spacing w:line="240" w:lineRule="auto"/>
        <w:ind w:left="143" w:right="3559"/>
        <w:jc w:val="left"/>
        <w:rPr>
          <w:b w:val="0"/>
          <w:bCs w:val="0"/>
        </w:rPr>
      </w:pPr>
      <w:r>
        <w:rPr/>
        <w:t>(四十七)营业外收入</w:t>
      </w:r>
      <w:r>
        <w:rPr>
          <w:b w:val="0"/>
          <w:bCs w:val="0"/>
        </w:rPr>
      </w:r>
    </w:p>
    <w:p>
      <w:pPr>
        <w:tabs>
          <w:tab w:pos="1413" w:val="left" w:leader="none"/>
        </w:tabs>
        <w:spacing w:before="94"/>
        <w:ind w:left="875" w:right="3559" w:firstLine="0"/>
        <w:jc w:val="left"/>
        <w:rPr>
          <w:rFonts w:ascii="宋体" w:hAnsi="宋体" w:cs="宋体" w:eastAsia="宋体" w:hint="default"/>
          <w:sz w:val="21"/>
          <w:szCs w:val="21"/>
        </w:rPr>
      </w:pPr>
      <w:r>
        <w:rPr/>
        <w:pict>
          <v:group style="position:absolute;margin-left:118.919998pt;margin-top:20.024118pt;width:413.4pt;height:153pt;mso-position-horizontal-relative:page;mso-position-vertical-relative:paragraph;z-index:-1112824" coordorigin="2378,400" coordsize="8268,3060">
            <v:group style="position:absolute;left:2407;top:415;width:8210;height:2" coordorigin="2407,415" coordsize="8210,2">
              <v:shape style="position:absolute;left:2407;top:415;width:8210;height:2" coordorigin="2407,415" coordsize="8210,0" path="m2407,415l10616,415e" filled="false" stroked="true" strokeweight="1.5pt" strokecolor="#000000">
                <v:path arrowok="t"/>
              </v:shape>
              <v:shape style="position:absolute;left:5284;top:402;width:2771;height:428" type="#_x0000_t75" stroked="false">
                <v:imagedata r:id="rId296" o:title=""/>
              </v:shape>
              <v:shape style="position:absolute;left:2378;top:772;width:8268;height:2688" type="#_x0000_t75" stroked="false">
                <v:imagedata r:id="rId297" o:title=""/>
              </v:shape>
            </v:group>
            <w10:wrap type="none"/>
          </v:group>
        </w:pict>
      </w:r>
      <w:r>
        <w:rPr>
          <w:rFonts w:ascii="宋体" w:hAnsi="宋体" w:cs="宋体" w:eastAsia="宋体" w:hint="default"/>
          <w:b/>
          <w:bCs/>
          <w:w w:val="95"/>
          <w:sz w:val="21"/>
          <w:szCs w:val="21"/>
        </w:rPr>
        <w:t>1、</w:t>
        <w:tab/>
      </w:r>
      <w:r>
        <w:rPr>
          <w:rFonts w:ascii="宋体" w:hAnsi="宋体" w:cs="宋体" w:eastAsia="宋体" w:hint="default"/>
          <w:b/>
          <w:bCs/>
          <w:sz w:val="21"/>
          <w:szCs w:val="21"/>
        </w:rPr>
        <w:t>营业外收入情况</w:t>
      </w:r>
      <w:r>
        <w:rPr>
          <w:rFonts w:ascii="宋体" w:hAnsi="宋体" w:cs="宋体" w:eastAsia="宋体" w:hint="default"/>
          <w:sz w:val="21"/>
          <w:szCs w:val="21"/>
        </w:rPr>
      </w:r>
    </w:p>
    <w:p>
      <w:pPr>
        <w:spacing w:line="240" w:lineRule="auto" w:before="6"/>
        <w:rPr>
          <w:rFonts w:ascii="宋体" w:hAnsi="宋体" w:cs="宋体" w:eastAsia="宋体" w:hint="default"/>
          <w:b/>
          <w:bCs/>
          <w:sz w:val="9"/>
          <w:szCs w:val="9"/>
        </w:rPr>
      </w:pPr>
    </w:p>
    <w:tbl>
      <w:tblPr>
        <w:tblW w:w="0" w:type="auto"/>
        <w:jc w:val="left"/>
        <w:tblInd w:w="752" w:type="dxa"/>
        <w:tblLayout w:type="fixed"/>
        <w:tblCellMar>
          <w:top w:w="0" w:type="dxa"/>
          <w:left w:w="0" w:type="dxa"/>
          <w:bottom w:w="0" w:type="dxa"/>
          <w:right w:w="0" w:type="dxa"/>
        </w:tblCellMar>
        <w:tblLook w:val="01E0"/>
      </w:tblPr>
      <w:tblGrid>
        <w:gridCol w:w="3005"/>
        <w:gridCol w:w="1364"/>
        <w:gridCol w:w="1295"/>
        <w:gridCol w:w="2560"/>
      </w:tblGrid>
      <w:tr>
        <w:trPr>
          <w:trHeight w:val="770" w:hRule="exact"/>
        </w:trPr>
        <w:tc>
          <w:tcPr>
            <w:tcW w:w="3005" w:type="dxa"/>
            <w:tcBorders>
              <w:top w:val="nil" w:sz="6" w:space="0" w:color="auto"/>
              <w:left w:val="nil" w:sz="6" w:space="0" w:color="auto"/>
              <w:bottom w:val="nil" w:sz="6" w:space="0" w:color="auto"/>
              <w:right w:val="nil" w:sz="6" w:space="0" w:color="auto"/>
            </w:tcBorders>
          </w:tcPr>
          <w:p>
            <w:pPr>
              <w:pStyle w:val="TableParagraph"/>
              <w:tabs>
                <w:tab w:pos="1648" w:val="left" w:leader="none"/>
              </w:tabs>
              <w:spacing w:line="386" w:lineRule="auto" w:before="44"/>
              <w:ind w:left="122" w:right="227" w:firstLine="986"/>
              <w:jc w:val="left"/>
              <w:rPr>
                <w:rFonts w:ascii="宋体" w:hAnsi="宋体" w:cs="宋体" w:eastAsia="宋体" w:hint="default"/>
                <w:sz w:val="18"/>
                <w:szCs w:val="18"/>
              </w:rPr>
            </w:pPr>
            <w:r>
              <w:rPr>
                <w:rFonts w:ascii="宋体" w:hAnsi="宋体" w:cs="宋体" w:eastAsia="宋体" w:hint="default"/>
                <w:sz w:val="18"/>
                <w:szCs w:val="18"/>
              </w:rPr>
              <w:t>项</w:t>
              <w:tab/>
              <w:t>目 非流动资产处置利得合计（注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7"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left="338" w:right="0"/>
              <w:jc w:val="left"/>
              <w:rPr>
                <w:rFonts w:ascii="Times New Roman" w:hAnsi="Times New Roman" w:cs="Times New Roman" w:eastAsia="Times New Roman" w:hint="default"/>
                <w:sz w:val="18"/>
                <w:szCs w:val="18"/>
              </w:rPr>
            </w:pPr>
            <w:r>
              <w:rPr>
                <w:rFonts w:ascii="Times New Roman"/>
                <w:sz w:val="18"/>
              </w:rPr>
              <w:t>21,660,226</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4"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left="339" w:right="0"/>
              <w:jc w:val="left"/>
              <w:rPr>
                <w:rFonts w:ascii="Times New Roman" w:hAnsi="Times New Roman" w:cs="Times New Roman" w:eastAsia="Times New Roman" w:hint="default"/>
                <w:sz w:val="18"/>
                <w:szCs w:val="18"/>
              </w:rPr>
            </w:pPr>
            <w:r>
              <w:rPr>
                <w:rFonts w:ascii="Times New Roman"/>
                <w:sz w:val="18"/>
              </w:rPr>
              <w:t>18,735,735</w:t>
            </w:r>
          </w:p>
        </w:tc>
        <w:tc>
          <w:tcPr>
            <w:tcW w:w="256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4" w:right="0"/>
              <w:jc w:val="left"/>
              <w:rPr>
                <w:rFonts w:ascii="宋体" w:hAnsi="宋体" w:cs="宋体" w:eastAsia="宋体" w:hint="default"/>
                <w:sz w:val="18"/>
                <w:szCs w:val="18"/>
              </w:rPr>
            </w:pPr>
            <w:r>
              <w:rPr>
                <w:rFonts w:ascii="宋体" w:hAnsi="宋体" w:cs="宋体" w:eastAsia="宋体" w:hint="default"/>
                <w:sz w:val="18"/>
                <w:szCs w:val="18"/>
              </w:rPr>
              <w:t>计入当期非经常性损益的金额</w:t>
            </w: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left="1638" w:right="0"/>
              <w:jc w:val="left"/>
              <w:rPr>
                <w:rFonts w:ascii="Times New Roman" w:hAnsi="Times New Roman" w:cs="Times New Roman" w:eastAsia="Times New Roman" w:hint="default"/>
                <w:sz w:val="18"/>
                <w:szCs w:val="18"/>
              </w:rPr>
            </w:pPr>
            <w:r>
              <w:rPr>
                <w:rFonts w:ascii="Times New Roman"/>
                <w:sz w:val="18"/>
              </w:rPr>
              <w:t>21,660,226</w:t>
            </w:r>
          </w:p>
        </w:tc>
      </w:tr>
      <w:tr>
        <w:trPr>
          <w:trHeight w:val="380" w:hRule="exact"/>
        </w:trPr>
        <w:tc>
          <w:tcPr>
            <w:tcW w:w="300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其中：处置固定资产利得</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13"/>
              <w:jc w:val="right"/>
              <w:rPr>
                <w:rFonts w:ascii="Times New Roman" w:hAnsi="Times New Roman" w:cs="Times New Roman" w:eastAsia="Times New Roman" w:hint="default"/>
                <w:sz w:val="18"/>
                <w:szCs w:val="18"/>
              </w:rPr>
            </w:pPr>
            <w:r>
              <w:rPr>
                <w:rFonts w:ascii="Times New Roman"/>
                <w:sz w:val="18"/>
              </w:rPr>
              <w:t>2,380,226</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43"/>
              <w:jc w:val="right"/>
              <w:rPr>
                <w:rFonts w:ascii="Times New Roman" w:hAnsi="Times New Roman" w:cs="Times New Roman" w:eastAsia="Times New Roman" w:hint="default"/>
                <w:sz w:val="18"/>
                <w:szCs w:val="18"/>
              </w:rPr>
            </w:pPr>
            <w:r>
              <w:rPr>
                <w:rFonts w:ascii="Times New Roman"/>
                <w:sz w:val="18"/>
              </w:rPr>
              <w:t>302,620</w:t>
            </w:r>
          </w:p>
        </w:tc>
        <w:tc>
          <w:tcPr>
            <w:tcW w:w="256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8"/>
                <w:szCs w:val="18"/>
              </w:rPr>
            </w:pPr>
            <w:r>
              <w:rPr>
                <w:rFonts w:ascii="Times New Roman"/>
                <w:sz w:val="18"/>
              </w:rPr>
              <w:t>2,380,226</w:t>
            </w:r>
          </w:p>
        </w:tc>
      </w:tr>
      <w:tr>
        <w:trPr>
          <w:trHeight w:val="380" w:hRule="exact"/>
        </w:trPr>
        <w:tc>
          <w:tcPr>
            <w:tcW w:w="300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662" w:right="0"/>
              <w:jc w:val="left"/>
              <w:rPr>
                <w:rFonts w:ascii="宋体" w:hAnsi="宋体" w:cs="宋体" w:eastAsia="宋体" w:hint="default"/>
                <w:sz w:val="18"/>
                <w:szCs w:val="18"/>
              </w:rPr>
            </w:pPr>
            <w:r>
              <w:rPr>
                <w:rFonts w:ascii="宋体" w:hAnsi="宋体" w:cs="宋体" w:eastAsia="宋体" w:hint="default"/>
                <w:sz w:val="18"/>
                <w:szCs w:val="18"/>
              </w:rPr>
              <w:t>处置无形资产利得</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12"/>
              <w:jc w:val="right"/>
              <w:rPr>
                <w:rFonts w:ascii="Times New Roman" w:hAnsi="Times New Roman" w:cs="Times New Roman" w:eastAsia="Times New Roman" w:hint="default"/>
                <w:sz w:val="18"/>
                <w:szCs w:val="18"/>
              </w:rPr>
            </w:pPr>
            <w:r>
              <w:rPr>
                <w:rFonts w:ascii="Times New Roman"/>
                <w:sz w:val="18"/>
              </w:rPr>
              <w:t>19,280,000</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43"/>
              <w:jc w:val="right"/>
              <w:rPr>
                <w:rFonts w:ascii="Times New Roman" w:hAnsi="Times New Roman" w:cs="Times New Roman" w:eastAsia="Times New Roman" w:hint="default"/>
                <w:sz w:val="18"/>
                <w:szCs w:val="18"/>
              </w:rPr>
            </w:pPr>
            <w:r>
              <w:rPr>
                <w:rFonts w:ascii="Times New Roman"/>
                <w:spacing w:val="-1"/>
                <w:sz w:val="18"/>
              </w:rPr>
              <w:t>18,433,115</w:t>
            </w:r>
          </w:p>
        </w:tc>
        <w:tc>
          <w:tcPr>
            <w:tcW w:w="256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8"/>
                <w:szCs w:val="18"/>
              </w:rPr>
            </w:pPr>
            <w:r>
              <w:rPr>
                <w:rFonts w:ascii="Times New Roman"/>
                <w:sz w:val="18"/>
              </w:rPr>
              <w:t>19,280,000</w:t>
            </w:r>
          </w:p>
        </w:tc>
      </w:tr>
      <w:tr>
        <w:trPr>
          <w:trHeight w:val="380" w:hRule="exact"/>
        </w:trPr>
        <w:tc>
          <w:tcPr>
            <w:tcW w:w="300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12"/>
              <w:jc w:val="right"/>
              <w:rPr>
                <w:rFonts w:ascii="Times New Roman" w:hAnsi="Times New Roman" w:cs="Times New Roman" w:eastAsia="Times New Roman" w:hint="default"/>
                <w:sz w:val="18"/>
                <w:szCs w:val="18"/>
              </w:rPr>
            </w:pPr>
            <w:r>
              <w:rPr>
                <w:rFonts w:ascii="Times New Roman"/>
                <w:sz w:val="18"/>
              </w:rPr>
              <w:t>105,173,354</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43"/>
              <w:jc w:val="right"/>
              <w:rPr>
                <w:rFonts w:ascii="Times New Roman" w:hAnsi="Times New Roman" w:cs="Times New Roman" w:eastAsia="Times New Roman" w:hint="default"/>
                <w:sz w:val="18"/>
                <w:szCs w:val="18"/>
              </w:rPr>
            </w:pPr>
            <w:r>
              <w:rPr>
                <w:rFonts w:ascii="Times New Roman"/>
                <w:sz w:val="18"/>
              </w:rPr>
              <w:t>109,335,552</w:t>
            </w:r>
          </w:p>
        </w:tc>
        <w:tc>
          <w:tcPr>
            <w:tcW w:w="256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8"/>
                <w:szCs w:val="18"/>
              </w:rPr>
            </w:pPr>
            <w:r>
              <w:rPr>
                <w:rFonts w:ascii="Times New Roman"/>
                <w:sz w:val="18"/>
              </w:rPr>
              <w:t>105,173,354</w:t>
            </w:r>
          </w:p>
        </w:tc>
      </w:tr>
      <w:tr>
        <w:trPr>
          <w:trHeight w:val="380" w:hRule="exact"/>
        </w:trPr>
        <w:tc>
          <w:tcPr>
            <w:tcW w:w="300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增值税返还</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12"/>
              <w:jc w:val="right"/>
              <w:rPr>
                <w:rFonts w:ascii="Times New Roman" w:hAnsi="Times New Roman" w:cs="Times New Roman" w:eastAsia="Times New Roman" w:hint="default"/>
                <w:sz w:val="18"/>
                <w:szCs w:val="18"/>
              </w:rPr>
            </w:pPr>
            <w:r>
              <w:rPr>
                <w:rFonts w:ascii="Times New Roman"/>
                <w:sz w:val="18"/>
              </w:rPr>
              <w:t>32,253,175</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43"/>
              <w:jc w:val="right"/>
              <w:rPr>
                <w:rFonts w:ascii="Times New Roman" w:hAnsi="Times New Roman" w:cs="Times New Roman" w:eastAsia="Times New Roman" w:hint="default"/>
                <w:sz w:val="18"/>
                <w:szCs w:val="18"/>
              </w:rPr>
            </w:pPr>
            <w:r>
              <w:rPr>
                <w:rFonts w:ascii="Times New Roman"/>
                <w:sz w:val="18"/>
              </w:rPr>
              <w:t>29,001,189</w:t>
            </w:r>
          </w:p>
        </w:tc>
        <w:tc>
          <w:tcPr>
            <w:tcW w:w="2560" w:type="dxa"/>
            <w:tcBorders>
              <w:top w:val="nil" w:sz="6" w:space="0" w:color="auto"/>
              <w:left w:val="nil" w:sz="6" w:space="0" w:color="auto"/>
              <w:bottom w:val="nil" w:sz="6" w:space="0" w:color="auto"/>
              <w:right w:val="nil" w:sz="6" w:space="0" w:color="auto"/>
            </w:tcBorders>
          </w:tcPr>
          <w:p>
            <w:pPr/>
          </w:p>
        </w:tc>
      </w:tr>
      <w:tr>
        <w:trPr>
          <w:trHeight w:val="380" w:hRule="exact"/>
        </w:trPr>
        <w:tc>
          <w:tcPr>
            <w:tcW w:w="300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18"/>
                <w:szCs w:val="18"/>
              </w:rPr>
            </w:pPr>
            <w:r>
              <w:rPr>
                <w:rFonts w:ascii="宋体" w:hAnsi="宋体" w:cs="宋体" w:eastAsia="宋体" w:hint="default"/>
                <w:sz w:val="18"/>
                <w:szCs w:val="18"/>
              </w:rPr>
              <w:t>其他（注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12"/>
              <w:jc w:val="right"/>
              <w:rPr>
                <w:rFonts w:ascii="Times New Roman" w:hAnsi="Times New Roman" w:cs="Times New Roman" w:eastAsia="Times New Roman" w:hint="default"/>
                <w:sz w:val="18"/>
                <w:szCs w:val="18"/>
              </w:rPr>
            </w:pPr>
            <w:r>
              <w:rPr>
                <w:rFonts w:ascii="Times New Roman"/>
                <w:sz w:val="18"/>
              </w:rPr>
              <w:t>28,999,199</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43"/>
              <w:jc w:val="right"/>
              <w:rPr>
                <w:rFonts w:ascii="Times New Roman" w:hAnsi="Times New Roman" w:cs="Times New Roman" w:eastAsia="Times New Roman" w:hint="default"/>
                <w:sz w:val="18"/>
                <w:szCs w:val="18"/>
              </w:rPr>
            </w:pPr>
            <w:r>
              <w:rPr>
                <w:rFonts w:ascii="Times New Roman"/>
                <w:sz w:val="18"/>
              </w:rPr>
              <w:t>3,748,580</w:t>
            </w:r>
          </w:p>
        </w:tc>
        <w:tc>
          <w:tcPr>
            <w:tcW w:w="256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8"/>
                <w:szCs w:val="18"/>
              </w:rPr>
            </w:pPr>
            <w:r>
              <w:rPr>
                <w:rFonts w:ascii="Times New Roman"/>
                <w:sz w:val="18"/>
              </w:rPr>
              <w:t>28,999,199</w:t>
            </w:r>
          </w:p>
        </w:tc>
      </w:tr>
      <w:tr>
        <w:trPr>
          <w:trHeight w:val="313" w:hRule="exact"/>
        </w:trPr>
        <w:tc>
          <w:tcPr>
            <w:tcW w:w="3005" w:type="dxa"/>
            <w:tcBorders>
              <w:top w:val="nil" w:sz="6" w:space="0" w:color="auto"/>
              <w:left w:val="nil" w:sz="6" w:space="0" w:color="auto"/>
              <w:bottom w:val="single" w:sz="12" w:space="0" w:color="000000"/>
              <w:right w:val="nil" w:sz="6" w:space="0" w:color="auto"/>
            </w:tcBorders>
          </w:tcPr>
          <w:p>
            <w:pPr>
              <w:pStyle w:val="TableParagraph"/>
              <w:tabs>
                <w:tab w:pos="539" w:val="left" w:leader="none"/>
              </w:tabs>
              <w:spacing w:line="240" w:lineRule="auto" w:before="35"/>
              <w:ind w:right="65"/>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364"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212"/>
              <w:jc w:val="right"/>
              <w:rPr>
                <w:rFonts w:ascii="Times New Roman" w:hAnsi="Times New Roman" w:cs="Times New Roman" w:eastAsia="Times New Roman" w:hint="default"/>
                <w:sz w:val="18"/>
                <w:szCs w:val="18"/>
              </w:rPr>
            </w:pPr>
            <w:r>
              <w:rPr>
                <w:rFonts w:ascii="Times New Roman"/>
                <w:sz w:val="18"/>
              </w:rPr>
              <w:t>188,085,954</w:t>
            </w:r>
          </w:p>
        </w:tc>
        <w:tc>
          <w:tcPr>
            <w:tcW w:w="1295"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142"/>
              <w:jc w:val="right"/>
              <w:rPr>
                <w:rFonts w:ascii="Times New Roman" w:hAnsi="Times New Roman" w:cs="Times New Roman" w:eastAsia="Times New Roman" w:hint="default"/>
                <w:sz w:val="18"/>
                <w:szCs w:val="18"/>
              </w:rPr>
            </w:pPr>
            <w:r>
              <w:rPr>
                <w:rFonts w:ascii="Times New Roman"/>
                <w:sz w:val="18"/>
              </w:rPr>
              <w:t>160,821,056</w:t>
            </w:r>
          </w:p>
        </w:tc>
        <w:tc>
          <w:tcPr>
            <w:tcW w:w="2560"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8"/>
                <w:szCs w:val="18"/>
              </w:rPr>
            </w:pPr>
            <w:r>
              <w:rPr>
                <w:rFonts w:ascii="Times New Roman"/>
                <w:sz w:val="18"/>
              </w:rPr>
              <w:t>155,832,779</w:t>
            </w:r>
          </w:p>
        </w:tc>
      </w:tr>
    </w:tbl>
    <w:p>
      <w:pPr>
        <w:pStyle w:val="BodyText"/>
        <w:spacing w:line="324" w:lineRule="auto" w:before="48"/>
        <w:ind w:left="875" w:right="137"/>
        <w:jc w:val="left"/>
      </w:pPr>
      <w:r>
        <w:rPr/>
        <w:t>注</w:t>
      </w:r>
      <w:r>
        <w:rPr>
          <w:spacing w:val="-31"/>
        </w:rPr>
        <w:t> </w:t>
      </w:r>
      <w:r>
        <w:rPr>
          <w:spacing w:val="-3"/>
        </w:rPr>
        <w:t>1：本期非流动资产处置利得主要是本公司之子公司沈阳东软医疗系统有限公司向南昌百</w:t>
      </w:r>
      <w:r>
        <w:rPr>
          <w:spacing w:val="-101"/>
        </w:rPr>
        <w:t> </w:t>
      </w:r>
      <w:r>
        <w:rPr>
          <w:spacing w:val="-101"/>
        </w:rPr>
      </w:r>
      <w:r>
        <w:rPr/>
        <w:t>特生物高新技术股份有限公司出售专利技术、非专利技术等取得转让收益</w:t>
      </w:r>
      <w:r>
        <w:rPr>
          <w:spacing w:val="-53"/>
        </w:rPr>
        <w:t> </w:t>
      </w:r>
      <w:r>
        <w:rPr/>
        <w:t>1,928</w:t>
      </w:r>
      <w:r>
        <w:rPr>
          <w:spacing w:val="-53"/>
        </w:rPr>
        <w:t> </w:t>
      </w:r>
      <w:r>
        <w:rPr/>
        <w:t>万元。</w:t>
      </w:r>
    </w:p>
    <w:p>
      <w:pPr>
        <w:pStyle w:val="BodyText"/>
        <w:spacing w:line="321" w:lineRule="auto" w:before="21"/>
        <w:ind w:left="875" w:right="136"/>
        <w:jc w:val="left"/>
      </w:pPr>
      <w:r>
        <w:rPr/>
        <w:t>注 2：本期本公司用无形资产-技术使用权出资，认购美国 Appconomy,</w:t>
      </w:r>
      <w:r>
        <w:rPr>
          <w:spacing w:val="-42"/>
        </w:rPr>
        <w:t> </w:t>
      </w:r>
      <w:r>
        <w:rPr/>
        <w:t>Inc.股权，双方参</w:t>
      </w:r>
      <w:r>
        <w:rPr/>
        <w:t> 照评估价格确认无形资产的转让价格，确认营业外收入</w:t>
      </w:r>
      <w:r>
        <w:rPr>
          <w:spacing w:val="-53"/>
        </w:rPr>
        <w:t> </w:t>
      </w:r>
      <w:r>
        <w:rPr/>
        <w:t>2,493</w:t>
      </w:r>
      <w:r>
        <w:rPr>
          <w:spacing w:val="-52"/>
        </w:rPr>
        <w:t> </w:t>
      </w:r>
      <w:r>
        <w:rPr/>
        <w:t>万元。</w:t>
      </w:r>
    </w:p>
    <w:p>
      <w:pPr>
        <w:spacing w:line="240" w:lineRule="auto" w:before="0"/>
        <w:rPr>
          <w:rFonts w:ascii="宋体" w:hAnsi="宋体" w:cs="宋体" w:eastAsia="宋体" w:hint="default"/>
          <w:sz w:val="20"/>
          <w:szCs w:val="20"/>
        </w:rPr>
      </w:pPr>
    </w:p>
    <w:p>
      <w:pPr>
        <w:pStyle w:val="Heading6"/>
        <w:tabs>
          <w:tab w:pos="1413" w:val="left" w:leader="none"/>
        </w:tabs>
        <w:spacing w:line="240" w:lineRule="auto" w:before="132"/>
        <w:ind w:left="875" w:right="3559"/>
        <w:jc w:val="left"/>
        <w:rPr>
          <w:b w:val="0"/>
          <w:bCs w:val="0"/>
        </w:rPr>
      </w:pPr>
      <w:r>
        <w:rPr/>
        <w:pict>
          <v:group style="position:absolute;margin-left:123.300003pt;margin-top:21.924271pt;width:409.6pt;height:134.050pt;mso-position-horizontal-relative:page;mso-position-vertical-relative:paragraph;z-index:-1112800" coordorigin="2466,438" coordsize="8192,2681">
            <v:group style="position:absolute;left:2485;top:453;width:8146;height:2" coordorigin="2485,453" coordsize="8146,2">
              <v:shape style="position:absolute;left:2485;top:453;width:8146;height:2" coordorigin="2485,453" coordsize="8146,0" path="m2485,453l10631,453e" filled="false" stroked="true" strokeweight="1.5pt" strokecolor="#000000">
                <v:path arrowok="t"/>
              </v:shape>
              <v:shape style="position:absolute;left:5124;top:440;width:2960;height:428" type="#_x0000_t75" stroked="false">
                <v:imagedata r:id="rId298" o:title=""/>
              </v:shape>
              <v:shape style="position:absolute;left:2466;top:820;width:8191;height:2299" type="#_x0000_t75" stroked="false">
                <v:imagedata r:id="rId299" o:title=""/>
              </v:shape>
            </v:group>
            <w10:wrap type="none"/>
          </v:group>
        </w:pict>
      </w:r>
      <w:r>
        <w:rPr>
          <w:w w:val="95"/>
        </w:rPr>
        <w:t>2、</w:t>
        <w:tab/>
      </w:r>
      <w:r>
        <w:rPr/>
        <w:t>政府补助明细</w:t>
      </w:r>
      <w:r>
        <w:rPr>
          <w:b w:val="0"/>
          <w:bCs w:val="0"/>
        </w:rPr>
      </w:r>
    </w:p>
    <w:p>
      <w:pPr>
        <w:spacing w:line="240" w:lineRule="auto" w:before="6"/>
        <w:rPr>
          <w:rFonts w:ascii="宋体" w:hAnsi="宋体" w:cs="宋体" w:eastAsia="宋体" w:hint="default"/>
          <w:b/>
          <w:bCs/>
          <w:sz w:val="9"/>
          <w:szCs w:val="9"/>
        </w:rPr>
      </w:pPr>
    </w:p>
    <w:tbl>
      <w:tblPr>
        <w:tblW w:w="0" w:type="auto"/>
        <w:jc w:val="left"/>
        <w:tblInd w:w="108" w:type="dxa"/>
        <w:tblLayout w:type="fixed"/>
        <w:tblCellMar>
          <w:top w:w="0" w:type="dxa"/>
          <w:left w:w="0" w:type="dxa"/>
          <w:bottom w:w="0" w:type="dxa"/>
          <w:right w:w="0" w:type="dxa"/>
        </w:tblCellMar>
        <w:tblLook w:val="01E0"/>
      </w:tblPr>
      <w:tblGrid>
        <w:gridCol w:w="3490"/>
        <w:gridCol w:w="1550"/>
        <w:gridCol w:w="1307"/>
        <w:gridCol w:w="2535"/>
        <w:gridCol w:w="101"/>
      </w:tblGrid>
      <w:tr>
        <w:trPr>
          <w:trHeight w:val="770" w:hRule="exact"/>
        </w:trPr>
        <w:tc>
          <w:tcPr>
            <w:tcW w:w="3490" w:type="dxa"/>
            <w:tcBorders>
              <w:top w:val="nil" w:sz="6" w:space="0" w:color="auto"/>
              <w:left w:val="nil" w:sz="6" w:space="0" w:color="auto"/>
              <w:bottom w:val="nil" w:sz="6" w:space="0" w:color="auto"/>
              <w:right w:val="nil" w:sz="6" w:space="0" w:color="auto"/>
            </w:tcBorders>
          </w:tcPr>
          <w:p>
            <w:pPr>
              <w:pStyle w:val="TableParagraph"/>
              <w:tabs>
                <w:tab w:pos="1194" w:val="left" w:leader="none"/>
              </w:tabs>
              <w:spacing w:line="240" w:lineRule="auto" w:before="44"/>
              <w:ind w:left="654" w:right="0"/>
              <w:jc w:val="center"/>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145"/>
              <w:ind w:left="473"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）计入当期损益的科研拨款</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93"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left="547" w:right="0"/>
              <w:jc w:val="left"/>
              <w:rPr>
                <w:rFonts w:ascii="Times New Roman" w:hAnsi="Times New Roman" w:cs="Times New Roman" w:eastAsia="Times New Roman" w:hint="default"/>
                <w:sz w:val="18"/>
                <w:szCs w:val="18"/>
              </w:rPr>
            </w:pPr>
            <w:r>
              <w:rPr>
                <w:rFonts w:ascii="Times New Roman"/>
                <w:sz w:val="18"/>
              </w:rPr>
              <w:t>58,128,282</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0"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left="422" w:right="0"/>
              <w:jc w:val="left"/>
              <w:rPr>
                <w:rFonts w:ascii="Times New Roman" w:hAnsi="Times New Roman" w:cs="Times New Roman" w:eastAsia="Times New Roman" w:hint="default"/>
                <w:sz w:val="18"/>
                <w:szCs w:val="18"/>
              </w:rPr>
            </w:pPr>
            <w:r>
              <w:rPr>
                <w:rFonts w:ascii="Times New Roman"/>
                <w:sz w:val="18"/>
              </w:rPr>
              <w:t>53,518,252</w:t>
            </w:r>
          </w:p>
        </w:tc>
        <w:tc>
          <w:tcPr>
            <w:tcW w:w="253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9"/>
              <w:jc w:val="right"/>
              <w:rPr>
                <w:rFonts w:ascii="宋体" w:hAnsi="宋体" w:cs="宋体" w:eastAsia="宋体" w:hint="default"/>
                <w:sz w:val="18"/>
                <w:szCs w:val="18"/>
              </w:rPr>
            </w:pPr>
            <w:r>
              <w:rPr>
                <w:rFonts w:ascii="宋体" w:hAnsi="宋体" w:cs="宋体" w:eastAsia="宋体" w:hint="default"/>
                <w:sz w:val="18"/>
                <w:szCs w:val="18"/>
              </w:rPr>
              <w:t>计入当期非经常性损益的金额</w:t>
            </w: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z w:val="18"/>
              </w:rPr>
              <w:t>58,128,282</w:t>
            </w:r>
          </w:p>
        </w:tc>
        <w:tc>
          <w:tcPr>
            <w:tcW w:w="101" w:type="dxa"/>
            <w:tcBorders>
              <w:top w:val="nil" w:sz="6" w:space="0" w:color="auto"/>
              <w:left w:val="nil" w:sz="6" w:space="0" w:color="auto"/>
              <w:bottom w:val="nil" w:sz="6" w:space="0" w:color="auto"/>
              <w:right w:val="nil" w:sz="6" w:space="0" w:color="auto"/>
            </w:tcBorders>
          </w:tcPr>
          <w:p>
            <w:pPr/>
          </w:p>
        </w:tc>
      </w:tr>
      <w:tr>
        <w:trPr>
          <w:trHeight w:val="380" w:hRule="exact"/>
        </w:trPr>
        <w:tc>
          <w:tcPr>
            <w:tcW w:w="349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6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）服务外包业务发展基金</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88"/>
              <w:jc w:val="right"/>
              <w:rPr>
                <w:rFonts w:ascii="Times New Roman" w:hAnsi="Times New Roman" w:cs="Times New Roman" w:eastAsia="Times New Roman" w:hint="default"/>
                <w:sz w:val="18"/>
                <w:szCs w:val="18"/>
              </w:rPr>
            </w:pPr>
            <w:r>
              <w:rPr>
                <w:rFonts w:ascii="Times New Roman"/>
                <w:sz w:val="18"/>
              </w:rPr>
              <w:t>28,066,200</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72"/>
              <w:jc w:val="right"/>
              <w:rPr>
                <w:rFonts w:ascii="Times New Roman" w:hAnsi="Times New Roman" w:cs="Times New Roman" w:eastAsia="Times New Roman" w:hint="default"/>
                <w:sz w:val="18"/>
                <w:szCs w:val="18"/>
              </w:rPr>
            </w:pPr>
            <w:r>
              <w:rPr>
                <w:rFonts w:ascii="Times New Roman"/>
                <w:sz w:val="18"/>
              </w:rPr>
              <w:t>32,298,300</w:t>
            </w:r>
          </w:p>
        </w:tc>
        <w:tc>
          <w:tcPr>
            <w:tcW w:w="253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9"/>
              <w:jc w:val="right"/>
              <w:rPr>
                <w:rFonts w:ascii="Times New Roman" w:hAnsi="Times New Roman" w:cs="Times New Roman" w:eastAsia="Times New Roman" w:hint="default"/>
                <w:sz w:val="18"/>
                <w:szCs w:val="18"/>
              </w:rPr>
            </w:pPr>
            <w:r>
              <w:rPr>
                <w:rFonts w:ascii="Times New Roman"/>
                <w:sz w:val="18"/>
              </w:rPr>
              <w:t>28,066,200</w:t>
            </w:r>
          </w:p>
        </w:tc>
        <w:tc>
          <w:tcPr>
            <w:tcW w:w="101" w:type="dxa"/>
            <w:tcBorders>
              <w:top w:val="nil" w:sz="6" w:space="0" w:color="auto"/>
              <w:left w:val="nil" w:sz="6" w:space="0" w:color="auto"/>
              <w:bottom w:val="nil" w:sz="6" w:space="0" w:color="auto"/>
              <w:right w:val="nil" w:sz="6" w:space="0" w:color="auto"/>
            </w:tcBorders>
          </w:tcPr>
          <w:p>
            <w:pPr/>
          </w:p>
        </w:tc>
      </w:tr>
      <w:tr>
        <w:trPr>
          <w:trHeight w:val="380" w:hRule="exact"/>
        </w:trPr>
        <w:tc>
          <w:tcPr>
            <w:tcW w:w="349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76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）产业扶植基金</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88"/>
              <w:jc w:val="right"/>
              <w:rPr>
                <w:rFonts w:ascii="Times New Roman" w:hAnsi="Times New Roman" w:cs="Times New Roman" w:eastAsia="Times New Roman" w:hint="default"/>
                <w:sz w:val="18"/>
                <w:szCs w:val="18"/>
              </w:rPr>
            </w:pPr>
            <w:r>
              <w:rPr>
                <w:rFonts w:ascii="Times New Roman"/>
                <w:sz w:val="18"/>
              </w:rPr>
              <w:t>3,598,709</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71"/>
              <w:jc w:val="right"/>
              <w:rPr>
                <w:rFonts w:ascii="Times New Roman" w:hAnsi="Times New Roman" w:cs="Times New Roman" w:eastAsia="Times New Roman" w:hint="default"/>
                <w:sz w:val="18"/>
                <w:szCs w:val="18"/>
              </w:rPr>
            </w:pPr>
            <w:r>
              <w:rPr>
                <w:rFonts w:ascii="Times New Roman"/>
                <w:sz w:val="18"/>
              </w:rPr>
              <w:t>6,466,991</w:t>
            </w:r>
          </w:p>
        </w:tc>
        <w:tc>
          <w:tcPr>
            <w:tcW w:w="253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9"/>
              <w:jc w:val="right"/>
              <w:rPr>
                <w:rFonts w:ascii="Times New Roman" w:hAnsi="Times New Roman" w:cs="Times New Roman" w:eastAsia="Times New Roman" w:hint="default"/>
                <w:sz w:val="18"/>
                <w:szCs w:val="18"/>
              </w:rPr>
            </w:pPr>
            <w:r>
              <w:rPr>
                <w:rFonts w:ascii="Times New Roman"/>
                <w:sz w:val="18"/>
              </w:rPr>
              <w:t>3,598,709</w:t>
            </w:r>
          </w:p>
        </w:tc>
        <w:tc>
          <w:tcPr>
            <w:tcW w:w="101" w:type="dxa"/>
            <w:tcBorders>
              <w:top w:val="nil" w:sz="6" w:space="0" w:color="auto"/>
              <w:left w:val="nil" w:sz="6" w:space="0" w:color="auto"/>
              <w:bottom w:val="nil" w:sz="6" w:space="0" w:color="auto"/>
              <w:right w:val="nil" w:sz="6" w:space="0" w:color="auto"/>
            </w:tcBorders>
          </w:tcPr>
          <w:p>
            <w:pPr/>
          </w:p>
        </w:tc>
      </w:tr>
      <w:tr>
        <w:trPr>
          <w:trHeight w:val="380" w:hRule="exact"/>
        </w:trPr>
        <w:tc>
          <w:tcPr>
            <w:tcW w:w="349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6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）财政贴息</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88"/>
              <w:jc w:val="right"/>
              <w:rPr>
                <w:rFonts w:ascii="Times New Roman" w:hAnsi="Times New Roman" w:cs="Times New Roman" w:eastAsia="Times New Roman" w:hint="default"/>
                <w:sz w:val="18"/>
                <w:szCs w:val="18"/>
              </w:rPr>
            </w:pPr>
            <w:r>
              <w:rPr>
                <w:rFonts w:ascii="Times New Roman"/>
                <w:sz w:val="18"/>
              </w:rPr>
              <w:t>2,416,600</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71"/>
              <w:jc w:val="right"/>
              <w:rPr>
                <w:rFonts w:ascii="Times New Roman" w:hAnsi="Times New Roman" w:cs="Times New Roman" w:eastAsia="Times New Roman" w:hint="default"/>
                <w:sz w:val="18"/>
                <w:szCs w:val="18"/>
              </w:rPr>
            </w:pPr>
            <w:r>
              <w:rPr>
                <w:rFonts w:ascii="Times New Roman"/>
                <w:sz w:val="18"/>
              </w:rPr>
              <w:t>4,274,100</w:t>
            </w:r>
          </w:p>
        </w:tc>
        <w:tc>
          <w:tcPr>
            <w:tcW w:w="253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9"/>
              <w:jc w:val="right"/>
              <w:rPr>
                <w:rFonts w:ascii="Times New Roman" w:hAnsi="Times New Roman" w:cs="Times New Roman" w:eastAsia="Times New Roman" w:hint="default"/>
                <w:sz w:val="18"/>
                <w:szCs w:val="18"/>
              </w:rPr>
            </w:pPr>
            <w:r>
              <w:rPr>
                <w:rFonts w:ascii="Times New Roman"/>
                <w:sz w:val="18"/>
              </w:rPr>
              <w:t>2,416,600</w:t>
            </w:r>
          </w:p>
        </w:tc>
        <w:tc>
          <w:tcPr>
            <w:tcW w:w="101" w:type="dxa"/>
            <w:tcBorders>
              <w:top w:val="nil" w:sz="6" w:space="0" w:color="auto"/>
              <w:left w:val="nil" w:sz="6" w:space="0" w:color="auto"/>
              <w:bottom w:val="nil" w:sz="6" w:space="0" w:color="auto"/>
              <w:right w:val="nil" w:sz="6" w:space="0" w:color="auto"/>
            </w:tcBorders>
          </w:tcPr>
          <w:p>
            <w:pPr/>
          </w:p>
        </w:tc>
      </w:tr>
      <w:tr>
        <w:trPr>
          <w:trHeight w:val="380" w:hRule="exact"/>
        </w:trPr>
        <w:tc>
          <w:tcPr>
            <w:tcW w:w="349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6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）其他政府补助</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88"/>
              <w:jc w:val="right"/>
              <w:rPr>
                <w:rFonts w:ascii="Times New Roman" w:hAnsi="Times New Roman" w:cs="Times New Roman" w:eastAsia="Times New Roman" w:hint="default"/>
                <w:sz w:val="18"/>
                <w:szCs w:val="18"/>
              </w:rPr>
            </w:pPr>
            <w:r>
              <w:rPr>
                <w:rFonts w:ascii="Times New Roman"/>
                <w:sz w:val="18"/>
              </w:rPr>
              <w:t>12,963,563</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72"/>
              <w:jc w:val="right"/>
              <w:rPr>
                <w:rFonts w:ascii="Times New Roman" w:hAnsi="Times New Roman" w:cs="Times New Roman" w:eastAsia="Times New Roman" w:hint="default"/>
                <w:sz w:val="18"/>
                <w:szCs w:val="18"/>
              </w:rPr>
            </w:pPr>
            <w:r>
              <w:rPr>
                <w:rFonts w:ascii="Times New Roman"/>
                <w:sz w:val="18"/>
              </w:rPr>
              <w:t>12,777,909</w:t>
            </w:r>
          </w:p>
        </w:tc>
        <w:tc>
          <w:tcPr>
            <w:tcW w:w="253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9"/>
              <w:jc w:val="right"/>
              <w:rPr>
                <w:rFonts w:ascii="Times New Roman" w:hAnsi="Times New Roman" w:cs="Times New Roman" w:eastAsia="Times New Roman" w:hint="default"/>
                <w:sz w:val="18"/>
                <w:szCs w:val="18"/>
              </w:rPr>
            </w:pPr>
            <w:r>
              <w:rPr>
                <w:rFonts w:ascii="Times New Roman"/>
                <w:sz w:val="18"/>
              </w:rPr>
              <w:t>12,963,563</w:t>
            </w:r>
          </w:p>
        </w:tc>
        <w:tc>
          <w:tcPr>
            <w:tcW w:w="101" w:type="dxa"/>
            <w:tcBorders>
              <w:top w:val="nil" w:sz="6" w:space="0" w:color="auto"/>
              <w:left w:val="nil" w:sz="6" w:space="0" w:color="auto"/>
              <w:bottom w:val="nil" w:sz="6" w:space="0" w:color="auto"/>
              <w:right w:val="nil" w:sz="6" w:space="0" w:color="auto"/>
            </w:tcBorders>
          </w:tcPr>
          <w:p>
            <w:pPr/>
          </w:p>
        </w:tc>
      </w:tr>
      <w:tr>
        <w:trPr>
          <w:trHeight w:val="314" w:hRule="exact"/>
        </w:trPr>
        <w:tc>
          <w:tcPr>
            <w:tcW w:w="3490" w:type="dxa"/>
            <w:tcBorders>
              <w:top w:val="nil" w:sz="6" w:space="0" w:color="auto"/>
              <w:left w:val="nil" w:sz="6" w:space="0" w:color="auto"/>
              <w:bottom w:val="single" w:sz="12" w:space="0" w:color="000000"/>
              <w:right w:val="nil" w:sz="6" w:space="0" w:color="auto"/>
            </w:tcBorders>
          </w:tcPr>
          <w:p>
            <w:pPr>
              <w:pStyle w:val="TableParagraph"/>
              <w:tabs>
                <w:tab w:pos="2252" w:val="left" w:leader="none"/>
              </w:tabs>
              <w:spacing w:line="240" w:lineRule="auto" w:before="34"/>
              <w:ind w:left="171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550"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188"/>
              <w:jc w:val="right"/>
              <w:rPr>
                <w:rFonts w:ascii="Times New Roman" w:hAnsi="Times New Roman" w:cs="Times New Roman" w:eastAsia="Times New Roman" w:hint="default"/>
                <w:sz w:val="18"/>
                <w:szCs w:val="18"/>
              </w:rPr>
            </w:pPr>
            <w:r>
              <w:rPr>
                <w:rFonts w:ascii="Times New Roman"/>
                <w:sz w:val="18"/>
              </w:rPr>
              <w:t>105,173,354</w:t>
            </w:r>
          </w:p>
        </w:tc>
        <w:tc>
          <w:tcPr>
            <w:tcW w:w="1307"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71"/>
              <w:jc w:val="right"/>
              <w:rPr>
                <w:rFonts w:ascii="Times New Roman" w:hAnsi="Times New Roman" w:cs="Times New Roman" w:eastAsia="Times New Roman" w:hint="default"/>
                <w:sz w:val="18"/>
                <w:szCs w:val="18"/>
              </w:rPr>
            </w:pPr>
            <w:r>
              <w:rPr>
                <w:rFonts w:ascii="Times New Roman"/>
                <w:sz w:val="18"/>
              </w:rPr>
              <w:t>109,335,552</w:t>
            </w:r>
          </w:p>
        </w:tc>
        <w:tc>
          <w:tcPr>
            <w:tcW w:w="2535" w:type="dxa"/>
            <w:tcBorders>
              <w:top w:val="nil" w:sz="6" w:space="0" w:color="auto"/>
              <w:left w:val="nil" w:sz="6" w:space="0" w:color="auto"/>
              <w:bottom w:val="single" w:sz="12" w:space="0" w:color="000000"/>
              <w:right w:val="nil" w:sz="6" w:space="0" w:color="auto"/>
            </w:tcBorders>
          </w:tcPr>
          <w:p>
            <w:pPr>
              <w:pStyle w:val="TableParagraph"/>
              <w:spacing w:line="240" w:lineRule="auto" w:before="86"/>
              <w:ind w:right="29"/>
              <w:jc w:val="right"/>
              <w:rPr>
                <w:rFonts w:ascii="Times New Roman" w:hAnsi="Times New Roman" w:cs="Times New Roman" w:eastAsia="Times New Roman" w:hint="default"/>
                <w:sz w:val="18"/>
                <w:szCs w:val="18"/>
              </w:rPr>
            </w:pPr>
            <w:r>
              <w:rPr>
                <w:rFonts w:ascii="Times New Roman"/>
                <w:sz w:val="18"/>
              </w:rPr>
              <w:t>105,173,354</w:t>
            </w:r>
          </w:p>
        </w:tc>
        <w:tc>
          <w:tcPr>
            <w:tcW w:w="101" w:type="dxa"/>
            <w:tcBorders>
              <w:top w:val="nil" w:sz="6" w:space="0" w:color="auto"/>
              <w:left w:val="nil" w:sz="6" w:space="0" w:color="auto"/>
              <w:bottom w:val="nil" w:sz="6" w:space="0" w:color="auto"/>
              <w:right w:val="nil" w:sz="6" w:space="0" w:color="auto"/>
            </w:tcBorders>
          </w:tcPr>
          <w:p>
            <w:pPr/>
          </w:p>
        </w:tc>
      </w:tr>
      <w:tr>
        <w:trPr>
          <w:trHeight w:val="829" w:hRule="exact"/>
        </w:trPr>
        <w:tc>
          <w:tcPr>
            <w:tcW w:w="3490"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b/>
                <w:bCs/>
                <w:sz w:val="21"/>
                <w:szCs w:val="21"/>
              </w:rPr>
              <w:t>(四十八)营业外支出</w:t>
            </w:r>
            <w:r>
              <w:rPr>
                <w:rFonts w:ascii="宋体" w:hAnsi="宋体" w:cs="宋体" w:eastAsia="宋体" w:hint="default"/>
                <w:sz w:val="21"/>
                <w:szCs w:val="21"/>
              </w:rPr>
            </w:r>
          </w:p>
        </w:tc>
        <w:tc>
          <w:tcPr>
            <w:tcW w:w="1550" w:type="dxa"/>
            <w:tcBorders>
              <w:top w:val="single" w:sz="12" w:space="0" w:color="000000"/>
              <w:left w:val="nil" w:sz="6" w:space="0" w:color="auto"/>
              <w:bottom w:val="single" w:sz="12" w:space="0" w:color="000000"/>
              <w:right w:val="nil" w:sz="6" w:space="0" w:color="auto"/>
            </w:tcBorders>
          </w:tcPr>
          <w:p>
            <w:pPr/>
          </w:p>
        </w:tc>
        <w:tc>
          <w:tcPr>
            <w:tcW w:w="1307" w:type="dxa"/>
            <w:tcBorders>
              <w:top w:val="single" w:sz="12" w:space="0" w:color="000000"/>
              <w:left w:val="nil" w:sz="6" w:space="0" w:color="auto"/>
              <w:bottom w:val="single" w:sz="12" w:space="0" w:color="000000"/>
              <w:right w:val="nil" w:sz="6" w:space="0" w:color="auto"/>
            </w:tcBorders>
          </w:tcPr>
          <w:p>
            <w:pPr/>
          </w:p>
        </w:tc>
        <w:tc>
          <w:tcPr>
            <w:tcW w:w="2535" w:type="dxa"/>
            <w:tcBorders>
              <w:top w:val="single" w:sz="12" w:space="0" w:color="000000"/>
              <w:left w:val="nil" w:sz="6" w:space="0" w:color="auto"/>
              <w:bottom w:val="single" w:sz="12" w:space="0" w:color="000000"/>
              <w:right w:val="nil" w:sz="6" w:space="0" w:color="auto"/>
            </w:tcBorders>
          </w:tcPr>
          <w:p>
            <w:pPr/>
          </w:p>
        </w:tc>
        <w:tc>
          <w:tcPr>
            <w:tcW w:w="101" w:type="dxa"/>
            <w:tcBorders>
              <w:top w:val="nil" w:sz="6" w:space="0" w:color="auto"/>
              <w:left w:val="nil" w:sz="6" w:space="0" w:color="auto"/>
              <w:bottom w:val="single" w:sz="12" w:space="0" w:color="000000"/>
              <w:right w:val="nil" w:sz="6" w:space="0" w:color="auto"/>
            </w:tcBorders>
          </w:tcPr>
          <w:p>
            <w:pPr/>
          </w:p>
        </w:tc>
      </w:tr>
      <w:tr>
        <w:trPr>
          <w:trHeight w:val="502" w:hRule="exact"/>
        </w:trPr>
        <w:tc>
          <w:tcPr>
            <w:tcW w:w="3490" w:type="dxa"/>
            <w:tcBorders>
              <w:top w:val="single" w:sz="12" w:space="0" w:color="000000"/>
              <w:left w:val="nil" w:sz="6" w:space="0" w:color="auto"/>
              <w:bottom w:val="nil" w:sz="6" w:space="0" w:color="auto"/>
              <w:right w:val="nil" w:sz="6" w:space="0" w:color="auto"/>
            </w:tcBorders>
          </w:tcPr>
          <w:p>
            <w:pPr>
              <w:pStyle w:val="TableParagraph"/>
              <w:tabs>
                <w:tab w:pos="2227" w:val="left" w:leader="none"/>
              </w:tabs>
              <w:spacing w:line="240" w:lineRule="auto" w:before="136"/>
              <w:ind w:left="1687"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550"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335"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307"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227"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2535"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225" w:right="0"/>
              <w:jc w:val="left"/>
              <w:rPr>
                <w:rFonts w:ascii="宋体" w:hAnsi="宋体" w:cs="宋体" w:eastAsia="宋体" w:hint="default"/>
                <w:sz w:val="18"/>
                <w:szCs w:val="18"/>
              </w:rPr>
            </w:pPr>
            <w:r>
              <w:rPr>
                <w:rFonts w:ascii="宋体" w:hAnsi="宋体" w:cs="宋体" w:eastAsia="宋体" w:hint="default"/>
                <w:sz w:val="18"/>
                <w:szCs w:val="18"/>
              </w:rPr>
              <w:t>计入当期非经常性损益金额</w:t>
            </w:r>
          </w:p>
        </w:tc>
        <w:tc>
          <w:tcPr>
            <w:tcW w:w="101" w:type="dxa"/>
            <w:tcBorders>
              <w:top w:val="single" w:sz="12" w:space="0" w:color="000000"/>
              <w:left w:val="nil" w:sz="6" w:space="0" w:color="auto"/>
              <w:bottom w:val="nil" w:sz="6" w:space="0" w:color="auto"/>
              <w:right w:val="nil" w:sz="6" w:space="0" w:color="auto"/>
            </w:tcBorders>
          </w:tcPr>
          <w:p>
            <w:pPr/>
          </w:p>
        </w:tc>
      </w:tr>
      <w:tr>
        <w:trPr>
          <w:trHeight w:val="420" w:hRule="exact"/>
        </w:trPr>
        <w:tc>
          <w:tcPr>
            <w:tcW w:w="3490"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67" w:right="0"/>
              <w:jc w:val="left"/>
              <w:rPr>
                <w:rFonts w:ascii="宋体" w:hAnsi="宋体" w:cs="宋体" w:eastAsia="宋体" w:hint="default"/>
                <w:sz w:val="18"/>
                <w:szCs w:val="18"/>
              </w:rPr>
            </w:pPr>
            <w:r>
              <w:rPr>
                <w:rFonts w:ascii="宋体" w:hAnsi="宋体" w:cs="宋体" w:eastAsia="宋体" w:hint="default"/>
                <w:sz w:val="18"/>
                <w:szCs w:val="18"/>
              </w:rPr>
              <w:t>非流动资产处置损失</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10"/>
              <w:jc w:val="right"/>
              <w:rPr>
                <w:rFonts w:ascii="Times New Roman" w:hAnsi="Times New Roman" w:cs="Times New Roman" w:eastAsia="Times New Roman" w:hint="default"/>
                <w:sz w:val="18"/>
                <w:szCs w:val="18"/>
              </w:rPr>
            </w:pPr>
            <w:r>
              <w:rPr>
                <w:rFonts w:ascii="Times New Roman"/>
                <w:sz w:val="18"/>
              </w:rPr>
              <w:t>2,748,601</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30"/>
              <w:jc w:val="right"/>
              <w:rPr>
                <w:rFonts w:ascii="Times New Roman" w:hAnsi="Times New Roman" w:cs="Times New Roman" w:eastAsia="Times New Roman" w:hint="default"/>
                <w:sz w:val="18"/>
                <w:szCs w:val="18"/>
              </w:rPr>
            </w:pPr>
            <w:r>
              <w:rPr>
                <w:rFonts w:ascii="Times New Roman"/>
                <w:sz w:val="18"/>
              </w:rPr>
              <w:t>2,540,307</w:t>
            </w:r>
          </w:p>
        </w:tc>
        <w:tc>
          <w:tcPr>
            <w:tcW w:w="2535"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4"/>
              <w:jc w:val="right"/>
              <w:rPr>
                <w:rFonts w:ascii="Times New Roman" w:hAnsi="Times New Roman" w:cs="Times New Roman" w:eastAsia="Times New Roman" w:hint="default"/>
                <w:sz w:val="18"/>
                <w:szCs w:val="18"/>
              </w:rPr>
            </w:pPr>
            <w:r>
              <w:rPr>
                <w:rFonts w:ascii="Times New Roman"/>
                <w:sz w:val="18"/>
              </w:rPr>
              <w:t>2,748,601</w:t>
            </w:r>
          </w:p>
        </w:tc>
        <w:tc>
          <w:tcPr>
            <w:tcW w:w="101" w:type="dxa"/>
            <w:tcBorders>
              <w:top w:val="nil" w:sz="6" w:space="0" w:color="auto"/>
              <w:left w:val="nil" w:sz="6" w:space="0" w:color="auto"/>
              <w:bottom w:val="nil" w:sz="6" w:space="0" w:color="auto"/>
              <w:right w:val="nil" w:sz="6" w:space="0" w:color="auto"/>
            </w:tcBorders>
          </w:tcPr>
          <w:p>
            <w:pPr/>
          </w:p>
        </w:tc>
      </w:tr>
      <w:tr>
        <w:trPr>
          <w:trHeight w:val="410" w:hRule="exact"/>
        </w:trPr>
        <w:tc>
          <w:tcPr>
            <w:tcW w:w="349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67" w:right="0"/>
              <w:jc w:val="left"/>
              <w:rPr>
                <w:rFonts w:ascii="宋体" w:hAnsi="宋体" w:cs="宋体" w:eastAsia="宋体" w:hint="default"/>
                <w:sz w:val="18"/>
                <w:szCs w:val="18"/>
              </w:rPr>
            </w:pPr>
            <w:r>
              <w:rPr>
                <w:rFonts w:ascii="宋体" w:hAnsi="宋体" w:cs="宋体" w:eastAsia="宋体" w:hint="default"/>
                <w:sz w:val="18"/>
                <w:szCs w:val="18"/>
              </w:rPr>
              <w:t>其中：处置固定资产损失</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0"/>
              <w:jc w:val="right"/>
              <w:rPr>
                <w:rFonts w:ascii="Times New Roman" w:hAnsi="Times New Roman" w:cs="Times New Roman" w:eastAsia="Times New Roman" w:hint="default"/>
                <w:sz w:val="18"/>
                <w:szCs w:val="18"/>
              </w:rPr>
            </w:pPr>
            <w:r>
              <w:rPr>
                <w:rFonts w:ascii="Times New Roman"/>
                <w:sz w:val="18"/>
              </w:rPr>
              <w:t>2,717,587</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0"/>
              <w:jc w:val="right"/>
              <w:rPr>
                <w:rFonts w:ascii="Times New Roman" w:hAnsi="Times New Roman" w:cs="Times New Roman" w:eastAsia="Times New Roman" w:hint="default"/>
                <w:sz w:val="18"/>
                <w:szCs w:val="18"/>
              </w:rPr>
            </w:pPr>
            <w:r>
              <w:rPr>
                <w:rFonts w:ascii="Times New Roman"/>
                <w:sz w:val="18"/>
              </w:rPr>
              <w:t>1,920,307</w:t>
            </w:r>
          </w:p>
        </w:tc>
        <w:tc>
          <w:tcPr>
            <w:tcW w:w="253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
              <w:jc w:val="right"/>
              <w:rPr>
                <w:rFonts w:ascii="Times New Roman" w:hAnsi="Times New Roman" w:cs="Times New Roman" w:eastAsia="Times New Roman" w:hint="default"/>
                <w:sz w:val="18"/>
                <w:szCs w:val="18"/>
              </w:rPr>
            </w:pPr>
            <w:r>
              <w:rPr>
                <w:rFonts w:ascii="Times New Roman"/>
                <w:sz w:val="18"/>
              </w:rPr>
              <w:t>2,717,587</w:t>
            </w:r>
          </w:p>
        </w:tc>
        <w:tc>
          <w:tcPr>
            <w:tcW w:w="101" w:type="dxa"/>
            <w:tcBorders>
              <w:top w:val="nil" w:sz="6" w:space="0" w:color="auto"/>
              <w:left w:val="nil" w:sz="6" w:space="0" w:color="auto"/>
              <w:bottom w:val="nil" w:sz="6" w:space="0" w:color="auto"/>
              <w:right w:val="nil" w:sz="6" w:space="0" w:color="auto"/>
            </w:tcBorders>
          </w:tcPr>
          <w:p>
            <w:pPr/>
          </w:p>
        </w:tc>
      </w:tr>
      <w:tr>
        <w:trPr>
          <w:trHeight w:val="410" w:hRule="exact"/>
        </w:trPr>
        <w:tc>
          <w:tcPr>
            <w:tcW w:w="349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76" w:right="0"/>
              <w:jc w:val="left"/>
              <w:rPr>
                <w:rFonts w:ascii="宋体" w:hAnsi="宋体" w:cs="宋体" w:eastAsia="宋体" w:hint="default"/>
                <w:sz w:val="18"/>
                <w:szCs w:val="18"/>
              </w:rPr>
            </w:pPr>
            <w:r>
              <w:rPr>
                <w:rFonts w:ascii="宋体" w:hAnsi="宋体" w:cs="宋体" w:eastAsia="宋体" w:hint="default"/>
                <w:sz w:val="18"/>
                <w:szCs w:val="18"/>
              </w:rPr>
              <w:t>处置无形资产损失</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0"/>
              <w:jc w:val="right"/>
              <w:rPr>
                <w:rFonts w:ascii="Times New Roman" w:hAnsi="Times New Roman" w:cs="Times New Roman" w:eastAsia="Times New Roman" w:hint="default"/>
                <w:sz w:val="18"/>
                <w:szCs w:val="18"/>
              </w:rPr>
            </w:pPr>
            <w:r>
              <w:rPr>
                <w:rFonts w:ascii="Times New Roman"/>
                <w:sz w:val="18"/>
              </w:rPr>
              <w:t>31,014</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0"/>
              <w:jc w:val="right"/>
              <w:rPr>
                <w:rFonts w:ascii="Times New Roman" w:hAnsi="Times New Roman" w:cs="Times New Roman" w:eastAsia="Times New Roman" w:hint="default"/>
                <w:sz w:val="18"/>
                <w:szCs w:val="18"/>
              </w:rPr>
            </w:pPr>
            <w:r>
              <w:rPr>
                <w:rFonts w:ascii="Times New Roman"/>
                <w:sz w:val="18"/>
              </w:rPr>
              <w:t>620,000</w:t>
            </w:r>
          </w:p>
        </w:tc>
        <w:tc>
          <w:tcPr>
            <w:tcW w:w="253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
              <w:jc w:val="right"/>
              <w:rPr>
                <w:rFonts w:ascii="Times New Roman" w:hAnsi="Times New Roman" w:cs="Times New Roman" w:eastAsia="Times New Roman" w:hint="default"/>
                <w:sz w:val="18"/>
                <w:szCs w:val="18"/>
              </w:rPr>
            </w:pPr>
            <w:r>
              <w:rPr>
                <w:rFonts w:ascii="Times New Roman"/>
                <w:sz w:val="18"/>
              </w:rPr>
              <w:t>31,014</w:t>
            </w:r>
          </w:p>
        </w:tc>
        <w:tc>
          <w:tcPr>
            <w:tcW w:w="101" w:type="dxa"/>
            <w:tcBorders>
              <w:top w:val="nil" w:sz="6" w:space="0" w:color="auto"/>
              <w:left w:val="nil" w:sz="6" w:space="0" w:color="auto"/>
              <w:bottom w:val="nil" w:sz="6" w:space="0" w:color="auto"/>
              <w:right w:val="nil" w:sz="6" w:space="0" w:color="auto"/>
            </w:tcBorders>
          </w:tcPr>
          <w:p>
            <w:pPr/>
          </w:p>
        </w:tc>
      </w:tr>
      <w:tr>
        <w:trPr>
          <w:trHeight w:val="410" w:hRule="exact"/>
        </w:trPr>
        <w:tc>
          <w:tcPr>
            <w:tcW w:w="349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67" w:right="0"/>
              <w:jc w:val="left"/>
              <w:rPr>
                <w:rFonts w:ascii="宋体" w:hAnsi="宋体" w:cs="宋体" w:eastAsia="宋体" w:hint="default"/>
                <w:sz w:val="18"/>
                <w:szCs w:val="18"/>
              </w:rPr>
            </w:pPr>
            <w:r>
              <w:rPr>
                <w:rFonts w:ascii="宋体" w:hAnsi="宋体" w:cs="宋体" w:eastAsia="宋体" w:hint="default"/>
                <w:sz w:val="18"/>
                <w:szCs w:val="18"/>
              </w:rPr>
              <w:t>对外捐赠（注）</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0"/>
              <w:jc w:val="right"/>
              <w:rPr>
                <w:rFonts w:ascii="Times New Roman" w:hAnsi="Times New Roman" w:cs="Times New Roman" w:eastAsia="Times New Roman" w:hint="default"/>
                <w:sz w:val="18"/>
                <w:szCs w:val="18"/>
              </w:rPr>
            </w:pPr>
            <w:r>
              <w:rPr>
                <w:rFonts w:ascii="Times New Roman"/>
                <w:sz w:val="18"/>
              </w:rPr>
              <w:t>1,136,014</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0"/>
              <w:jc w:val="right"/>
              <w:rPr>
                <w:rFonts w:ascii="Times New Roman" w:hAnsi="Times New Roman" w:cs="Times New Roman" w:eastAsia="Times New Roman" w:hint="default"/>
                <w:sz w:val="18"/>
                <w:szCs w:val="18"/>
              </w:rPr>
            </w:pPr>
            <w:r>
              <w:rPr>
                <w:rFonts w:ascii="Times New Roman"/>
                <w:sz w:val="18"/>
              </w:rPr>
              <w:t>3,205,474</w:t>
            </w:r>
          </w:p>
        </w:tc>
        <w:tc>
          <w:tcPr>
            <w:tcW w:w="253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
              <w:jc w:val="right"/>
              <w:rPr>
                <w:rFonts w:ascii="Times New Roman" w:hAnsi="Times New Roman" w:cs="Times New Roman" w:eastAsia="Times New Roman" w:hint="default"/>
                <w:sz w:val="18"/>
                <w:szCs w:val="18"/>
              </w:rPr>
            </w:pPr>
            <w:r>
              <w:rPr>
                <w:rFonts w:ascii="Times New Roman"/>
                <w:sz w:val="18"/>
              </w:rPr>
              <w:t>1,136,014</w:t>
            </w:r>
          </w:p>
        </w:tc>
        <w:tc>
          <w:tcPr>
            <w:tcW w:w="101" w:type="dxa"/>
            <w:tcBorders>
              <w:top w:val="nil" w:sz="6" w:space="0" w:color="auto"/>
              <w:left w:val="nil" w:sz="6" w:space="0" w:color="auto"/>
              <w:bottom w:val="nil" w:sz="6" w:space="0" w:color="auto"/>
              <w:right w:val="nil" w:sz="6" w:space="0" w:color="auto"/>
            </w:tcBorders>
          </w:tcPr>
          <w:p>
            <w:pPr/>
          </w:p>
        </w:tc>
      </w:tr>
      <w:tr>
        <w:trPr>
          <w:trHeight w:val="410" w:hRule="exact"/>
        </w:trPr>
        <w:tc>
          <w:tcPr>
            <w:tcW w:w="3490" w:type="dxa"/>
            <w:tcBorders>
              <w:top w:val="nil" w:sz="6" w:space="0" w:color="auto"/>
              <w:left w:val="nil" w:sz="6" w:space="0" w:color="auto"/>
              <w:bottom w:val="nil" w:sz="6" w:space="0" w:color="auto"/>
              <w:right w:val="nil" w:sz="6" w:space="0" w:color="auto"/>
            </w:tcBorders>
          </w:tcPr>
          <w:p>
            <w:pPr>
              <w:pStyle w:val="TableParagraph"/>
              <w:tabs>
                <w:tab w:pos="1306" w:val="left" w:leader="none"/>
              </w:tabs>
              <w:spacing w:line="240" w:lineRule="auto" w:before="50"/>
              <w:ind w:left="767"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0"/>
              <w:jc w:val="right"/>
              <w:rPr>
                <w:rFonts w:ascii="Times New Roman" w:hAnsi="Times New Roman" w:cs="Times New Roman" w:eastAsia="Times New Roman" w:hint="default"/>
                <w:sz w:val="18"/>
                <w:szCs w:val="18"/>
              </w:rPr>
            </w:pPr>
            <w:r>
              <w:rPr>
                <w:rFonts w:ascii="Times New Roman"/>
                <w:sz w:val="18"/>
              </w:rPr>
              <w:t>1,614,858</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9"/>
              <w:jc w:val="right"/>
              <w:rPr>
                <w:rFonts w:ascii="Times New Roman" w:hAnsi="Times New Roman" w:cs="Times New Roman" w:eastAsia="Times New Roman" w:hint="default"/>
                <w:sz w:val="18"/>
                <w:szCs w:val="18"/>
              </w:rPr>
            </w:pPr>
            <w:r>
              <w:rPr>
                <w:rFonts w:ascii="Times New Roman"/>
                <w:sz w:val="18"/>
              </w:rPr>
              <w:t>2,461,827</w:t>
            </w:r>
          </w:p>
        </w:tc>
        <w:tc>
          <w:tcPr>
            <w:tcW w:w="253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
              <w:jc w:val="right"/>
              <w:rPr>
                <w:rFonts w:ascii="Times New Roman" w:hAnsi="Times New Roman" w:cs="Times New Roman" w:eastAsia="Times New Roman" w:hint="default"/>
                <w:sz w:val="18"/>
                <w:szCs w:val="18"/>
              </w:rPr>
            </w:pPr>
            <w:r>
              <w:rPr>
                <w:rFonts w:ascii="Times New Roman"/>
                <w:sz w:val="18"/>
              </w:rPr>
              <w:t>1,614,858</w:t>
            </w:r>
          </w:p>
        </w:tc>
        <w:tc>
          <w:tcPr>
            <w:tcW w:w="101" w:type="dxa"/>
            <w:tcBorders>
              <w:top w:val="nil" w:sz="6" w:space="0" w:color="auto"/>
              <w:left w:val="nil" w:sz="6" w:space="0" w:color="auto"/>
              <w:bottom w:val="nil" w:sz="6" w:space="0" w:color="auto"/>
              <w:right w:val="nil" w:sz="6" w:space="0" w:color="auto"/>
            </w:tcBorders>
          </w:tcPr>
          <w:p>
            <w:pPr/>
          </w:p>
        </w:tc>
      </w:tr>
      <w:tr>
        <w:trPr>
          <w:trHeight w:val="329" w:hRule="exact"/>
        </w:trPr>
        <w:tc>
          <w:tcPr>
            <w:tcW w:w="3490" w:type="dxa"/>
            <w:tcBorders>
              <w:top w:val="nil" w:sz="6" w:space="0" w:color="auto"/>
              <w:left w:val="nil" w:sz="6" w:space="0" w:color="auto"/>
              <w:bottom w:val="single" w:sz="12" w:space="0" w:color="000000"/>
              <w:right w:val="nil" w:sz="6" w:space="0" w:color="auto"/>
            </w:tcBorders>
          </w:tcPr>
          <w:p>
            <w:pPr>
              <w:pStyle w:val="TableParagraph"/>
              <w:tabs>
                <w:tab w:pos="2227" w:val="left" w:leader="none"/>
              </w:tabs>
              <w:spacing w:line="240" w:lineRule="auto" w:before="49"/>
              <w:ind w:left="1687"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55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10"/>
              <w:jc w:val="right"/>
              <w:rPr>
                <w:rFonts w:ascii="Times New Roman" w:hAnsi="Times New Roman" w:cs="Times New Roman" w:eastAsia="Times New Roman" w:hint="default"/>
                <w:sz w:val="18"/>
                <w:szCs w:val="18"/>
              </w:rPr>
            </w:pPr>
            <w:r>
              <w:rPr>
                <w:rFonts w:ascii="Times New Roman"/>
                <w:sz w:val="18"/>
              </w:rPr>
              <w:t>5,499,473</w:t>
            </w:r>
          </w:p>
        </w:tc>
        <w:tc>
          <w:tcPr>
            <w:tcW w:w="1307"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30"/>
              <w:jc w:val="right"/>
              <w:rPr>
                <w:rFonts w:ascii="Times New Roman" w:hAnsi="Times New Roman" w:cs="Times New Roman" w:eastAsia="Times New Roman" w:hint="default"/>
                <w:sz w:val="18"/>
                <w:szCs w:val="18"/>
              </w:rPr>
            </w:pPr>
            <w:r>
              <w:rPr>
                <w:rFonts w:ascii="Times New Roman"/>
                <w:sz w:val="18"/>
              </w:rPr>
              <w:t>8,207,608</w:t>
            </w:r>
          </w:p>
        </w:tc>
        <w:tc>
          <w:tcPr>
            <w:tcW w:w="253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4"/>
              <w:jc w:val="right"/>
              <w:rPr>
                <w:rFonts w:ascii="Times New Roman" w:hAnsi="Times New Roman" w:cs="Times New Roman" w:eastAsia="Times New Roman" w:hint="default"/>
                <w:sz w:val="18"/>
                <w:szCs w:val="18"/>
              </w:rPr>
            </w:pPr>
            <w:r>
              <w:rPr>
                <w:rFonts w:ascii="Times New Roman"/>
                <w:sz w:val="18"/>
              </w:rPr>
              <w:t>5,499,473</w:t>
            </w:r>
          </w:p>
        </w:tc>
        <w:tc>
          <w:tcPr>
            <w:tcW w:w="101" w:type="dxa"/>
            <w:tcBorders>
              <w:top w:val="nil" w:sz="6" w:space="0" w:color="auto"/>
              <w:left w:val="nil" w:sz="6" w:space="0" w:color="auto"/>
              <w:bottom w:val="single" w:sz="12" w:space="0" w:color="000000"/>
              <w:right w:val="nil" w:sz="6" w:space="0" w:color="auto"/>
            </w:tcBorders>
          </w:tcPr>
          <w:p>
            <w:pPr/>
          </w:p>
        </w:tc>
      </w:tr>
    </w:tbl>
    <w:p>
      <w:pPr>
        <w:pStyle w:val="BodyText"/>
        <w:spacing w:line="240" w:lineRule="auto" w:before="78"/>
        <w:ind w:left="875" w:right="149"/>
        <w:jc w:val="left"/>
      </w:pPr>
      <w:r>
        <w:rPr/>
        <w:pict>
          <v:group style="position:absolute;margin-left:118.919998pt;margin-top:-146.55603pt;width:419.1pt;height:144.3pt;mso-position-horizontal-relative:page;mso-position-vertical-relative:paragraph;z-index:-1112776" coordorigin="2378,-2931" coordsize="8382,2886">
            <v:shape style="position:absolute;left:5155;top:-2931;width:2946;height:451" type="#_x0000_t75" stroked="false">
              <v:imagedata r:id="rId300" o:title=""/>
            </v:shape>
            <v:shape style="position:absolute;left:2378;top:-2529;width:8382;height:2483" type="#_x0000_t75" stroked="false">
              <v:imagedata r:id="rId301" o:title=""/>
            </v:shape>
            <w10:wrap type="none"/>
          </v:group>
        </w:pict>
      </w:r>
      <w:r>
        <w:rPr/>
        <w:t>注：本期对外捐赠项目主要为对日本地震的捐赠支出。</w:t>
      </w:r>
    </w:p>
    <w:p>
      <w:pPr>
        <w:spacing w:after="0" w:line="240" w:lineRule="auto"/>
        <w:jc w:val="left"/>
        <w:sectPr>
          <w:pgSz w:w="11910" w:h="16840"/>
          <w:pgMar w:header="0" w:footer="1003" w:top="1540" w:bottom="1200" w:left="1640" w:right="9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tbl>
      <w:tblPr>
        <w:tblW w:w="0" w:type="auto"/>
        <w:jc w:val="left"/>
        <w:tblInd w:w="108" w:type="dxa"/>
        <w:tblLayout w:type="fixed"/>
        <w:tblCellMar>
          <w:top w:w="0" w:type="dxa"/>
          <w:left w:w="0" w:type="dxa"/>
          <w:bottom w:w="0" w:type="dxa"/>
          <w:right w:w="0" w:type="dxa"/>
        </w:tblCellMar>
        <w:tblLook w:val="01E0"/>
      </w:tblPr>
      <w:tblGrid>
        <w:gridCol w:w="4564"/>
        <w:gridCol w:w="2598"/>
        <w:gridCol w:w="1852"/>
      </w:tblGrid>
      <w:tr>
        <w:trPr>
          <w:trHeight w:val="357" w:hRule="exact"/>
        </w:trPr>
        <w:tc>
          <w:tcPr>
            <w:tcW w:w="4564"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(四十九)所得税费用</w:t>
            </w:r>
            <w:r>
              <w:rPr>
                <w:rFonts w:ascii="宋体" w:hAnsi="宋体" w:cs="宋体" w:eastAsia="宋体" w:hint="default"/>
                <w:sz w:val="21"/>
                <w:szCs w:val="21"/>
              </w:rPr>
            </w:r>
          </w:p>
        </w:tc>
        <w:tc>
          <w:tcPr>
            <w:tcW w:w="4450" w:type="dxa"/>
            <w:gridSpan w:val="2"/>
            <w:tcBorders>
              <w:top w:val="nil" w:sz="6" w:space="0" w:color="auto"/>
              <w:left w:val="nil" w:sz="6" w:space="0" w:color="auto"/>
              <w:bottom w:val="single" w:sz="12" w:space="0" w:color="000000"/>
              <w:right w:val="nil" w:sz="6" w:space="0" w:color="auto"/>
            </w:tcBorders>
          </w:tcPr>
          <w:p>
            <w:pPr/>
          </w:p>
        </w:tc>
      </w:tr>
      <w:tr>
        <w:trPr>
          <w:trHeight w:val="502" w:hRule="exact"/>
        </w:trPr>
        <w:tc>
          <w:tcPr>
            <w:tcW w:w="4564" w:type="dxa"/>
            <w:tcBorders>
              <w:top w:val="single" w:sz="12" w:space="0" w:color="000000"/>
              <w:left w:val="nil" w:sz="6" w:space="0" w:color="auto"/>
              <w:bottom w:val="nil" w:sz="6" w:space="0" w:color="auto"/>
              <w:right w:val="nil" w:sz="6" w:space="0" w:color="auto"/>
            </w:tcBorders>
          </w:tcPr>
          <w:p>
            <w:pPr>
              <w:pStyle w:val="TableParagraph"/>
              <w:tabs>
                <w:tab w:pos="2922" w:val="left" w:leader="none"/>
              </w:tabs>
              <w:spacing w:line="240" w:lineRule="auto" w:before="136"/>
              <w:ind w:left="2382"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2598"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right="42"/>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1852"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412"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20"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767" w:right="0"/>
              <w:jc w:val="left"/>
              <w:rPr>
                <w:rFonts w:ascii="宋体" w:hAnsi="宋体" w:cs="宋体" w:eastAsia="宋体" w:hint="default"/>
                <w:sz w:val="18"/>
                <w:szCs w:val="18"/>
              </w:rPr>
            </w:pPr>
            <w:r>
              <w:rPr>
                <w:rFonts w:ascii="宋体" w:hAnsi="宋体" w:cs="宋体" w:eastAsia="宋体" w:hint="default"/>
                <w:sz w:val="18"/>
                <w:szCs w:val="18"/>
              </w:rPr>
              <w:t>按税法及相关规定计算的当期所得税</w:t>
            </w:r>
          </w:p>
        </w:tc>
        <w:tc>
          <w:tcPr>
            <w:tcW w:w="259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412"/>
              <w:jc w:val="right"/>
              <w:rPr>
                <w:rFonts w:ascii="Times New Roman" w:hAnsi="Times New Roman" w:cs="Times New Roman" w:eastAsia="Times New Roman" w:hint="default"/>
                <w:sz w:val="18"/>
                <w:szCs w:val="18"/>
              </w:rPr>
            </w:pPr>
            <w:r>
              <w:rPr>
                <w:rFonts w:ascii="Times New Roman"/>
                <w:sz w:val="18"/>
              </w:rPr>
              <w:t>80,385,084</w:t>
            </w:r>
          </w:p>
        </w:tc>
        <w:tc>
          <w:tcPr>
            <w:tcW w:w="185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5"/>
              <w:jc w:val="right"/>
              <w:rPr>
                <w:rFonts w:ascii="Times New Roman" w:hAnsi="Times New Roman" w:cs="Times New Roman" w:eastAsia="Times New Roman" w:hint="default"/>
                <w:sz w:val="18"/>
                <w:szCs w:val="18"/>
              </w:rPr>
            </w:pPr>
            <w:r>
              <w:rPr>
                <w:rFonts w:ascii="Times New Roman"/>
                <w:sz w:val="18"/>
              </w:rPr>
              <w:t>53,667,578</w:t>
            </w:r>
          </w:p>
        </w:tc>
      </w:tr>
      <w:tr>
        <w:trPr>
          <w:trHeight w:val="410" w:hRule="exact"/>
        </w:trPr>
        <w:tc>
          <w:tcPr>
            <w:tcW w:w="456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67" w:right="0"/>
              <w:jc w:val="left"/>
              <w:rPr>
                <w:rFonts w:ascii="宋体" w:hAnsi="宋体" w:cs="宋体" w:eastAsia="宋体" w:hint="default"/>
                <w:sz w:val="18"/>
                <w:szCs w:val="18"/>
              </w:rPr>
            </w:pPr>
            <w:r>
              <w:rPr>
                <w:rFonts w:ascii="宋体" w:hAnsi="宋体" w:cs="宋体" w:eastAsia="宋体" w:hint="default"/>
                <w:sz w:val="18"/>
                <w:szCs w:val="18"/>
              </w:rPr>
              <w:t>递延所得税调整</w:t>
            </w:r>
          </w:p>
        </w:tc>
        <w:tc>
          <w:tcPr>
            <w:tcW w:w="259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0"/>
              <w:jc w:val="right"/>
              <w:rPr>
                <w:rFonts w:ascii="Times New Roman" w:hAnsi="Times New Roman" w:cs="Times New Roman" w:eastAsia="Times New Roman" w:hint="default"/>
                <w:sz w:val="18"/>
                <w:szCs w:val="18"/>
              </w:rPr>
            </w:pPr>
            <w:r>
              <w:rPr>
                <w:rFonts w:ascii="Times New Roman"/>
                <w:spacing w:val="-1"/>
                <w:sz w:val="18"/>
              </w:rPr>
              <w:t>-11,043,976</w:t>
            </w:r>
          </w:p>
        </w:tc>
        <w:tc>
          <w:tcPr>
            <w:tcW w:w="185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w w:val="95"/>
                <w:sz w:val="18"/>
              </w:rPr>
              <w:t>-864,746</w:t>
            </w:r>
            <w:r>
              <w:rPr>
                <w:rFonts w:ascii="Times New Roman"/>
                <w:sz w:val="18"/>
              </w:rPr>
            </w:r>
          </w:p>
        </w:tc>
      </w:tr>
      <w:tr>
        <w:trPr>
          <w:trHeight w:val="328" w:hRule="exact"/>
        </w:trPr>
        <w:tc>
          <w:tcPr>
            <w:tcW w:w="4564" w:type="dxa"/>
            <w:tcBorders>
              <w:top w:val="nil" w:sz="6" w:space="0" w:color="auto"/>
              <w:left w:val="nil" w:sz="6" w:space="0" w:color="auto"/>
              <w:bottom w:val="single" w:sz="12" w:space="0" w:color="000000"/>
              <w:right w:val="nil" w:sz="6" w:space="0" w:color="auto"/>
            </w:tcBorders>
          </w:tcPr>
          <w:p>
            <w:pPr>
              <w:pStyle w:val="TableParagraph"/>
              <w:tabs>
                <w:tab w:pos="2922" w:val="left" w:leader="none"/>
              </w:tabs>
              <w:spacing w:line="240" w:lineRule="auto" w:before="50"/>
              <w:ind w:left="238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2598"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412"/>
              <w:jc w:val="right"/>
              <w:rPr>
                <w:rFonts w:ascii="Times New Roman" w:hAnsi="Times New Roman" w:cs="Times New Roman" w:eastAsia="Times New Roman" w:hint="default"/>
                <w:sz w:val="18"/>
                <w:szCs w:val="18"/>
              </w:rPr>
            </w:pPr>
            <w:r>
              <w:rPr>
                <w:rFonts w:ascii="Times New Roman"/>
                <w:sz w:val="18"/>
              </w:rPr>
              <w:t>69,341,108</w:t>
            </w:r>
          </w:p>
        </w:tc>
        <w:tc>
          <w:tcPr>
            <w:tcW w:w="1852"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52,802,832</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spacing w:line="348" w:lineRule="auto" w:before="35"/>
        <w:ind w:left="875" w:right="4662" w:hanging="732"/>
        <w:jc w:val="left"/>
        <w:rPr>
          <w:rFonts w:ascii="宋体" w:hAnsi="宋体" w:cs="宋体" w:eastAsia="宋体" w:hint="default"/>
          <w:sz w:val="21"/>
          <w:szCs w:val="21"/>
        </w:rPr>
      </w:pPr>
      <w:r>
        <w:rPr/>
        <w:pict>
          <v:group style="position:absolute;margin-left:118.919998pt;margin-top:-107.096329pt;width:420.55pt;height:82.65pt;mso-position-horizontal-relative:page;mso-position-vertical-relative:paragraph;z-index:-1112464" coordorigin="2378,-2142" coordsize="8411,1653">
            <v:shape style="position:absolute;left:6547;top:-2142;width:2087;height:446" type="#_x0000_t75" stroked="false">
              <v:imagedata r:id="rId302" o:title=""/>
            </v:shape>
            <v:shape style="position:absolute;left:2378;top:-1738;width:8411;height:1249" type="#_x0000_t75" stroked="false">
              <v:imagedata r:id="rId303" o:title=""/>
            </v:shape>
            <w10:wrap type="none"/>
          </v:group>
        </w:pict>
      </w:r>
      <w:r>
        <w:rPr>
          <w:rFonts w:ascii="宋体" w:hAnsi="宋体" w:cs="宋体" w:eastAsia="宋体" w:hint="default"/>
          <w:b/>
          <w:bCs/>
          <w:sz w:val="21"/>
          <w:szCs w:val="21"/>
        </w:rPr>
        <w:t>(五十)</w:t>
      </w:r>
      <w:r>
        <w:rPr>
          <w:rFonts w:ascii="宋体" w:hAnsi="宋体" w:cs="宋体" w:eastAsia="宋体" w:hint="default"/>
          <w:b/>
          <w:bCs/>
          <w:spacing w:val="-15"/>
          <w:sz w:val="21"/>
          <w:szCs w:val="21"/>
        </w:rPr>
        <w:t> </w:t>
      </w:r>
      <w:r>
        <w:rPr>
          <w:rFonts w:ascii="宋体" w:hAnsi="宋体" w:cs="宋体" w:eastAsia="宋体" w:hint="default"/>
          <w:b/>
          <w:bCs/>
          <w:sz w:val="21"/>
          <w:szCs w:val="21"/>
        </w:rPr>
        <w:t>基本每股收益和稀释每股收益的计算过程</w:t>
      </w:r>
      <w:r>
        <w:rPr>
          <w:rFonts w:ascii="宋体" w:hAnsi="宋体" w:cs="宋体" w:eastAsia="宋体" w:hint="default"/>
          <w:b/>
          <w:bCs/>
          <w:spacing w:val="1"/>
          <w:w w:val="99"/>
          <w:sz w:val="21"/>
          <w:szCs w:val="21"/>
        </w:rPr>
        <w:t> </w:t>
      </w:r>
      <w:r>
        <w:rPr>
          <w:rFonts w:ascii="宋体" w:hAnsi="宋体" w:cs="宋体" w:eastAsia="宋体" w:hint="default"/>
          <w:sz w:val="21"/>
          <w:szCs w:val="21"/>
        </w:rPr>
        <w:t>计算公式参考：</w:t>
      </w:r>
    </w:p>
    <w:p>
      <w:pPr>
        <w:tabs>
          <w:tab w:pos="1413" w:val="left" w:leader="none"/>
        </w:tabs>
        <w:spacing w:line="350" w:lineRule="auto" w:before="30"/>
        <w:ind w:left="875" w:right="6635" w:firstLine="0"/>
        <w:jc w:val="left"/>
        <w:rPr>
          <w:rFonts w:ascii="Times New Roman" w:hAnsi="Times New Roman" w:cs="Times New Roman" w:eastAsia="Times New Roman"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基本每股收益</w:t>
      </w:r>
      <w:r>
        <w:rPr>
          <w:rFonts w:ascii="宋体" w:hAnsi="宋体" w:cs="宋体" w:eastAsia="宋体" w:hint="default"/>
          <w:b/>
          <w:bCs/>
          <w:w w:val="99"/>
          <w:sz w:val="21"/>
          <w:szCs w:val="21"/>
        </w:rPr>
        <w:t> </w:t>
      </w:r>
      <w:r>
        <w:rPr>
          <w:rFonts w:ascii="宋体" w:hAnsi="宋体" w:cs="宋体" w:eastAsia="宋体" w:hint="default"/>
          <w:sz w:val="21"/>
          <w:szCs w:val="21"/>
        </w:rPr>
        <w:t>基本每股收益</w:t>
      </w:r>
      <w:r>
        <w:rPr>
          <w:rFonts w:ascii="Times New Roman" w:hAnsi="Times New Roman" w:cs="Times New Roman" w:eastAsia="Times New Roman" w:hint="default"/>
          <w:sz w:val="21"/>
          <w:szCs w:val="21"/>
        </w:rPr>
        <w:t>=P0÷S</w:t>
      </w:r>
    </w:p>
    <w:p>
      <w:pPr>
        <w:pStyle w:val="BodyText"/>
        <w:spacing w:line="240" w:lineRule="auto" w:before="2"/>
        <w:ind w:left="875" w:right="3566"/>
        <w:jc w:val="left"/>
        <w:rPr>
          <w:rFonts w:ascii="Times New Roman" w:hAnsi="Times New Roman" w:cs="Times New Roman" w:eastAsia="Times New Roman" w:hint="default"/>
        </w:rPr>
      </w:pPr>
      <w:r>
        <w:rPr>
          <w:rFonts w:ascii="Times New Roman" w:hAnsi="Times New Roman" w:cs="Times New Roman" w:eastAsia="Times New Roman" w:hint="default"/>
        </w:rPr>
        <w:t>S=</w:t>
      </w:r>
      <w:r>
        <w:rPr>
          <w:rFonts w:ascii="Times New Roman" w:hAnsi="Times New Roman" w:cs="Times New Roman" w:eastAsia="Times New Roman" w:hint="default"/>
          <w:spacing w:val="-13"/>
        </w:rPr>
        <w:t> </w:t>
      </w:r>
      <w:r>
        <w:rPr>
          <w:rFonts w:ascii="Times New Roman" w:hAnsi="Times New Roman" w:cs="Times New Roman" w:eastAsia="Times New Roman" w:hint="default"/>
        </w:rPr>
        <w:t>S0</w:t>
      </w:r>
      <w:r>
        <w:rPr/>
        <w:t>＋</w:t>
      </w:r>
      <w:r>
        <w:rPr>
          <w:rFonts w:ascii="Times New Roman" w:hAnsi="Times New Roman" w:cs="Times New Roman" w:eastAsia="Times New Roman" w:hint="default"/>
        </w:rPr>
        <w:t>S1</w:t>
      </w:r>
      <w:r>
        <w:rPr/>
        <w:t>＋</w:t>
      </w:r>
      <w:r>
        <w:rPr>
          <w:rFonts w:ascii="Times New Roman" w:hAnsi="Times New Roman" w:cs="Times New Roman" w:eastAsia="Times New Roman" w:hint="default"/>
        </w:rPr>
        <w:t>Si×Mi÷M0–Sj×Mj÷M0–Sk</w:t>
      </w:r>
    </w:p>
    <w:p>
      <w:pPr>
        <w:pStyle w:val="BodyText"/>
        <w:spacing w:line="331" w:lineRule="auto" w:before="109"/>
        <w:ind w:left="875" w:right="208"/>
        <w:jc w:val="both"/>
      </w:pPr>
      <w:r>
        <w:rPr/>
        <w:t>其中：</w:t>
      </w:r>
      <w:r>
        <w:rPr>
          <w:rFonts w:ascii="Times New Roman" w:hAnsi="Times New Roman" w:cs="Times New Roman" w:eastAsia="Times New Roman" w:hint="default"/>
        </w:rPr>
        <w:t>P0</w:t>
      </w:r>
      <w:r>
        <w:rPr>
          <w:rFonts w:ascii="Times New Roman" w:hAnsi="Times New Roman" w:cs="Times New Roman" w:eastAsia="Times New Roman" w:hint="default"/>
          <w:spacing w:val="3"/>
        </w:rPr>
        <w:t> </w:t>
      </w:r>
      <w:r>
        <w:rPr/>
        <w:t>为归属于公司普通股股东的净利润或扣除非经常性损益后归属于普通股股东的净 利润；</w:t>
      </w:r>
      <w:r>
        <w:rPr>
          <w:rFonts w:ascii="Times New Roman" w:hAnsi="Times New Roman" w:cs="Times New Roman" w:eastAsia="Times New Roman" w:hint="default"/>
        </w:rPr>
        <w:t>S </w:t>
      </w:r>
      <w:r>
        <w:rPr/>
        <w:t>为发行在外的普通股加权平均数；</w:t>
      </w:r>
      <w:r>
        <w:rPr>
          <w:rFonts w:ascii="Times New Roman" w:hAnsi="Times New Roman" w:cs="Times New Roman" w:eastAsia="Times New Roman" w:hint="default"/>
        </w:rPr>
        <w:t>S0 </w:t>
      </w:r>
      <w:r>
        <w:rPr/>
        <w:t>为期初股份总数；</w:t>
      </w:r>
      <w:r>
        <w:rPr>
          <w:rFonts w:ascii="Times New Roman" w:hAnsi="Times New Roman" w:cs="Times New Roman" w:eastAsia="Times New Roman" w:hint="default"/>
        </w:rPr>
        <w:t>S1</w:t>
      </w:r>
      <w:r>
        <w:rPr>
          <w:rFonts w:ascii="Times New Roman" w:hAnsi="Times New Roman" w:cs="Times New Roman" w:eastAsia="Times New Roman" w:hint="default"/>
          <w:spacing w:val="-24"/>
        </w:rPr>
        <w:t> </w:t>
      </w:r>
      <w:r>
        <w:rPr/>
        <w:t>为报告期因公积金转增 股本或股票股利分配等增加股份数；</w:t>
      </w:r>
      <w:r>
        <w:rPr>
          <w:rFonts w:ascii="Times New Roman" w:hAnsi="Times New Roman" w:cs="Times New Roman" w:eastAsia="Times New Roman" w:hint="default"/>
        </w:rPr>
        <w:t>Si </w:t>
      </w:r>
      <w:r>
        <w:rPr/>
        <w:t>为报告期因发行新股或债转股等增加股份数；</w:t>
      </w:r>
      <w:r>
        <w:rPr>
          <w:rFonts w:ascii="Times New Roman" w:hAnsi="Times New Roman" w:cs="Times New Roman" w:eastAsia="Times New Roman" w:hint="default"/>
        </w:rPr>
        <w:t>Sj</w:t>
      </w:r>
      <w:r>
        <w:rPr>
          <w:rFonts w:ascii="Times New Roman" w:hAnsi="Times New Roman" w:cs="Times New Roman" w:eastAsia="Times New Roman" w:hint="default"/>
          <w:spacing w:val="30"/>
        </w:rPr>
        <w:t> </w:t>
      </w:r>
      <w:r>
        <w:rPr/>
        <w:t>为 报告期因回购等减少股份数；</w:t>
      </w:r>
      <w:r>
        <w:rPr>
          <w:rFonts w:ascii="Times New Roman" w:hAnsi="Times New Roman" w:cs="Times New Roman" w:eastAsia="Times New Roman" w:hint="default"/>
        </w:rPr>
        <w:t>Sk </w:t>
      </w:r>
      <w:r>
        <w:rPr/>
        <w:t>为报告期缩股数；</w:t>
      </w:r>
      <w:r>
        <w:rPr>
          <w:rFonts w:ascii="Times New Roman" w:hAnsi="Times New Roman" w:cs="Times New Roman" w:eastAsia="Times New Roman" w:hint="default"/>
        </w:rPr>
        <w:t>M0 </w:t>
      </w:r>
      <w:r>
        <w:rPr/>
        <w:t>报告期月份数；</w:t>
      </w:r>
      <w:r>
        <w:rPr>
          <w:rFonts w:ascii="Times New Roman" w:hAnsi="Times New Roman" w:cs="Times New Roman" w:eastAsia="Times New Roman" w:hint="default"/>
        </w:rPr>
        <w:t>Mi</w:t>
      </w:r>
      <w:r>
        <w:rPr>
          <w:rFonts w:ascii="Times New Roman" w:hAnsi="Times New Roman" w:cs="Times New Roman" w:eastAsia="Times New Roman" w:hint="default"/>
          <w:spacing w:val="-15"/>
        </w:rPr>
        <w:t> </w:t>
      </w:r>
      <w:r>
        <w:rPr/>
        <w:t>为增加股份次月 起至报告期期末的累计月数；</w:t>
      </w:r>
      <w:r>
        <w:rPr>
          <w:rFonts w:ascii="Times New Roman" w:hAnsi="Times New Roman" w:cs="Times New Roman" w:eastAsia="Times New Roman" w:hint="default"/>
        </w:rPr>
        <w:t>Mj</w:t>
      </w:r>
      <w:r>
        <w:rPr>
          <w:rFonts w:ascii="Times New Roman" w:hAnsi="Times New Roman" w:cs="Times New Roman" w:eastAsia="Times New Roman" w:hint="default"/>
          <w:spacing w:val="-3"/>
        </w:rPr>
        <w:t> </w:t>
      </w:r>
      <w:r>
        <w:rPr/>
        <w:t>为减少股份次月起至报告期期末的累计月数。</w:t>
      </w:r>
    </w:p>
    <w:p>
      <w:pPr>
        <w:spacing w:line="240" w:lineRule="auto" w:before="1"/>
        <w:rPr>
          <w:rFonts w:ascii="宋体" w:hAnsi="宋体" w:cs="宋体" w:eastAsia="宋体" w:hint="default"/>
          <w:sz w:val="26"/>
          <w:szCs w:val="26"/>
        </w:rPr>
      </w:pPr>
    </w:p>
    <w:p>
      <w:pPr>
        <w:pStyle w:val="BodyText"/>
        <w:tabs>
          <w:tab w:pos="1413" w:val="left" w:leader="none"/>
        </w:tabs>
        <w:spacing w:line="304" w:lineRule="auto" w:before="0"/>
        <w:ind w:left="875" w:right="208"/>
        <w:jc w:val="left"/>
        <w:rPr>
          <w:rFonts w:ascii="Times New Roman" w:hAnsi="Times New Roman" w:cs="Times New Roman" w:eastAsia="Times New Roman" w:hint="default"/>
        </w:rPr>
      </w:pPr>
      <w:r>
        <w:rPr>
          <w:rFonts w:ascii="宋体" w:hAnsi="宋体" w:cs="宋体" w:eastAsia="宋体" w:hint="default"/>
          <w:b/>
          <w:bCs/>
          <w:w w:val="95"/>
        </w:rPr>
        <w:t>2、</w:t>
        <w:tab/>
      </w:r>
      <w:r>
        <w:rPr>
          <w:rFonts w:ascii="宋体" w:hAnsi="宋体" w:cs="宋体" w:eastAsia="宋体" w:hint="default"/>
          <w:b/>
          <w:bCs/>
        </w:rPr>
        <w:t>稀释每股收益</w:t>
      </w:r>
      <w:r>
        <w:rPr>
          <w:rFonts w:ascii="宋体" w:hAnsi="宋体" w:cs="宋体" w:eastAsia="宋体" w:hint="default"/>
          <w:b/>
          <w:bCs/>
          <w:w w:val="99"/>
        </w:rPr>
        <w:t> </w:t>
      </w:r>
      <w:r>
        <w:rPr/>
        <w:t>稀释每股收益</w:t>
      </w:r>
      <w:r>
        <w:rPr>
          <w:rFonts w:ascii="Times New Roman" w:hAnsi="Times New Roman" w:cs="Times New Roman" w:eastAsia="Times New Roman" w:hint="default"/>
        </w:rPr>
        <w:t>=P1/(S0</w:t>
      </w:r>
      <w:r>
        <w:rPr/>
        <w:t>＋</w:t>
      </w:r>
      <w:r>
        <w:rPr>
          <w:rFonts w:ascii="Times New Roman" w:hAnsi="Times New Roman" w:cs="Times New Roman" w:eastAsia="Times New Roman" w:hint="default"/>
        </w:rPr>
        <w:t>S1</w:t>
      </w:r>
      <w:r>
        <w:rPr/>
        <w:t>＋</w:t>
      </w:r>
      <w:r>
        <w:rPr>
          <w:rFonts w:ascii="Times New Roman" w:hAnsi="Times New Roman" w:cs="Times New Roman" w:eastAsia="Times New Roman" w:hint="default"/>
        </w:rPr>
        <w:t>Si×Mi÷M0–Sj×Mj÷M0–Sk+</w:t>
      </w:r>
      <w:r>
        <w:rPr/>
        <w:t>认股权证、股份期权、可转换债券</w:t>
      </w:r>
      <w:r>
        <w:rPr>
          <w:spacing w:val="-51"/>
        </w:rPr>
        <w:t> </w:t>
      </w:r>
      <w:r>
        <w:rPr>
          <w:spacing w:val="-51"/>
        </w:rPr>
      </w:r>
      <w:r>
        <w:rPr/>
        <w:t>等增加的普通股加权平均数</w:t>
      </w:r>
      <w:r>
        <w:rPr>
          <w:rFonts w:ascii="Times New Roman" w:hAnsi="Times New Roman" w:cs="Times New Roman" w:eastAsia="Times New Roman" w:hint="default"/>
        </w:rPr>
        <w:t>)</w:t>
      </w:r>
    </w:p>
    <w:p>
      <w:pPr>
        <w:pStyle w:val="BodyText"/>
        <w:spacing w:line="309" w:lineRule="auto" w:before="6"/>
        <w:ind w:left="875" w:right="89"/>
        <w:jc w:val="left"/>
      </w:pPr>
      <w:r>
        <w:rPr/>
        <w:t>其中，</w:t>
      </w:r>
      <w:r>
        <w:rPr>
          <w:rFonts w:ascii="Times New Roman" w:hAnsi="Times New Roman" w:cs="Times New Roman" w:eastAsia="Times New Roman" w:hint="default"/>
        </w:rPr>
        <w:t>P1</w:t>
      </w:r>
      <w:r>
        <w:rPr>
          <w:rFonts w:ascii="Times New Roman" w:hAnsi="Times New Roman" w:cs="Times New Roman" w:eastAsia="Times New Roman" w:hint="default"/>
          <w:spacing w:val="3"/>
        </w:rPr>
        <w:t> </w:t>
      </w:r>
      <w:r>
        <w:rPr/>
        <w:t>为归属于公司普通股股东的净利润或扣除非经常性损益后归属于公司普通股股东 </w:t>
      </w:r>
      <w:r>
        <w:rPr>
          <w:spacing w:val="-1"/>
        </w:rPr>
        <w:t>的净利润，并考虑稀释性潜在普通股对其影响，按《企业会计准则》及有关规定进行调整。</w:t>
      </w:r>
      <w:r>
        <w:rPr/>
        <w:t> 公司在计算稀释每股收益时，应考虑所有稀释性潜在普通股对归属于公司普通股股东的净</w:t>
      </w:r>
      <w:r>
        <w:rPr>
          <w:spacing w:val="-49"/>
        </w:rPr>
        <w:t> </w:t>
      </w:r>
      <w:r>
        <w:rPr>
          <w:spacing w:val="-49"/>
        </w:rPr>
      </w:r>
      <w:r>
        <w:rPr/>
        <w:t>利润或扣除非经常性损益后归属于公司普通股股东的净利润和加权平均股数的影响，按照</w:t>
      </w:r>
      <w:r>
        <w:rPr>
          <w:spacing w:val="-49"/>
        </w:rPr>
        <w:t> </w:t>
      </w:r>
      <w:r>
        <w:rPr>
          <w:spacing w:val="-49"/>
        </w:rPr>
      </w:r>
      <w:r>
        <w:rPr/>
        <w:t>其稀释程度从大到小的顺序计入稀释每股收益，直至稀释每股收益达到最小值。</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pStyle w:val="Heading6"/>
        <w:tabs>
          <w:tab w:pos="1413" w:val="left" w:leader="none"/>
        </w:tabs>
        <w:spacing w:line="240" w:lineRule="auto" w:before="0"/>
        <w:ind w:left="875" w:right="3566"/>
        <w:jc w:val="left"/>
        <w:rPr>
          <w:b w:val="0"/>
          <w:bCs w:val="0"/>
        </w:rPr>
      </w:pPr>
      <w:r>
        <w:rPr>
          <w:w w:val="95"/>
        </w:rPr>
        <w:t>3、</w:t>
        <w:tab/>
      </w:r>
      <w:r>
        <w:rPr/>
        <w:t>基本每股收益和稀释每股收益</w:t>
      </w:r>
      <w:r>
        <w:rPr>
          <w:b w:val="0"/>
          <w:bCs w:val="0"/>
        </w:rPr>
      </w:r>
    </w:p>
    <w:p>
      <w:pPr>
        <w:spacing w:line="240" w:lineRule="auto" w:before="7"/>
        <w:rPr>
          <w:rFonts w:ascii="宋体" w:hAnsi="宋体" w:cs="宋体" w:eastAsia="宋体" w:hint="default"/>
          <w:b/>
          <w:bCs/>
          <w:sz w:val="2"/>
          <w:szCs w:val="2"/>
        </w:rPr>
      </w:pPr>
    </w:p>
    <w:p>
      <w:pPr>
        <w:spacing w:line="1689" w:lineRule="exact"/>
        <w:ind w:left="737"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19.55pt;height:84.5pt;mso-position-horizontal-relative:char;mso-position-vertical-relative:line" coordorigin="0,0" coordsize="8391,1690">
            <v:group style="position:absolute;left:29;top:15;width:8336;height:2" coordorigin="29,15" coordsize="8336,2">
              <v:shape style="position:absolute;left:29;top:15;width:8336;height:2" coordorigin="29,15" coordsize="8336,0" path="m29,15l8365,15e" filled="false" stroked="true" strokeweight="1.5pt" strokecolor="#000000">
                <v:path arrowok="t"/>
              </v:shape>
              <v:shape style="position:absolute;left:4619;top:30;width:10;height:400" type="#_x0000_t75" stroked="false">
                <v:imagedata r:id="rId304" o:title=""/>
              </v:shape>
              <v:shape style="position:absolute;left:4594;top:404;width:3797;height:461" type="#_x0000_t75" stroked="false">
                <v:imagedata r:id="rId305" o:title=""/>
              </v:shape>
            </v:group>
            <v:group style="position:absolute;left:15;top:1675;width:4605;height:2" coordorigin="15,1675" coordsize="4605,2">
              <v:shape style="position:absolute;left:15;top:1675;width:4605;height:2" coordorigin="15,1675" coordsize="4605,0" path="m15,1675l4619,1675e" filled="false" stroked="true" strokeweight="1.5pt" strokecolor="#000000">
                <v:path arrowok="t"/>
              </v:shape>
            </v:group>
            <v:group style="position:absolute;left:4619;top:1675;width:1827;height:2" coordorigin="4619,1675" coordsize="1827,2">
              <v:shape style="position:absolute;left:4619;top:1675;width:1827;height:2" coordorigin="4619,1675" coordsize="1827,0" path="m4619,1675l6446,1675e" filled="false" stroked="true" strokeweight="1.5pt" strokecolor="#000000">
                <v:path arrowok="t"/>
              </v:shape>
              <v:shape style="position:absolute;left:10;top:821;width:8375;height:839" type="#_x0000_t75" stroked="false">
                <v:imagedata r:id="rId306" o:title=""/>
              </v:shape>
            </v:group>
            <v:group style="position:absolute;left:6446;top:1675;width:1919;height:2" coordorigin="6446,1675" coordsize="1919,2">
              <v:shape style="position:absolute;left:6446;top:1675;width:1919;height:2" coordorigin="6446,1675" coordsize="1919,0" path="m6446,1675l8365,1675e" filled="false" stroked="true" strokeweight="1.5pt" strokecolor="#000000">
                <v:path arrowok="t"/>
              </v:shape>
              <v:shape style="position:absolute;left:5864;top:22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每股收益（元）</w:t>
                      </w:r>
                    </w:p>
                  </w:txbxContent>
                </v:textbox>
                <w10:wrap type="none"/>
              </v:shape>
              <v:shape style="position:absolute;left:2011;top:42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2461;top:42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4996;top:63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基本每股收益</w:t>
                      </w:r>
                    </w:p>
                  </w:txbxContent>
                </v:textbox>
                <w10:wrap type="none"/>
              </v:shape>
              <v:shape style="position:absolute;left:6868;top:63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稀释每股收益</w:t>
                      </w:r>
                    </w:p>
                  </w:txbxContent>
                </v:textbox>
                <w10:wrap type="none"/>
              </v:shape>
              <v:shape style="position:absolute;left:137;top:1042;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xbxContent>
                </v:textbox>
                <w10:wrap type="none"/>
              </v:shape>
              <v:shape style="position:absolute;left:6027;top:1061;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0.34</w:t>
                      </w:r>
                    </w:p>
                  </w:txbxContent>
                </v:textbox>
                <w10:wrap type="none"/>
              </v:shape>
              <v:shape style="position:absolute;left:7941;top:1061;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0.34</w:t>
                      </w:r>
                    </w:p>
                  </w:txbxContent>
                </v:textbox>
                <w10:wrap type="none"/>
              </v:shape>
              <v:shape style="position:absolute;left:137;top:1452;width:41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扣除非经常性损益后归属于公司普通股股东的净利润</w:t>
                      </w:r>
                    </w:p>
                  </w:txbxContent>
                </v:textbox>
                <w10:wrap type="none"/>
              </v:shape>
              <v:shape style="position:absolute;left:6027;top:147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0.23</w:t>
                      </w:r>
                    </w:p>
                  </w:txbxContent>
                </v:textbox>
                <w10:wrap type="none"/>
              </v:shape>
              <v:shape style="position:absolute;left:7941;top:147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0.23</w:t>
                      </w:r>
                    </w:p>
                  </w:txbxContent>
                </v:textbox>
                <w10:wrap type="none"/>
              </v:shape>
            </v:group>
          </v:group>
        </w:pict>
      </w:r>
      <w:r>
        <w:rPr>
          <w:rFonts w:ascii="宋体" w:hAnsi="宋体" w:cs="宋体" w:eastAsia="宋体" w:hint="default"/>
          <w:position w:val="-33"/>
          <w:sz w:val="20"/>
          <w:szCs w:val="20"/>
        </w:rPr>
      </w:r>
    </w:p>
    <w:p>
      <w:pPr>
        <w:spacing w:after="0" w:line="1689" w:lineRule="exact"/>
        <w:rPr>
          <w:rFonts w:ascii="宋体" w:hAnsi="宋体" w:cs="宋体" w:eastAsia="宋体" w:hint="default"/>
          <w:sz w:val="20"/>
          <w:szCs w:val="20"/>
        </w:rPr>
        <w:sectPr>
          <w:pgSz w:w="11910" w:h="16840"/>
          <w:pgMar w:header="0" w:footer="1003" w:top="1540" w:bottom="1200" w:left="1640" w:right="920"/>
        </w:sect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9"/>
          <w:szCs w:val="19"/>
        </w:rPr>
      </w:pPr>
    </w:p>
    <w:p>
      <w:pPr>
        <w:tabs>
          <w:tab w:pos="1393" w:val="left" w:leader="none"/>
        </w:tabs>
        <w:spacing w:before="35"/>
        <w:ind w:left="855" w:right="2718" w:firstLine="0"/>
        <w:jc w:val="left"/>
        <w:rPr>
          <w:rFonts w:ascii="宋体" w:hAnsi="宋体" w:cs="宋体" w:eastAsia="宋体" w:hint="default"/>
          <w:sz w:val="21"/>
          <w:szCs w:val="21"/>
        </w:rPr>
      </w:pPr>
      <w:r>
        <w:rPr/>
        <w:pict>
          <v:group style="position:absolute;margin-left:119.400002pt;margin-top:17.073793pt;width:418.7pt;height:328.5pt;mso-position-horizontal-relative:page;mso-position-vertical-relative:paragraph;z-index:-1112080" coordorigin="2388,341" coordsize="8374,6570">
            <v:group style="position:absolute;left:2407;top:356;width:8336;height:2" coordorigin="2407,356" coordsize="8336,2">
              <v:shape style="position:absolute;left:2407;top:356;width:8336;height:2" coordorigin="2407,356" coordsize="8336,0" path="m2407,356l10742,356e" filled="false" stroked="true" strokeweight="1.5pt" strokecolor="#000000">
                <v:path arrowok="t"/>
              </v:shape>
              <v:shape style="position:absolute;left:6993;top:348;width:2496;height:446" type="#_x0000_t75" stroked="false">
                <v:imagedata r:id="rId307" o:title=""/>
              </v:shape>
              <v:shape style="position:absolute;left:2388;top:752;width:8374;height:6160" type="#_x0000_t75" stroked="false">
                <v:imagedata r:id="rId308" o:title=""/>
              </v:shape>
            </v:group>
            <w10:wrap type="none"/>
          </v:group>
        </w:pict>
      </w:r>
      <w:r>
        <w:rPr>
          <w:rFonts w:ascii="宋体" w:hAnsi="宋体" w:cs="宋体" w:eastAsia="宋体" w:hint="default"/>
          <w:b/>
          <w:bCs/>
          <w:w w:val="95"/>
          <w:sz w:val="21"/>
          <w:szCs w:val="21"/>
        </w:rPr>
        <w:t>4、</w:t>
        <w:tab/>
      </w:r>
      <w:r>
        <w:rPr>
          <w:rFonts w:ascii="宋体" w:hAnsi="宋体" w:cs="宋体" w:eastAsia="宋体" w:hint="default"/>
          <w:b/>
          <w:bCs/>
          <w:sz w:val="21"/>
          <w:szCs w:val="21"/>
        </w:rPr>
        <w:t>基本每股收益的计算过程：</w:t>
      </w:r>
      <w:r>
        <w:rPr>
          <w:rFonts w:ascii="宋体" w:hAnsi="宋体" w:cs="宋体" w:eastAsia="宋体" w:hint="default"/>
          <w:sz w:val="21"/>
          <w:szCs w:val="21"/>
        </w:rPr>
      </w:r>
    </w:p>
    <w:p>
      <w:pPr>
        <w:spacing w:line="240" w:lineRule="auto" w:before="10"/>
        <w:rPr>
          <w:rFonts w:ascii="宋体" w:hAnsi="宋体" w:cs="宋体" w:eastAsia="宋体" w:hint="default"/>
          <w:b/>
          <w:bCs/>
          <w:sz w:val="11"/>
          <w:szCs w:val="11"/>
        </w:rPr>
      </w:pPr>
    </w:p>
    <w:tbl>
      <w:tblPr>
        <w:tblW w:w="0" w:type="auto"/>
        <w:jc w:val="left"/>
        <w:tblInd w:w="732" w:type="dxa"/>
        <w:tblLayout w:type="fixed"/>
        <w:tblCellMar>
          <w:top w:w="0" w:type="dxa"/>
          <w:left w:w="0" w:type="dxa"/>
          <w:bottom w:w="0" w:type="dxa"/>
          <w:right w:w="0" w:type="dxa"/>
        </w:tblCellMar>
        <w:tblLook w:val="01E0"/>
      </w:tblPr>
      <w:tblGrid>
        <w:gridCol w:w="4589"/>
        <w:gridCol w:w="2459"/>
        <w:gridCol w:w="1301"/>
      </w:tblGrid>
      <w:tr>
        <w:trPr>
          <w:trHeight w:val="1225" w:hRule="exact"/>
        </w:trPr>
        <w:tc>
          <w:tcPr>
            <w:tcW w:w="4589"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1944" w:firstLine="1882"/>
              <w:jc w:val="both"/>
              <w:rPr>
                <w:rFonts w:ascii="宋体" w:hAnsi="宋体" w:cs="宋体" w:eastAsia="宋体" w:hint="default"/>
                <w:sz w:val="18"/>
                <w:szCs w:val="18"/>
              </w:rPr>
            </w:pPr>
            <w:r>
              <w:rPr>
                <w:rFonts w:ascii="宋体" w:hAnsi="宋体" w:cs="宋体" w:eastAsia="宋体" w:hint="default"/>
                <w:sz w:val="18"/>
                <w:szCs w:val="18"/>
              </w:rPr>
              <w:t>项 目 归属于公司普通股股东的净利润 非经常性损益</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5" w:right="0"/>
              <w:jc w:val="center"/>
              <w:rPr>
                <w:rFonts w:ascii="宋体" w:hAnsi="宋体" w:cs="宋体" w:eastAsia="宋体" w:hint="default"/>
                <w:sz w:val="18"/>
                <w:szCs w:val="18"/>
              </w:rPr>
            </w:pPr>
            <w:r>
              <w:rPr>
                <w:rFonts w:ascii="宋体" w:hAnsi="宋体" w:cs="宋体" w:eastAsia="宋体" w:hint="default"/>
                <w:sz w:val="18"/>
                <w:szCs w:val="18"/>
              </w:rPr>
              <w:t>计算公式</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439" w:lineRule="auto"/>
              <w:ind w:left="146" w:right="2151"/>
              <w:jc w:val="left"/>
              <w:rPr>
                <w:rFonts w:ascii="Times New Roman" w:hAnsi="Times New Roman" w:cs="Times New Roman" w:eastAsia="Times New Roman" w:hint="default"/>
                <w:sz w:val="18"/>
                <w:szCs w:val="18"/>
              </w:rPr>
            </w:pPr>
            <w:r>
              <w:rPr>
                <w:rFonts w:ascii="Times New Roman"/>
                <w:sz w:val="18"/>
              </w:rPr>
              <w:t>P</w:t>
            </w:r>
            <w:r>
              <w:rPr>
                <w:rFonts w:ascii="Times New Roman"/>
                <w:position w:val="-2"/>
                <w:sz w:val="12"/>
              </w:rPr>
              <w:t>0</w:t>
            </w:r>
            <w:r>
              <w:rPr>
                <w:rFonts w:ascii="Times New Roman"/>
                <w:position w:val="-2"/>
                <w:sz w:val="12"/>
              </w:rPr>
              <w:t> </w:t>
            </w:r>
            <w:r>
              <w:rPr>
                <w:rFonts w:ascii="Times New Roman"/>
                <w:sz w:val="18"/>
              </w:rPr>
              <w:t>F</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99"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292" w:right="0"/>
              <w:jc w:val="left"/>
              <w:rPr>
                <w:rFonts w:ascii="Times New Roman" w:hAnsi="Times New Roman" w:cs="Times New Roman" w:eastAsia="Times New Roman" w:hint="default"/>
                <w:sz w:val="18"/>
                <w:szCs w:val="18"/>
              </w:rPr>
            </w:pPr>
            <w:r>
              <w:rPr>
                <w:rFonts w:ascii="Times New Roman"/>
                <w:sz w:val="18"/>
              </w:rPr>
              <w:t>417,068,980</w:t>
            </w: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98" w:right="0"/>
              <w:jc w:val="left"/>
              <w:rPr>
                <w:rFonts w:ascii="Times New Roman" w:hAnsi="Times New Roman" w:cs="Times New Roman" w:eastAsia="Times New Roman" w:hint="default"/>
                <w:sz w:val="18"/>
                <w:szCs w:val="18"/>
              </w:rPr>
            </w:pPr>
            <w:r>
              <w:rPr>
                <w:rFonts w:ascii="Times New Roman"/>
                <w:sz w:val="18"/>
              </w:rPr>
              <w:t>130,261,411</w:t>
            </w:r>
          </w:p>
        </w:tc>
      </w:tr>
      <w:tr>
        <w:trPr>
          <w:trHeight w:val="420" w:hRule="exact"/>
        </w:trPr>
        <w:tc>
          <w:tcPr>
            <w:tcW w:w="458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扣除非经营性损益后的归属于公司普通股股东的净利润</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46" w:right="0"/>
              <w:jc w:val="left"/>
              <w:rPr>
                <w:rFonts w:ascii="Times New Roman" w:hAnsi="Times New Roman" w:cs="Times New Roman" w:eastAsia="Times New Roman" w:hint="default"/>
                <w:sz w:val="18"/>
                <w:szCs w:val="18"/>
              </w:rPr>
            </w:pPr>
            <w:r>
              <w:rPr>
                <w:rFonts w:ascii="Times New Roman"/>
                <w:sz w:val="18"/>
              </w:rPr>
              <w:t>P</w:t>
            </w:r>
            <w:r>
              <w:rPr>
                <w:rFonts w:ascii="Times New Roman"/>
                <w:position w:val="-2"/>
                <w:sz w:val="12"/>
              </w:rPr>
              <w:t>1</w:t>
            </w:r>
            <w:r>
              <w:rPr>
                <w:rFonts w:ascii="Times New Roman"/>
                <w:sz w:val="18"/>
              </w:rPr>
              <w:t>= P</w:t>
            </w:r>
            <w:r>
              <w:rPr>
                <w:rFonts w:ascii="Times New Roman"/>
                <w:position w:val="-2"/>
                <w:sz w:val="12"/>
              </w:rPr>
              <w:t>0-</w:t>
            </w:r>
            <w:r>
              <w:rPr>
                <w:rFonts w:ascii="Times New Roman"/>
                <w:spacing w:val="13"/>
                <w:position w:val="-2"/>
                <w:sz w:val="12"/>
              </w:rPr>
              <w:t> </w:t>
            </w:r>
            <w:r>
              <w:rPr>
                <w:rFonts w:ascii="Times New Roman"/>
                <w:sz w:val="18"/>
              </w:rPr>
              <w:t>F</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7"/>
              <w:jc w:val="right"/>
              <w:rPr>
                <w:rFonts w:ascii="Times New Roman" w:hAnsi="Times New Roman" w:cs="Times New Roman" w:eastAsia="Times New Roman" w:hint="default"/>
                <w:sz w:val="18"/>
                <w:szCs w:val="18"/>
              </w:rPr>
            </w:pPr>
            <w:r>
              <w:rPr>
                <w:rFonts w:ascii="Times New Roman"/>
                <w:sz w:val="18"/>
              </w:rPr>
              <w:t>286,807,569</w:t>
            </w:r>
          </w:p>
        </w:tc>
      </w:tr>
      <w:tr>
        <w:trPr>
          <w:trHeight w:val="410" w:hRule="exact"/>
        </w:trPr>
        <w:tc>
          <w:tcPr>
            <w:tcW w:w="458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期初股份总数</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46"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0</w:t>
            </w:r>
            <w:r>
              <w:rPr>
                <w:rFonts w:ascii="Times New Roman"/>
                <w:sz w:val="12"/>
              </w:rPr>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7"/>
              <w:jc w:val="right"/>
              <w:rPr>
                <w:rFonts w:ascii="Times New Roman" w:hAnsi="Times New Roman" w:cs="Times New Roman" w:eastAsia="Times New Roman" w:hint="default"/>
                <w:sz w:val="18"/>
                <w:szCs w:val="18"/>
              </w:rPr>
            </w:pPr>
            <w:r>
              <w:rPr>
                <w:rFonts w:ascii="Times New Roman"/>
                <w:spacing w:val="-1"/>
                <w:sz w:val="18"/>
              </w:rPr>
              <w:t>1,227,594,245</w:t>
            </w:r>
          </w:p>
        </w:tc>
      </w:tr>
      <w:tr>
        <w:trPr>
          <w:trHeight w:val="410" w:hRule="exact"/>
        </w:trPr>
        <w:tc>
          <w:tcPr>
            <w:tcW w:w="458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因公积金转增股本或股票股利分配等增加股份数</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46"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1</w:t>
            </w:r>
            <w:r>
              <w:rPr>
                <w:rFonts w:ascii="Times New Roman"/>
                <w:sz w:val="12"/>
              </w:rPr>
            </w:r>
          </w:p>
        </w:tc>
        <w:tc>
          <w:tcPr>
            <w:tcW w:w="1301" w:type="dxa"/>
            <w:tcBorders>
              <w:top w:val="nil" w:sz="6" w:space="0" w:color="auto"/>
              <w:left w:val="nil" w:sz="6" w:space="0" w:color="auto"/>
              <w:bottom w:val="nil" w:sz="6" w:space="0" w:color="auto"/>
              <w:right w:val="nil" w:sz="6" w:space="0" w:color="auto"/>
            </w:tcBorders>
          </w:tcPr>
          <w:p>
            <w:pPr/>
          </w:p>
        </w:tc>
      </w:tr>
      <w:tr>
        <w:trPr>
          <w:trHeight w:val="410" w:hRule="exact"/>
        </w:trPr>
        <w:tc>
          <w:tcPr>
            <w:tcW w:w="458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发行新股或债转股等增加股份数</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46"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i</w:t>
            </w:r>
            <w:r>
              <w:rPr>
                <w:rFonts w:ascii="Times New Roman"/>
                <w:sz w:val="12"/>
              </w:rPr>
            </w:r>
          </w:p>
        </w:tc>
        <w:tc>
          <w:tcPr>
            <w:tcW w:w="1301" w:type="dxa"/>
            <w:tcBorders>
              <w:top w:val="nil" w:sz="6" w:space="0" w:color="auto"/>
              <w:left w:val="nil" w:sz="6" w:space="0" w:color="auto"/>
              <w:bottom w:val="nil" w:sz="6" w:space="0" w:color="auto"/>
              <w:right w:val="nil" w:sz="6" w:space="0" w:color="auto"/>
            </w:tcBorders>
          </w:tcPr>
          <w:p>
            <w:pPr/>
          </w:p>
        </w:tc>
      </w:tr>
      <w:tr>
        <w:trPr>
          <w:trHeight w:val="410" w:hRule="exact"/>
        </w:trPr>
        <w:tc>
          <w:tcPr>
            <w:tcW w:w="458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增加股份次月起至报告期期末的累计月数</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46" w:right="0"/>
              <w:jc w:val="left"/>
              <w:rPr>
                <w:rFonts w:ascii="Times New Roman" w:hAnsi="Times New Roman" w:cs="Times New Roman" w:eastAsia="Times New Roman" w:hint="default"/>
                <w:sz w:val="12"/>
                <w:szCs w:val="12"/>
              </w:rPr>
            </w:pPr>
            <w:r>
              <w:rPr>
                <w:rFonts w:ascii="Times New Roman"/>
                <w:sz w:val="18"/>
              </w:rPr>
              <w:t>M</w:t>
            </w:r>
            <w:r>
              <w:rPr>
                <w:rFonts w:ascii="Times New Roman"/>
                <w:position w:val="-2"/>
                <w:sz w:val="12"/>
              </w:rPr>
              <w:t>i</w:t>
            </w:r>
            <w:r>
              <w:rPr>
                <w:rFonts w:ascii="Times New Roman"/>
                <w:sz w:val="12"/>
              </w:rPr>
            </w:r>
          </w:p>
        </w:tc>
        <w:tc>
          <w:tcPr>
            <w:tcW w:w="1301" w:type="dxa"/>
            <w:tcBorders>
              <w:top w:val="nil" w:sz="6" w:space="0" w:color="auto"/>
              <w:left w:val="nil" w:sz="6" w:space="0" w:color="auto"/>
              <w:bottom w:val="nil" w:sz="6" w:space="0" w:color="auto"/>
              <w:right w:val="nil" w:sz="6" w:space="0" w:color="auto"/>
            </w:tcBorders>
          </w:tcPr>
          <w:p>
            <w:pPr/>
          </w:p>
        </w:tc>
      </w:tr>
      <w:tr>
        <w:trPr>
          <w:trHeight w:val="410" w:hRule="exact"/>
        </w:trPr>
        <w:tc>
          <w:tcPr>
            <w:tcW w:w="458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因回购等减少股份数</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46"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j</w:t>
            </w:r>
            <w:r>
              <w:rPr>
                <w:rFonts w:ascii="Times New Roman"/>
                <w:sz w:val="12"/>
              </w:rPr>
            </w:r>
          </w:p>
        </w:tc>
        <w:tc>
          <w:tcPr>
            <w:tcW w:w="1301" w:type="dxa"/>
            <w:tcBorders>
              <w:top w:val="nil" w:sz="6" w:space="0" w:color="auto"/>
              <w:left w:val="nil" w:sz="6" w:space="0" w:color="auto"/>
              <w:bottom w:val="nil" w:sz="6" w:space="0" w:color="auto"/>
              <w:right w:val="nil" w:sz="6" w:space="0" w:color="auto"/>
            </w:tcBorders>
          </w:tcPr>
          <w:p>
            <w:pPr/>
          </w:p>
        </w:tc>
      </w:tr>
      <w:tr>
        <w:trPr>
          <w:trHeight w:val="410" w:hRule="exact"/>
        </w:trPr>
        <w:tc>
          <w:tcPr>
            <w:tcW w:w="458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减少股份次月起至报告期期末的累计月数</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46" w:right="0"/>
              <w:jc w:val="left"/>
              <w:rPr>
                <w:rFonts w:ascii="Times New Roman" w:hAnsi="Times New Roman" w:cs="Times New Roman" w:eastAsia="Times New Roman" w:hint="default"/>
                <w:sz w:val="12"/>
                <w:szCs w:val="12"/>
              </w:rPr>
            </w:pPr>
            <w:r>
              <w:rPr>
                <w:rFonts w:ascii="Times New Roman"/>
                <w:sz w:val="18"/>
              </w:rPr>
              <w:t>M</w:t>
            </w:r>
            <w:r>
              <w:rPr>
                <w:rFonts w:ascii="Times New Roman"/>
                <w:position w:val="-2"/>
                <w:sz w:val="12"/>
              </w:rPr>
              <w:t>j</w:t>
            </w:r>
            <w:r>
              <w:rPr>
                <w:rFonts w:ascii="Times New Roman"/>
                <w:sz w:val="12"/>
              </w:rPr>
            </w:r>
          </w:p>
        </w:tc>
        <w:tc>
          <w:tcPr>
            <w:tcW w:w="1301" w:type="dxa"/>
            <w:tcBorders>
              <w:top w:val="nil" w:sz="6" w:space="0" w:color="auto"/>
              <w:left w:val="nil" w:sz="6" w:space="0" w:color="auto"/>
              <w:bottom w:val="nil" w:sz="6" w:space="0" w:color="auto"/>
              <w:right w:val="nil" w:sz="6" w:space="0" w:color="auto"/>
            </w:tcBorders>
          </w:tcPr>
          <w:p>
            <w:pPr/>
          </w:p>
        </w:tc>
      </w:tr>
      <w:tr>
        <w:trPr>
          <w:trHeight w:val="410" w:hRule="exact"/>
        </w:trPr>
        <w:tc>
          <w:tcPr>
            <w:tcW w:w="458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报告期缩股数</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46"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k</w:t>
            </w:r>
            <w:r>
              <w:rPr>
                <w:rFonts w:ascii="Times New Roman"/>
                <w:sz w:val="12"/>
              </w:rPr>
            </w:r>
          </w:p>
        </w:tc>
        <w:tc>
          <w:tcPr>
            <w:tcW w:w="1301" w:type="dxa"/>
            <w:tcBorders>
              <w:top w:val="nil" w:sz="6" w:space="0" w:color="auto"/>
              <w:left w:val="nil" w:sz="6" w:space="0" w:color="auto"/>
              <w:bottom w:val="nil" w:sz="6" w:space="0" w:color="auto"/>
              <w:right w:val="nil" w:sz="6" w:space="0" w:color="auto"/>
            </w:tcBorders>
          </w:tcPr>
          <w:p>
            <w:pPr/>
          </w:p>
        </w:tc>
      </w:tr>
      <w:tr>
        <w:trPr>
          <w:trHeight w:val="410" w:hRule="exact"/>
        </w:trPr>
        <w:tc>
          <w:tcPr>
            <w:tcW w:w="458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46" w:right="0"/>
              <w:jc w:val="left"/>
              <w:rPr>
                <w:rFonts w:ascii="Times New Roman" w:hAnsi="Times New Roman" w:cs="Times New Roman" w:eastAsia="Times New Roman" w:hint="default"/>
                <w:sz w:val="12"/>
                <w:szCs w:val="12"/>
              </w:rPr>
            </w:pPr>
            <w:r>
              <w:rPr>
                <w:rFonts w:ascii="Times New Roman"/>
                <w:sz w:val="18"/>
              </w:rPr>
              <w:t>M</w:t>
            </w:r>
            <w:r>
              <w:rPr>
                <w:rFonts w:ascii="Times New Roman"/>
                <w:position w:val="-2"/>
                <w:sz w:val="12"/>
              </w:rPr>
              <w:t>0</w:t>
            </w:r>
            <w:r>
              <w:rPr>
                <w:rFonts w:ascii="Times New Roman"/>
                <w:sz w:val="12"/>
              </w:rPr>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7"/>
              <w:jc w:val="right"/>
              <w:rPr>
                <w:rFonts w:ascii="Times New Roman" w:hAnsi="Times New Roman" w:cs="Times New Roman" w:eastAsia="Times New Roman" w:hint="default"/>
                <w:sz w:val="18"/>
                <w:szCs w:val="18"/>
              </w:rPr>
            </w:pPr>
            <w:r>
              <w:rPr>
                <w:rFonts w:ascii="Times New Roman"/>
                <w:sz w:val="18"/>
              </w:rPr>
              <w:t>12</w:t>
            </w:r>
          </w:p>
        </w:tc>
      </w:tr>
      <w:tr>
        <w:trPr>
          <w:trHeight w:val="291" w:hRule="exact"/>
        </w:trPr>
        <w:tc>
          <w:tcPr>
            <w:tcW w:w="4589" w:type="dxa"/>
            <w:tcBorders>
              <w:top w:val="nil" w:sz="6" w:space="0" w:color="auto"/>
              <w:left w:val="nil" w:sz="6" w:space="0" w:color="auto"/>
              <w:bottom w:val="nil" w:sz="6" w:space="0" w:color="auto"/>
              <w:right w:val="nil" w:sz="6" w:space="0" w:color="auto"/>
            </w:tcBorders>
          </w:tcPr>
          <w:p>
            <w:pP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4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S= S0  </w:t>
            </w:r>
            <w:r>
              <w:rPr>
                <w:rFonts w:ascii="宋体" w:hAnsi="宋体" w:cs="宋体" w:eastAsia="宋体" w:hint="default"/>
                <w:sz w:val="18"/>
                <w:szCs w:val="18"/>
              </w:rPr>
              <w:t>＋ </w:t>
            </w:r>
            <w:r>
              <w:rPr>
                <w:rFonts w:ascii="Times New Roman" w:hAnsi="Times New Roman" w:cs="Times New Roman" w:eastAsia="Times New Roman" w:hint="default"/>
                <w:sz w:val="18"/>
                <w:szCs w:val="18"/>
              </w:rPr>
              <w:t>S1  </w:t>
            </w:r>
            <w:r>
              <w:rPr>
                <w:rFonts w:ascii="宋体" w:hAnsi="宋体" w:cs="宋体" w:eastAsia="宋体" w:hint="default"/>
                <w:sz w:val="18"/>
                <w:szCs w:val="18"/>
              </w:rPr>
              <w:t>＋</w:t>
            </w:r>
            <w:r>
              <w:rPr>
                <w:rFonts w:ascii="宋体" w:hAnsi="宋体" w:cs="宋体" w:eastAsia="宋体" w:hint="default"/>
                <w:spacing w:val="-12"/>
                <w:sz w:val="18"/>
                <w:szCs w:val="18"/>
              </w:rPr>
              <w:t> </w:t>
            </w:r>
            <w:r>
              <w:rPr>
                <w:rFonts w:ascii="Times New Roman" w:hAnsi="Times New Roman" w:cs="Times New Roman" w:eastAsia="Times New Roman" w:hint="default"/>
                <w:sz w:val="18"/>
                <w:szCs w:val="18"/>
              </w:rPr>
              <w:t>Si×Mi÷M0</w:t>
            </w:r>
          </w:p>
        </w:tc>
        <w:tc>
          <w:tcPr>
            <w:tcW w:w="1301" w:type="dxa"/>
            <w:tcBorders>
              <w:top w:val="nil" w:sz="6" w:space="0" w:color="auto"/>
              <w:left w:val="nil" w:sz="6" w:space="0" w:color="auto"/>
              <w:bottom w:val="nil" w:sz="6" w:space="0" w:color="auto"/>
              <w:right w:val="nil" w:sz="6" w:space="0" w:color="auto"/>
            </w:tcBorders>
          </w:tcPr>
          <w:p>
            <w:pPr/>
          </w:p>
        </w:tc>
      </w:tr>
      <w:tr>
        <w:trPr>
          <w:trHeight w:val="205" w:hRule="exact"/>
        </w:trPr>
        <w:tc>
          <w:tcPr>
            <w:tcW w:w="4589" w:type="dxa"/>
            <w:tcBorders>
              <w:top w:val="nil" w:sz="6" w:space="0" w:color="auto"/>
              <w:left w:val="nil" w:sz="6" w:space="0" w:color="auto"/>
              <w:bottom w:val="nil" w:sz="6" w:space="0" w:color="auto"/>
              <w:right w:val="nil" w:sz="6" w:space="0" w:color="auto"/>
            </w:tcBorders>
          </w:tcPr>
          <w:p>
            <w:pPr>
              <w:pStyle w:val="TableParagraph"/>
              <w:spacing w:line="185" w:lineRule="exact"/>
              <w:ind w:left="122" w:right="0"/>
              <w:jc w:val="left"/>
              <w:rPr>
                <w:rFonts w:ascii="宋体" w:hAnsi="宋体" w:cs="宋体" w:eastAsia="宋体" w:hint="default"/>
                <w:sz w:val="18"/>
                <w:szCs w:val="18"/>
              </w:rPr>
            </w:pPr>
            <w:r>
              <w:rPr>
                <w:rFonts w:ascii="宋体" w:hAnsi="宋体" w:cs="宋体" w:eastAsia="宋体" w:hint="default"/>
                <w:sz w:val="18"/>
                <w:szCs w:val="18"/>
              </w:rPr>
              <w:t>发行在外的普通股加权平均数</w:t>
            </w:r>
          </w:p>
        </w:tc>
        <w:tc>
          <w:tcPr>
            <w:tcW w:w="2459"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6"/>
              <w:jc w:val="right"/>
              <w:rPr>
                <w:rFonts w:ascii="Times New Roman" w:hAnsi="Times New Roman" w:cs="Times New Roman" w:eastAsia="Times New Roman" w:hint="default"/>
                <w:sz w:val="18"/>
                <w:szCs w:val="18"/>
              </w:rPr>
            </w:pPr>
            <w:r>
              <w:rPr>
                <w:rFonts w:ascii="Times New Roman"/>
                <w:spacing w:val="-1"/>
                <w:sz w:val="18"/>
              </w:rPr>
              <w:t>1,227,594,245</w:t>
            </w:r>
          </w:p>
        </w:tc>
      </w:tr>
      <w:tr>
        <w:trPr>
          <w:trHeight w:val="309" w:hRule="exact"/>
        </w:trPr>
        <w:tc>
          <w:tcPr>
            <w:tcW w:w="4589" w:type="dxa"/>
            <w:tcBorders>
              <w:top w:val="nil" w:sz="6" w:space="0" w:color="auto"/>
              <w:left w:val="nil" w:sz="6" w:space="0" w:color="auto"/>
              <w:bottom w:val="nil" w:sz="6" w:space="0" w:color="auto"/>
              <w:right w:val="nil" w:sz="6" w:space="0" w:color="auto"/>
            </w:tcBorders>
          </w:tcPr>
          <w:p>
            <w:pPr/>
          </w:p>
        </w:tc>
        <w:tc>
          <w:tcPr>
            <w:tcW w:w="2459" w:type="dxa"/>
            <w:tcBorders>
              <w:top w:val="nil" w:sz="6" w:space="0" w:color="auto"/>
              <w:left w:val="nil" w:sz="6" w:space="0" w:color="auto"/>
              <w:bottom w:val="nil" w:sz="6" w:space="0" w:color="auto"/>
              <w:right w:val="nil" w:sz="6" w:space="0" w:color="auto"/>
            </w:tcBorders>
          </w:tcPr>
          <w:p>
            <w:pPr>
              <w:pStyle w:val="TableParagraph"/>
              <w:spacing w:line="211" w:lineRule="exact"/>
              <w:ind w:left="146" w:right="0"/>
              <w:jc w:val="left"/>
              <w:rPr>
                <w:rFonts w:ascii="Times New Roman" w:hAnsi="Times New Roman" w:cs="Times New Roman" w:eastAsia="Times New Roman" w:hint="default"/>
                <w:sz w:val="12"/>
                <w:szCs w:val="12"/>
              </w:rPr>
            </w:pPr>
            <w:r>
              <w:rPr>
                <w:rFonts w:ascii="宋体" w:hAnsi="宋体" w:cs="宋体" w:eastAsia="宋体" w:hint="default"/>
                <w:sz w:val="18"/>
                <w:szCs w:val="18"/>
              </w:rPr>
              <w:t>—</w:t>
            </w:r>
            <w:r>
              <w:rPr>
                <w:rFonts w:ascii="宋体" w:hAnsi="宋体" w:cs="宋体" w:eastAsia="宋体" w:hint="default"/>
                <w:spacing w:val="-8"/>
                <w:sz w:val="18"/>
                <w:szCs w:val="18"/>
              </w:rPr>
              <w:t> </w:t>
            </w:r>
            <w:r>
              <w:rPr>
                <w:rFonts w:ascii="Times New Roman" w:hAnsi="Times New Roman" w:cs="Times New Roman" w:eastAsia="Times New Roman" w:hint="default"/>
                <w:sz w:val="18"/>
                <w:szCs w:val="18"/>
              </w:rPr>
              <w:t>Sj×Mj÷M0</w:t>
            </w:r>
            <w:r>
              <w:rPr>
                <w:rFonts w:ascii="宋体" w:hAnsi="宋体" w:cs="宋体" w:eastAsia="宋体" w:hint="default"/>
                <w:sz w:val="18"/>
                <w:szCs w:val="18"/>
              </w:rPr>
              <w:t>－</w:t>
            </w:r>
            <w:r>
              <w:rPr>
                <w:rFonts w:ascii="Times New Roman" w:hAnsi="Times New Roman" w:cs="Times New Roman" w:eastAsia="Times New Roman" w:hint="default"/>
                <w:sz w:val="18"/>
                <w:szCs w:val="18"/>
              </w:rPr>
              <w:t>S</w:t>
            </w:r>
            <w:r>
              <w:rPr>
                <w:rFonts w:ascii="Times New Roman" w:hAnsi="Times New Roman" w:cs="Times New Roman" w:eastAsia="Times New Roman" w:hint="default"/>
                <w:position w:val="-2"/>
                <w:sz w:val="12"/>
                <w:szCs w:val="12"/>
              </w:rPr>
              <w:t>k</w:t>
            </w:r>
            <w:r>
              <w:rPr>
                <w:rFonts w:ascii="Times New Roman" w:hAnsi="Times New Roman" w:cs="Times New Roman" w:eastAsia="Times New Roman" w:hint="default"/>
                <w:sz w:val="12"/>
                <w:szCs w:val="12"/>
              </w:rPr>
            </w:r>
          </w:p>
        </w:tc>
        <w:tc>
          <w:tcPr>
            <w:tcW w:w="1301" w:type="dxa"/>
            <w:tcBorders>
              <w:top w:val="nil" w:sz="6" w:space="0" w:color="auto"/>
              <w:left w:val="nil" w:sz="6" w:space="0" w:color="auto"/>
              <w:bottom w:val="nil" w:sz="6" w:space="0" w:color="auto"/>
              <w:right w:val="nil" w:sz="6" w:space="0" w:color="auto"/>
            </w:tcBorders>
          </w:tcPr>
          <w:p>
            <w:pPr/>
          </w:p>
        </w:tc>
      </w:tr>
      <w:tr>
        <w:trPr>
          <w:trHeight w:val="415" w:hRule="exact"/>
        </w:trPr>
        <w:tc>
          <w:tcPr>
            <w:tcW w:w="4589"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2"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46" w:right="0"/>
              <w:jc w:val="left"/>
              <w:rPr>
                <w:rFonts w:ascii="Times New Roman" w:hAnsi="Times New Roman" w:cs="Times New Roman" w:eastAsia="Times New Roman" w:hint="default"/>
                <w:sz w:val="18"/>
                <w:szCs w:val="18"/>
              </w:rPr>
            </w:pPr>
            <w:r>
              <w:rPr>
                <w:rFonts w:ascii="Times New Roman"/>
                <w:sz w:val="18"/>
              </w:rPr>
              <w:t>EPS=P</w:t>
            </w:r>
            <w:r>
              <w:rPr>
                <w:rFonts w:ascii="Times New Roman"/>
                <w:position w:val="-2"/>
                <w:sz w:val="12"/>
              </w:rPr>
              <w:t>0</w:t>
            </w:r>
            <w:r>
              <w:rPr>
                <w:rFonts w:ascii="Times New Roman"/>
                <w:sz w:val="18"/>
              </w:rPr>
              <w:t>/S</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18"/>
                <w:szCs w:val="18"/>
              </w:rPr>
            </w:pPr>
            <w:r>
              <w:rPr>
                <w:rFonts w:ascii="Times New Roman"/>
                <w:sz w:val="18"/>
              </w:rPr>
              <w:t>0.34</w:t>
            </w:r>
          </w:p>
        </w:tc>
      </w:tr>
      <w:tr>
        <w:trPr>
          <w:trHeight w:val="319" w:hRule="exact"/>
        </w:trPr>
        <w:tc>
          <w:tcPr>
            <w:tcW w:w="4589"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扣除非经常损益基本每股收益</w:t>
            </w:r>
          </w:p>
        </w:tc>
        <w:tc>
          <w:tcPr>
            <w:tcW w:w="2459"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left="146" w:right="0"/>
              <w:jc w:val="left"/>
              <w:rPr>
                <w:rFonts w:ascii="Times New Roman" w:hAnsi="Times New Roman" w:cs="Times New Roman" w:eastAsia="Times New Roman" w:hint="default"/>
                <w:sz w:val="18"/>
                <w:szCs w:val="18"/>
              </w:rPr>
            </w:pPr>
            <w:r>
              <w:rPr>
                <w:rFonts w:ascii="Times New Roman"/>
                <w:sz w:val="18"/>
              </w:rPr>
              <w:t>EPS</w:t>
            </w:r>
            <w:r>
              <w:rPr>
                <w:rFonts w:ascii="Times New Roman"/>
                <w:position w:val="-2"/>
                <w:sz w:val="12"/>
              </w:rPr>
              <w:t>1</w:t>
            </w:r>
            <w:r>
              <w:rPr>
                <w:rFonts w:ascii="Times New Roman"/>
                <w:sz w:val="18"/>
              </w:rPr>
              <w:t>=P</w:t>
            </w:r>
            <w:r>
              <w:rPr>
                <w:rFonts w:ascii="Times New Roman"/>
                <w:position w:val="-2"/>
                <w:sz w:val="12"/>
              </w:rPr>
              <w:t>1</w:t>
            </w:r>
            <w:r>
              <w:rPr>
                <w:rFonts w:ascii="Times New Roman"/>
                <w:sz w:val="18"/>
              </w:rPr>
              <w:t>/S</w:t>
            </w:r>
          </w:p>
        </w:tc>
        <w:tc>
          <w:tcPr>
            <w:tcW w:w="1301"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107"/>
              <w:jc w:val="right"/>
              <w:rPr>
                <w:rFonts w:ascii="Times New Roman" w:hAnsi="Times New Roman" w:cs="Times New Roman" w:eastAsia="Times New Roman" w:hint="default"/>
                <w:sz w:val="18"/>
                <w:szCs w:val="18"/>
              </w:rPr>
            </w:pPr>
            <w:r>
              <w:rPr>
                <w:rFonts w:ascii="Times New Roman"/>
                <w:sz w:val="18"/>
              </w:rPr>
              <w:t>0.23</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393" w:val="left" w:leader="none"/>
        </w:tabs>
        <w:spacing w:line="350" w:lineRule="auto" w:before="35"/>
        <w:ind w:left="1393" w:right="148" w:hanging="539"/>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pacing w:val="3"/>
          <w:sz w:val="21"/>
          <w:szCs w:val="21"/>
        </w:rPr>
        <w:t>本公司不存在已发行在外的稀释性潜在普通股，故稀释每股收益与基本每股收益等</w:t>
      </w:r>
      <w:r>
        <w:rPr>
          <w:rFonts w:ascii="宋体" w:hAnsi="宋体" w:cs="宋体" w:eastAsia="宋体" w:hint="default"/>
          <w:b/>
          <w:bCs/>
          <w:w w:val="99"/>
          <w:sz w:val="21"/>
          <w:szCs w:val="21"/>
        </w:rPr>
        <w:t> </w:t>
      </w:r>
      <w:r>
        <w:rPr>
          <w:rFonts w:ascii="宋体" w:hAnsi="宋体" w:cs="宋体" w:eastAsia="宋体" w:hint="default"/>
          <w:b/>
          <w:bCs/>
          <w:sz w:val="21"/>
          <w:szCs w:val="21"/>
        </w:rPr>
        <w:t>值。</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3"/>
          <w:szCs w:val="23"/>
        </w:rPr>
      </w:pPr>
    </w:p>
    <w:p>
      <w:pPr>
        <w:spacing w:before="0"/>
        <w:ind w:left="123" w:right="2718" w:firstLine="0"/>
        <w:jc w:val="left"/>
        <w:rPr>
          <w:rFonts w:ascii="宋体" w:hAnsi="宋体" w:cs="宋体" w:eastAsia="宋体" w:hint="default"/>
          <w:sz w:val="21"/>
          <w:szCs w:val="21"/>
        </w:rPr>
      </w:pPr>
      <w:r>
        <w:rPr>
          <w:rFonts w:ascii="宋体" w:hAnsi="宋体" w:cs="宋体" w:eastAsia="宋体" w:hint="default"/>
          <w:b/>
          <w:bCs/>
          <w:sz w:val="21"/>
          <w:szCs w:val="21"/>
        </w:rPr>
        <w:t>(五十一)其他综合收益</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4140" w:lineRule="exact"/>
        <w:ind w:left="717" w:right="0" w:firstLine="0"/>
        <w:rPr>
          <w:rFonts w:ascii="宋体" w:hAnsi="宋体" w:cs="宋体" w:eastAsia="宋体" w:hint="default"/>
          <w:sz w:val="20"/>
          <w:szCs w:val="20"/>
        </w:rPr>
      </w:pPr>
      <w:r>
        <w:rPr>
          <w:rFonts w:ascii="宋体" w:hAnsi="宋体" w:cs="宋体" w:eastAsia="宋体" w:hint="default"/>
          <w:position w:val="-82"/>
          <w:sz w:val="20"/>
          <w:szCs w:val="20"/>
        </w:rPr>
        <w:pict>
          <v:group style="width:421.45pt;height:207pt;mso-position-horizontal-relative:char;mso-position-vertical-relative:line" coordorigin="0,0" coordsize="8429,4140">
            <v:group style="position:absolute;left:29;top:15;width:8369;height:2" coordorigin="29,15" coordsize="8369,2">
              <v:shape style="position:absolute;left:29;top:15;width:8369;height:2" coordorigin="29,15" coordsize="8369,0" path="m29,15l8398,15e" filled="false" stroked="true" strokeweight="1.5pt" strokecolor="#000000">
                <v:path arrowok="t"/>
              </v:shape>
              <v:shape style="position:absolute;left:5683;top:7;width:1399;height:446" type="#_x0000_t75" stroked="false">
                <v:imagedata r:id="rId309" o:title=""/>
              </v:shape>
            </v:group>
            <v:group style="position:absolute;left:15;top:4125;width:5692;height:2" coordorigin="15,4125" coordsize="5692,2">
              <v:shape style="position:absolute;left:15;top:4125;width:5692;height:2" coordorigin="15,4125" coordsize="5692,0" path="m15,4125l5707,4125e" filled="false" stroked="true" strokeweight="1.5pt" strokecolor="#000000">
                <v:path arrowok="t"/>
              </v:shape>
            </v:group>
            <v:group style="position:absolute;left:5707;top:4125;width:1343;height:2" coordorigin="5707,4125" coordsize="1343,2">
              <v:shape style="position:absolute;left:5707;top:4125;width:1343;height:2" coordorigin="5707,4125" coordsize="1343,0" path="m5707,4125l7049,4125e" filled="false" stroked="true" strokeweight="1.5pt" strokecolor="#000000">
                <v:path arrowok="t"/>
              </v:shape>
              <v:shape style="position:absolute;left:1;top:404;width:8428;height:3706" type="#_x0000_t75" stroked="false">
                <v:imagedata r:id="rId310" o:title=""/>
              </v:shape>
            </v:group>
            <v:group style="position:absolute;left:7049;top:4125;width:1349;height:2" coordorigin="7049,4125" coordsize="1349,2">
              <v:shape style="position:absolute;left:7049;top:4125;width:1349;height:2" coordorigin="7049,4125" coordsize="1349,0" path="m7049,4125l8398,4125e" filled="false" stroked="true" strokeweight="1.5pt" strokecolor="#000000">
                <v:path arrowok="t"/>
              </v:shape>
              <v:shape style="position:absolute;left:2510;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3050;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6022;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7365;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137;top:633;width:3555;height:59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可供出售金融资产产生的利得（损失）金额</w:t>
                      </w:r>
                    </w:p>
                    <w:p>
                      <w:pPr>
                        <w:spacing w:before="160"/>
                        <w:ind w:left="0" w:right="0" w:firstLine="0"/>
                        <w:jc w:val="left"/>
                        <w:rPr>
                          <w:rFonts w:ascii="宋体" w:hAnsi="宋体" w:cs="宋体" w:eastAsia="宋体" w:hint="default"/>
                          <w:sz w:val="18"/>
                          <w:szCs w:val="18"/>
                        </w:rPr>
                      </w:pPr>
                      <w:r>
                        <w:rPr>
                          <w:rFonts w:ascii="宋体" w:hAnsi="宋体" w:cs="宋体" w:eastAsia="宋体" w:hint="default"/>
                          <w:sz w:val="18"/>
                          <w:szCs w:val="18"/>
                        </w:rPr>
                        <w:t>减：可供出售金融资产产生的所得税影响</w:t>
                      </w:r>
                    </w:p>
                  </w:txbxContent>
                </v:textbox>
                <w10:wrap type="none"/>
              </v:shape>
              <v:shape style="position:absolute;left:497;top:1452;width:34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前期计入其他综合收益当期转入损益的净额</w:t>
                      </w:r>
                    </w:p>
                  </w:txbxContent>
                </v:textbox>
                <w10:wrap type="none"/>
              </v:shape>
              <v:shape style="position:absolute;left:137;top:186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w:t>
                      </w:r>
                    </w:p>
                  </w:txbxContent>
                </v:textbox>
                <w10:wrap type="none"/>
              </v:shape>
              <v:shape style="position:absolute;left:677;top:186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137;top:2272;width:5466;height:99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按照权益法核算的在被投资单位其他综合收益中所享有的份额</w:t>
                      </w:r>
                    </w:p>
                    <w:p>
                      <w:pPr>
                        <w:spacing w:line="400" w:lineRule="exact"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减：按照权益法核算的在被投资单位其他综合收益中所享有的份额产</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z w:val="18"/>
                          <w:szCs w:val="18"/>
                        </w:rPr>
                        <w:t>生的所得税影响</w:t>
                      </w:r>
                    </w:p>
                  </w:txbxContent>
                </v:textbox>
                <w10:wrap type="none"/>
              </v:shape>
              <v:shape style="position:absolute;left:497;top:3492;width:34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前期计入其他综合收益当期转入损益的净额</w:t>
                      </w:r>
                    </w:p>
                  </w:txbxContent>
                </v:textbox>
                <w10:wrap type="none"/>
              </v:shape>
              <v:shape style="position:absolute;left:6361;top:351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755,902</w:t>
                      </w:r>
                    </w:p>
                  </w:txbxContent>
                </v:textbox>
                <w10:wrap type="none"/>
              </v:shape>
              <v:shape style="position:absolute;left:137;top:390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w:t>
                      </w:r>
                    </w:p>
                  </w:txbxContent>
                </v:textbox>
                <w10:wrap type="none"/>
              </v:shape>
              <v:shape style="position:absolute;left:677;top:390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6301;top:3922;width:6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-755,902</w:t>
                      </w:r>
                    </w:p>
                  </w:txbxContent>
                </v:textbox>
                <w10:wrap type="none"/>
              </v:shape>
            </v:group>
          </v:group>
        </w:pict>
      </w:r>
      <w:r>
        <w:rPr>
          <w:rFonts w:ascii="宋体" w:hAnsi="宋体" w:cs="宋体" w:eastAsia="宋体" w:hint="default"/>
          <w:position w:val="-82"/>
          <w:sz w:val="20"/>
          <w:szCs w:val="20"/>
        </w:rPr>
      </w:r>
    </w:p>
    <w:p>
      <w:pPr>
        <w:spacing w:after="0" w:line="4140" w:lineRule="exact"/>
        <w:rPr>
          <w:rFonts w:ascii="宋体" w:hAnsi="宋体" w:cs="宋体" w:eastAsia="宋体" w:hint="default"/>
          <w:sz w:val="20"/>
          <w:szCs w:val="20"/>
        </w:rPr>
        <w:sectPr>
          <w:pgSz w:w="11910" w:h="16840"/>
          <w:pgMar w:header="0" w:footer="1003" w:top="1540" w:bottom="1200" w:left="1660" w:right="98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0"/>
          <w:szCs w:val="10"/>
        </w:rPr>
      </w:pPr>
    </w:p>
    <w:tbl>
      <w:tblPr>
        <w:tblW w:w="0" w:type="auto"/>
        <w:jc w:val="left"/>
        <w:tblInd w:w="820" w:type="dxa"/>
        <w:tblLayout w:type="fixed"/>
        <w:tblCellMar>
          <w:top w:w="0" w:type="dxa"/>
          <w:left w:w="0" w:type="dxa"/>
          <w:bottom w:w="0" w:type="dxa"/>
          <w:right w:w="0" w:type="dxa"/>
        </w:tblCellMar>
        <w:tblLook w:val="01E0"/>
      </w:tblPr>
      <w:tblGrid>
        <w:gridCol w:w="5231"/>
        <w:gridCol w:w="1894"/>
        <w:gridCol w:w="1098"/>
      </w:tblGrid>
      <w:tr>
        <w:trPr>
          <w:trHeight w:val="814" w:hRule="exact"/>
        </w:trPr>
        <w:tc>
          <w:tcPr>
            <w:tcW w:w="5231" w:type="dxa"/>
            <w:tcBorders>
              <w:top w:val="nil" w:sz="6" w:space="0" w:color="auto"/>
              <w:left w:val="nil" w:sz="6" w:space="0" w:color="auto"/>
              <w:bottom w:val="nil" w:sz="6" w:space="0" w:color="auto"/>
              <w:right w:val="nil" w:sz="6" w:space="0" w:color="auto"/>
            </w:tcBorders>
          </w:tcPr>
          <w:p>
            <w:pPr>
              <w:pStyle w:val="TableParagraph"/>
              <w:tabs>
                <w:tab w:pos="574" w:val="left" w:leader="none"/>
              </w:tabs>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小</w:t>
              <w:tab/>
              <w:t>计</w:t>
            </w:r>
          </w:p>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外币财务报表折算差额</w:t>
            </w: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right="279"/>
              <w:jc w:val="right"/>
              <w:rPr>
                <w:rFonts w:ascii="Times New Roman" w:hAnsi="Times New Roman" w:cs="Times New Roman" w:eastAsia="Times New Roman" w:hint="default"/>
                <w:sz w:val="18"/>
                <w:szCs w:val="18"/>
              </w:rPr>
            </w:pPr>
            <w:r>
              <w:rPr>
                <w:rFonts w:ascii="Times New Roman"/>
                <w:w w:val="95"/>
                <w:sz w:val="18"/>
              </w:rPr>
              <w:t>-21,844,159</w:t>
            </w:r>
            <w:r>
              <w:rPr>
                <w:rFonts w:ascii="Times New Roman"/>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w w:val="95"/>
                <w:sz w:val="18"/>
              </w:rPr>
              <w:t>-7,899,412</w:t>
            </w:r>
            <w:r>
              <w:rPr>
                <w:rFonts w:ascii="Times New Roman"/>
                <w:sz w:val="18"/>
              </w:rPr>
            </w:r>
          </w:p>
        </w:tc>
      </w:tr>
      <w:tr>
        <w:trPr>
          <w:trHeight w:val="401" w:hRule="exact"/>
        </w:trPr>
        <w:tc>
          <w:tcPr>
            <w:tcW w:w="523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减：处置境外经营当期转入损益的净额</w:t>
            </w:r>
          </w:p>
        </w:tc>
        <w:tc>
          <w:tcPr>
            <w:tcW w:w="1894" w:type="dxa"/>
            <w:tcBorders>
              <w:top w:val="nil" w:sz="6" w:space="0" w:color="auto"/>
              <w:left w:val="nil" w:sz="6" w:space="0" w:color="auto"/>
              <w:bottom w:val="nil" w:sz="6" w:space="0" w:color="auto"/>
              <w:right w:val="nil" w:sz="6" w:space="0" w:color="auto"/>
            </w:tcBorders>
          </w:tcPr>
          <w:p>
            <w:pPr/>
          </w:p>
        </w:tc>
        <w:tc>
          <w:tcPr>
            <w:tcW w:w="1098" w:type="dxa"/>
            <w:tcBorders>
              <w:top w:val="nil" w:sz="6" w:space="0" w:color="auto"/>
              <w:left w:val="nil" w:sz="6" w:space="0" w:color="auto"/>
              <w:bottom w:val="nil" w:sz="6" w:space="0" w:color="auto"/>
              <w:right w:val="nil" w:sz="6" w:space="0" w:color="auto"/>
            </w:tcBorders>
          </w:tcPr>
          <w:p>
            <w:pPr/>
          </w:p>
        </w:tc>
      </w:tr>
      <w:tr>
        <w:trPr>
          <w:trHeight w:val="420" w:hRule="exact"/>
        </w:trPr>
        <w:tc>
          <w:tcPr>
            <w:tcW w:w="5231" w:type="dxa"/>
            <w:tcBorders>
              <w:top w:val="nil" w:sz="6" w:space="0" w:color="auto"/>
              <w:left w:val="nil" w:sz="6" w:space="0" w:color="auto"/>
              <w:bottom w:val="nil" w:sz="6" w:space="0" w:color="auto"/>
              <w:right w:val="nil" w:sz="6" w:space="0" w:color="auto"/>
            </w:tcBorders>
          </w:tcPr>
          <w:p>
            <w:pPr>
              <w:pStyle w:val="TableParagraph"/>
              <w:tabs>
                <w:tab w:pos="574" w:val="left" w:leader="none"/>
              </w:tabs>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小</w:t>
              <w:tab/>
              <w:t>计</w:t>
            </w: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79"/>
              <w:jc w:val="right"/>
              <w:rPr>
                <w:rFonts w:ascii="Times New Roman" w:hAnsi="Times New Roman" w:cs="Times New Roman" w:eastAsia="Times New Roman" w:hint="default"/>
                <w:sz w:val="18"/>
                <w:szCs w:val="18"/>
              </w:rPr>
            </w:pPr>
            <w:r>
              <w:rPr>
                <w:rFonts w:ascii="Times New Roman"/>
                <w:w w:val="95"/>
                <w:sz w:val="18"/>
              </w:rPr>
              <w:t>-21,844,159</w:t>
            </w:r>
            <w:r>
              <w:rPr>
                <w:rFonts w:ascii="Times New Roman"/>
                <w:sz w:val="18"/>
              </w:rPr>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3"/>
              <w:jc w:val="right"/>
              <w:rPr>
                <w:rFonts w:ascii="Times New Roman" w:hAnsi="Times New Roman" w:cs="Times New Roman" w:eastAsia="Times New Roman" w:hint="default"/>
                <w:sz w:val="18"/>
                <w:szCs w:val="18"/>
              </w:rPr>
            </w:pPr>
            <w:r>
              <w:rPr>
                <w:rFonts w:ascii="Times New Roman"/>
                <w:w w:val="95"/>
                <w:sz w:val="18"/>
              </w:rPr>
              <w:t>-7,899,412</w:t>
            </w:r>
            <w:r>
              <w:rPr>
                <w:rFonts w:ascii="Times New Roman"/>
                <w:sz w:val="18"/>
              </w:rPr>
            </w:r>
          </w:p>
        </w:tc>
      </w:tr>
      <w:tr>
        <w:trPr>
          <w:trHeight w:val="410" w:hRule="exact"/>
        </w:trPr>
        <w:tc>
          <w:tcPr>
            <w:tcW w:w="523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归属于少数股东的其他综合收益（外币报表折算差额）</w:t>
            </w: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9"/>
              <w:jc w:val="right"/>
              <w:rPr>
                <w:rFonts w:ascii="Times New Roman" w:hAnsi="Times New Roman" w:cs="Times New Roman" w:eastAsia="Times New Roman" w:hint="default"/>
                <w:sz w:val="18"/>
                <w:szCs w:val="18"/>
              </w:rPr>
            </w:pPr>
            <w:r>
              <w:rPr>
                <w:rFonts w:ascii="Times New Roman"/>
                <w:sz w:val="18"/>
              </w:rPr>
              <w:t>186,776</w:t>
            </w:r>
          </w:p>
        </w:tc>
        <w:tc>
          <w:tcPr>
            <w:tcW w:w="1098" w:type="dxa"/>
            <w:tcBorders>
              <w:top w:val="nil" w:sz="6" w:space="0" w:color="auto"/>
              <w:left w:val="nil" w:sz="6" w:space="0" w:color="auto"/>
              <w:bottom w:val="nil" w:sz="6" w:space="0" w:color="auto"/>
              <w:right w:val="nil" w:sz="6" w:space="0" w:color="auto"/>
            </w:tcBorders>
          </w:tcPr>
          <w:p>
            <w:pPr/>
          </w:p>
        </w:tc>
      </w:tr>
      <w:tr>
        <w:trPr>
          <w:trHeight w:val="806" w:hRule="exact"/>
        </w:trPr>
        <w:tc>
          <w:tcPr>
            <w:tcW w:w="5231" w:type="dxa"/>
            <w:tcBorders>
              <w:top w:val="nil" w:sz="6" w:space="0" w:color="auto"/>
              <w:left w:val="nil" w:sz="6" w:space="0" w:color="auto"/>
              <w:bottom w:val="nil" w:sz="6" w:space="0" w:color="auto"/>
              <w:right w:val="nil" w:sz="6" w:space="0" w:color="auto"/>
            </w:tcBorders>
          </w:tcPr>
          <w:p>
            <w:pPr>
              <w:pStyle w:val="TableParagraph"/>
              <w:tabs>
                <w:tab w:pos="574" w:val="left" w:leader="none"/>
              </w:tabs>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小</w:t>
              <w:tab/>
              <w:t>计</w:t>
            </w:r>
          </w:p>
          <w:p>
            <w:pPr>
              <w:pStyle w:val="TableParagraph"/>
              <w:spacing w:line="240" w:lineRule="auto" w:before="5"/>
              <w:ind w:right="0"/>
              <w:jc w:val="left"/>
              <w:rPr>
                <w:rFonts w:ascii="宋体" w:hAnsi="宋体" w:cs="宋体" w:eastAsia="宋体" w:hint="default"/>
                <w:b/>
                <w:bCs/>
                <w:sz w:val="13"/>
                <w:szCs w:val="13"/>
              </w:rPr>
            </w:pPr>
          </w:p>
          <w:p>
            <w:pPr>
              <w:pStyle w:val="TableParagraph"/>
              <w:tabs>
                <w:tab w:pos="710" w:val="left" w:leader="none"/>
              </w:tabs>
              <w:spacing w:line="240" w:lineRule="auto"/>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w:t>
              <w:tab/>
              <w:t>他</w:t>
            </w: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9"/>
              <w:jc w:val="right"/>
              <w:rPr>
                <w:rFonts w:ascii="Times New Roman" w:hAnsi="Times New Roman" w:cs="Times New Roman" w:eastAsia="Times New Roman" w:hint="default"/>
                <w:sz w:val="18"/>
                <w:szCs w:val="18"/>
              </w:rPr>
            </w:pPr>
            <w:r>
              <w:rPr>
                <w:rFonts w:ascii="Times New Roman"/>
                <w:sz w:val="18"/>
              </w:rPr>
              <w:t>186,776</w:t>
            </w:r>
          </w:p>
        </w:tc>
        <w:tc>
          <w:tcPr>
            <w:tcW w:w="1098"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spacing w:before="35"/>
        <w:ind w:left="123" w:right="2718" w:firstLine="0"/>
        <w:jc w:val="left"/>
        <w:rPr>
          <w:rFonts w:ascii="宋体" w:hAnsi="宋体" w:cs="宋体" w:eastAsia="宋体" w:hint="default"/>
          <w:sz w:val="21"/>
          <w:szCs w:val="21"/>
        </w:rPr>
      </w:pPr>
      <w:r>
        <w:rPr/>
        <w:pict>
          <v:group style="position:absolute;margin-left:88.140007pt;margin-top:-353.906464pt;width:452.3pt;height:331.05pt;mso-position-horizontal-relative:page;mso-position-vertical-relative:paragraph;z-index:-1111408" coordorigin="1763,-7078" coordsize="9046,6621">
            <v:group style="position:absolute;left:1768;top:-7073;width:9036;height:2" coordorigin="1768,-7073" coordsize="9036,2">
              <v:shape style="position:absolute;left:1768;top:-7073;width:9036;height:2" coordorigin="1768,-7073" coordsize="9036,0" path="m1768,-7073l10804,-7073e" filled="false" stroked="true" strokeweight=".47998pt" strokecolor="#000000">
                <v:path arrowok="t"/>
              </v:shape>
            </v:group>
            <v:group style="position:absolute;left:2407;top:-7054;width:8369;height:2" coordorigin="2407,-7054" coordsize="8369,2">
              <v:shape style="position:absolute;left:2407;top:-7054;width:8369;height:2" coordorigin="2407,-7054" coordsize="8369,0" path="m2407,-7054l10776,-7054e" filled="false" stroked="true" strokeweight="1.5pt" strokecolor="#000000">
                <v:path arrowok="t"/>
              </v:shape>
              <v:shape style="position:absolute;left:8059;top:-7064;width:1403;height:451" type="#_x0000_t75" stroked="false">
                <v:imagedata r:id="rId311" o:title=""/>
              </v:shape>
            </v:group>
            <v:group style="position:absolute;left:2393;top:-473;width:5692;height:2" coordorigin="2393,-473" coordsize="5692,2">
              <v:shape style="position:absolute;left:2393;top:-473;width:5692;height:2" coordorigin="2393,-473" coordsize="5692,0" path="m2393,-473l8084,-473e" filled="false" stroked="true" strokeweight="1.5pt" strokecolor="#000000">
                <v:path arrowok="t"/>
              </v:shape>
            </v:group>
            <v:group style="position:absolute;left:8084;top:-473;width:1343;height:2" coordorigin="8084,-473" coordsize="1343,2">
              <v:shape style="position:absolute;left:8084;top:-473;width:1343;height:2" coordorigin="8084,-473" coordsize="1343,0" path="m8084,-473l9427,-473e" filled="false" stroked="true" strokeweight="1.5pt" strokecolor="#000000">
                <v:path arrowok="t"/>
              </v:shape>
              <v:shape style="position:absolute;left:2378;top:-6661;width:8428;height:6173" type="#_x0000_t75" stroked="false">
                <v:imagedata r:id="rId312" o:title=""/>
              </v:shape>
            </v:group>
            <v:group style="position:absolute;left:9427;top:-473;width:1349;height:2" coordorigin="9427,-473" coordsize="1349,2">
              <v:shape style="position:absolute;left:9427;top:-473;width:1349;height:2" coordorigin="9427,-473" coordsize="1349,0" path="m9427,-473l10776,-473e" filled="false" stroked="true" strokeweight="1.5pt" strokecolor="#000000">
                <v:path arrowok="t"/>
              </v:shape>
              <v:shape style="position:absolute;left:4888;top:-684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5428;top:-684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8400;top:-684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9743;top:-684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2515;top:-6436;width:3780;height:100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现金流量套期工具产生的利得（或损失）金额</w:t>
                      </w:r>
                    </w:p>
                    <w:p>
                      <w:pPr>
                        <w:spacing w:line="410" w:lineRule="exact" w:before="43"/>
                        <w:ind w:left="359" w:right="0" w:hanging="360"/>
                        <w:jc w:val="left"/>
                        <w:rPr>
                          <w:rFonts w:ascii="宋体" w:hAnsi="宋体" w:cs="宋体" w:eastAsia="宋体" w:hint="default"/>
                          <w:sz w:val="18"/>
                          <w:szCs w:val="18"/>
                        </w:rPr>
                      </w:pPr>
                      <w:r>
                        <w:rPr>
                          <w:rFonts w:ascii="宋体" w:hAnsi="宋体" w:cs="宋体" w:eastAsia="宋体" w:hint="default"/>
                          <w:sz w:val="18"/>
                          <w:szCs w:val="18"/>
                        </w:rPr>
                        <w:t>减：现金流量套期工具产生的所得税影响 前期计入其他综合收益当期转入损益的净额</w:t>
                      </w:r>
                    </w:p>
                  </w:txbxContent>
                </v:textbox>
                <w10:wrap type="none"/>
              </v:shape>
              <v:shape style="position:absolute;left:2875;top:-5206;width:28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转为被套期项目初始确认金额的调整</w:t>
                      </w:r>
                    </w:p>
                  </w:txbxContent>
                </v:textbox>
                <w10:wrap type="none"/>
              </v:shape>
              <v:shape style="position:absolute;left:2515;top:-1926;width:37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减：由其他计入其他综合收益产生的所得税影响</w:t>
                      </w:r>
                    </w:p>
                  </w:txbxContent>
                </v:textbox>
                <w10:wrap type="none"/>
              </v:shape>
              <v:shape style="position:absolute;left:2875;top:-1516;width:37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前期其他计入其他综合收益当期转入损益的净额</w:t>
                      </w:r>
                    </w:p>
                  </w:txbxContent>
                </v:textbox>
                <w10:wrap type="none"/>
              </v:shape>
              <v:shape style="position:absolute;left:2515;top:-110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w:t>
                      </w:r>
                    </w:p>
                  </w:txbxContent>
                </v:textbox>
                <w10:wrap type="none"/>
              </v:shape>
              <v:shape style="position:absolute;left:3055;top:-110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4888;top:-69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5428;top:-69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8453;top:-677;width:87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-22,413,285</w:t>
                      </w:r>
                    </w:p>
                  </w:txbxContent>
                </v:textbox>
                <w10:wrap type="none"/>
              </v:shape>
              <v:shape style="position:absolute;left:9887;top:-677;width:78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-7,899,412</w:t>
                      </w:r>
                    </w:p>
                  </w:txbxContent>
                </v:textbox>
                <w10:wrap type="none"/>
              </v:shape>
            </v:group>
            <w10:wrap type="none"/>
          </v:group>
        </w:pict>
      </w:r>
      <w:r>
        <w:rPr>
          <w:rFonts w:ascii="宋体" w:hAnsi="宋体" w:cs="宋体" w:eastAsia="宋体" w:hint="default"/>
          <w:b/>
          <w:bCs/>
          <w:sz w:val="21"/>
          <w:szCs w:val="21"/>
        </w:rPr>
        <w:t>(五十二)现金流量表附注</w:t>
      </w:r>
      <w:r>
        <w:rPr>
          <w:rFonts w:ascii="宋体" w:hAnsi="宋体" w:cs="宋体" w:eastAsia="宋体" w:hint="default"/>
          <w:sz w:val="21"/>
          <w:szCs w:val="21"/>
        </w:rPr>
      </w:r>
    </w:p>
    <w:p>
      <w:pPr>
        <w:tabs>
          <w:tab w:pos="1393" w:val="left" w:leader="none"/>
        </w:tabs>
        <w:spacing w:before="125"/>
        <w:ind w:left="855" w:right="2718"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收到的其他与经营活动有关的现金</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2100" w:lineRule="exact"/>
        <w:ind w:left="717"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19.25pt;height:105pt;mso-position-horizontal-relative:char;mso-position-vertical-relative:line" coordorigin="0,0" coordsize="8385,2100">
            <v:group style="position:absolute;left:29;top:15;width:8325;height:2" coordorigin="29,15" coordsize="8325,2">
              <v:shape style="position:absolute;left:29;top:15;width:8325;height:2" coordorigin="29,15" coordsize="8325,0" path="m29,15l8354,15e" filled="false" stroked="true" strokeweight="1.5pt" strokecolor="#000000">
                <v:path arrowok="t"/>
              </v:shape>
              <v:shape style="position:absolute;left:4833;top:30;width:10;height:400" type="#_x0000_t75" stroked="false">
                <v:imagedata r:id="rId313" o:title=""/>
              </v:shape>
            </v:group>
            <v:group style="position:absolute;left:15;top:2085;width:4818;height:2" coordorigin="15,2085" coordsize="4818,2">
              <v:shape style="position:absolute;left:15;top:2085;width:4818;height:2" coordorigin="15,2085" coordsize="4818,0" path="m15,2085l4833,2085e" filled="false" stroked="true" strokeweight="1.5pt" strokecolor="#000000">
                <v:path arrowok="t"/>
              </v:shape>
              <v:shape style="position:absolute;left:1;top:401;width:8384;height:1669" type="#_x0000_t75" stroked="false">
                <v:imagedata r:id="rId314" o:title=""/>
              </v:shape>
            </v:group>
            <v:group style="position:absolute;left:4833;top:2085;width:3521;height:2" coordorigin="4833,2085" coordsize="3521,2">
              <v:shape style="position:absolute;left:4833;top:2085;width:3521;height:2" coordorigin="4833,2085" coordsize="3521,0" path="m4833,2085l8354,2085e" filled="false" stroked="true" strokeweight="1.5pt" strokecolor="#000000">
                <v:path arrowok="t"/>
              </v:shape>
              <v:shape style="position:absolute;left:2073;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2613;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6235;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137;top:6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利息收入</w:t>
                      </w:r>
                    </w:p>
                  </w:txbxContent>
                </v:textbox>
                <w10:wrap type="none"/>
              </v:shape>
              <v:shape style="position:absolute;left:7435;top:65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20,074,310</w:t>
                      </w:r>
                    </w:p>
                  </w:txbxContent>
                </v:textbox>
                <w10:wrap type="none"/>
              </v:shape>
              <v:shape style="position:absolute;left:137;top:104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科研项目拨款</w:t>
                      </w:r>
                    </w:p>
                  </w:txbxContent>
                </v:textbox>
                <w10:wrap type="none"/>
              </v:shape>
              <v:shape style="position:absolute;left:7435;top:106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84,352,442</w:t>
                      </w:r>
                    </w:p>
                  </w:txbxContent>
                </v:textbox>
                <w10:wrap type="none"/>
              </v:shape>
              <v:shape style="position:absolute;left:137;top:14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其他往来</w:t>
                      </w:r>
                    </w:p>
                  </w:txbxContent>
                </v:textbox>
                <w10:wrap type="none"/>
              </v:shape>
              <v:shape style="position:absolute;left:7345;top:147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236,628,998</w:t>
                      </w:r>
                    </w:p>
                  </w:txbxContent>
                </v:textbox>
                <w10:wrap type="none"/>
              </v:shape>
              <v:shape style="position:absolute;left:2073;top:186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2613;top:186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7345;top:188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341,055,750</w:t>
                      </w:r>
                    </w:p>
                  </w:txbxContent>
                </v:textbox>
                <w10:wrap type="none"/>
              </v:shape>
            </v:group>
          </v:group>
        </w:pict>
      </w:r>
      <w:r>
        <w:rPr>
          <w:rFonts w:ascii="宋体" w:hAnsi="宋体" w:cs="宋体" w:eastAsia="宋体" w:hint="default"/>
          <w:position w:val="-41"/>
          <w:sz w:val="20"/>
          <w:szCs w:val="20"/>
        </w:rPr>
      </w:r>
    </w:p>
    <w:p>
      <w:pPr>
        <w:spacing w:after="0" w:line="2100" w:lineRule="exact"/>
        <w:rPr>
          <w:rFonts w:ascii="宋体" w:hAnsi="宋体" w:cs="宋体" w:eastAsia="宋体" w:hint="default"/>
          <w:sz w:val="20"/>
          <w:szCs w:val="20"/>
        </w:rPr>
        <w:sectPr>
          <w:pgSz w:w="11910" w:h="16840"/>
          <w:pgMar w:header="0" w:footer="1003" w:top="1540" w:bottom="1200" w:left="1660" w:right="980"/>
        </w:sectPr>
      </w:pPr>
    </w:p>
    <w:p>
      <w:pPr>
        <w:spacing w:line="240" w:lineRule="auto" w:before="7"/>
        <w:rPr>
          <w:rFonts w:ascii="宋体" w:hAnsi="宋体" w:cs="宋体" w:eastAsia="宋体" w:hint="default"/>
          <w:b/>
          <w:bCs/>
          <w:sz w:val="3"/>
          <w:szCs w:val="3"/>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52.3pt;height:.5pt;mso-position-horizontal-relative:char;mso-position-vertical-relative:line" coordorigin="0,0" coordsize="9046,10">
            <v:group style="position:absolute;left:5;top:5;width:9036;height:2" coordorigin="5,5" coordsize="9036,2">
              <v:shape style="position:absolute;left:5;top:5;width:9036;height:2" coordorigin="5,5" coordsize="9036,0" path="m5,5l9041,5e" filled="false" stroked="true" strokeweight=".47998pt" strokecolor="#000000">
                <v:path arrowok="t"/>
              </v:shape>
            </v:group>
          </v:group>
        </w:pict>
      </w:r>
      <w:r>
        <w:rPr>
          <w:rFonts w:ascii="宋体" w:hAnsi="宋体" w:cs="宋体" w:eastAsia="宋体" w:hint="default"/>
          <w:sz w:val="2"/>
          <w:szCs w:val="2"/>
        </w:rPr>
      </w:r>
    </w:p>
    <w:p>
      <w:pPr>
        <w:tabs>
          <w:tab w:pos="1393" w:val="left" w:leader="none"/>
        </w:tabs>
        <w:spacing w:before="82"/>
        <w:ind w:left="855" w:right="112" w:firstLine="0"/>
        <w:jc w:val="left"/>
        <w:rPr>
          <w:rFonts w:ascii="宋体" w:hAnsi="宋体" w:cs="宋体" w:eastAsia="宋体" w:hint="default"/>
          <w:sz w:val="21"/>
          <w:szCs w:val="21"/>
        </w:rPr>
      </w:pPr>
      <w:r>
        <w:rPr/>
        <w:pict>
          <v:group style="position:absolute;margin-left:118.919998pt;margin-top:19.483955pt;width:414.6pt;height:206pt;mso-position-horizontal-relative:page;mso-position-vertical-relative:paragraph;z-index:-1110760" coordorigin="2378,390" coordsize="8292,4120">
            <v:group style="position:absolute;left:2407;top:405;width:8230;height:2" coordorigin="2407,405" coordsize="8230,2">
              <v:shape style="position:absolute;left:2407;top:405;width:8230;height:2" coordorigin="2407,405" coordsize="8230,0" path="m2407,405l10637,405e" filled="false" stroked="true" strokeweight="1.5pt" strokecolor="#000000">
                <v:path arrowok="t"/>
              </v:shape>
              <v:shape style="position:absolute;left:7214;top:420;width:10;height:400" type="#_x0000_t75" stroked="false">
                <v:imagedata r:id="rId204" o:title=""/>
              </v:shape>
              <v:shape style="position:absolute;left:2378;top:790;width:8292;height:3719" type="#_x0000_t75" stroked="false">
                <v:imagedata r:id="rId315" o:title=""/>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z w:val="21"/>
          <w:szCs w:val="21"/>
        </w:rPr>
        <w:t>支付的其他与经营活动有关的现金</w:t>
      </w:r>
      <w:r>
        <w:rPr>
          <w:rFonts w:ascii="宋体" w:hAnsi="宋体" w:cs="宋体" w:eastAsia="宋体" w:hint="default"/>
          <w:sz w:val="21"/>
          <w:szCs w:val="21"/>
        </w:rPr>
      </w:r>
    </w:p>
    <w:p>
      <w:pPr>
        <w:spacing w:line="240" w:lineRule="auto" w:before="11"/>
        <w:rPr>
          <w:rFonts w:ascii="宋体" w:hAnsi="宋体" w:cs="宋体" w:eastAsia="宋体" w:hint="default"/>
          <w:b/>
          <w:bCs/>
          <w:sz w:val="11"/>
          <w:szCs w:val="11"/>
        </w:rPr>
      </w:pPr>
    </w:p>
    <w:tbl>
      <w:tblPr>
        <w:tblW w:w="0" w:type="auto"/>
        <w:jc w:val="left"/>
        <w:tblInd w:w="732" w:type="dxa"/>
        <w:tblLayout w:type="fixed"/>
        <w:tblCellMar>
          <w:top w:w="0" w:type="dxa"/>
          <w:left w:w="0" w:type="dxa"/>
          <w:bottom w:w="0" w:type="dxa"/>
          <w:right w:w="0" w:type="dxa"/>
        </w:tblCellMar>
        <w:tblLook w:val="01E0"/>
      </w:tblPr>
      <w:tblGrid>
        <w:gridCol w:w="2419"/>
        <w:gridCol w:w="2057"/>
        <w:gridCol w:w="2588"/>
        <w:gridCol w:w="1180"/>
      </w:tblGrid>
      <w:tr>
        <w:trPr>
          <w:trHeight w:val="1225" w:hRule="exact"/>
        </w:trPr>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78"/>
              <w:jc w:val="right"/>
              <w:rPr>
                <w:rFonts w:ascii="宋体" w:hAnsi="宋体" w:cs="宋体" w:eastAsia="宋体" w:hint="default"/>
                <w:sz w:val="18"/>
                <w:szCs w:val="18"/>
              </w:rPr>
            </w:pPr>
            <w:r>
              <w:rPr>
                <w:rFonts w:ascii="宋体" w:hAnsi="宋体" w:cs="宋体" w:eastAsia="宋体" w:hint="default"/>
                <w:sz w:val="18"/>
                <w:szCs w:val="18"/>
              </w:rPr>
              <w:t>项</w:t>
            </w:r>
          </w:p>
          <w:p>
            <w:pPr>
              <w:pStyle w:val="TableParagraph"/>
              <w:spacing w:line="240" w:lineRule="auto" w:before="4"/>
              <w:ind w:right="0"/>
              <w:jc w:val="left"/>
              <w:rPr>
                <w:rFonts w:ascii="宋体" w:hAnsi="宋体" w:cs="宋体" w:eastAsia="宋体" w:hint="default"/>
                <w:b/>
                <w:bCs/>
                <w:sz w:val="13"/>
                <w:szCs w:val="13"/>
              </w:rPr>
            </w:pPr>
          </w:p>
          <w:p>
            <w:pPr>
              <w:pStyle w:val="TableParagraph"/>
              <w:spacing w:line="417" w:lineRule="auto"/>
              <w:ind w:left="122" w:right="1214"/>
              <w:jc w:val="left"/>
              <w:rPr>
                <w:rFonts w:ascii="宋体" w:hAnsi="宋体" w:cs="宋体" w:eastAsia="宋体" w:hint="default"/>
                <w:sz w:val="18"/>
                <w:szCs w:val="18"/>
              </w:rPr>
            </w:pPr>
            <w:r>
              <w:rPr>
                <w:rFonts w:ascii="宋体" w:hAnsi="宋体" w:cs="宋体" w:eastAsia="宋体" w:hint="default"/>
                <w:sz w:val="18"/>
                <w:szCs w:val="18"/>
              </w:rPr>
              <w:t>业务宣传费 交通及差旅费</w:t>
            </w:r>
          </w:p>
        </w:tc>
        <w:tc>
          <w:tcPr>
            <w:tcW w:w="205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0" w:right="0"/>
              <w:jc w:val="left"/>
              <w:rPr>
                <w:rFonts w:ascii="宋体" w:hAnsi="宋体" w:cs="宋体" w:eastAsia="宋体" w:hint="default"/>
                <w:sz w:val="18"/>
                <w:szCs w:val="18"/>
              </w:rPr>
            </w:pPr>
            <w:r>
              <w:rPr>
                <w:rFonts w:ascii="宋体" w:hAnsi="宋体" w:cs="宋体" w:eastAsia="宋体" w:hint="default"/>
                <w:sz w:val="18"/>
                <w:szCs w:val="18"/>
              </w:rPr>
              <w:t>目</w:t>
            </w:r>
          </w:p>
        </w:tc>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697"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left="260" w:right="0"/>
              <w:jc w:val="left"/>
              <w:rPr>
                <w:rFonts w:ascii="Times New Roman" w:hAnsi="Times New Roman" w:cs="Times New Roman" w:eastAsia="Times New Roman" w:hint="default"/>
                <w:sz w:val="18"/>
                <w:szCs w:val="18"/>
              </w:rPr>
            </w:pPr>
            <w:r>
              <w:rPr>
                <w:rFonts w:ascii="Times New Roman"/>
                <w:sz w:val="18"/>
              </w:rPr>
              <w:t>32,425,704</w:t>
            </w:r>
          </w:p>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70" w:right="0"/>
              <w:jc w:val="left"/>
              <w:rPr>
                <w:rFonts w:ascii="Times New Roman" w:hAnsi="Times New Roman" w:cs="Times New Roman" w:eastAsia="Times New Roman" w:hint="default"/>
                <w:sz w:val="18"/>
                <w:szCs w:val="18"/>
              </w:rPr>
            </w:pPr>
            <w:r>
              <w:rPr>
                <w:rFonts w:ascii="Times New Roman"/>
                <w:sz w:val="18"/>
              </w:rPr>
              <w:t>102,925,105</w:t>
            </w:r>
          </w:p>
        </w:tc>
      </w:tr>
      <w:tr>
        <w:trPr>
          <w:trHeight w:val="410" w:hRule="exact"/>
        </w:trPr>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能源、汽车消耗及材料费</w:t>
            </w:r>
          </w:p>
        </w:tc>
        <w:tc>
          <w:tcPr>
            <w:tcW w:w="2057" w:type="dxa"/>
            <w:tcBorders>
              <w:top w:val="nil" w:sz="6" w:space="0" w:color="auto"/>
              <w:left w:val="nil" w:sz="6" w:space="0" w:color="auto"/>
              <w:bottom w:val="nil" w:sz="6" w:space="0" w:color="auto"/>
              <w:right w:val="nil" w:sz="6" w:space="0" w:color="auto"/>
            </w:tcBorders>
          </w:tcPr>
          <w:p>
            <w:pPr/>
          </w:p>
        </w:tc>
        <w:tc>
          <w:tcPr>
            <w:tcW w:w="2588" w:type="dxa"/>
            <w:tcBorders>
              <w:top w:val="nil" w:sz="6" w:space="0" w:color="auto"/>
              <w:left w:val="nil" w:sz="6" w:space="0" w:color="auto"/>
              <w:bottom w:val="nil" w:sz="6" w:space="0" w:color="auto"/>
              <w:right w:val="nil" w:sz="6" w:space="0" w:color="auto"/>
            </w:tcBorders>
          </w:tcPr>
          <w:p>
            <w:pP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39,915,082</w:t>
            </w:r>
          </w:p>
        </w:tc>
      </w:tr>
      <w:tr>
        <w:trPr>
          <w:trHeight w:val="410" w:hRule="exact"/>
        </w:trPr>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办公及网络、电话费</w:t>
            </w:r>
          </w:p>
        </w:tc>
        <w:tc>
          <w:tcPr>
            <w:tcW w:w="2057" w:type="dxa"/>
            <w:tcBorders>
              <w:top w:val="nil" w:sz="6" w:space="0" w:color="auto"/>
              <w:left w:val="nil" w:sz="6" w:space="0" w:color="auto"/>
              <w:bottom w:val="nil" w:sz="6" w:space="0" w:color="auto"/>
              <w:right w:val="nil" w:sz="6" w:space="0" w:color="auto"/>
            </w:tcBorders>
          </w:tcPr>
          <w:p>
            <w:pPr/>
          </w:p>
        </w:tc>
        <w:tc>
          <w:tcPr>
            <w:tcW w:w="2588" w:type="dxa"/>
            <w:tcBorders>
              <w:top w:val="nil" w:sz="6" w:space="0" w:color="auto"/>
              <w:left w:val="nil" w:sz="6" w:space="0" w:color="auto"/>
              <w:bottom w:val="nil" w:sz="6" w:space="0" w:color="auto"/>
              <w:right w:val="nil" w:sz="6" w:space="0" w:color="auto"/>
            </w:tcBorders>
          </w:tcPr>
          <w:p>
            <w:pP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30,602,105</w:t>
            </w:r>
          </w:p>
        </w:tc>
      </w:tr>
      <w:tr>
        <w:trPr>
          <w:trHeight w:val="410" w:hRule="exact"/>
        </w:trPr>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培训、咨询、研讨会议费</w:t>
            </w:r>
          </w:p>
        </w:tc>
        <w:tc>
          <w:tcPr>
            <w:tcW w:w="2057" w:type="dxa"/>
            <w:tcBorders>
              <w:top w:val="nil" w:sz="6" w:space="0" w:color="auto"/>
              <w:left w:val="nil" w:sz="6" w:space="0" w:color="auto"/>
              <w:bottom w:val="nil" w:sz="6" w:space="0" w:color="auto"/>
              <w:right w:val="nil" w:sz="6" w:space="0" w:color="auto"/>
            </w:tcBorders>
          </w:tcPr>
          <w:p>
            <w:pPr/>
          </w:p>
        </w:tc>
        <w:tc>
          <w:tcPr>
            <w:tcW w:w="2588" w:type="dxa"/>
            <w:tcBorders>
              <w:top w:val="nil" w:sz="6" w:space="0" w:color="auto"/>
              <w:left w:val="nil" w:sz="6" w:space="0" w:color="auto"/>
              <w:bottom w:val="nil" w:sz="6" w:space="0" w:color="auto"/>
              <w:right w:val="nil" w:sz="6" w:space="0" w:color="auto"/>
            </w:tcBorders>
          </w:tcPr>
          <w:p>
            <w:pP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41,291,790</w:t>
            </w:r>
          </w:p>
        </w:tc>
      </w:tr>
      <w:tr>
        <w:trPr>
          <w:trHeight w:val="410" w:hRule="exact"/>
        </w:trPr>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房租及物业费</w:t>
            </w:r>
          </w:p>
        </w:tc>
        <w:tc>
          <w:tcPr>
            <w:tcW w:w="2057" w:type="dxa"/>
            <w:tcBorders>
              <w:top w:val="nil" w:sz="6" w:space="0" w:color="auto"/>
              <w:left w:val="nil" w:sz="6" w:space="0" w:color="auto"/>
              <w:bottom w:val="nil" w:sz="6" w:space="0" w:color="auto"/>
              <w:right w:val="nil" w:sz="6" w:space="0" w:color="auto"/>
            </w:tcBorders>
          </w:tcPr>
          <w:p>
            <w:pPr/>
          </w:p>
        </w:tc>
        <w:tc>
          <w:tcPr>
            <w:tcW w:w="2588" w:type="dxa"/>
            <w:tcBorders>
              <w:top w:val="nil" w:sz="6" w:space="0" w:color="auto"/>
              <w:left w:val="nil" w:sz="6" w:space="0" w:color="auto"/>
              <w:bottom w:val="nil" w:sz="6" w:space="0" w:color="auto"/>
              <w:right w:val="nil" w:sz="6" w:space="0" w:color="auto"/>
            </w:tcBorders>
          </w:tcPr>
          <w:p>
            <w:pP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25,210,351</w:t>
            </w:r>
          </w:p>
        </w:tc>
      </w:tr>
      <w:tr>
        <w:trPr>
          <w:trHeight w:val="410" w:hRule="exact"/>
        </w:trPr>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运输及财产保险费</w:t>
            </w:r>
          </w:p>
        </w:tc>
        <w:tc>
          <w:tcPr>
            <w:tcW w:w="2057" w:type="dxa"/>
            <w:tcBorders>
              <w:top w:val="nil" w:sz="6" w:space="0" w:color="auto"/>
              <w:left w:val="nil" w:sz="6" w:space="0" w:color="auto"/>
              <w:bottom w:val="nil" w:sz="6" w:space="0" w:color="auto"/>
              <w:right w:val="nil" w:sz="6" w:space="0" w:color="auto"/>
            </w:tcBorders>
          </w:tcPr>
          <w:p>
            <w:pPr/>
          </w:p>
        </w:tc>
        <w:tc>
          <w:tcPr>
            <w:tcW w:w="2588" w:type="dxa"/>
            <w:tcBorders>
              <w:top w:val="nil" w:sz="6" w:space="0" w:color="auto"/>
              <w:left w:val="nil" w:sz="6" w:space="0" w:color="auto"/>
              <w:bottom w:val="nil" w:sz="6" w:space="0" w:color="auto"/>
              <w:right w:val="nil" w:sz="6" w:space="0" w:color="auto"/>
            </w:tcBorders>
          </w:tcPr>
          <w:p>
            <w:pP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5,127,890</w:t>
            </w:r>
          </w:p>
        </w:tc>
      </w:tr>
      <w:tr>
        <w:trPr>
          <w:trHeight w:val="410" w:hRule="exact"/>
        </w:trPr>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其他往来</w:t>
            </w:r>
          </w:p>
        </w:tc>
        <w:tc>
          <w:tcPr>
            <w:tcW w:w="2057" w:type="dxa"/>
            <w:tcBorders>
              <w:top w:val="nil" w:sz="6" w:space="0" w:color="auto"/>
              <w:left w:val="nil" w:sz="6" w:space="0" w:color="auto"/>
              <w:bottom w:val="nil" w:sz="6" w:space="0" w:color="auto"/>
              <w:right w:val="nil" w:sz="6" w:space="0" w:color="auto"/>
            </w:tcBorders>
          </w:tcPr>
          <w:p>
            <w:pPr/>
          </w:p>
        </w:tc>
        <w:tc>
          <w:tcPr>
            <w:tcW w:w="2588" w:type="dxa"/>
            <w:tcBorders>
              <w:top w:val="nil" w:sz="6" w:space="0" w:color="auto"/>
              <w:left w:val="nil" w:sz="6" w:space="0" w:color="auto"/>
              <w:bottom w:val="nil" w:sz="6" w:space="0" w:color="auto"/>
              <w:right w:val="nil" w:sz="6" w:space="0" w:color="auto"/>
            </w:tcBorders>
          </w:tcPr>
          <w:p>
            <w:pP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205,710,847</w:t>
            </w:r>
          </w:p>
        </w:tc>
      </w:tr>
      <w:tr>
        <w:trPr>
          <w:trHeight w:val="328" w:hRule="exact"/>
        </w:trPr>
        <w:tc>
          <w:tcPr>
            <w:tcW w:w="2419"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78"/>
              <w:jc w:val="right"/>
              <w:rPr>
                <w:rFonts w:ascii="宋体" w:hAnsi="宋体" w:cs="宋体" w:eastAsia="宋体" w:hint="default"/>
                <w:sz w:val="18"/>
                <w:szCs w:val="18"/>
              </w:rPr>
            </w:pPr>
            <w:r>
              <w:rPr>
                <w:rFonts w:ascii="宋体" w:hAnsi="宋体" w:cs="宋体" w:eastAsia="宋体" w:hint="default"/>
                <w:sz w:val="18"/>
                <w:szCs w:val="18"/>
              </w:rPr>
              <w:t>合</w:t>
            </w:r>
          </w:p>
        </w:tc>
        <w:tc>
          <w:tcPr>
            <w:tcW w:w="2057"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180" w:right="0"/>
              <w:jc w:val="left"/>
              <w:rPr>
                <w:rFonts w:ascii="宋体" w:hAnsi="宋体" w:cs="宋体" w:eastAsia="宋体" w:hint="default"/>
                <w:sz w:val="18"/>
                <w:szCs w:val="18"/>
              </w:rPr>
            </w:pPr>
            <w:r>
              <w:rPr>
                <w:rFonts w:ascii="宋体" w:hAnsi="宋体" w:cs="宋体" w:eastAsia="宋体" w:hint="default"/>
                <w:sz w:val="18"/>
                <w:szCs w:val="18"/>
              </w:rPr>
              <w:t>计</w:t>
            </w:r>
          </w:p>
        </w:tc>
        <w:tc>
          <w:tcPr>
            <w:tcW w:w="2588" w:type="dxa"/>
            <w:tcBorders>
              <w:top w:val="nil" w:sz="6" w:space="0" w:color="auto"/>
              <w:left w:val="nil" w:sz="6" w:space="0" w:color="auto"/>
              <w:bottom w:val="single" w:sz="12" w:space="0" w:color="000000"/>
              <w:right w:val="nil" w:sz="6" w:space="0" w:color="auto"/>
            </w:tcBorders>
          </w:tcPr>
          <w:p>
            <w:pPr/>
          </w:p>
        </w:tc>
        <w:tc>
          <w:tcPr>
            <w:tcW w:w="118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483,208,874</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393" w:val="left" w:leader="none"/>
        </w:tabs>
        <w:spacing w:before="35"/>
        <w:ind w:left="855" w:right="112"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收到的其他与投资活动有关的现金</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2499" w:lineRule="exact"/>
        <w:ind w:left="717"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17.4pt;height:125pt;mso-position-horizontal-relative:char;mso-position-vertical-relative:line" coordorigin="0,0" coordsize="8348,2500">
            <v:group style="position:absolute;left:29;top:15;width:8286;height:2" coordorigin="29,15" coordsize="8286,2">
              <v:shape style="position:absolute;left:29;top:15;width:8286;height:2" coordorigin="29,15" coordsize="8286,0" path="m29,15l8315,15e" filled="false" stroked="true" strokeweight="1.5pt" strokecolor="#000000">
                <v:path arrowok="t"/>
              </v:shape>
              <v:shape style="position:absolute;left:4834;top:30;width:10;height:400" type="#_x0000_t75" stroked="false">
                <v:imagedata r:id="rId316" o:title=""/>
              </v:shape>
            </v:group>
            <v:group style="position:absolute;left:15;top:2485;width:4820;height:2" coordorigin="15,2485" coordsize="4820,2">
              <v:shape style="position:absolute;left:15;top:2485;width:4820;height:2" coordorigin="15,2485" coordsize="4820,0" path="m15,2485l4834,2485e" filled="false" stroked="true" strokeweight="1.5pt" strokecolor="#000000">
                <v:path arrowok="t"/>
              </v:shape>
              <v:shape style="position:absolute;left:1;top:401;width:8347;height:2069" type="#_x0000_t75" stroked="false">
                <v:imagedata r:id="rId317" o:title=""/>
              </v:shape>
            </v:group>
            <v:group style="position:absolute;left:4834;top:2485;width:3482;height:2" coordorigin="4834,2485" coordsize="3482,2">
              <v:shape style="position:absolute;left:4834;top:2485;width:3482;height:2" coordorigin="4834,2485" coordsize="3482,0" path="m4834,2485l8315,2485e" filled="false" stroked="true" strokeweight="1.5pt" strokecolor="#000000">
                <v:path arrowok="t"/>
              </v:shape>
              <v:shape style="position:absolute;left:2073;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2613;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6217;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137;top:631;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定期存款利息收入</w:t>
                      </w:r>
                    </w:p>
                  </w:txbxContent>
                </v:textbox>
                <w10:wrap type="none"/>
              </v:shape>
              <v:shape style="position:absolute;left:7623;top:651;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355,566</w:t>
                      </w:r>
                    </w:p>
                  </w:txbxContent>
                </v:textbox>
                <w10:wrap type="none"/>
              </v:shape>
              <v:shape style="position:absolute;left:137;top:1042;width:459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购买子公司支付股权款减少的货币资金小于该子公司购买</w:t>
                      </w:r>
                    </w:p>
                  </w:txbxContent>
                </v:textbox>
                <w10:wrap type="none"/>
              </v:shape>
              <v:shape style="position:absolute;left:7487;top:126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1,239,678</w:t>
                      </w:r>
                    </w:p>
                  </w:txbxContent>
                </v:textbox>
                <w10:wrap type="none"/>
              </v:shape>
              <v:shape style="position:absolute;left:137;top:1441;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日货币资金余额的部分（注）</w:t>
                      </w:r>
                    </w:p>
                  </w:txbxContent>
                </v:textbox>
                <w10:wrap type="none"/>
              </v:shape>
              <v:shape style="position:absolute;left:137;top:1852;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政府投资及基建补贴款</w:t>
                      </w:r>
                    </w:p>
                  </w:txbxContent>
                </v:textbox>
                <w10:wrap type="none"/>
              </v:shape>
              <v:shape style="position:absolute;left:7397;top:187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14,310,000</w:t>
                      </w:r>
                    </w:p>
                  </w:txbxContent>
                </v:textbox>
                <w10:wrap type="none"/>
              </v:shape>
              <v:shape style="position:absolute;left:2073;top:226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2613;top:226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7397;top:228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15,905,244</w:t>
                      </w:r>
                    </w:p>
                  </w:txbxContent>
                </v:textbox>
                <w10:wrap type="none"/>
              </v:shape>
            </v:group>
          </v:group>
        </w:pict>
      </w:r>
      <w:r>
        <w:rPr>
          <w:rFonts w:ascii="宋体" w:hAnsi="宋体" w:cs="宋体" w:eastAsia="宋体" w:hint="default"/>
          <w:position w:val="-49"/>
          <w:sz w:val="20"/>
          <w:szCs w:val="20"/>
        </w:rPr>
      </w:r>
    </w:p>
    <w:p>
      <w:pPr>
        <w:pStyle w:val="BodyText"/>
        <w:spacing w:line="348" w:lineRule="auto" w:before="93"/>
        <w:ind w:left="855" w:right="239"/>
        <w:jc w:val="left"/>
      </w:pPr>
      <w:r>
        <w:rPr/>
        <w:t>（注）为本公司购买北京利博赛社保信息技术有限公司股权后纳入合并报表，购买日支付 股权款减少的货币资金小于北京利博赛社保信息技术有限公司货币资金余额的部分。</w:t>
      </w:r>
    </w:p>
    <w:p>
      <w:pPr>
        <w:spacing w:line="240" w:lineRule="auto" w:before="0"/>
        <w:rPr>
          <w:rFonts w:ascii="宋体" w:hAnsi="宋体" w:cs="宋体" w:eastAsia="宋体" w:hint="default"/>
          <w:sz w:val="20"/>
          <w:szCs w:val="20"/>
        </w:rPr>
      </w:pPr>
    </w:p>
    <w:p>
      <w:pPr>
        <w:pStyle w:val="Heading6"/>
        <w:tabs>
          <w:tab w:pos="1393" w:val="left" w:leader="none"/>
        </w:tabs>
        <w:spacing w:line="240" w:lineRule="auto" w:before="169"/>
        <w:ind w:left="855" w:right="112"/>
        <w:jc w:val="left"/>
        <w:rPr>
          <w:b w:val="0"/>
          <w:bCs w:val="0"/>
        </w:rPr>
      </w:pPr>
      <w:r>
        <w:rPr>
          <w:w w:val="95"/>
        </w:rPr>
        <w:t>4、</w:t>
        <w:tab/>
      </w:r>
      <w:r>
        <w:rPr/>
        <w:t>支付的其他与投资活动有关的现金</w:t>
      </w:r>
      <w:r>
        <w:rPr>
          <w:b w:val="0"/>
          <w:bCs w:val="0"/>
        </w:rPr>
      </w:r>
    </w:p>
    <w:p>
      <w:pPr>
        <w:spacing w:line="240" w:lineRule="auto" w:before="5"/>
        <w:rPr>
          <w:rFonts w:ascii="宋体" w:hAnsi="宋体" w:cs="宋体" w:eastAsia="宋体" w:hint="default"/>
          <w:b/>
          <w:bCs/>
          <w:sz w:val="2"/>
          <w:szCs w:val="2"/>
        </w:rPr>
      </w:pPr>
    </w:p>
    <w:p>
      <w:pPr>
        <w:spacing w:line="1690" w:lineRule="exact"/>
        <w:ind w:left="717"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21.65pt;height:84.55pt;mso-position-horizontal-relative:char;mso-position-vertical-relative:line" coordorigin="0,0" coordsize="8433,1691">
            <v:group style="position:absolute;left:29;top:15;width:8369;height:2" coordorigin="29,15" coordsize="8369,2">
              <v:shape style="position:absolute;left:29;top:15;width:8369;height:2" coordorigin="29,15" coordsize="8369,0" path="m29,15l8398,15e" filled="false" stroked="true" strokeweight="1.5pt" strokecolor="#000000">
                <v:path arrowok="t"/>
              </v:shape>
              <v:shape style="position:absolute;left:4833;top:30;width:10;height:401" type="#_x0000_t75" stroked="false">
                <v:imagedata r:id="rId318" o:title=""/>
              </v:shape>
            </v:group>
            <v:group style="position:absolute;left:15;top:1676;width:4818;height:2" coordorigin="15,1676" coordsize="4818,2">
              <v:shape style="position:absolute;left:15;top:1676;width:4818;height:2" coordorigin="15,1676" coordsize="4818,0" path="m15,1676l4833,1676e" filled="false" stroked="true" strokeweight="1.5pt" strokecolor="#000000">
                <v:path arrowok="t"/>
              </v:shape>
              <v:shape style="position:absolute;left:1;top:402;width:8432;height:1259" type="#_x0000_t75" stroked="false">
                <v:imagedata r:id="rId319" o:title=""/>
              </v:shape>
            </v:group>
            <v:group style="position:absolute;left:4833;top:1676;width:3566;height:2" coordorigin="4833,1676" coordsize="3566,2">
              <v:shape style="position:absolute;left:4833;top:1676;width:3566;height:2" coordorigin="4833,1676" coordsize="3566,0" path="m4833,1676l8398,1676e" filled="false" stroked="true" strokeweight="1.5pt" strokecolor="#000000">
                <v:path arrowok="t"/>
              </v:shape>
              <v:shape style="position:absolute;left:2073;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2613;top: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6256;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137;top:633;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子公司股利源泉所得税</w:t>
                      </w:r>
                    </w:p>
                  </w:txbxContent>
                </v:textbox>
                <w10:wrap type="none"/>
              </v:shape>
              <v:shape style="position:absolute;left:7705;top:65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149,331</w:t>
                      </w:r>
                    </w:p>
                  </w:txbxContent>
                </v:textbox>
                <w10:wrap type="none"/>
              </v:shape>
              <v:shape style="position:absolute;left:137;top:1043;width:37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因子公司不再纳入合并而减少的货币资金（注）</w:t>
                      </w:r>
                    </w:p>
                  </w:txbxContent>
                </v:textbox>
                <w10:wrap type="none"/>
              </v:shape>
              <v:shape style="position:absolute;left:7569;top:106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2,251,595</w:t>
                      </w:r>
                    </w:p>
                  </w:txbxContent>
                </v:textbox>
                <w10:wrap type="none"/>
              </v:shape>
              <v:shape style="position:absolute;left:2073;top:145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2613;top:145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7569;top:147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2,400,926</w:t>
                      </w:r>
                    </w:p>
                  </w:txbxContent>
                </v:textbox>
                <w10:wrap type="none"/>
              </v:shape>
            </v:group>
          </v:group>
        </w:pict>
      </w:r>
      <w:r>
        <w:rPr>
          <w:rFonts w:ascii="宋体" w:hAnsi="宋体" w:cs="宋体" w:eastAsia="宋体" w:hint="default"/>
          <w:position w:val="-33"/>
          <w:sz w:val="20"/>
          <w:szCs w:val="20"/>
        </w:rPr>
      </w:r>
    </w:p>
    <w:p>
      <w:pPr>
        <w:tabs>
          <w:tab w:pos="1393" w:val="left" w:leader="none"/>
        </w:tabs>
        <w:spacing w:line="698" w:lineRule="auto" w:before="94"/>
        <w:ind w:left="855" w:right="1307" w:firstLine="0"/>
        <w:jc w:val="left"/>
        <w:rPr>
          <w:rFonts w:ascii="宋体" w:hAnsi="宋体" w:cs="宋体" w:eastAsia="宋体" w:hint="default"/>
          <w:sz w:val="21"/>
          <w:szCs w:val="21"/>
        </w:rPr>
      </w:pPr>
      <w:r>
        <w:rPr/>
        <w:pict>
          <v:group style="position:absolute;margin-left:118.889999pt;margin-top:60.043976pt;width:423.6pt;height:64pt;mso-position-horizontal-relative:page;mso-position-vertical-relative:paragraph;z-index:-1110544" coordorigin="2378,1201" coordsize="8472,1280">
            <v:group style="position:absolute;left:2407;top:1216;width:8412;height:2" coordorigin="2407,1216" coordsize="8412,2">
              <v:shape style="position:absolute;left:2407;top:1216;width:8412;height:2" coordorigin="2407,1216" coordsize="8412,0" path="m2407,1216l10819,1216e" filled="false" stroked="true" strokeweight="1.5pt" strokecolor="#000000">
                <v:path arrowok="t"/>
              </v:shape>
              <v:shape style="position:absolute;left:7211;top:1231;width:10;height:400" type="#_x0000_t75" stroked="false">
                <v:imagedata r:id="rId320" o:title=""/>
              </v:shape>
            </v:group>
            <v:group style="position:absolute;left:2393;top:2465;width:4818;height:2" coordorigin="2393,2465" coordsize="4818,2">
              <v:shape style="position:absolute;left:2393;top:2465;width:4818;height:2" coordorigin="2393,2465" coordsize="4818,0" path="m2393,2465l7211,2465e" filled="false" stroked="true" strokeweight="1.5pt" strokecolor="#000000">
                <v:path arrowok="t"/>
              </v:shape>
              <v:shape style="position:absolute;left:2378;top:1602;width:8471;height:848" type="#_x0000_t75" stroked="false">
                <v:imagedata r:id="rId321" o:title=""/>
              </v:shape>
            </v:group>
            <v:group style="position:absolute;left:7211;top:2465;width:3609;height:2" coordorigin="7211,2465" coordsize="3609,2">
              <v:shape style="position:absolute;left:7211;top:2465;width:3609;height:2" coordorigin="7211,2465" coordsize="3609,0" path="m7211,2465l10819,2465e" filled="false" stroked="true" strokeweight="1.5pt" strokecolor="#000000">
                <v:path arrowok="t"/>
              </v:shape>
              <v:shape style="position:absolute;left:4451;top:142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4991;top:142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8656;top:142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2515;top:1832;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发行债券承销费及登记服务费</w:t>
                      </w:r>
                    </w:p>
                  </w:txbxContent>
                </v:textbox>
                <w10:wrap type="none"/>
              </v:shape>
              <v:shape style="position:absolute;left:9990;top:185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1,242,000</w:t>
                      </w:r>
                    </w:p>
                  </w:txbxContent>
                </v:textbox>
                <w10:wrap type="none"/>
              </v:shape>
              <v:shape style="position:absolute;left:4451;top:224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4991;top:224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9990;top:226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1,242,000</w:t>
                      </w:r>
                    </w:p>
                  </w:txbxContent>
                </v:textbox>
                <w10:wrap type="none"/>
              </v:shape>
            </v:group>
            <w10:wrap type="none"/>
          </v:group>
        </w:pict>
      </w:r>
      <w:r>
        <w:rPr>
          <w:rFonts w:ascii="宋体" w:hAnsi="宋体" w:cs="宋体" w:eastAsia="宋体" w:hint="default"/>
          <w:sz w:val="21"/>
          <w:szCs w:val="21"/>
        </w:rPr>
        <w:t>注：本集团之子公司北京源越通软件技术有限公司因清算不再纳入合并范围。 </w:t>
      </w:r>
      <w:r>
        <w:rPr>
          <w:rFonts w:ascii="宋体" w:hAnsi="宋体" w:cs="宋体" w:eastAsia="宋体" w:hint="default"/>
          <w:b/>
          <w:bCs/>
          <w:w w:val="95"/>
          <w:sz w:val="21"/>
          <w:szCs w:val="21"/>
        </w:rPr>
        <w:t>5、</w:t>
        <w:tab/>
      </w:r>
      <w:r>
        <w:rPr>
          <w:rFonts w:ascii="宋体" w:hAnsi="宋体" w:cs="宋体" w:eastAsia="宋体" w:hint="default"/>
          <w:b/>
          <w:bCs/>
          <w:sz w:val="21"/>
          <w:szCs w:val="21"/>
        </w:rPr>
        <w:t>支付的其他与筹资活动有关的现金</w:t>
      </w:r>
      <w:r>
        <w:rPr>
          <w:rFonts w:ascii="宋体" w:hAnsi="宋体" w:cs="宋体" w:eastAsia="宋体" w:hint="default"/>
          <w:sz w:val="21"/>
          <w:szCs w:val="21"/>
        </w:rPr>
      </w:r>
    </w:p>
    <w:p>
      <w:pPr>
        <w:spacing w:after="0" w:line="698" w:lineRule="auto"/>
        <w:jc w:val="left"/>
        <w:rPr>
          <w:rFonts w:ascii="宋体" w:hAnsi="宋体" w:cs="宋体" w:eastAsia="宋体" w:hint="default"/>
          <w:sz w:val="21"/>
          <w:szCs w:val="21"/>
        </w:rPr>
        <w:sectPr>
          <w:pgSz w:w="11910" w:h="16840"/>
          <w:pgMar w:header="0" w:footer="1003" w:top="1540" w:bottom="1200" w:left="1660" w:right="940"/>
        </w:sectPr>
      </w:pPr>
    </w:p>
    <w:p>
      <w:pPr>
        <w:spacing w:line="240" w:lineRule="auto" w:before="0"/>
        <w:rPr>
          <w:rFonts w:ascii="宋体" w:hAnsi="宋体" w:cs="宋体" w:eastAsia="宋体" w:hint="default"/>
          <w:b/>
          <w:bCs/>
          <w:sz w:val="20"/>
          <w:szCs w:val="20"/>
        </w:rPr>
      </w:pPr>
      <w:r>
        <w:rPr/>
        <w:pict>
          <v:group style="position:absolute;margin-left:118.919998pt;margin-top:136.080002pt;width:422.05pt;height:615.5pt;mso-position-horizontal-relative:page;mso-position-vertical-relative:page;z-index:-1110520" coordorigin="2378,2722" coordsize="8441,12310">
            <v:group style="position:absolute;left:2407;top:2737;width:8384;height:2" coordorigin="2407,2737" coordsize="8384,2">
              <v:shape style="position:absolute;left:2407;top:2737;width:8384;height:2" coordorigin="2407,2737" coordsize="8384,0" path="m2407,2737l10790,2737e" filled="false" stroked="true" strokeweight="1.5pt" strokecolor="#000000">
                <v:path arrowok="t"/>
              </v:shape>
              <v:shape style="position:absolute;left:6062;top:2728;width:2653;height:446" type="#_x0000_t75" stroked="false">
                <v:imagedata r:id="rId322" o:title=""/>
              </v:shape>
              <v:shape style="position:absolute;left:2378;top:3126;width:8441;height:11905" type="#_x0000_t75" stroked="false">
                <v:imagedata r:id="rId323" o:title=""/>
              </v:shape>
            </v:group>
            <w10:wrap type="none"/>
          </v:group>
        </w:pict>
      </w:r>
    </w:p>
    <w:p>
      <w:pPr>
        <w:spacing w:line="240" w:lineRule="auto" w:before="12"/>
        <w:rPr>
          <w:rFonts w:ascii="宋体" w:hAnsi="宋体" w:cs="宋体" w:eastAsia="宋体" w:hint="default"/>
          <w:b/>
          <w:bCs/>
          <w:sz w:val="15"/>
          <w:szCs w:val="15"/>
        </w:rPr>
      </w:pPr>
    </w:p>
    <w:p>
      <w:pPr>
        <w:pStyle w:val="Heading6"/>
        <w:spacing w:line="240" w:lineRule="auto" w:before="0"/>
        <w:ind w:left="123" w:right="2718"/>
        <w:jc w:val="left"/>
        <w:rPr>
          <w:b w:val="0"/>
          <w:bCs w:val="0"/>
        </w:rPr>
      </w:pPr>
      <w:r>
        <w:rPr/>
        <w:t>(五十三)现金流量表补充资料</w:t>
      </w:r>
      <w:r>
        <w:rPr>
          <w:b w:val="0"/>
          <w:bCs w:val="0"/>
        </w:rPr>
      </w:r>
    </w:p>
    <w:p>
      <w:pPr>
        <w:tabs>
          <w:tab w:pos="1393" w:val="left" w:leader="none"/>
        </w:tabs>
        <w:spacing w:before="125"/>
        <w:ind w:left="855" w:right="2718"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11"/>
        <w:rPr>
          <w:rFonts w:ascii="宋体" w:hAnsi="宋体" w:cs="宋体" w:eastAsia="宋体" w:hint="default"/>
          <w:b/>
          <w:bCs/>
          <w:sz w:val="11"/>
          <w:szCs w:val="11"/>
        </w:rPr>
      </w:pPr>
    </w:p>
    <w:tbl>
      <w:tblPr>
        <w:tblW w:w="0" w:type="auto"/>
        <w:jc w:val="left"/>
        <w:tblInd w:w="732" w:type="dxa"/>
        <w:tblLayout w:type="fixed"/>
        <w:tblCellMar>
          <w:top w:w="0" w:type="dxa"/>
          <w:left w:w="0" w:type="dxa"/>
          <w:bottom w:w="0" w:type="dxa"/>
          <w:right w:w="0" w:type="dxa"/>
        </w:tblCellMar>
        <w:tblLook w:val="01E0"/>
      </w:tblPr>
      <w:tblGrid>
        <w:gridCol w:w="4156"/>
        <w:gridCol w:w="2461"/>
        <w:gridCol w:w="1780"/>
      </w:tblGrid>
      <w:tr>
        <w:trPr>
          <w:trHeight w:val="809" w:hRule="exact"/>
        </w:trPr>
        <w:tc>
          <w:tcPr>
            <w:tcW w:w="4156" w:type="dxa"/>
            <w:tcBorders>
              <w:top w:val="nil" w:sz="6" w:space="0" w:color="auto"/>
              <w:left w:val="nil" w:sz="6" w:space="0" w:color="auto"/>
              <w:bottom w:val="nil" w:sz="6" w:space="0" w:color="auto"/>
              <w:right w:val="nil" w:sz="6" w:space="0" w:color="auto"/>
            </w:tcBorders>
          </w:tcPr>
          <w:p>
            <w:pPr>
              <w:pStyle w:val="TableParagraph"/>
              <w:tabs>
                <w:tab w:pos="2035" w:val="left" w:leader="none"/>
              </w:tabs>
              <w:spacing w:line="240" w:lineRule="auto" w:before="44"/>
              <w:ind w:left="1495" w:right="0"/>
              <w:jc w:val="left"/>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78"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66"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15"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64"/>
              <w:jc w:val="right"/>
              <w:rPr>
                <w:rFonts w:ascii="Times New Roman" w:hAnsi="Times New Roman" w:cs="Times New Roman" w:eastAsia="Times New Roman" w:hint="default"/>
                <w:sz w:val="18"/>
                <w:szCs w:val="18"/>
              </w:rPr>
            </w:pPr>
            <w:r>
              <w:rPr>
                <w:rFonts w:ascii="Times New Roman"/>
                <w:sz w:val="18"/>
              </w:rPr>
              <w:t>423,545,552</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1"/>
              <w:jc w:val="right"/>
              <w:rPr>
                <w:rFonts w:ascii="Times New Roman" w:hAnsi="Times New Roman" w:cs="Times New Roman" w:eastAsia="Times New Roman" w:hint="default"/>
                <w:sz w:val="18"/>
                <w:szCs w:val="18"/>
              </w:rPr>
            </w:pPr>
            <w:r>
              <w:rPr>
                <w:rFonts w:ascii="Times New Roman"/>
                <w:sz w:val="18"/>
              </w:rPr>
              <w:t>507,302,496</w:t>
            </w:r>
          </w:p>
        </w:tc>
      </w:tr>
      <w:tr>
        <w:trPr>
          <w:trHeight w:val="41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4"/>
              <w:jc w:val="right"/>
              <w:rPr>
                <w:rFonts w:ascii="Times New Roman" w:hAnsi="Times New Roman" w:cs="Times New Roman" w:eastAsia="Times New Roman" w:hint="default"/>
                <w:sz w:val="18"/>
                <w:szCs w:val="18"/>
              </w:rPr>
            </w:pPr>
            <w:r>
              <w:rPr>
                <w:rFonts w:ascii="Times New Roman"/>
                <w:sz w:val="18"/>
              </w:rPr>
              <w:t>41,405,012</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
              <w:jc w:val="right"/>
              <w:rPr>
                <w:rFonts w:ascii="Times New Roman" w:hAnsi="Times New Roman" w:cs="Times New Roman" w:eastAsia="Times New Roman" w:hint="default"/>
                <w:sz w:val="18"/>
                <w:szCs w:val="18"/>
              </w:rPr>
            </w:pPr>
            <w:r>
              <w:rPr>
                <w:rFonts w:ascii="Times New Roman"/>
                <w:sz w:val="18"/>
              </w:rPr>
              <w:t>5,344,100</w:t>
            </w:r>
          </w:p>
        </w:tc>
      </w:tr>
      <w:tr>
        <w:trPr>
          <w:trHeight w:val="41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固定资产折旧、投资性房地产折旧</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4"/>
              <w:jc w:val="right"/>
              <w:rPr>
                <w:rFonts w:ascii="Times New Roman" w:hAnsi="Times New Roman" w:cs="Times New Roman" w:eastAsia="Times New Roman" w:hint="default"/>
                <w:sz w:val="18"/>
                <w:szCs w:val="18"/>
              </w:rPr>
            </w:pPr>
            <w:r>
              <w:rPr>
                <w:rFonts w:ascii="Times New Roman"/>
                <w:sz w:val="18"/>
              </w:rPr>
              <w:t>128,325,801</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
              <w:jc w:val="right"/>
              <w:rPr>
                <w:rFonts w:ascii="Times New Roman" w:hAnsi="Times New Roman" w:cs="Times New Roman" w:eastAsia="Times New Roman" w:hint="default"/>
                <w:sz w:val="18"/>
                <w:szCs w:val="18"/>
              </w:rPr>
            </w:pPr>
            <w:r>
              <w:rPr>
                <w:rFonts w:ascii="Times New Roman"/>
                <w:sz w:val="18"/>
              </w:rPr>
              <w:t>151,634,147</w:t>
            </w:r>
          </w:p>
        </w:tc>
      </w:tr>
      <w:tr>
        <w:trPr>
          <w:trHeight w:val="41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4"/>
              <w:jc w:val="right"/>
              <w:rPr>
                <w:rFonts w:ascii="Times New Roman" w:hAnsi="Times New Roman" w:cs="Times New Roman" w:eastAsia="Times New Roman" w:hint="default"/>
                <w:sz w:val="18"/>
                <w:szCs w:val="18"/>
              </w:rPr>
            </w:pPr>
            <w:r>
              <w:rPr>
                <w:rFonts w:ascii="Times New Roman"/>
                <w:sz w:val="18"/>
              </w:rPr>
              <w:t>25,163,072</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
              <w:jc w:val="right"/>
              <w:rPr>
                <w:rFonts w:ascii="Times New Roman" w:hAnsi="Times New Roman" w:cs="Times New Roman" w:eastAsia="Times New Roman" w:hint="default"/>
                <w:sz w:val="18"/>
                <w:szCs w:val="18"/>
              </w:rPr>
            </w:pPr>
            <w:r>
              <w:rPr>
                <w:rFonts w:ascii="Times New Roman"/>
                <w:sz w:val="18"/>
              </w:rPr>
              <w:t>24,772,476</w:t>
            </w:r>
          </w:p>
        </w:tc>
      </w:tr>
      <w:tr>
        <w:trPr>
          <w:trHeight w:val="41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4"/>
              <w:jc w:val="right"/>
              <w:rPr>
                <w:rFonts w:ascii="Times New Roman" w:hAnsi="Times New Roman" w:cs="Times New Roman" w:eastAsia="Times New Roman" w:hint="default"/>
                <w:sz w:val="18"/>
                <w:szCs w:val="18"/>
              </w:rPr>
            </w:pPr>
            <w:r>
              <w:rPr>
                <w:rFonts w:ascii="Times New Roman"/>
                <w:sz w:val="18"/>
              </w:rPr>
              <w:t>14,795,474</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
              <w:jc w:val="right"/>
              <w:rPr>
                <w:rFonts w:ascii="Times New Roman" w:hAnsi="Times New Roman" w:cs="Times New Roman" w:eastAsia="Times New Roman" w:hint="default"/>
                <w:sz w:val="18"/>
                <w:szCs w:val="18"/>
              </w:rPr>
            </w:pPr>
            <w:r>
              <w:rPr>
                <w:rFonts w:ascii="Times New Roman"/>
                <w:sz w:val="18"/>
              </w:rPr>
              <w:t>12,614,781</w:t>
            </w:r>
          </w:p>
        </w:tc>
      </w:tr>
      <w:tr>
        <w:trPr>
          <w:trHeight w:val="305"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pacing w:val="2"/>
                <w:sz w:val="18"/>
                <w:szCs w:val="18"/>
              </w:rPr>
              <w:t>处置固定资产、无形资产和其他长期资产的</w:t>
            </w:r>
          </w:p>
        </w:tc>
        <w:tc>
          <w:tcPr>
            <w:tcW w:w="2461"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nil" w:sz="6" w:space="0" w:color="auto"/>
              <w:right w:val="nil" w:sz="6" w:space="0" w:color="auto"/>
            </w:tcBorders>
          </w:tcPr>
          <w:p>
            <w:pPr/>
          </w:p>
        </w:tc>
      </w:tr>
      <w:tr>
        <w:trPr>
          <w:trHeight w:val="50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61" w:type="dxa"/>
            <w:tcBorders>
              <w:top w:val="nil" w:sz="6" w:space="0" w:color="auto"/>
              <w:left w:val="nil" w:sz="6" w:space="0" w:color="auto"/>
              <w:bottom w:val="nil" w:sz="6" w:space="0" w:color="auto"/>
              <w:right w:val="nil" w:sz="6" w:space="0" w:color="auto"/>
            </w:tcBorders>
          </w:tcPr>
          <w:p>
            <w:pPr>
              <w:pStyle w:val="TableParagraph"/>
              <w:spacing w:line="204" w:lineRule="exact"/>
              <w:ind w:right="364"/>
              <w:jc w:val="right"/>
              <w:rPr>
                <w:rFonts w:ascii="Times New Roman" w:hAnsi="Times New Roman" w:cs="Times New Roman" w:eastAsia="Times New Roman" w:hint="default"/>
                <w:sz w:val="18"/>
                <w:szCs w:val="18"/>
              </w:rPr>
            </w:pPr>
            <w:r>
              <w:rPr>
                <w:rFonts w:ascii="Times New Roman"/>
                <w:spacing w:val="-1"/>
                <w:sz w:val="18"/>
              </w:rPr>
              <w:t>-18,911,625</w:t>
            </w:r>
          </w:p>
        </w:tc>
        <w:tc>
          <w:tcPr>
            <w:tcW w:w="1780" w:type="dxa"/>
            <w:tcBorders>
              <w:top w:val="nil" w:sz="6" w:space="0" w:color="auto"/>
              <w:left w:val="nil" w:sz="6" w:space="0" w:color="auto"/>
              <w:bottom w:val="nil" w:sz="6" w:space="0" w:color="auto"/>
              <w:right w:val="nil" w:sz="6" w:space="0" w:color="auto"/>
            </w:tcBorders>
          </w:tcPr>
          <w:p>
            <w:pPr>
              <w:pStyle w:val="TableParagraph"/>
              <w:spacing w:line="204" w:lineRule="exact"/>
              <w:ind w:right="41"/>
              <w:jc w:val="right"/>
              <w:rPr>
                <w:rFonts w:ascii="Times New Roman" w:hAnsi="Times New Roman" w:cs="Times New Roman" w:eastAsia="Times New Roman" w:hint="default"/>
                <w:sz w:val="18"/>
                <w:szCs w:val="18"/>
              </w:rPr>
            </w:pPr>
            <w:r>
              <w:rPr>
                <w:rFonts w:ascii="Times New Roman"/>
                <w:w w:val="95"/>
                <w:sz w:val="18"/>
              </w:rPr>
              <w:t>-43,338,675</w:t>
            </w:r>
            <w:r>
              <w:rPr>
                <w:rFonts w:ascii="Times New Roman"/>
                <w:sz w:val="18"/>
              </w:rPr>
            </w:r>
          </w:p>
        </w:tc>
      </w:tr>
      <w:tr>
        <w:trPr>
          <w:trHeight w:val="415"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61"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2"/>
              <w:jc w:val="right"/>
              <w:rPr>
                <w:rFonts w:ascii="Times New Roman" w:hAnsi="Times New Roman" w:cs="Times New Roman" w:eastAsia="Times New Roman" w:hint="default"/>
                <w:sz w:val="18"/>
                <w:szCs w:val="18"/>
              </w:rPr>
            </w:pPr>
            <w:r>
              <w:rPr>
                <w:rFonts w:ascii="Times New Roman"/>
                <w:spacing w:val="-2"/>
                <w:sz w:val="18"/>
              </w:rPr>
              <w:t>119,196</w:t>
            </w:r>
          </w:p>
        </w:tc>
      </w:tr>
      <w:tr>
        <w:trPr>
          <w:trHeight w:val="41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4"/>
              <w:jc w:val="right"/>
              <w:rPr>
                <w:rFonts w:ascii="Times New Roman" w:hAnsi="Times New Roman" w:cs="Times New Roman" w:eastAsia="Times New Roman" w:hint="default"/>
                <w:sz w:val="18"/>
                <w:szCs w:val="18"/>
              </w:rPr>
            </w:pPr>
            <w:r>
              <w:rPr>
                <w:rFonts w:ascii="Times New Roman"/>
                <w:w w:val="95"/>
                <w:sz w:val="18"/>
              </w:rPr>
              <w:t>-950,557</w:t>
            </w:r>
            <w:r>
              <w:rPr>
                <w:rFonts w:ascii="Times New Roman"/>
                <w:sz w:val="18"/>
              </w:rPr>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
              <w:jc w:val="right"/>
              <w:rPr>
                <w:rFonts w:ascii="Times New Roman" w:hAnsi="Times New Roman" w:cs="Times New Roman" w:eastAsia="Times New Roman" w:hint="default"/>
                <w:sz w:val="18"/>
                <w:szCs w:val="18"/>
              </w:rPr>
            </w:pPr>
            <w:r>
              <w:rPr>
                <w:rFonts w:ascii="Times New Roman"/>
                <w:sz w:val="18"/>
              </w:rPr>
              <w:t>694,314</w:t>
            </w:r>
          </w:p>
        </w:tc>
      </w:tr>
      <w:tr>
        <w:trPr>
          <w:trHeight w:val="41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4"/>
              <w:jc w:val="right"/>
              <w:rPr>
                <w:rFonts w:ascii="Times New Roman" w:hAnsi="Times New Roman" w:cs="Times New Roman" w:eastAsia="Times New Roman" w:hint="default"/>
                <w:sz w:val="18"/>
                <w:szCs w:val="18"/>
              </w:rPr>
            </w:pPr>
            <w:r>
              <w:rPr>
                <w:rFonts w:ascii="Times New Roman"/>
                <w:sz w:val="18"/>
              </w:rPr>
              <w:t>41,705,531</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
              <w:jc w:val="right"/>
              <w:rPr>
                <w:rFonts w:ascii="Times New Roman" w:hAnsi="Times New Roman" w:cs="Times New Roman" w:eastAsia="Times New Roman" w:hint="default"/>
                <w:sz w:val="18"/>
                <w:szCs w:val="18"/>
              </w:rPr>
            </w:pPr>
            <w:r>
              <w:rPr>
                <w:rFonts w:ascii="Times New Roman"/>
                <w:sz w:val="18"/>
              </w:rPr>
              <w:t>15,279,240</w:t>
            </w:r>
          </w:p>
        </w:tc>
      </w:tr>
      <w:tr>
        <w:trPr>
          <w:trHeight w:val="41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4"/>
              <w:jc w:val="right"/>
              <w:rPr>
                <w:rFonts w:ascii="Times New Roman" w:hAnsi="Times New Roman" w:cs="Times New Roman" w:eastAsia="Times New Roman" w:hint="default"/>
                <w:sz w:val="18"/>
                <w:szCs w:val="18"/>
              </w:rPr>
            </w:pPr>
            <w:r>
              <w:rPr>
                <w:rFonts w:ascii="Times New Roman"/>
                <w:w w:val="95"/>
                <w:sz w:val="18"/>
              </w:rPr>
              <w:t>-42,136,578</w:t>
            </w:r>
            <w:r>
              <w:rPr>
                <w:rFonts w:ascii="Times New Roman"/>
                <w:sz w:val="18"/>
              </w:rPr>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
              <w:jc w:val="right"/>
              <w:rPr>
                <w:rFonts w:ascii="Times New Roman" w:hAnsi="Times New Roman" w:cs="Times New Roman" w:eastAsia="Times New Roman" w:hint="default"/>
                <w:sz w:val="18"/>
                <w:szCs w:val="18"/>
              </w:rPr>
            </w:pPr>
            <w:r>
              <w:rPr>
                <w:rFonts w:ascii="Times New Roman"/>
                <w:w w:val="95"/>
                <w:sz w:val="18"/>
              </w:rPr>
              <w:t>-46,121,940</w:t>
            </w:r>
            <w:r>
              <w:rPr>
                <w:rFonts w:ascii="Times New Roman"/>
                <w:sz w:val="18"/>
              </w:rPr>
            </w:r>
          </w:p>
        </w:tc>
      </w:tr>
      <w:tr>
        <w:trPr>
          <w:trHeight w:val="41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4"/>
              <w:jc w:val="right"/>
              <w:rPr>
                <w:rFonts w:ascii="Times New Roman" w:hAnsi="Times New Roman" w:cs="Times New Roman" w:eastAsia="Times New Roman" w:hint="default"/>
                <w:sz w:val="18"/>
                <w:szCs w:val="18"/>
              </w:rPr>
            </w:pPr>
            <w:r>
              <w:rPr>
                <w:rFonts w:ascii="Times New Roman"/>
                <w:w w:val="95"/>
                <w:sz w:val="18"/>
              </w:rPr>
              <w:t>-10,824,364</w:t>
            </w:r>
            <w:r>
              <w:rPr>
                <w:rFonts w:ascii="Times New Roman"/>
                <w:sz w:val="18"/>
              </w:rPr>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
              <w:jc w:val="right"/>
              <w:rPr>
                <w:rFonts w:ascii="Times New Roman" w:hAnsi="Times New Roman" w:cs="Times New Roman" w:eastAsia="Times New Roman" w:hint="default"/>
                <w:sz w:val="18"/>
                <w:szCs w:val="18"/>
              </w:rPr>
            </w:pPr>
            <w:r>
              <w:rPr>
                <w:rFonts w:ascii="Times New Roman"/>
                <w:w w:val="95"/>
                <w:sz w:val="18"/>
              </w:rPr>
              <w:t>-851,455</w:t>
            </w:r>
            <w:r>
              <w:rPr>
                <w:rFonts w:ascii="Times New Roman"/>
                <w:sz w:val="18"/>
              </w:rPr>
            </w:r>
          </w:p>
        </w:tc>
      </w:tr>
      <w:tr>
        <w:trPr>
          <w:trHeight w:val="41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4"/>
              <w:jc w:val="right"/>
              <w:rPr>
                <w:rFonts w:ascii="Times New Roman" w:hAnsi="Times New Roman" w:cs="Times New Roman" w:eastAsia="Times New Roman" w:hint="default"/>
                <w:sz w:val="18"/>
                <w:szCs w:val="18"/>
              </w:rPr>
            </w:pPr>
            <w:r>
              <w:rPr>
                <w:rFonts w:ascii="Times New Roman"/>
                <w:w w:val="95"/>
                <w:sz w:val="18"/>
              </w:rPr>
              <w:t>-219,612</w:t>
            </w:r>
            <w:r>
              <w:rPr>
                <w:rFonts w:ascii="Times New Roman"/>
                <w:sz w:val="18"/>
              </w:rPr>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
              <w:jc w:val="right"/>
              <w:rPr>
                <w:rFonts w:ascii="Times New Roman" w:hAnsi="Times New Roman" w:cs="Times New Roman" w:eastAsia="Times New Roman" w:hint="default"/>
                <w:sz w:val="18"/>
                <w:szCs w:val="18"/>
              </w:rPr>
            </w:pPr>
            <w:r>
              <w:rPr>
                <w:rFonts w:ascii="Times New Roman"/>
                <w:w w:val="95"/>
                <w:sz w:val="18"/>
              </w:rPr>
              <w:t>-13,291</w:t>
            </w:r>
            <w:r>
              <w:rPr>
                <w:rFonts w:ascii="Times New Roman"/>
                <w:sz w:val="18"/>
              </w:rPr>
            </w:r>
          </w:p>
        </w:tc>
      </w:tr>
      <w:tr>
        <w:trPr>
          <w:trHeight w:val="41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4"/>
              <w:jc w:val="right"/>
              <w:rPr>
                <w:rFonts w:ascii="Times New Roman" w:hAnsi="Times New Roman" w:cs="Times New Roman" w:eastAsia="Times New Roman" w:hint="default"/>
                <w:sz w:val="18"/>
                <w:szCs w:val="18"/>
              </w:rPr>
            </w:pPr>
            <w:r>
              <w:rPr>
                <w:rFonts w:ascii="Times New Roman"/>
                <w:w w:val="95"/>
                <w:sz w:val="18"/>
              </w:rPr>
              <w:t>-98,335,163</w:t>
            </w:r>
            <w:r>
              <w:rPr>
                <w:rFonts w:ascii="Times New Roman"/>
                <w:sz w:val="18"/>
              </w:rPr>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
              <w:jc w:val="right"/>
              <w:rPr>
                <w:rFonts w:ascii="Times New Roman" w:hAnsi="Times New Roman" w:cs="Times New Roman" w:eastAsia="Times New Roman" w:hint="default"/>
                <w:sz w:val="18"/>
                <w:szCs w:val="18"/>
              </w:rPr>
            </w:pPr>
            <w:r>
              <w:rPr>
                <w:rFonts w:ascii="Times New Roman"/>
                <w:w w:val="95"/>
                <w:sz w:val="18"/>
              </w:rPr>
              <w:t>-189,541,274</w:t>
            </w:r>
            <w:r>
              <w:rPr>
                <w:rFonts w:ascii="Times New Roman"/>
                <w:sz w:val="18"/>
              </w:rPr>
            </w:r>
          </w:p>
        </w:tc>
      </w:tr>
      <w:tr>
        <w:trPr>
          <w:trHeight w:val="41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4"/>
              <w:jc w:val="right"/>
              <w:rPr>
                <w:rFonts w:ascii="Times New Roman" w:hAnsi="Times New Roman" w:cs="Times New Roman" w:eastAsia="Times New Roman" w:hint="default"/>
                <w:sz w:val="18"/>
                <w:szCs w:val="18"/>
              </w:rPr>
            </w:pPr>
            <w:r>
              <w:rPr>
                <w:rFonts w:ascii="Times New Roman"/>
                <w:w w:val="95"/>
                <w:sz w:val="18"/>
              </w:rPr>
              <w:t>-241,512,356</w:t>
            </w:r>
            <w:r>
              <w:rPr>
                <w:rFonts w:ascii="Times New Roman"/>
                <w:sz w:val="18"/>
              </w:rPr>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
              <w:jc w:val="right"/>
              <w:rPr>
                <w:rFonts w:ascii="Times New Roman" w:hAnsi="Times New Roman" w:cs="Times New Roman" w:eastAsia="Times New Roman" w:hint="default"/>
                <w:sz w:val="18"/>
                <w:szCs w:val="18"/>
              </w:rPr>
            </w:pPr>
            <w:r>
              <w:rPr>
                <w:rFonts w:ascii="Times New Roman"/>
                <w:w w:val="95"/>
                <w:sz w:val="18"/>
              </w:rPr>
              <w:t>-272,589,823</w:t>
            </w:r>
            <w:r>
              <w:rPr>
                <w:rFonts w:ascii="Times New Roman"/>
                <w:sz w:val="18"/>
              </w:rPr>
            </w:r>
          </w:p>
        </w:tc>
      </w:tr>
      <w:tr>
        <w:trPr>
          <w:trHeight w:val="41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4"/>
              <w:jc w:val="right"/>
              <w:rPr>
                <w:rFonts w:ascii="Times New Roman" w:hAnsi="Times New Roman" w:cs="Times New Roman" w:eastAsia="Times New Roman" w:hint="default"/>
                <w:sz w:val="18"/>
                <w:szCs w:val="18"/>
              </w:rPr>
            </w:pPr>
            <w:r>
              <w:rPr>
                <w:rFonts w:ascii="Times New Roman"/>
                <w:sz w:val="18"/>
              </w:rPr>
              <w:t>38,146,417</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
              <w:jc w:val="right"/>
              <w:rPr>
                <w:rFonts w:ascii="Times New Roman" w:hAnsi="Times New Roman" w:cs="Times New Roman" w:eastAsia="Times New Roman" w:hint="default"/>
                <w:sz w:val="18"/>
                <w:szCs w:val="18"/>
              </w:rPr>
            </w:pPr>
            <w:r>
              <w:rPr>
                <w:rFonts w:ascii="Times New Roman"/>
                <w:sz w:val="18"/>
              </w:rPr>
              <w:t>216,585,238</w:t>
            </w:r>
          </w:p>
        </w:tc>
      </w:tr>
      <w:tr>
        <w:trPr>
          <w:trHeight w:val="400" w:hRule="exact"/>
        </w:trPr>
        <w:tc>
          <w:tcPr>
            <w:tcW w:w="4156" w:type="dxa"/>
            <w:tcBorders>
              <w:top w:val="nil" w:sz="6" w:space="0" w:color="auto"/>
              <w:left w:val="nil" w:sz="6" w:space="0" w:color="auto"/>
              <w:bottom w:val="nil" w:sz="6" w:space="0" w:color="auto"/>
              <w:right w:val="nil" w:sz="6" w:space="0" w:color="auto"/>
            </w:tcBorders>
          </w:tcPr>
          <w:p>
            <w:pPr>
              <w:pStyle w:val="TableParagraph"/>
              <w:tabs>
                <w:tab w:pos="662" w:val="left" w:leader="none"/>
              </w:tabs>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2461"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nil" w:sz="6" w:space="0" w:color="auto"/>
              <w:right w:val="nil" w:sz="6" w:space="0" w:color="auto"/>
            </w:tcBorders>
          </w:tcPr>
          <w:p>
            <w:pPr/>
          </w:p>
        </w:tc>
      </w:tr>
      <w:tr>
        <w:trPr>
          <w:trHeight w:val="42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64"/>
              <w:jc w:val="right"/>
              <w:rPr>
                <w:rFonts w:ascii="Times New Roman" w:hAnsi="Times New Roman" w:cs="Times New Roman" w:eastAsia="Times New Roman" w:hint="default"/>
                <w:sz w:val="18"/>
                <w:szCs w:val="18"/>
              </w:rPr>
            </w:pPr>
            <w:r>
              <w:rPr>
                <w:rFonts w:ascii="Times New Roman"/>
                <w:sz w:val="18"/>
              </w:rPr>
              <w:t>300,196,604</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41"/>
              <w:jc w:val="right"/>
              <w:rPr>
                <w:rFonts w:ascii="Times New Roman" w:hAnsi="Times New Roman" w:cs="Times New Roman" w:eastAsia="Times New Roman" w:hint="default"/>
                <w:sz w:val="18"/>
                <w:szCs w:val="18"/>
              </w:rPr>
            </w:pPr>
            <w:r>
              <w:rPr>
                <w:rFonts w:ascii="Times New Roman"/>
                <w:sz w:val="18"/>
              </w:rPr>
              <w:t>381,889,530</w:t>
            </w:r>
          </w:p>
        </w:tc>
      </w:tr>
      <w:tr>
        <w:trPr>
          <w:trHeight w:val="405"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2461"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nil" w:sz="6" w:space="0" w:color="auto"/>
              <w:right w:val="nil" w:sz="6" w:space="0" w:color="auto"/>
            </w:tcBorders>
          </w:tcPr>
          <w:p>
            <w:pPr/>
          </w:p>
        </w:tc>
      </w:tr>
      <w:tr>
        <w:trPr>
          <w:trHeight w:val="405"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2461"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nil" w:sz="6" w:space="0" w:color="auto"/>
              <w:right w:val="nil" w:sz="6" w:space="0" w:color="auto"/>
            </w:tcBorders>
          </w:tcPr>
          <w:p>
            <w:pPr/>
          </w:p>
        </w:tc>
      </w:tr>
      <w:tr>
        <w:trPr>
          <w:trHeight w:val="41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2461"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nil" w:sz="6" w:space="0" w:color="auto"/>
              <w:right w:val="nil" w:sz="6" w:space="0" w:color="auto"/>
            </w:tcBorders>
          </w:tcPr>
          <w:p>
            <w:pPr/>
          </w:p>
        </w:tc>
      </w:tr>
      <w:tr>
        <w:trPr>
          <w:trHeight w:val="41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2461"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nil" w:sz="6" w:space="0" w:color="auto"/>
              <w:right w:val="nil" w:sz="6" w:space="0" w:color="auto"/>
            </w:tcBorders>
          </w:tcPr>
          <w:p>
            <w:pPr/>
          </w:p>
        </w:tc>
      </w:tr>
      <w:tr>
        <w:trPr>
          <w:trHeight w:val="415"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2461"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nil" w:sz="6" w:space="0" w:color="auto"/>
              <w:right w:val="nil" w:sz="6" w:space="0" w:color="auto"/>
            </w:tcBorders>
          </w:tcPr>
          <w:p>
            <w:pPr/>
          </w:p>
        </w:tc>
      </w:tr>
      <w:tr>
        <w:trPr>
          <w:trHeight w:val="415"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64"/>
              <w:jc w:val="right"/>
              <w:rPr>
                <w:rFonts w:ascii="Times New Roman" w:hAnsi="Times New Roman" w:cs="Times New Roman" w:eastAsia="Times New Roman" w:hint="default"/>
                <w:sz w:val="18"/>
                <w:szCs w:val="18"/>
              </w:rPr>
            </w:pPr>
            <w:r>
              <w:rPr>
                <w:rFonts w:ascii="Times New Roman"/>
                <w:spacing w:val="-1"/>
                <w:sz w:val="18"/>
              </w:rPr>
              <w:t>1,736,706,930</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1"/>
              <w:jc w:val="right"/>
              <w:rPr>
                <w:rFonts w:ascii="Times New Roman" w:hAnsi="Times New Roman" w:cs="Times New Roman" w:eastAsia="Times New Roman" w:hint="default"/>
                <w:sz w:val="18"/>
                <w:szCs w:val="18"/>
              </w:rPr>
            </w:pPr>
            <w:r>
              <w:rPr>
                <w:rFonts w:ascii="Times New Roman"/>
                <w:spacing w:val="-1"/>
                <w:sz w:val="18"/>
              </w:rPr>
              <w:t>1,687,979,107</w:t>
            </w:r>
          </w:p>
        </w:tc>
      </w:tr>
      <w:tr>
        <w:trPr>
          <w:trHeight w:val="41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减：现金的年初余额</w:t>
            </w:r>
          </w:p>
        </w:tc>
        <w:tc>
          <w:tcPr>
            <w:tcW w:w="246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4"/>
              <w:jc w:val="right"/>
              <w:rPr>
                <w:rFonts w:ascii="Times New Roman" w:hAnsi="Times New Roman" w:cs="Times New Roman" w:eastAsia="Times New Roman" w:hint="default"/>
                <w:sz w:val="18"/>
                <w:szCs w:val="18"/>
              </w:rPr>
            </w:pPr>
            <w:r>
              <w:rPr>
                <w:rFonts w:ascii="Times New Roman"/>
                <w:spacing w:val="-1"/>
                <w:sz w:val="18"/>
              </w:rPr>
              <w:t>1,687,979,107</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
              <w:jc w:val="right"/>
              <w:rPr>
                <w:rFonts w:ascii="Times New Roman" w:hAnsi="Times New Roman" w:cs="Times New Roman" w:eastAsia="Times New Roman" w:hint="default"/>
                <w:sz w:val="18"/>
                <w:szCs w:val="18"/>
              </w:rPr>
            </w:pPr>
            <w:r>
              <w:rPr>
                <w:rFonts w:ascii="Times New Roman"/>
                <w:spacing w:val="-1"/>
                <w:sz w:val="18"/>
              </w:rPr>
              <w:t>1,615,989,046</w:t>
            </w:r>
          </w:p>
        </w:tc>
      </w:tr>
      <w:tr>
        <w:trPr>
          <w:trHeight w:val="40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2461"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nil" w:sz="6" w:space="0" w:color="auto"/>
              <w:right w:val="nil" w:sz="6" w:space="0" w:color="auto"/>
            </w:tcBorders>
          </w:tcPr>
          <w:p>
            <w:pPr/>
          </w:p>
        </w:tc>
      </w:tr>
      <w:tr>
        <w:trPr>
          <w:trHeight w:val="410" w:hRule="exact"/>
        </w:trPr>
        <w:tc>
          <w:tcPr>
            <w:tcW w:w="41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减：现金等价物的年初余额</w:t>
            </w:r>
          </w:p>
        </w:tc>
        <w:tc>
          <w:tcPr>
            <w:tcW w:w="2461"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nil" w:sz="6" w:space="0" w:color="auto"/>
              <w:right w:val="nil" w:sz="6" w:space="0" w:color="auto"/>
            </w:tcBorders>
          </w:tcPr>
          <w:p>
            <w:pPr/>
          </w:p>
        </w:tc>
      </w:tr>
      <w:tr>
        <w:trPr>
          <w:trHeight w:val="338" w:hRule="exact"/>
        </w:trPr>
        <w:tc>
          <w:tcPr>
            <w:tcW w:w="4156" w:type="dxa"/>
            <w:tcBorders>
              <w:top w:val="nil" w:sz="6" w:space="0" w:color="auto"/>
              <w:left w:val="nil" w:sz="6" w:space="0" w:color="auto"/>
              <w:bottom w:val="single" w:sz="12" w:space="0" w:color="000000"/>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461"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364"/>
              <w:jc w:val="right"/>
              <w:rPr>
                <w:rFonts w:ascii="Times New Roman" w:hAnsi="Times New Roman" w:cs="Times New Roman" w:eastAsia="Times New Roman" w:hint="default"/>
                <w:sz w:val="18"/>
                <w:szCs w:val="18"/>
              </w:rPr>
            </w:pPr>
            <w:r>
              <w:rPr>
                <w:rFonts w:ascii="Times New Roman"/>
                <w:sz w:val="18"/>
              </w:rPr>
              <w:t>48,727,823</w:t>
            </w:r>
          </w:p>
        </w:tc>
        <w:tc>
          <w:tcPr>
            <w:tcW w:w="1780"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41"/>
              <w:jc w:val="right"/>
              <w:rPr>
                <w:rFonts w:ascii="Times New Roman" w:hAnsi="Times New Roman" w:cs="Times New Roman" w:eastAsia="Times New Roman" w:hint="default"/>
                <w:sz w:val="18"/>
                <w:szCs w:val="18"/>
              </w:rPr>
            </w:pPr>
            <w:r>
              <w:rPr>
                <w:rFonts w:ascii="Times New Roman"/>
                <w:sz w:val="18"/>
              </w:rPr>
              <w:t>71,990,061</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1003" w:top="1540" w:bottom="1200" w:left="1660" w:right="980"/>
        </w:sectPr>
      </w:pPr>
    </w:p>
    <w:p>
      <w:pPr>
        <w:spacing w:line="240" w:lineRule="auto" w:before="10"/>
        <w:rPr>
          <w:rFonts w:ascii="宋体" w:hAnsi="宋体" w:cs="宋体" w:eastAsia="宋体" w:hint="default"/>
          <w:b/>
          <w:bCs/>
          <w:sz w:val="8"/>
          <w:szCs w:val="8"/>
        </w:rPr>
      </w:pPr>
    </w:p>
    <w:p>
      <w:pPr>
        <w:tabs>
          <w:tab w:pos="1393" w:val="left" w:leader="none"/>
        </w:tabs>
        <w:spacing w:before="35"/>
        <w:ind w:left="855" w:right="2718" w:firstLine="0"/>
        <w:jc w:val="left"/>
        <w:rPr>
          <w:rFonts w:ascii="宋体" w:hAnsi="宋体" w:cs="宋体" w:eastAsia="宋体" w:hint="default"/>
          <w:sz w:val="21"/>
          <w:szCs w:val="21"/>
        </w:rPr>
      </w:pPr>
      <w:r>
        <w:rPr/>
        <w:pict>
          <v:group style="position:absolute;margin-left:118.889999pt;margin-top:17.133955pt;width:421.3pt;height:433pt;mso-position-horizontal-relative:page;mso-position-vertical-relative:paragraph;z-index:-1110352" coordorigin="2378,343" coordsize="8426,8660">
            <v:group style="position:absolute;left:2407;top:358;width:8369;height:2" coordorigin="2407,358" coordsize="8369,2">
              <v:shape style="position:absolute;left:2407;top:358;width:8369;height:2" coordorigin="2407,358" coordsize="8369,0" path="m2407,358l10776,358e" filled="false" stroked="true" strokeweight="1.5pt" strokecolor="#000000">
                <v:path arrowok="t"/>
              </v:shape>
              <v:shape style="position:absolute;left:7095;top:349;width:1975;height:446" type="#_x0000_t75" stroked="false">
                <v:imagedata r:id="rId324" o:title=""/>
              </v:shape>
            </v:group>
            <v:group style="position:absolute;left:2393;top:8987;width:4726;height:2" coordorigin="2393,8987" coordsize="4726,2">
              <v:shape style="position:absolute;left:2393;top:8987;width:4726;height:2" coordorigin="2393,8987" coordsize="4726,0" path="m2393,8987l7118,8987e" filled="false" stroked="true" strokeweight="1.5pt" strokecolor="#000000">
                <v:path arrowok="t"/>
              </v:shape>
            </v:group>
            <v:group style="position:absolute;left:7118;top:8987;width:1919;height:2" coordorigin="7118,8987" coordsize="1919,2">
              <v:shape style="position:absolute;left:7118;top:8987;width:1919;height:2" coordorigin="7118,8987" coordsize="1919,0" path="m7118,8987l9037,8987e" filled="false" stroked="true" strokeweight="1.5pt" strokecolor="#000000">
                <v:path arrowok="t"/>
              </v:shape>
              <v:shape style="position:absolute;left:2378;top:753;width:8425;height:8219" type="#_x0000_t75" stroked="false">
                <v:imagedata r:id="rId325" o:title=""/>
              </v:shape>
            </v:group>
            <v:group style="position:absolute;left:9037;top:8987;width:1739;height:2" coordorigin="9037,8987" coordsize="1739,2">
              <v:shape style="position:absolute;left:9037;top:8987;width:1739;height:2" coordorigin="9037,8987" coordsize="1739,0" path="m9037,8987l10776,8987e" filled="false" stroked="true" strokeweight="1.5pt" strokecolor="#000000">
                <v:path arrowok="t"/>
              </v:shape>
              <v:shape style="position:absolute;left:2875;top:6304;width:41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减：子公司及其他营业单位持有的现金和现金等价物</w:t>
                      </w:r>
                    </w:p>
                  </w:txbxContent>
                </v:textbox>
                <w10:wrap type="none"/>
              </v:shape>
              <v:shape style="position:absolute;left:2515;top:6715;width:369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、处置子公司及其他营业单位收到的现金净额</w:t>
                      </w:r>
                    </w:p>
                  </w:txbxContent>
                </v:textbox>
                <w10:wrap type="none"/>
              </v:shape>
              <v:shape style="position:absolute;left:9857;top:6734;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12,920,000</w:t>
                      </w:r>
                    </w:p>
                  </w:txbxContent>
                </v:textbox>
                <w10:wrap type="none"/>
              </v:shape>
              <v:shape style="position:absolute;left:2515;top:7124;width:1890;height:591"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、处置子公司的净资产</w:t>
                      </w:r>
                    </w:p>
                    <w:p>
                      <w:pPr>
                        <w:spacing w:before="161"/>
                        <w:ind w:left="360" w:right="0" w:firstLine="0"/>
                        <w:jc w:val="left"/>
                        <w:rPr>
                          <w:rFonts w:ascii="宋体" w:hAnsi="宋体" w:cs="宋体" w:eastAsia="宋体" w:hint="default"/>
                          <w:sz w:val="18"/>
                          <w:szCs w:val="18"/>
                        </w:rPr>
                      </w:pPr>
                      <w:r>
                        <w:rPr>
                          <w:rFonts w:ascii="宋体" w:hAnsi="宋体" w:cs="宋体" w:eastAsia="宋体" w:hint="default"/>
                          <w:sz w:val="18"/>
                          <w:szCs w:val="18"/>
                        </w:rPr>
                        <w:t>流动资产</w:t>
                      </w:r>
                    </w:p>
                  </w:txbxContent>
                </v:textbox>
                <w10:wrap type="none"/>
              </v:shape>
              <v:shape style="position:absolute;left:2875;top:7945;width:900;height:5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非流动资产</w:t>
                      </w:r>
                    </w:p>
                    <w:p>
                      <w:pPr>
                        <w:spacing w:line="240" w:lineRule="auto" w:before="4"/>
                        <w:rPr>
                          <w:rFonts w:ascii="宋体" w:hAnsi="宋体" w:cs="宋体" w:eastAsia="宋体" w:hint="default"/>
                          <w:b/>
                          <w:bCs/>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流动负债</w:t>
                      </w:r>
                    </w:p>
                  </w:txbxContent>
                </v:textbox>
                <w10:wrap type="none"/>
              </v:shape>
              <v:shape style="position:absolute;left:2875;top:876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非流动负债</w:t>
                      </w:r>
                    </w:p>
                  </w:txbxContent>
                </v:textbox>
                <w10:wrap type="none"/>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z w:val="21"/>
          <w:szCs w:val="21"/>
        </w:rPr>
        <w:t>本期取得或处置子公司及其他营业单位的相关信息</w:t>
      </w:r>
      <w:r>
        <w:rPr>
          <w:rFonts w:ascii="宋体" w:hAnsi="宋体" w:cs="宋体" w:eastAsia="宋体" w:hint="default"/>
          <w:sz w:val="21"/>
          <w:szCs w:val="21"/>
        </w:rPr>
      </w:r>
    </w:p>
    <w:p>
      <w:pPr>
        <w:spacing w:line="240" w:lineRule="auto" w:before="11"/>
        <w:rPr>
          <w:rFonts w:ascii="宋体" w:hAnsi="宋体" w:cs="宋体" w:eastAsia="宋体" w:hint="default"/>
          <w:b/>
          <w:bCs/>
          <w:sz w:val="11"/>
          <w:szCs w:val="11"/>
        </w:rPr>
      </w:pPr>
    </w:p>
    <w:tbl>
      <w:tblPr>
        <w:tblW w:w="0" w:type="auto"/>
        <w:jc w:val="left"/>
        <w:tblInd w:w="820" w:type="dxa"/>
        <w:tblLayout w:type="fixed"/>
        <w:tblCellMar>
          <w:top w:w="0" w:type="dxa"/>
          <w:left w:w="0" w:type="dxa"/>
          <w:bottom w:w="0" w:type="dxa"/>
          <w:right w:w="0" w:type="dxa"/>
        </w:tblCellMar>
        <w:tblLook w:val="01E0"/>
      </w:tblPr>
      <w:tblGrid>
        <w:gridCol w:w="4888"/>
        <w:gridCol w:w="1871"/>
        <w:gridCol w:w="1463"/>
      </w:tblGrid>
      <w:tr>
        <w:trPr>
          <w:trHeight w:val="1225" w:hRule="exact"/>
        </w:trPr>
        <w:tc>
          <w:tcPr>
            <w:tcW w:w="4888" w:type="dxa"/>
            <w:tcBorders>
              <w:top w:val="nil" w:sz="6" w:space="0" w:color="auto"/>
              <w:left w:val="nil" w:sz="6" w:space="0" w:color="auto"/>
              <w:bottom w:val="nil" w:sz="6" w:space="0" w:color="auto"/>
              <w:right w:val="nil" w:sz="6" w:space="0" w:color="auto"/>
            </w:tcBorders>
          </w:tcPr>
          <w:p>
            <w:pPr>
              <w:pStyle w:val="TableParagraph"/>
              <w:tabs>
                <w:tab w:pos="2464" w:val="left" w:leader="none"/>
              </w:tabs>
              <w:spacing w:line="417" w:lineRule="auto" w:before="44"/>
              <w:ind w:left="35" w:right="1251" w:firstLine="1890"/>
              <w:jc w:val="left"/>
              <w:rPr>
                <w:rFonts w:ascii="宋体" w:hAnsi="宋体" w:cs="宋体" w:eastAsia="宋体" w:hint="default"/>
                <w:sz w:val="18"/>
                <w:szCs w:val="18"/>
              </w:rPr>
            </w:pPr>
            <w:r>
              <w:rPr>
                <w:rFonts w:ascii="宋体" w:hAnsi="宋体" w:cs="宋体" w:eastAsia="宋体" w:hint="default"/>
                <w:sz w:val="18"/>
                <w:szCs w:val="18"/>
              </w:rPr>
              <w:t>项</w:t>
              <w:tab/>
              <w:t>目 一、取得子公司及其他营业单位的有关信息：</w:t>
            </w:r>
          </w:p>
          <w:p>
            <w:pPr>
              <w:pStyle w:val="TableParagraph"/>
              <w:spacing w:line="240" w:lineRule="auto" w:before="41"/>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、取得子公司及其他营业单位的价格</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3"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664" w:right="0"/>
              <w:jc w:val="left"/>
              <w:rPr>
                <w:rFonts w:ascii="Times New Roman" w:hAnsi="Times New Roman" w:cs="Times New Roman" w:eastAsia="Times New Roman" w:hint="default"/>
                <w:sz w:val="18"/>
                <w:szCs w:val="18"/>
              </w:rPr>
            </w:pPr>
            <w:r>
              <w:rPr>
                <w:rFonts w:ascii="Times New Roman"/>
                <w:sz w:val="18"/>
              </w:rPr>
              <w:t>197,778,092</w:t>
            </w: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7" w:right="0"/>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616" w:right="0"/>
              <w:jc w:val="left"/>
              <w:rPr>
                <w:rFonts w:ascii="Times New Roman" w:hAnsi="Times New Roman" w:cs="Times New Roman" w:eastAsia="Times New Roman" w:hint="default"/>
                <w:sz w:val="18"/>
                <w:szCs w:val="18"/>
              </w:rPr>
            </w:pPr>
            <w:r>
              <w:rPr>
                <w:rFonts w:ascii="Times New Roman"/>
                <w:sz w:val="18"/>
              </w:rPr>
              <w:t>43,895,212</w:t>
            </w:r>
          </w:p>
        </w:tc>
      </w:tr>
      <w:tr>
        <w:trPr>
          <w:trHeight w:val="410" w:hRule="exact"/>
        </w:trPr>
        <w:tc>
          <w:tcPr>
            <w:tcW w:w="488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、取得子公司及其他营业单位支付的现金和现金等价物</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05"/>
              <w:jc w:val="right"/>
              <w:rPr>
                <w:rFonts w:ascii="Times New Roman" w:hAnsi="Times New Roman" w:cs="Times New Roman" w:eastAsia="Times New Roman" w:hint="default"/>
                <w:sz w:val="18"/>
                <w:szCs w:val="18"/>
              </w:rPr>
            </w:pPr>
            <w:r>
              <w:rPr>
                <w:rFonts w:ascii="Times New Roman"/>
                <w:spacing w:val="-1"/>
                <w:sz w:val="18"/>
              </w:rPr>
              <w:t>172,843,692</w:t>
            </w: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3"/>
              <w:jc w:val="right"/>
              <w:rPr>
                <w:rFonts w:ascii="Times New Roman" w:hAnsi="Times New Roman" w:cs="Times New Roman" w:eastAsia="Times New Roman" w:hint="default"/>
                <w:sz w:val="18"/>
                <w:szCs w:val="18"/>
              </w:rPr>
            </w:pPr>
            <w:r>
              <w:rPr>
                <w:rFonts w:ascii="Times New Roman"/>
                <w:sz w:val="18"/>
              </w:rPr>
              <w:t>43,895,212</w:t>
            </w:r>
          </w:p>
        </w:tc>
      </w:tr>
      <w:tr>
        <w:trPr>
          <w:trHeight w:val="410" w:hRule="exact"/>
        </w:trPr>
        <w:tc>
          <w:tcPr>
            <w:tcW w:w="488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95" w:right="0"/>
              <w:jc w:val="left"/>
              <w:rPr>
                <w:rFonts w:ascii="宋体" w:hAnsi="宋体" w:cs="宋体" w:eastAsia="宋体" w:hint="default"/>
                <w:sz w:val="18"/>
                <w:szCs w:val="18"/>
              </w:rPr>
            </w:pPr>
            <w:r>
              <w:rPr>
                <w:rFonts w:ascii="宋体" w:hAnsi="宋体" w:cs="宋体" w:eastAsia="宋体" w:hint="default"/>
                <w:sz w:val="18"/>
                <w:szCs w:val="18"/>
              </w:rPr>
              <w:t>减：子公司及其他营业单位持有的现金和现金等价物</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05"/>
              <w:jc w:val="right"/>
              <w:rPr>
                <w:rFonts w:ascii="Times New Roman" w:hAnsi="Times New Roman" w:cs="Times New Roman" w:eastAsia="Times New Roman" w:hint="default"/>
                <w:sz w:val="18"/>
                <w:szCs w:val="18"/>
              </w:rPr>
            </w:pPr>
            <w:r>
              <w:rPr>
                <w:rFonts w:ascii="Times New Roman"/>
                <w:spacing w:val="-1"/>
                <w:sz w:val="18"/>
              </w:rPr>
              <w:t>21,038,926</w:t>
            </w: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3"/>
              <w:jc w:val="right"/>
              <w:rPr>
                <w:rFonts w:ascii="Times New Roman" w:hAnsi="Times New Roman" w:cs="Times New Roman" w:eastAsia="Times New Roman" w:hint="default"/>
                <w:sz w:val="18"/>
                <w:szCs w:val="18"/>
              </w:rPr>
            </w:pPr>
            <w:r>
              <w:rPr>
                <w:rFonts w:ascii="Times New Roman"/>
                <w:sz w:val="18"/>
              </w:rPr>
              <w:t>28,794,277</w:t>
            </w:r>
          </w:p>
        </w:tc>
      </w:tr>
      <w:tr>
        <w:trPr>
          <w:trHeight w:val="410" w:hRule="exact"/>
        </w:trPr>
        <w:tc>
          <w:tcPr>
            <w:tcW w:w="488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、取得子公司及其他营业单位支付的现金净额</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05"/>
              <w:jc w:val="right"/>
              <w:rPr>
                <w:rFonts w:ascii="Times New Roman" w:hAnsi="Times New Roman" w:cs="Times New Roman" w:eastAsia="Times New Roman" w:hint="default"/>
                <w:sz w:val="18"/>
                <w:szCs w:val="18"/>
              </w:rPr>
            </w:pPr>
            <w:r>
              <w:rPr>
                <w:rFonts w:ascii="Times New Roman"/>
                <w:spacing w:val="-1"/>
                <w:sz w:val="18"/>
              </w:rPr>
              <w:t>151,804,766</w:t>
            </w: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3"/>
              <w:jc w:val="right"/>
              <w:rPr>
                <w:rFonts w:ascii="Times New Roman" w:hAnsi="Times New Roman" w:cs="Times New Roman" w:eastAsia="Times New Roman" w:hint="default"/>
                <w:sz w:val="18"/>
                <w:szCs w:val="18"/>
              </w:rPr>
            </w:pPr>
            <w:r>
              <w:rPr>
                <w:rFonts w:ascii="Times New Roman"/>
                <w:sz w:val="18"/>
              </w:rPr>
              <w:t>15,100,935</w:t>
            </w:r>
          </w:p>
        </w:tc>
      </w:tr>
      <w:tr>
        <w:trPr>
          <w:trHeight w:val="410" w:hRule="exact"/>
        </w:trPr>
        <w:tc>
          <w:tcPr>
            <w:tcW w:w="488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、取得子公司的净资产</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05"/>
              <w:jc w:val="right"/>
              <w:rPr>
                <w:rFonts w:ascii="Times New Roman" w:hAnsi="Times New Roman" w:cs="Times New Roman" w:eastAsia="Times New Roman" w:hint="default"/>
                <w:sz w:val="18"/>
                <w:szCs w:val="18"/>
              </w:rPr>
            </w:pPr>
            <w:r>
              <w:rPr>
                <w:rFonts w:ascii="Times New Roman"/>
                <w:spacing w:val="-1"/>
                <w:sz w:val="18"/>
              </w:rPr>
              <w:t>35,434,382</w:t>
            </w: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4"/>
              <w:jc w:val="right"/>
              <w:rPr>
                <w:rFonts w:ascii="Times New Roman" w:hAnsi="Times New Roman" w:cs="Times New Roman" w:eastAsia="Times New Roman" w:hint="default"/>
                <w:sz w:val="18"/>
                <w:szCs w:val="18"/>
              </w:rPr>
            </w:pPr>
            <w:r>
              <w:rPr>
                <w:rFonts w:ascii="Times New Roman"/>
                <w:sz w:val="18"/>
              </w:rPr>
              <w:t>29,921,677</w:t>
            </w:r>
          </w:p>
        </w:tc>
      </w:tr>
      <w:tr>
        <w:trPr>
          <w:trHeight w:val="410" w:hRule="exact"/>
        </w:trPr>
        <w:tc>
          <w:tcPr>
            <w:tcW w:w="488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95"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05"/>
              <w:jc w:val="right"/>
              <w:rPr>
                <w:rFonts w:ascii="Times New Roman" w:hAnsi="Times New Roman" w:cs="Times New Roman" w:eastAsia="Times New Roman" w:hint="default"/>
                <w:sz w:val="18"/>
                <w:szCs w:val="18"/>
              </w:rPr>
            </w:pPr>
            <w:r>
              <w:rPr>
                <w:rFonts w:ascii="Times New Roman"/>
                <w:spacing w:val="-1"/>
                <w:sz w:val="18"/>
              </w:rPr>
              <w:t>50,631,696</w:t>
            </w: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4"/>
              <w:jc w:val="right"/>
              <w:rPr>
                <w:rFonts w:ascii="Times New Roman" w:hAnsi="Times New Roman" w:cs="Times New Roman" w:eastAsia="Times New Roman" w:hint="default"/>
                <w:sz w:val="18"/>
                <w:szCs w:val="18"/>
              </w:rPr>
            </w:pPr>
            <w:r>
              <w:rPr>
                <w:rFonts w:ascii="Times New Roman"/>
                <w:sz w:val="18"/>
              </w:rPr>
              <w:t>32,649,843</w:t>
            </w:r>
          </w:p>
        </w:tc>
      </w:tr>
      <w:tr>
        <w:trPr>
          <w:trHeight w:val="410" w:hRule="exact"/>
        </w:trPr>
        <w:tc>
          <w:tcPr>
            <w:tcW w:w="488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95"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05"/>
              <w:jc w:val="right"/>
              <w:rPr>
                <w:rFonts w:ascii="Times New Roman" w:hAnsi="Times New Roman" w:cs="Times New Roman" w:eastAsia="Times New Roman" w:hint="default"/>
                <w:sz w:val="18"/>
                <w:szCs w:val="18"/>
              </w:rPr>
            </w:pPr>
            <w:r>
              <w:rPr>
                <w:rFonts w:ascii="Times New Roman"/>
                <w:spacing w:val="-1"/>
                <w:sz w:val="18"/>
              </w:rPr>
              <w:t>3,084,138</w:t>
            </w: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4"/>
              <w:jc w:val="right"/>
              <w:rPr>
                <w:rFonts w:ascii="Times New Roman" w:hAnsi="Times New Roman" w:cs="Times New Roman" w:eastAsia="Times New Roman" w:hint="default"/>
                <w:sz w:val="18"/>
                <w:szCs w:val="18"/>
              </w:rPr>
            </w:pPr>
            <w:r>
              <w:rPr>
                <w:rFonts w:ascii="Times New Roman"/>
                <w:sz w:val="18"/>
              </w:rPr>
              <w:t>215,065</w:t>
            </w:r>
          </w:p>
        </w:tc>
      </w:tr>
      <w:tr>
        <w:trPr>
          <w:trHeight w:val="810" w:hRule="exact"/>
        </w:trPr>
        <w:tc>
          <w:tcPr>
            <w:tcW w:w="4888" w:type="dxa"/>
            <w:tcBorders>
              <w:top w:val="nil" w:sz="6" w:space="0" w:color="auto"/>
              <w:left w:val="nil" w:sz="6" w:space="0" w:color="auto"/>
              <w:bottom w:val="nil" w:sz="6" w:space="0" w:color="auto"/>
              <w:right w:val="nil" w:sz="6" w:space="0" w:color="auto"/>
            </w:tcBorders>
          </w:tcPr>
          <w:p>
            <w:pPr>
              <w:pStyle w:val="TableParagraph"/>
              <w:spacing w:line="417" w:lineRule="auto" w:before="50"/>
              <w:ind w:left="395" w:right="3591"/>
              <w:jc w:val="left"/>
              <w:rPr>
                <w:rFonts w:ascii="宋体" w:hAnsi="宋体" w:cs="宋体" w:eastAsia="宋体" w:hint="default"/>
                <w:sz w:val="18"/>
                <w:szCs w:val="18"/>
              </w:rPr>
            </w:pPr>
            <w:r>
              <w:rPr>
                <w:rFonts w:ascii="宋体" w:hAnsi="宋体" w:cs="宋体" w:eastAsia="宋体" w:hint="default"/>
                <w:sz w:val="18"/>
                <w:szCs w:val="18"/>
              </w:rPr>
              <w:t>流动负债 非流动负债</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05"/>
              <w:jc w:val="right"/>
              <w:rPr>
                <w:rFonts w:ascii="Times New Roman" w:hAnsi="Times New Roman" w:cs="Times New Roman" w:eastAsia="Times New Roman" w:hint="default"/>
                <w:sz w:val="18"/>
                <w:szCs w:val="18"/>
              </w:rPr>
            </w:pPr>
            <w:r>
              <w:rPr>
                <w:rFonts w:ascii="Times New Roman"/>
                <w:spacing w:val="-1"/>
                <w:sz w:val="18"/>
              </w:rPr>
              <w:t>18,281,452</w:t>
            </w: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4"/>
              <w:jc w:val="right"/>
              <w:rPr>
                <w:rFonts w:ascii="Times New Roman" w:hAnsi="Times New Roman" w:cs="Times New Roman" w:eastAsia="Times New Roman" w:hint="default"/>
                <w:sz w:val="18"/>
                <w:szCs w:val="18"/>
              </w:rPr>
            </w:pPr>
            <w:r>
              <w:rPr>
                <w:rFonts w:ascii="Times New Roman"/>
                <w:sz w:val="18"/>
              </w:rPr>
              <w:t>2,943,231</w:t>
            </w:r>
          </w:p>
        </w:tc>
      </w:tr>
      <w:tr>
        <w:trPr>
          <w:trHeight w:val="410" w:hRule="exact"/>
        </w:trPr>
        <w:tc>
          <w:tcPr>
            <w:tcW w:w="488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二、处置子公司及其他营业单位的有关信息：</w:t>
            </w:r>
          </w:p>
        </w:tc>
        <w:tc>
          <w:tcPr>
            <w:tcW w:w="1871" w:type="dxa"/>
            <w:tcBorders>
              <w:top w:val="nil" w:sz="6" w:space="0" w:color="auto"/>
              <w:left w:val="nil" w:sz="6" w:space="0" w:color="auto"/>
              <w:bottom w:val="nil" w:sz="6" w:space="0" w:color="auto"/>
              <w:right w:val="nil" w:sz="6" w:space="0" w:color="auto"/>
            </w:tcBorders>
          </w:tcPr>
          <w:p>
            <w:pPr/>
          </w:p>
        </w:tc>
        <w:tc>
          <w:tcPr>
            <w:tcW w:w="1463" w:type="dxa"/>
            <w:tcBorders>
              <w:top w:val="nil" w:sz="6" w:space="0" w:color="auto"/>
              <w:left w:val="nil" w:sz="6" w:space="0" w:color="auto"/>
              <w:bottom w:val="nil" w:sz="6" w:space="0" w:color="auto"/>
              <w:right w:val="nil" w:sz="6" w:space="0" w:color="auto"/>
            </w:tcBorders>
          </w:tcPr>
          <w:p>
            <w:pPr/>
          </w:p>
        </w:tc>
      </w:tr>
      <w:tr>
        <w:trPr>
          <w:trHeight w:val="420" w:hRule="exact"/>
        </w:trPr>
        <w:tc>
          <w:tcPr>
            <w:tcW w:w="488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、处置子公司及其他营业单位的价格</w:t>
            </w:r>
          </w:p>
        </w:tc>
        <w:tc>
          <w:tcPr>
            <w:tcW w:w="1871" w:type="dxa"/>
            <w:tcBorders>
              <w:top w:val="nil" w:sz="6" w:space="0" w:color="auto"/>
              <w:left w:val="nil" w:sz="6" w:space="0" w:color="auto"/>
              <w:bottom w:val="nil" w:sz="6" w:space="0" w:color="auto"/>
              <w:right w:val="nil" w:sz="6" w:space="0" w:color="auto"/>
            </w:tcBorders>
          </w:tcPr>
          <w:p>
            <w:pP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3"/>
              <w:jc w:val="right"/>
              <w:rPr>
                <w:rFonts w:ascii="Times New Roman" w:hAnsi="Times New Roman" w:cs="Times New Roman" w:eastAsia="Times New Roman" w:hint="default"/>
                <w:sz w:val="18"/>
                <w:szCs w:val="18"/>
              </w:rPr>
            </w:pPr>
            <w:r>
              <w:rPr>
                <w:rFonts w:ascii="Times New Roman"/>
                <w:sz w:val="18"/>
              </w:rPr>
              <w:t>12,920,000</w:t>
            </w:r>
          </w:p>
        </w:tc>
      </w:tr>
      <w:tr>
        <w:trPr>
          <w:trHeight w:val="404" w:hRule="exact"/>
        </w:trPr>
        <w:tc>
          <w:tcPr>
            <w:tcW w:w="488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、处置子公司及其他营业单位收到的现金和现金等价物</w:t>
            </w:r>
          </w:p>
        </w:tc>
        <w:tc>
          <w:tcPr>
            <w:tcW w:w="1871" w:type="dxa"/>
            <w:tcBorders>
              <w:top w:val="nil" w:sz="6" w:space="0" w:color="auto"/>
              <w:left w:val="nil" w:sz="6" w:space="0" w:color="auto"/>
              <w:bottom w:val="nil" w:sz="6" w:space="0" w:color="auto"/>
              <w:right w:val="nil" w:sz="6" w:space="0" w:color="auto"/>
            </w:tcBorders>
          </w:tcPr>
          <w:p>
            <w:pPr/>
          </w:p>
        </w:tc>
        <w:tc>
          <w:tcPr>
            <w:tcW w:w="146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3"/>
              <w:jc w:val="right"/>
              <w:rPr>
                <w:rFonts w:ascii="Times New Roman" w:hAnsi="Times New Roman" w:cs="Times New Roman" w:eastAsia="Times New Roman" w:hint="default"/>
                <w:sz w:val="18"/>
                <w:szCs w:val="18"/>
              </w:rPr>
            </w:pPr>
            <w:r>
              <w:rPr>
                <w:rFonts w:ascii="Times New Roman"/>
                <w:sz w:val="18"/>
              </w:rPr>
              <w:t>12,920,000</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1"/>
          <w:szCs w:val="21"/>
        </w:rPr>
      </w:pPr>
    </w:p>
    <w:p>
      <w:pPr>
        <w:tabs>
          <w:tab w:pos="1410" w:val="left" w:leader="none"/>
        </w:tabs>
        <w:spacing w:before="35"/>
        <w:ind w:left="855" w:right="2718" w:firstLine="0"/>
        <w:jc w:val="left"/>
        <w:rPr>
          <w:rFonts w:ascii="宋体" w:hAnsi="宋体" w:cs="宋体" w:eastAsia="宋体" w:hint="default"/>
          <w:sz w:val="21"/>
          <w:szCs w:val="21"/>
        </w:rPr>
      </w:pPr>
      <w:r>
        <w:rPr/>
        <w:pict>
          <v:group style="position:absolute;margin-left:118.919998pt;margin-top:17.134058pt;width:420.8pt;height:165pt;mso-position-horizontal-relative:page;mso-position-vertical-relative:paragraph;z-index:-1110328" coordorigin="2378,343" coordsize="8416,3300">
            <v:group style="position:absolute;left:2407;top:358;width:8355;height:2" coordorigin="2407,358" coordsize="8355,2">
              <v:shape style="position:absolute;left:2407;top:358;width:8355;height:2" coordorigin="2407,358" coordsize="8355,0" path="m2407,358l10762,358e" filled="false" stroked="true" strokeweight="1.5pt" strokecolor="#000000">
                <v:path arrowok="t"/>
              </v:shape>
              <v:shape style="position:absolute;left:6896;top:349;width:2245;height:446" type="#_x0000_t75" stroked="false">
                <v:imagedata r:id="rId326" o:title=""/>
              </v:shape>
              <v:shape style="position:absolute;left:2378;top:747;width:8416;height:2896" type="#_x0000_t75" stroked="false">
                <v:imagedata r:id="rId327" o:title=""/>
              </v:shape>
            </v:group>
            <w10:wrap type="none"/>
          </v:group>
        </w:pict>
      </w:r>
      <w:r>
        <w:rPr>
          <w:rFonts w:ascii="宋体" w:hAnsi="宋体" w:cs="宋体" w:eastAsia="宋体" w:hint="default"/>
          <w:b/>
          <w:bCs/>
          <w:w w:val="95"/>
          <w:sz w:val="21"/>
          <w:szCs w:val="21"/>
        </w:rPr>
        <w:t>3、</w:t>
        <w:tab/>
      </w:r>
      <w:r>
        <w:rPr>
          <w:rFonts w:ascii="宋体" w:hAnsi="宋体" w:cs="宋体" w:eastAsia="宋体" w:hint="default"/>
          <w:b/>
          <w:bCs/>
          <w:sz w:val="21"/>
          <w:szCs w:val="21"/>
        </w:rPr>
        <w:t>现金和现金等价物的构成：</w:t>
      </w:r>
      <w:r>
        <w:rPr>
          <w:rFonts w:ascii="宋体" w:hAnsi="宋体" w:cs="宋体" w:eastAsia="宋体" w:hint="default"/>
          <w:sz w:val="21"/>
          <w:szCs w:val="21"/>
        </w:rPr>
      </w:r>
    </w:p>
    <w:p>
      <w:pPr>
        <w:spacing w:line="240" w:lineRule="auto" w:before="11"/>
        <w:rPr>
          <w:rFonts w:ascii="宋体" w:hAnsi="宋体" w:cs="宋体" w:eastAsia="宋体" w:hint="default"/>
          <w:b/>
          <w:bCs/>
          <w:sz w:val="11"/>
          <w:szCs w:val="11"/>
        </w:rPr>
      </w:pPr>
    </w:p>
    <w:tbl>
      <w:tblPr>
        <w:tblW w:w="0" w:type="auto"/>
        <w:jc w:val="left"/>
        <w:tblInd w:w="732" w:type="dxa"/>
        <w:tblLayout w:type="fixed"/>
        <w:tblCellMar>
          <w:top w:w="0" w:type="dxa"/>
          <w:left w:w="0" w:type="dxa"/>
          <w:bottom w:w="0" w:type="dxa"/>
          <w:right w:w="0" w:type="dxa"/>
        </w:tblCellMar>
        <w:tblLook w:val="01E0"/>
      </w:tblPr>
      <w:tblGrid>
        <w:gridCol w:w="4223"/>
        <w:gridCol w:w="2674"/>
        <w:gridCol w:w="1471"/>
      </w:tblGrid>
      <w:tr>
        <w:trPr>
          <w:trHeight w:val="814" w:hRule="exact"/>
        </w:trPr>
        <w:tc>
          <w:tcPr>
            <w:tcW w:w="4223" w:type="dxa"/>
            <w:tcBorders>
              <w:top w:val="nil" w:sz="6" w:space="0" w:color="auto"/>
              <w:left w:val="nil" w:sz="6" w:space="0" w:color="auto"/>
              <w:bottom w:val="nil" w:sz="6" w:space="0" w:color="auto"/>
              <w:right w:val="nil" w:sz="6" w:space="0" w:color="auto"/>
            </w:tcBorders>
          </w:tcPr>
          <w:p>
            <w:pPr>
              <w:pStyle w:val="TableParagraph"/>
              <w:tabs>
                <w:tab w:pos="859" w:val="left" w:leader="none"/>
              </w:tabs>
              <w:spacing w:line="240" w:lineRule="auto" w:before="44"/>
              <w:ind w:left="319" w:right="0"/>
              <w:jc w:val="center"/>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4"/>
              <w:ind w:right="0"/>
              <w:jc w:val="left"/>
              <w:rPr>
                <w:rFonts w:ascii="宋体" w:hAnsi="宋体" w:cs="宋体" w:eastAsia="宋体" w:hint="default"/>
                <w:b/>
                <w:bCs/>
                <w:sz w:val="13"/>
                <w:szCs w:val="13"/>
              </w:rPr>
            </w:pPr>
          </w:p>
          <w:p>
            <w:pPr>
              <w:pStyle w:val="TableParagraph"/>
              <w:tabs>
                <w:tab w:pos="1022" w:val="left" w:leader="none"/>
              </w:tabs>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一、现</w:t>
              <w:tab/>
              <w:t>金</w:t>
            </w:r>
          </w:p>
        </w:tc>
        <w:tc>
          <w:tcPr>
            <w:tcW w:w="267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7" w:right="0"/>
              <w:jc w:val="center"/>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1352" w:right="0"/>
              <w:jc w:val="left"/>
              <w:rPr>
                <w:rFonts w:ascii="Times New Roman" w:hAnsi="Times New Roman" w:cs="Times New Roman" w:eastAsia="Times New Roman" w:hint="default"/>
                <w:sz w:val="18"/>
                <w:szCs w:val="18"/>
              </w:rPr>
            </w:pPr>
            <w:r>
              <w:rPr>
                <w:rFonts w:ascii="Times New Roman"/>
                <w:sz w:val="18"/>
              </w:rPr>
              <w:t>1,736,706,930</w:t>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85"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327" w:right="0"/>
              <w:jc w:val="left"/>
              <w:rPr>
                <w:rFonts w:ascii="Times New Roman" w:hAnsi="Times New Roman" w:cs="Times New Roman" w:eastAsia="Times New Roman" w:hint="default"/>
                <w:sz w:val="18"/>
                <w:szCs w:val="18"/>
              </w:rPr>
            </w:pPr>
            <w:r>
              <w:rPr>
                <w:rFonts w:ascii="Times New Roman"/>
                <w:sz w:val="18"/>
              </w:rPr>
              <w:t>1,687,979,107</w:t>
            </w:r>
          </w:p>
        </w:tc>
      </w:tr>
      <w:tr>
        <w:trPr>
          <w:trHeight w:val="410" w:hRule="exact"/>
        </w:trPr>
        <w:tc>
          <w:tcPr>
            <w:tcW w:w="422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267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83"/>
              <w:jc w:val="right"/>
              <w:rPr>
                <w:rFonts w:ascii="Times New Roman" w:hAnsi="Times New Roman" w:cs="Times New Roman" w:eastAsia="Times New Roman" w:hint="default"/>
                <w:sz w:val="18"/>
                <w:szCs w:val="18"/>
              </w:rPr>
            </w:pPr>
            <w:r>
              <w:rPr>
                <w:rFonts w:ascii="Times New Roman"/>
                <w:sz w:val="18"/>
              </w:rPr>
              <w:t>266,891</w:t>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294,479</w:t>
            </w:r>
          </w:p>
        </w:tc>
      </w:tr>
      <w:tr>
        <w:trPr>
          <w:trHeight w:val="410" w:hRule="exact"/>
        </w:trPr>
        <w:tc>
          <w:tcPr>
            <w:tcW w:w="422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62"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267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83"/>
              <w:jc w:val="right"/>
              <w:rPr>
                <w:rFonts w:ascii="Times New Roman" w:hAnsi="Times New Roman" w:cs="Times New Roman" w:eastAsia="Times New Roman" w:hint="default"/>
                <w:sz w:val="18"/>
                <w:szCs w:val="18"/>
              </w:rPr>
            </w:pPr>
            <w:r>
              <w:rPr>
                <w:rFonts w:ascii="Times New Roman"/>
                <w:spacing w:val="-1"/>
                <w:sz w:val="18"/>
              </w:rPr>
              <w:t>1,736,440,039</w:t>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1"/>
                <w:sz w:val="18"/>
              </w:rPr>
              <w:t>1,685,294,838</w:t>
            </w:r>
          </w:p>
        </w:tc>
      </w:tr>
      <w:tr>
        <w:trPr>
          <w:trHeight w:val="810" w:hRule="exact"/>
        </w:trPr>
        <w:tc>
          <w:tcPr>
            <w:tcW w:w="4223" w:type="dxa"/>
            <w:tcBorders>
              <w:top w:val="nil" w:sz="6" w:space="0" w:color="auto"/>
              <w:left w:val="nil" w:sz="6" w:space="0" w:color="auto"/>
              <w:bottom w:val="nil" w:sz="6" w:space="0" w:color="auto"/>
              <w:right w:val="nil" w:sz="6" w:space="0" w:color="auto"/>
            </w:tcBorders>
          </w:tcPr>
          <w:p>
            <w:pPr>
              <w:pStyle w:val="TableParagraph"/>
              <w:spacing w:line="417" w:lineRule="auto" w:before="49"/>
              <w:ind w:left="122" w:right="1039" w:firstLine="54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 二、现金等价物</w:t>
            </w:r>
          </w:p>
        </w:tc>
        <w:tc>
          <w:tcPr>
            <w:tcW w:w="2674"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2,389,790</w:t>
            </w:r>
          </w:p>
        </w:tc>
      </w:tr>
      <w:tr>
        <w:trPr>
          <w:trHeight w:val="410" w:hRule="exact"/>
        </w:trPr>
        <w:tc>
          <w:tcPr>
            <w:tcW w:w="422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2674"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
        </w:tc>
      </w:tr>
      <w:tr>
        <w:trPr>
          <w:trHeight w:val="338" w:hRule="exact"/>
        </w:trPr>
        <w:tc>
          <w:tcPr>
            <w:tcW w:w="4223" w:type="dxa"/>
            <w:tcBorders>
              <w:top w:val="nil" w:sz="6" w:space="0" w:color="auto"/>
              <w:left w:val="nil" w:sz="6" w:space="0" w:color="auto"/>
              <w:bottom w:val="single" w:sz="12" w:space="0" w:color="000000"/>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2674"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283"/>
              <w:jc w:val="right"/>
              <w:rPr>
                <w:rFonts w:ascii="Times New Roman" w:hAnsi="Times New Roman" w:cs="Times New Roman" w:eastAsia="Times New Roman" w:hint="default"/>
                <w:sz w:val="18"/>
                <w:szCs w:val="18"/>
              </w:rPr>
            </w:pPr>
            <w:r>
              <w:rPr>
                <w:rFonts w:ascii="Times New Roman"/>
                <w:spacing w:val="-1"/>
                <w:sz w:val="18"/>
              </w:rPr>
              <w:t>1,736,706,930</w:t>
            </w:r>
          </w:p>
        </w:tc>
        <w:tc>
          <w:tcPr>
            <w:tcW w:w="1471"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106"/>
              <w:jc w:val="right"/>
              <w:rPr>
                <w:rFonts w:ascii="Times New Roman" w:hAnsi="Times New Roman" w:cs="Times New Roman" w:eastAsia="Times New Roman" w:hint="default"/>
                <w:sz w:val="18"/>
                <w:szCs w:val="18"/>
              </w:rPr>
            </w:pPr>
            <w:r>
              <w:rPr>
                <w:rFonts w:ascii="Times New Roman"/>
                <w:spacing w:val="-1"/>
                <w:sz w:val="18"/>
              </w:rPr>
              <w:t>1,687,979,107</w:t>
            </w:r>
          </w:p>
        </w:tc>
      </w:tr>
    </w:tbl>
    <w:p>
      <w:pPr>
        <w:tabs>
          <w:tab w:pos="851" w:val="left" w:leader="none"/>
        </w:tabs>
        <w:spacing w:line="484" w:lineRule="auto" w:before="78"/>
        <w:ind w:left="126" w:right="637" w:firstLine="728"/>
        <w:jc w:val="left"/>
        <w:rPr>
          <w:rFonts w:ascii="宋体" w:hAnsi="宋体" w:cs="宋体" w:eastAsia="宋体" w:hint="default"/>
          <w:sz w:val="21"/>
          <w:szCs w:val="21"/>
        </w:rPr>
      </w:pPr>
      <w:r>
        <w:rPr>
          <w:rFonts w:ascii="宋体" w:hAnsi="宋体" w:cs="宋体" w:eastAsia="宋体" w:hint="default"/>
          <w:sz w:val="21"/>
          <w:szCs w:val="21"/>
        </w:rPr>
        <w:t>注：现金和现金等价物不含母公司或集团内子公司使用受限制的现金和现金等价物。 </w:t>
      </w:r>
      <w:r>
        <w:rPr>
          <w:rFonts w:ascii="宋体" w:hAnsi="宋体" w:cs="宋体" w:eastAsia="宋体" w:hint="default"/>
          <w:b/>
          <w:bCs/>
          <w:w w:val="95"/>
          <w:sz w:val="21"/>
          <w:szCs w:val="21"/>
        </w:rPr>
        <w:t>六、</w:t>
        <w:tab/>
      </w:r>
      <w:r>
        <w:rPr>
          <w:rFonts w:ascii="宋体" w:hAnsi="宋体" w:cs="宋体" w:eastAsia="宋体" w:hint="default"/>
          <w:b/>
          <w:bCs/>
          <w:sz w:val="21"/>
          <w:szCs w:val="21"/>
        </w:rPr>
        <w:t>本期无资产证券化业务的会计处理</w:t>
      </w:r>
      <w:r>
        <w:rPr>
          <w:rFonts w:ascii="宋体" w:hAnsi="宋体" w:cs="宋体" w:eastAsia="宋体" w:hint="default"/>
          <w:sz w:val="21"/>
          <w:szCs w:val="21"/>
        </w:rPr>
      </w:r>
    </w:p>
    <w:p>
      <w:pPr>
        <w:spacing w:after="0" w:line="484" w:lineRule="auto"/>
        <w:jc w:val="left"/>
        <w:rPr>
          <w:rFonts w:ascii="宋体" w:hAnsi="宋体" w:cs="宋体" w:eastAsia="宋体" w:hint="default"/>
          <w:sz w:val="21"/>
          <w:szCs w:val="21"/>
        </w:rPr>
        <w:sectPr>
          <w:pgSz w:w="11910" w:h="16840"/>
          <w:pgMar w:header="0" w:footer="1003" w:top="1540" w:bottom="1200" w:left="1660" w:right="980"/>
        </w:sectPr>
      </w:pPr>
    </w:p>
    <w:p>
      <w:pPr>
        <w:spacing w:line="240" w:lineRule="auto" w:before="12"/>
        <w:rPr>
          <w:rFonts w:ascii="宋体" w:hAnsi="宋体" w:cs="宋体" w:eastAsia="宋体" w:hint="default"/>
          <w:b/>
          <w:bCs/>
          <w:sz w:val="17"/>
          <w:szCs w:val="17"/>
        </w:rPr>
      </w:pPr>
    </w:p>
    <w:p>
      <w:pPr>
        <w:pStyle w:val="Heading6"/>
        <w:tabs>
          <w:tab w:pos="853" w:val="left" w:leader="none"/>
        </w:tabs>
        <w:spacing w:line="240" w:lineRule="auto"/>
        <w:ind w:left="125" w:right="2084"/>
        <w:jc w:val="left"/>
        <w:rPr>
          <w:b w:val="0"/>
          <w:bCs w:val="0"/>
        </w:rPr>
      </w:pPr>
      <w:r>
        <w:rPr>
          <w:w w:val="95"/>
        </w:rPr>
        <w:t>七、</w:t>
        <w:tab/>
      </w:r>
      <w:r>
        <w:rPr/>
        <w:t>关联方及关联交易</w:t>
      </w:r>
      <w:r>
        <w:rPr>
          <w:b w:val="0"/>
          <w:bCs w:val="0"/>
        </w:rPr>
      </w:r>
    </w:p>
    <w:p>
      <w:pPr>
        <w:tabs>
          <w:tab w:pos="853" w:val="left" w:leader="none"/>
          <w:tab w:pos="12234" w:val="left" w:leader="none"/>
        </w:tabs>
        <w:spacing w:before="104"/>
        <w:ind w:left="125" w:right="131" w:firstLine="0"/>
        <w:jc w:val="left"/>
        <w:rPr>
          <w:rFonts w:ascii="宋体" w:hAnsi="宋体" w:cs="宋体" w:eastAsia="宋体" w:hint="default"/>
          <w:sz w:val="18"/>
          <w:szCs w:val="18"/>
        </w:rPr>
      </w:pPr>
      <w:r>
        <w:rPr/>
        <w:pict>
          <v:group style="position:absolute;margin-left:101.511002pt;margin-top:20.583834pt;width:671.85pt;height:390.5pt;mso-position-horizontal-relative:page;mso-position-vertical-relative:paragraph;z-index:-1110304" coordorigin="2030,412" coordsize="13437,7810">
            <v:group style="position:absolute;left:2049;top:427;width:13390;height:2" coordorigin="2049,427" coordsize="13390,2">
              <v:shape style="position:absolute;left:2049;top:427;width:13390;height:2" coordorigin="2049,427" coordsize="13390,0" path="m2049,427l15439,427e" filled="false" stroked="true" strokeweight="1.5pt" strokecolor="#000000">
                <v:path arrowok="t"/>
              </v:shape>
              <v:shape style="position:absolute;left:4758;top:422;width:9634;height:798" type="#_x0000_t75" stroked="false">
                <v:imagedata r:id="rId330" o:title=""/>
              </v:shape>
              <v:shape style="position:absolute;left:2030;top:1182;width:13436;height:7039" type="#_x0000_t75" stroked="false">
                <v:imagedata r:id="rId331" o:title=""/>
              </v:shape>
            </v:group>
            <w10:wrap type="none"/>
          </v:group>
        </w:pict>
      </w:r>
      <w:r>
        <w:rPr>
          <w:rFonts w:ascii="宋体" w:hAnsi="宋体" w:cs="宋体" w:eastAsia="宋体" w:hint="default"/>
          <w:b/>
          <w:bCs/>
          <w:w w:val="95"/>
          <w:sz w:val="21"/>
          <w:szCs w:val="21"/>
        </w:rPr>
        <w:t>(一)</w:t>
        <w:tab/>
        <w:t>本集团的子公司情况：</w:t>
        <w:tab/>
      </w:r>
      <w:r>
        <w:rPr>
          <w:rFonts w:ascii="宋体" w:hAnsi="宋体" w:cs="宋体" w:eastAsia="宋体" w:hint="default"/>
          <w:b/>
          <w:bCs/>
          <w:sz w:val="18"/>
          <w:szCs w:val="18"/>
        </w:rPr>
        <w:t>（金额单位：万元）</w:t>
      </w:r>
      <w:r>
        <w:rPr>
          <w:rFonts w:ascii="宋体" w:hAnsi="宋体" w:cs="宋体" w:eastAsia="宋体" w:hint="default"/>
          <w:sz w:val="18"/>
          <w:szCs w:val="18"/>
        </w:rPr>
      </w:r>
    </w:p>
    <w:p>
      <w:pPr>
        <w:spacing w:line="240" w:lineRule="auto" w:before="12"/>
        <w:rPr>
          <w:rFonts w:ascii="宋体" w:hAnsi="宋体" w:cs="宋体" w:eastAsia="宋体" w:hint="default"/>
          <w:b/>
          <w:bCs/>
          <w:sz w:val="12"/>
          <w:szCs w:val="12"/>
        </w:rPr>
      </w:pPr>
    </w:p>
    <w:p>
      <w:pPr>
        <w:spacing w:after="0" w:line="240" w:lineRule="auto"/>
        <w:rPr>
          <w:rFonts w:ascii="宋体" w:hAnsi="宋体" w:cs="宋体" w:eastAsia="宋体" w:hint="default"/>
          <w:sz w:val="12"/>
          <w:szCs w:val="12"/>
        </w:rPr>
        <w:sectPr>
          <w:headerReference w:type="default" r:id="rId328"/>
          <w:footerReference w:type="default" r:id="rId329"/>
          <w:pgSz w:w="16840" w:h="11910" w:orient="landscape"/>
          <w:pgMar w:header="883" w:footer="999" w:top="1600" w:bottom="1180" w:left="1300" w:right="1260"/>
          <w:pgNumType w:start="83"/>
        </w:sectPr>
      </w:pPr>
    </w:p>
    <w:p>
      <w:pPr>
        <w:spacing w:line="240" w:lineRule="auto" w:before="8"/>
        <w:rPr>
          <w:rFonts w:ascii="宋体" w:hAnsi="宋体" w:cs="宋体" w:eastAsia="宋体" w:hint="default"/>
          <w:b/>
          <w:bCs/>
          <w:sz w:val="18"/>
          <w:szCs w:val="18"/>
        </w:rPr>
      </w:pPr>
    </w:p>
    <w:p>
      <w:pPr>
        <w:spacing w:before="0"/>
        <w:ind w:left="0" w:right="0" w:firstLine="0"/>
        <w:jc w:val="right"/>
        <w:rPr>
          <w:rFonts w:ascii="宋体" w:hAnsi="宋体" w:cs="宋体" w:eastAsia="宋体" w:hint="default"/>
          <w:sz w:val="15"/>
          <w:szCs w:val="15"/>
        </w:rPr>
      </w:pPr>
      <w:r>
        <w:rPr>
          <w:rFonts w:ascii="宋体" w:hAnsi="宋体" w:cs="宋体" w:eastAsia="宋体" w:hint="default"/>
          <w:sz w:val="15"/>
          <w:szCs w:val="15"/>
        </w:rPr>
        <w:t>子公司全称</w:t>
      </w:r>
    </w:p>
    <w:p>
      <w:pPr>
        <w:spacing w:before="53"/>
        <w:ind w:left="0" w:right="0" w:firstLine="0"/>
        <w:jc w:val="right"/>
        <w:rPr>
          <w:rFonts w:ascii="宋体" w:hAnsi="宋体" w:cs="宋体" w:eastAsia="宋体" w:hint="default"/>
          <w:sz w:val="15"/>
          <w:szCs w:val="15"/>
        </w:rPr>
      </w:pPr>
      <w:r>
        <w:rPr/>
        <w:br w:type="column"/>
      </w:r>
      <w:r>
        <w:rPr>
          <w:rFonts w:ascii="宋体" w:hAnsi="宋体" w:cs="宋体" w:eastAsia="宋体" w:hint="default"/>
          <w:sz w:val="15"/>
          <w:szCs w:val="15"/>
        </w:rPr>
        <w:t>子公司</w:t>
      </w:r>
    </w:p>
    <w:p>
      <w:pPr>
        <w:spacing w:line="240" w:lineRule="auto" w:before="8"/>
        <w:rPr>
          <w:rFonts w:ascii="宋体" w:hAnsi="宋体" w:cs="宋体" w:eastAsia="宋体" w:hint="default"/>
          <w:sz w:val="18"/>
          <w:szCs w:val="18"/>
        </w:rPr>
      </w:pPr>
      <w:r>
        <w:rPr/>
        <w:br w:type="column"/>
      </w:r>
      <w:r>
        <w:rPr>
          <w:rFonts w:ascii="宋体"/>
          <w:sz w:val="18"/>
        </w:rPr>
      </w:r>
    </w:p>
    <w:p>
      <w:pPr>
        <w:tabs>
          <w:tab w:pos="1363" w:val="left" w:leader="none"/>
          <w:tab w:pos="4233" w:val="left" w:leader="none"/>
          <w:tab w:pos="6723" w:val="left" w:leader="none"/>
        </w:tabs>
        <w:spacing w:before="0"/>
        <w:ind w:left="286" w:right="-20" w:firstLine="0"/>
        <w:jc w:val="left"/>
        <w:rPr>
          <w:rFonts w:ascii="宋体" w:hAnsi="宋体" w:cs="宋体" w:eastAsia="宋体" w:hint="default"/>
          <w:sz w:val="15"/>
          <w:szCs w:val="15"/>
        </w:rPr>
      </w:pPr>
      <w:r>
        <w:rPr>
          <w:rFonts w:ascii="宋体" w:hAnsi="宋体" w:cs="宋体" w:eastAsia="宋体" w:hint="default"/>
          <w:sz w:val="15"/>
          <w:szCs w:val="15"/>
        </w:rPr>
        <w:t>企业类型</w:t>
        <w:tab/>
        <w:t>注册地 </w:t>
      </w:r>
      <w:r>
        <w:rPr>
          <w:rFonts w:ascii="宋体" w:hAnsi="宋体" w:cs="宋体" w:eastAsia="宋体" w:hint="default"/>
          <w:spacing w:val="39"/>
          <w:sz w:val="15"/>
          <w:szCs w:val="15"/>
        </w:rPr>
        <w:t> </w:t>
      </w:r>
      <w:r>
        <w:rPr>
          <w:rFonts w:ascii="宋体" w:hAnsi="宋体" w:cs="宋体" w:eastAsia="宋体" w:hint="default"/>
          <w:sz w:val="15"/>
          <w:szCs w:val="15"/>
        </w:rPr>
        <w:t>法定代表人</w:t>
        <w:tab/>
        <w:t>业务性质</w:t>
        <w:tab/>
        <w:t>注册资本</w:t>
      </w:r>
    </w:p>
    <w:p>
      <w:pPr>
        <w:spacing w:before="53"/>
        <w:ind w:left="486" w:right="-12" w:firstLine="0"/>
        <w:jc w:val="left"/>
        <w:rPr>
          <w:rFonts w:ascii="宋体" w:hAnsi="宋体" w:cs="宋体" w:eastAsia="宋体" w:hint="default"/>
          <w:sz w:val="15"/>
          <w:szCs w:val="15"/>
        </w:rPr>
      </w:pPr>
      <w:r>
        <w:rPr/>
        <w:br w:type="column"/>
      </w:r>
      <w:r>
        <w:rPr>
          <w:rFonts w:ascii="宋体" w:hAnsi="宋体" w:cs="宋体" w:eastAsia="宋体" w:hint="default"/>
          <w:sz w:val="15"/>
          <w:szCs w:val="15"/>
        </w:rPr>
        <w:t>持股比例表决权比</w:t>
      </w:r>
    </w:p>
    <w:p>
      <w:pPr>
        <w:spacing w:line="240" w:lineRule="auto" w:before="8"/>
        <w:rPr>
          <w:rFonts w:ascii="宋体" w:hAnsi="宋体" w:cs="宋体" w:eastAsia="宋体" w:hint="default"/>
          <w:sz w:val="18"/>
          <w:szCs w:val="18"/>
        </w:rPr>
      </w:pPr>
      <w:r>
        <w:rPr/>
        <w:br w:type="column"/>
      </w:r>
      <w:r>
        <w:rPr>
          <w:rFonts w:ascii="宋体"/>
          <w:sz w:val="18"/>
        </w:rPr>
      </w:r>
    </w:p>
    <w:p>
      <w:pPr>
        <w:spacing w:before="0"/>
        <w:ind w:left="52" w:right="0" w:firstLine="0"/>
        <w:jc w:val="left"/>
        <w:rPr>
          <w:rFonts w:ascii="宋体" w:hAnsi="宋体" w:cs="宋体" w:eastAsia="宋体" w:hint="default"/>
          <w:sz w:val="15"/>
          <w:szCs w:val="15"/>
        </w:rPr>
      </w:pPr>
      <w:r>
        <w:rPr>
          <w:rFonts w:ascii="宋体" w:hAnsi="宋体" w:cs="宋体" w:eastAsia="宋体" w:hint="default"/>
          <w:sz w:val="15"/>
          <w:szCs w:val="15"/>
        </w:rPr>
        <w:t>组织机构代码</w:t>
      </w:r>
    </w:p>
    <w:p>
      <w:pPr>
        <w:spacing w:after="0"/>
        <w:jc w:val="left"/>
        <w:rPr>
          <w:rFonts w:ascii="宋体" w:hAnsi="宋体" w:cs="宋体" w:eastAsia="宋体" w:hint="default"/>
          <w:sz w:val="15"/>
          <w:szCs w:val="15"/>
        </w:rPr>
        <w:sectPr>
          <w:type w:val="continuous"/>
          <w:pgSz w:w="16840" w:h="11910" w:orient="landscape"/>
          <w:pgMar w:top="1600" w:bottom="280" w:left="1300" w:right="1260"/>
          <w:cols w:num="5" w:equalWidth="0">
            <w:col w:w="2490" w:space="40"/>
            <w:col w:w="1434" w:space="40"/>
            <w:col w:w="7324" w:space="40"/>
            <w:col w:w="1695" w:space="40"/>
            <w:col w:w="1177"/>
          </w:cols>
        </w:sectPr>
      </w:pPr>
    </w:p>
    <w:p>
      <w:pPr>
        <w:tabs>
          <w:tab w:pos="12040" w:val="left" w:leader="none"/>
          <w:tab w:pos="12572" w:val="left" w:leader="none"/>
        </w:tabs>
        <w:spacing w:line="211" w:lineRule="exact" w:before="0"/>
        <w:ind w:left="3588" w:right="1244"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类型</w:t>
        <w:tab/>
      </w:r>
      <w:r>
        <w:rPr>
          <w:rFonts w:ascii="Times New Roman" w:hAnsi="Times New Roman" w:cs="Times New Roman" w:eastAsia="Times New Roman" w:hint="default"/>
          <w:sz w:val="15"/>
          <w:szCs w:val="15"/>
        </w:rPr>
        <w:t>(%)</w:t>
        <w:tab/>
      </w:r>
      <w:r>
        <w:rPr>
          <w:rFonts w:ascii="宋体" w:hAnsi="宋体" w:cs="宋体" w:eastAsia="宋体" w:hint="default"/>
          <w:position w:val="1"/>
          <w:sz w:val="15"/>
          <w:szCs w:val="15"/>
        </w:rPr>
        <w:t>例</w:t>
      </w:r>
      <w:r>
        <w:rPr>
          <w:rFonts w:ascii="Times New Roman" w:hAnsi="Times New Roman" w:cs="Times New Roman" w:eastAsia="Times New Roman" w:hint="default"/>
          <w:position w:val="1"/>
          <w:sz w:val="15"/>
          <w:szCs w:val="15"/>
        </w:rPr>
        <w:t>(%)</w:t>
      </w:r>
      <w:r>
        <w:rPr>
          <w:rFonts w:ascii="Times New Roman" w:hAnsi="Times New Roman" w:cs="Times New Roman" w:eastAsia="Times New Roman" w:hint="default"/>
          <w:sz w:val="15"/>
          <w:szCs w:val="15"/>
        </w:rPr>
      </w:r>
    </w:p>
    <w:p>
      <w:pPr>
        <w:spacing w:line="240" w:lineRule="auto" w:before="5"/>
        <w:rPr>
          <w:rFonts w:ascii="Times New Roman" w:hAnsi="Times New Roman" w:cs="Times New Roman" w:eastAsia="Times New Roman" w:hint="default"/>
          <w:sz w:val="10"/>
          <w:szCs w:val="10"/>
        </w:rPr>
      </w:pPr>
    </w:p>
    <w:tbl>
      <w:tblPr>
        <w:tblW w:w="0" w:type="auto"/>
        <w:jc w:val="left"/>
        <w:tblInd w:w="735" w:type="dxa"/>
        <w:tblLayout w:type="fixed"/>
        <w:tblCellMar>
          <w:top w:w="0" w:type="dxa"/>
          <w:left w:w="0" w:type="dxa"/>
          <w:bottom w:w="0" w:type="dxa"/>
          <w:right w:w="0" w:type="dxa"/>
        </w:tblCellMar>
        <w:tblLook w:val="01E0"/>
      </w:tblPr>
      <w:tblGrid>
        <w:gridCol w:w="2507"/>
        <w:gridCol w:w="723"/>
        <w:gridCol w:w="1151"/>
        <w:gridCol w:w="703"/>
        <w:gridCol w:w="863"/>
        <w:gridCol w:w="3440"/>
        <w:gridCol w:w="1804"/>
        <w:gridCol w:w="662"/>
        <w:gridCol w:w="539"/>
        <w:gridCol w:w="1011"/>
      </w:tblGrid>
      <w:tr>
        <w:trPr>
          <w:trHeight w:val="378"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91" w:right="0"/>
              <w:jc w:val="left"/>
              <w:rPr>
                <w:rFonts w:ascii="宋体" w:hAnsi="宋体" w:cs="宋体" w:eastAsia="宋体" w:hint="default"/>
                <w:sz w:val="15"/>
                <w:szCs w:val="15"/>
              </w:rPr>
            </w:pPr>
            <w:r>
              <w:rPr>
                <w:rFonts w:ascii="宋体" w:hAnsi="宋体" w:cs="宋体" w:eastAsia="宋体" w:hint="default"/>
                <w:sz w:val="15"/>
                <w:szCs w:val="15"/>
              </w:rPr>
              <w:t>东软集团（成都）有限公司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4" w:right="0"/>
              <w:jc w:val="left"/>
              <w:rPr>
                <w:rFonts w:ascii="宋体" w:hAnsi="宋体" w:cs="宋体" w:eastAsia="宋体" w:hint="default"/>
                <w:sz w:val="15"/>
                <w:szCs w:val="15"/>
              </w:rPr>
            </w:pPr>
            <w:r>
              <w:rPr>
                <w:rFonts w:ascii="宋体" w:hAnsi="宋体" w:cs="宋体" w:eastAsia="宋体" w:hint="default"/>
                <w:sz w:val="15"/>
                <w:szCs w:val="15"/>
              </w:rPr>
              <w:t>成都</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52"/>
              <w:jc w:val="right"/>
              <w:rPr>
                <w:rFonts w:ascii="宋体" w:hAnsi="宋体" w:cs="宋体" w:eastAsia="宋体" w:hint="default"/>
                <w:sz w:val="15"/>
                <w:szCs w:val="15"/>
              </w:rPr>
            </w:pPr>
            <w:r>
              <w:rPr>
                <w:rFonts w:ascii="宋体" w:hAnsi="宋体" w:cs="宋体" w:eastAsia="宋体" w:hint="default"/>
                <w:sz w:val="15"/>
                <w:szCs w:val="15"/>
              </w:rPr>
              <w:t>王经锡</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41"/>
              <w:jc w:val="right"/>
              <w:rPr>
                <w:rFonts w:ascii="Times New Roman" w:hAnsi="Times New Roman" w:cs="Times New Roman" w:eastAsia="Times New Roman" w:hint="default"/>
                <w:sz w:val="15"/>
                <w:szCs w:val="15"/>
              </w:rPr>
            </w:pPr>
            <w:r>
              <w:rPr>
                <w:rFonts w:ascii="Times New Roman"/>
                <w:spacing w:val="-1"/>
                <w:sz w:val="15"/>
              </w:rPr>
              <w:t>100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97"/>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2"/>
              <w:jc w:val="center"/>
              <w:rPr>
                <w:rFonts w:ascii="Times New Roman" w:hAnsi="Times New Roman" w:cs="Times New Roman" w:eastAsia="Times New Roman" w:hint="default"/>
                <w:sz w:val="15"/>
                <w:szCs w:val="15"/>
              </w:rPr>
            </w:pPr>
            <w:r>
              <w:rPr>
                <w:rFonts w:ascii="Times New Roman"/>
                <w:sz w:val="15"/>
              </w:rPr>
              <w:t>78812157-9</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东软集团（大连）有限公司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大连</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王勇峰</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41"/>
              <w:jc w:val="right"/>
              <w:rPr>
                <w:rFonts w:ascii="Times New Roman" w:hAnsi="Times New Roman" w:cs="Times New Roman" w:eastAsia="Times New Roman" w:hint="default"/>
                <w:sz w:val="15"/>
                <w:szCs w:val="15"/>
              </w:rPr>
            </w:pPr>
            <w:r>
              <w:rPr>
                <w:rFonts w:ascii="Times New Roman"/>
                <w:spacing w:val="-1"/>
                <w:sz w:val="15"/>
              </w:rPr>
              <w:t>30,000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2"/>
              <w:jc w:val="center"/>
              <w:rPr>
                <w:rFonts w:ascii="Times New Roman" w:hAnsi="Times New Roman" w:cs="Times New Roman" w:eastAsia="Times New Roman" w:hint="default"/>
                <w:sz w:val="15"/>
                <w:szCs w:val="15"/>
              </w:rPr>
            </w:pPr>
            <w:r>
              <w:rPr>
                <w:rFonts w:ascii="Times New Roman"/>
                <w:sz w:val="15"/>
              </w:rPr>
              <w:t>79202132-7</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沈阳东软信息技术服务有限公司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沈阳</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王勇峰</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41"/>
              <w:jc w:val="right"/>
              <w:rPr>
                <w:rFonts w:ascii="Times New Roman" w:hAnsi="Times New Roman" w:cs="Times New Roman" w:eastAsia="Times New Roman" w:hint="default"/>
                <w:sz w:val="15"/>
                <w:szCs w:val="15"/>
              </w:rPr>
            </w:pPr>
            <w:r>
              <w:rPr>
                <w:rFonts w:ascii="Times New Roman"/>
                <w:spacing w:val="-1"/>
                <w:sz w:val="15"/>
              </w:rPr>
              <w:t>31,000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2"/>
              <w:jc w:val="center"/>
              <w:rPr>
                <w:rFonts w:ascii="Times New Roman" w:hAnsi="Times New Roman" w:cs="Times New Roman" w:eastAsia="Times New Roman" w:hint="default"/>
                <w:sz w:val="15"/>
                <w:szCs w:val="15"/>
              </w:rPr>
            </w:pPr>
            <w:r>
              <w:rPr>
                <w:rFonts w:ascii="Times New Roman"/>
                <w:sz w:val="15"/>
              </w:rPr>
              <w:t>78872654-3</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沈阳东软物业管理有限公司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沈阳</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王经锡</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物业管理及服务</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41"/>
              <w:jc w:val="right"/>
              <w:rPr>
                <w:rFonts w:ascii="Times New Roman" w:hAnsi="Times New Roman" w:cs="Times New Roman" w:eastAsia="Times New Roman" w:hint="default"/>
                <w:sz w:val="15"/>
                <w:szCs w:val="15"/>
              </w:rPr>
            </w:pPr>
            <w:r>
              <w:rPr>
                <w:rFonts w:ascii="Times New Roman"/>
                <w:spacing w:val="-1"/>
                <w:sz w:val="15"/>
              </w:rPr>
              <w:t>100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2"/>
              <w:jc w:val="center"/>
              <w:rPr>
                <w:rFonts w:ascii="Times New Roman" w:hAnsi="Times New Roman" w:cs="Times New Roman" w:eastAsia="Times New Roman" w:hint="default"/>
                <w:sz w:val="15"/>
                <w:szCs w:val="15"/>
              </w:rPr>
            </w:pPr>
            <w:r>
              <w:rPr>
                <w:rFonts w:ascii="Times New Roman"/>
                <w:sz w:val="15"/>
              </w:rPr>
              <w:t>72091468-7</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东软科技有限公司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美国</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刘积仁</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经营计算机软硬件，技术咨询、服务</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42"/>
              <w:jc w:val="right"/>
              <w:rPr>
                <w:rFonts w:ascii="宋体" w:hAnsi="宋体" w:cs="宋体" w:eastAsia="宋体" w:hint="default"/>
                <w:sz w:val="15"/>
                <w:szCs w:val="15"/>
              </w:rPr>
            </w:pPr>
            <w:r>
              <w:rPr>
                <w:rFonts w:ascii="Times New Roman" w:hAnsi="Times New Roman" w:cs="Times New Roman" w:eastAsia="Times New Roman" w:hint="default"/>
                <w:sz w:val="15"/>
                <w:szCs w:val="15"/>
              </w:rPr>
              <w:t>0.1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万美元</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沈阳东软医疗系统有限公司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沈阳</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刘积仁</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经营医疗系统</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41"/>
              <w:jc w:val="right"/>
              <w:rPr>
                <w:rFonts w:ascii="Times New Roman" w:hAnsi="Times New Roman" w:cs="Times New Roman" w:eastAsia="Times New Roman" w:hint="default"/>
                <w:sz w:val="15"/>
                <w:szCs w:val="15"/>
              </w:rPr>
            </w:pPr>
            <w:r>
              <w:rPr>
                <w:rFonts w:ascii="Times New Roman"/>
                <w:spacing w:val="-1"/>
                <w:sz w:val="15"/>
              </w:rPr>
              <w:t>7,800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2"/>
              <w:jc w:val="center"/>
              <w:rPr>
                <w:rFonts w:ascii="Times New Roman" w:hAnsi="Times New Roman" w:cs="Times New Roman" w:eastAsia="Times New Roman" w:hint="default"/>
                <w:sz w:val="15"/>
                <w:szCs w:val="15"/>
              </w:rPr>
            </w:pPr>
            <w:r>
              <w:rPr>
                <w:rFonts w:ascii="Times New Roman"/>
                <w:sz w:val="15"/>
              </w:rPr>
              <w:t>70208754-2</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沈阳逐日数码广告传播有限公司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沈阳</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王经锡</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广告制作、发布</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41"/>
              <w:jc w:val="right"/>
              <w:rPr>
                <w:rFonts w:ascii="Times New Roman" w:hAnsi="Times New Roman" w:cs="Times New Roman" w:eastAsia="Times New Roman" w:hint="default"/>
                <w:sz w:val="15"/>
                <w:szCs w:val="15"/>
              </w:rPr>
            </w:pPr>
            <w:r>
              <w:rPr>
                <w:rFonts w:ascii="Times New Roman"/>
                <w:spacing w:val="-1"/>
                <w:sz w:val="15"/>
              </w:rPr>
              <w:t>100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2"/>
              <w:jc w:val="center"/>
              <w:rPr>
                <w:rFonts w:ascii="Times New Roman" w:hAnsi="Times New Roman" w:cs="Times New Roman" w:eastAsia="Times New Roman" w:hint="default"/>
                <w:sz w:val="15"/>
                <w:szCs w:val="15"/>
              </w:rPr>
            </w:pPr>
            <w:r>
              <w:rPr>
                <w:rFonts w:ascii="Times New Roman"/>
                <w:sz w:val="15"/>
              </w:rPr>
              <w:t>24376645-7</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西安东软系统集成有限公司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西安</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王勇峰</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41"/>
              <w:jc w:val="right"/>
              <w:rPr>
                <w:rFonts w:ascii="Times New Roman" w:hAnsi="Times New Roman" w:cs="Times New Roman" w:eastAsia="Times New Roman" w:hint="default"/>
                <w:sz w:val="15"/>
                <w:szCs w:val="15"/>
              </w:rPr>
            </w:pPr>
            <w:r>
              <w:rPr>
                <w:rFonts w:ascii="Times New Roman"/>
                <w:spacing w:val="-1"/>
                <w:sz w:val="15"/>
              </w:rPr>
              <w:t>2,500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2"/>
              <w:jc w:val="center"/>
              <w:rPr>
                <w:rFonts w:ascii="Times New Roman" w:hAnsi="Times New Roman" w:cs="Times New Roman" w:eastAsia="Times New Roman" w:hint="default"/>
                <w:sz w:val="15"/>
                <w:szCs w:val="15"/>
              </w:rPr>
            </w:pPr>
            <w:r>
              <w:rPr>
                <w:rFonts w:ascii="Times New Roman"/>
                <w:sz w:val="15"/>
              </w:rPr>
              <w:t>72628571-1</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南京东软系统集成有限公司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南京</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王勇峰</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41"/>
              <w:jc w:val="right"/>
              <w:rPr>
                <w:rFonts w:ascii="Times New Roman" w:hAnsi="Times New Roman" w:cs="Times New Roman" w:eastAsia="Times New Roman" w:hint="default"/>
                <w:sz w:val="15"/>
                <w:szCs w:val="15"/>
              </w:rPr>
            </w:pPr>
            <w:r>
              <w:rPr>
                <w:rFonts w:ascii="Times New Roman"/>
                <w:spacing w:val="-1"/>
                <w:sz w:val="15"/>
              </w:rPr>
              <w:t>1,200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2"/>
              <w:jc w:val="center"/>
              <w:rPr>
                <w:rFonts w:ascii="Times New Roman" w:hAnsi="Times New Roman" w:cs="Times New Roman" w:eastAsia="Times New Roman" w:hint="default"/>
                <w:sz w:val="15"/>
                <w:szCs w:val="15"/>
              </w:rPr>
            </w:pPr>
            <w:r>
              <w:rPr>
                <w:rFonts w:ascii="Times New Roman"/>
                <w:sz w:val="15"/>
              </w:rPr>
              <w:t>72173264-x</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上海东软时代数码技术有限公司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上海</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王勇峰</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41"/>
              <w:jc w:val="right"/>
              <w:rPr>
                <w:rFonts w:ascii="Times New Roman" w:hAnsi="Times New Roman" w:cs="Times New Roman" w:eastAsia="Times New Roman" w:hint="default"/>
                <w:sz w:val="15"/>
                <w:szCs w:val="15"/>
              </w:rPr>
            </w:pPr>
            <w:r>
              <w:rPr>
                <w:rFonts w:ascii="Times New Roman"/>
                <w:spacing w:val="-1"/>
                <w:sz w:val="15"/>
              </w:rPr>
              <w:t>2,000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2"/>
              <w:jc w:val="center"/>
              <w:rPr>
                <w:rFonts w:ascii="Times New Roman" w:hAnsi="Times New Roman" w:cs="Times New Roman" w:eastAsia="Times New Roman" w:hint="default"/>
                <w:sz w:val="15"/>
                <w:szCs w:val="15"/>
              </w:rPr>
            </w:pPr>
            <w:r>
              <w:rPr>
                <w:rFonts w:ascii="Times New Roman"/>
                <w:sz w:val="15"/>
              </w:rPr>
              <w:t>70333930-x</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东软集团（上海）有限公司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上海</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王勇峰</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经营计算机软硬件、技术咨询、服务</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41"/>
              <w:jc w:val="right"/>
              <w:rPr>
                <w:rFonts w:ascii="Times New Roman" w:hAnsi="Times New Roman" w:cs="Times New Roman" w:eastAsia="Times New Roman" w:hint="default"/>
                <w:sz w:val="15"/>
                <w:szCs w:val="15"/>
              </w:rPr>
            </w:pPr>
            <w:r>
              <w:rPr>
                <w:rFonts w:ascii="Times New Roman"/>
                <w:spacing w:val="-1"/>
                <w:sz w:val="15"/>
              </w:rPr>
              <w:t>10,000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2"/>
              <w:jc w:val="center"/>
              <w:rPr>
                <w:rFonts w:ascii="Times New Roman" w:hAnsi="Times New Roman" w:cs="Times New Roman" w:eastAsia="Times New Roman" w:hint="default"/>
                <w:sz w:val="15"/>
                <w:szCs w:val="15"/>
              </w:rPr>
            </w:pPr>
            <w:r>
              <w:rPr>
                <w:rFonts w:ascii="Times New Roman"/>
                <w:sz w:val="15"/>
              </w:rPr>
              <w:t>68095364-8</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杭州东软软件有限公司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杭州</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王勇峰</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经营计算机软硬件、技术咨询、服务</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41"/>
              <w:jc w:val="right"/>
              <w:rPr>
                <w:rFonts w:ascii="Times New Roman" w:hAnsi="Times New Roman" w:cs="Times New Roman" w:eastAsia="Times New Roman" w:hint="default"/>
                <w:sz w:val="15"/>
                <w:szCs w:val="15"/>
              </w:rPr>
            </w:pPr>
            <w:r>
              <w:rPr>
                <w:rFonts w:ascii="Times New Roman"/>
                <w:sz w:val="15"/>
              </w:rPr>
              <w:t>50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2"/>
              <w:jc w:val="center"/>
              <w:rPr>
                <w:rFonts w:ascii="Times New Roman" w:hAnsi="Times New Roman" w:cs="Times New Roman" w:eastAsia="Times New Roman" w:hint="default"/>
                <w:sz w:val="15"/>
                <w:szCs w:val="15"/>
              </w:rPr>
            </w:pPr>
            <w:r>
              <w:rPr>
                <w:rFonts w:ascii="Times New Roman"/>
                <w:sz w:val="15"/>
              </w:rPr>
              <w:t>68908449-3</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东软集团（北京）有限公司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北京</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王勇峰</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经营计算机软硬件，及相关货物</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41"/>
              <w:jc w:val="right"/>
              <w:rPr>
                <w:rFonts w:ascii="Times New Roman" w:hAnsi="Times New Roman" w:cs="Times New Roman" w:eastAsia="Times New Roman" w:hint="default"/>
                <w:sz w:val="15"/>
                <w:szCs w:val="15"/>
              </w:rPr>
            </w:pPr>
            <w:r>
              <w:rPr>
                <w:rFonts w:ascii="Times New Roman"/>
                <w:spacing w:val="-1"/>
                <w:sz w:val="15"/>
              </w:rPr>
              <w:t>25,000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2"/>
              <w:jc w:val="center"/>
              <w:rPr>
                <w:rFonts w:ascii="Times New Roman" w:hAnsi="Times New Roman" w:cs="Times New Roman" w:eastAsia="Times New Roman" w:hint="default"/>
                <w:sz w:val="15"/>
                <w:szCs w:val="15"/>
              </w:rPr>
            </w:pPr>
            <w:r>
              <w:rPr>
                <w:rFonts w:ascii="Times New Roman"/>
                <w:sz w:val="15"/>
              </w:rPr>
              <w:t>77545727-6</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北京兰瑞科创信息技术有限公司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北京</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卢朝霞</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计算机软件开发、设计、制作与销售</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41"/>
              <w:jc w:val="right"/>
              <w:rPr>
                <w:rFonts w:ascii="Times New Roman" w:hAnsi="Times New Roman" w:cs="Times New Roman" w:eastAsia="Times New Roman" w:hint="default"/>
                <w:sz w:val="15"/>
                <w:szCs w:val="15"/>
              </w:rPr>
            </w:pPr>
            <w:r>
              <w:rPr>
                <w:rFonts w:ascii="Times New Roman"/>
                <w:spacing w:val="-1"/>
                <w:sz w:val="15"/>
              </w:rPr>
              <w:t>1,000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2"/>
              <w:jc w:val="center"/>
              <w:rPr>
                <w:rFonts w:ascii="Times New Roman" w:hAnsi="Times New Roman" w:cs="Times New Roman" w:eastAsia="Times New Roman" w:hint="default"/>
                <w:sz w:val="15"/>
                <w:szCs w:val="15"/>
              </w:rPr>
            </w:pPr>
            <w:r>
              <w:rPr>
                <w:rFonts w:ascii="Times New Roman"/>
                <w:sz w:val="15"/>
              </w:rPr>
              <w:t>78398520-4</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东软集团（天津）有限公司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天津</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王勇峰</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41"/>
              <w:jc w:val="right"/>
              <w:rPr>
                <w:rFonts w:ascii="Times New Roman" w:hAnsi="Times New Roman" w:cs="Times New Roman" w:eastAsia="Times New Roman" w:hint="default"/>
                <w:sz w:val="15"/>
                <w:szCs w:val="15"/>
              </w:rPr>
            </w:pPr>
            <w:r>
              <w:rPr>
                <w:rFonts w:ascii="Times New Roman"/>
                <w:spacing w:val="-1"/>
                <w:sz w:val="15"/>
              </w:rPr>
              <w:t>2,000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2"/>
              <w:jc w:val="center"/>
              <w:rPr>
                <w:rFonts w:ascii="Times New Roman" w:hAnsi="Times New Roman" w:cs="Times New Roman" w:eastAsia="Times New Roman" w:hint="default"/>
                <w:sz w:val="15"/>
                <w:szCs w:val="15"/>
              </w:rPr>
            </w:pPr>
            <w:r>
              <w:rPr>
                <w:rFonts w:ascii="Times New Roman"/>
                <w:sz w:val="15"/>
              </w:rPr>
              <w:t>69740643-x</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湖南东软软件有限公司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长沙</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王勇峰</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41"/>
              <w:jc w:val="right"/>
              <w:rPr>
                <w:rFonts w:ascii="Times New Roman" w:hAnsi="Times New Roman" w:cs="Times New Roman" w:eastAsia="Times New Roman" w:hint="default"/>
                <w:sz w:val="15"/>
                <w:szCs w:val="15"/>
              </w:rPr>
            </w:pPr>
            <w:r>
              <w:rPr>
                <w:rFonts w:ascii="Times New Roman"/>
                <w:spacing w:val="-1"/>
                <w:sz w:val="15"/>
              </w:rPr>
              <w:t>1,200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2"/>
              <w:jc w:val="center"/>
              <w:rPr>
                <w:rFonts w:ascii="Times New Roman" w:hAnsi="Times New Roman" w:cs="Times New Roman" w:eastAsia="Times New Roman" w:hint="default"/>
                <w:sz w:val="15"/>
                <w:szCs w:val="15"/>
              </w:rPr>
            </w:pPr>
            <w:r>
              <w:rPr>
                <w:rFonts w:ascii="Times New Roman"/>
                <w:sz w:val="15"/>
              </w:rPr>
              <w:t>18378979-5</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武汉东软信息技术有限公司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武汉</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王勇峰</w:t>
            </w:r>
          </w:p>
        </w:tc>
        <w:tc>
          <w:tcPr>
            <w:tcW w:w="3440"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41"/>
              <w:jc w:val="right"/>
              <w:rPr>
                <w:rFonts w:ascii="Times New Roman" w:hAnsi="Times New Roman" w:cs="Times New Roman" w:eastAsia="Times New Roman" w:hint="default"/>
                <w:sz w:val="15"/>
                <w:szCs w:val="15"/>
              </w:rPr>
            </w:pPr>
            <w:r>
              <w:rPr>
                <w:rFonts w:ascii="Times New Roman"/>
                <w:spacing w:val="-1"/>
                <w:sz w:val="15"/>
              </w:rPr>
              <w:t>1,500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2"/>
              <w:jc w:val="center"/>
              <w:rPr>
                <w:rFonts w:ascii="Times New Roman" w:hAnsi="Times New Roman" w:cs="Times New Roman" w:eastAsia="Times New Roman" w:hint="default"/>
                <w:sz w:val="15"/>
                <w:szCs w:val="15"/>
              </w:rPr>
            </w:pPr>
            <w:r>
              <w:rPr>
                <w:rFonts w:ascii="Times New Roman"/>
                <w:sz w:val="15"/>
              </w:rPr>
              <w:t>74143252-1</w:t>
            </w:r>
          </w:p>
        </w:tc>
      </w:tr>
      <w:tr>
        <w:trPr>
          <w:trHeight w:val="300" w:hRule="exact"/>
        </w:trPr>
        <w:tc>
          <w:tcPr>
            <w:tcW w:w="2507"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山东东软系统集成有限公司</w:t>
            </w:r>
          </w:p>
        </w:tc>
        <w:tc>
          <w:tcPr>
            <w:tcW w:w="723"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03"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青岛</w:t>
            </w:r>
          </w:p>
        </w:tc>
        <w:tc>
          <w:tcPr>
            <w:tcW w:w="863"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52"/>
              <w:jc w:val="right"/>
              <w:rPr>
                <w:rFonts w:ascii="宋体" w:hAnsi="宋体" w:cs="宋体" w:eastAsia="宋体" w:hint="default"/>
                <w:sz w:val="15"/>
                <w:szCs w:val="15"/>
              </w:rPr>
            </w:pPr>
            <w:r>
              <w:rPr>
                <w:rFonts w:ascii="宋体" w:hAnsi="宋体" w:cs="宋体" w:eastAsia="宋体" w:hint="default"/>
                <w:sz w:val="15"/>
                <w:szCs w:val="15"/>
              </w:rPr>
              <w:t>王勇峰</w:t>
            </w:r>
          </w:p>
        </w:tc>
        <w:tc>
          <w:tcPr>
            <w:tcW w:w="3440"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804"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241"/>
              <w:jc w:val="right"/>
              <w:rPr>
                <w:rFonts w:ascii="Times New Roman" w:hAnsi="Times New Roman" w:cs="Times New Roman" w:eastAsia="Times New Roman" w:hint="default"/>
                <w:sz w:val="15"/>
                <w:szCs w:val="15"/>
              </w:rPr>
            </w:pPr>
            <w:r>
              <w:rPr>
                <w:rFonts w:ascii="Times New Roman"/>
                <w:spacing w:val="-1"/>
                <w:sz w:val="15"/>
              </w:rPr>
              <w:t>1,500</w:t>
            </w:r>
          </w:p>
        </w:tc>
        <w:tc>
          <w:tcPr>
            <w:tcW w:w="662"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left="48" w:right="0"/>
              <w:jc w:val="center"/>
              <w:rPr>
                <w:rFonts w:ascii="Times New Roman" w:hAnsi="Times New Roman" w:cs="Times New Roman" w:eastAsia="Times New Roman" w:hint="default"/>
                <w:sz w:val="15"/>
                <w:szCs w:val="15"/>
              </w:rPr>
            </w:pPr>
            <w:r>
              <w:rPr>
                <w:rFonts w:ascii="Times New Roman"/>
                <w:sz w:val="15"/>
              </w:rPr>
              <w:t>100</w:t>
            </w:r>
          </w:p>
        </w:tc>
        <w:tc>
          <w:tcPr>
            <w:tcW w:w="539"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1"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42"/>
              <w:jc w:val="center"/>
              <w:rPr>
                <w:rFonts w:ascii="Times New Roman" w:hAnsi="Times New Roman" w:cs="Times New Roman" w:eastAsia="Times New Roman" w:hint="default"/>
                <w:sz w:val="15"/>
                <w:szCs w:val="15"/>
              </w:rPr>
            </w:pPr>
            <w:r>
              <w:rPr>
                <w:rFonts w:ascii="Times New Roman"/>
                <w:sz w:val="15"/>
              </w:rPr>
              <w:t>70620482-2</w:t>
            </w:r>
          </w:p>
        </w:tc>
      </w:tr>
    </w:tbl>
    <w:p>
      <w:pPr>
        <w:spacing w:after="0" w:line="240" w:lineRule="auto"/>
        <w:jc w:val="center"/>
        <w:rPr>
          <w:rFonts w:ascii="Times New Roman" w:hAnsi="Times New Roman" w:cs="Times New Roman" w:eastAsia="Times New Roman" w:hint="default"/>
          <w:sz w:val="15"/>
          <w:szCs w:val="15"/>
        </w:rPr>
        <w:sectPr>
          <w:type w:val="continuous"/>
          <w:pgSz w:w="16840" w:h="11910" w:orient="landscape"/>
          <w:pgMar w:top="1600" w:bottom="280" w:left="1300" w:right="1260"/>
        </w:sectPr>
      </w:pPr>
    </w:p>
    <w:p>
      <w:pPr>
        <w:spacing w:line="240" w:lineRule="auto" w:before="11"/>
        <w:rPr>
          <w:rFonts w:ascii="Times New Roman" w:hAnsi="Times New Roman" w:cs="Times New Roman" w:eastAsia="Times New Roman" w:hint="default"/>
          <w:sz w:val="28"/>
          <w:szCs w:val="28"/>
        </w:rPr>
      </w:pPr>
    </w:p>
    <w:p>
      <w:pPr>
        <w:spacing w:after="0" w:line="240" w:lineRule="auto"/>
        <w:rPr>
          <w:rFonts w:ascii="Times New Roman" w:hAnsi="Times New Roman" w:cs="Times New Roman" w:eastAsia="Times New Roman" w:hint="default"/>
          <w:sz w:val="28"/>
          <w:szCs w:val="28"/>
        </w:rPr>
        <w:sectPr>
          <w:pgSz w:w="16840" w:h="11910" w:orient="landscape"/>
          <w:pgMar w:header="883" w:footer="999" w:top="1600" w:bottom="1180" w:left="1300" w:right="1260"/>
        </w:sectPr>
      </w:pPr>
    </w:p>
    <w:p>
      <w:pPr>
        <w:spacing w:line="240" w:lineRule="auto" w:before="0"/>
        <w:rPr>
          <w:rFonts w:ascii="Times New Roman" w:hAnsi="Times New Roman" w:cs="Times New Roman" w:eastAsia="Times New Roman" w:hint="default"/>
          <w:sz w:val="14"/>
          <w:szCs w:val="14"/>
        </w:rPr>
      </w:pPr>
    </w:p>
    <w:p>
      <w:pPr>
        <w:spacing w:before="82"/>
        <w:ind w:left="0" w:right="0" w:firstLine="0"/>
        <w:jc w:val="right"/>
        <w:rPr>
          <w:rFonts w:ascii="宋体" w:hAnsi="宋体" w:cs="宋体" w:eastAsia="宋体" w:hint="default"/>
          <w:sz w:val="15"/>
          <w:szCs w:val="15"/>
        </w:rPr>
      </w:pPr>
      <w:r>
        <w:rPr>
          <w:rFonts w:ascii="宋体" w:hAnsi="宋体" w:cs="宋体" w:eastAsia="宋体" w:hint="default"/>
          <w:sz w:val="15"/>
          <w:szCs w:val="15"/>
        </w:rPr>
        <w:t>子公司全称</w:t>
      </w:r>
    </w:p>
    <w:p>
      <w:pPr>
        <w:spacing w:before="53"/>
        <w:ind w:left="0" w:right="0" w:firstLine="0"/>
        <w:jc w:val="right"/>
        <w:rPr>
          <w:rFonts w:ascii="宋体" w:hAnsi="宋体" w:cs="宋体" w:eastAsia="宋体" w:hint="default"/>
          <w:sz w:val="15"/>
          <w:szCs w:val="15"/>
        </w:rPr>
      </w:pPr>
      <w:r>
        <w:rPr/>
        <w:br w:type="column"/>
      </w:r>
      <w:r>
        <w:rPr>
          <w:rFonts w:ascii="宋体" w:hAnsi="宋体" w:cs="宋体" w:eastAsia="宋体" w:hint="default"/>
          <w:sz w:val="15"/>
          <w:szCs w:val="15"/>
        </w:rPr>
        <w:t>子公司</w:t>
      </w:r>
    </w:p>
    <w:p>
      <w:pPr>
        <w:spacing w:line="240" w:lineRule="auto" w:before="8"/>
        <w:rPr>
          <w:rFonts w:ascii="宋体" w:hAnsi="宋体" w:cs="宋体" w:eastAsia="宋体" w:hint="default"/>
          <w:sz w:val="18"/>
          <w:szCs w:val="18"/>
        </w:rPr>
      </w:pPr>
      <w:r>
        <w:rPr/>
        <w:br w:type="column"/>
      </w:r>
      <w:r>
        <w:rPr>
          <w:rFonts w:ascii="宋体"/>
          <w:sz w:val="18"/>
        </w:rPr>
      </w:r>
    </w:p>
    <w:p>
      <w:pPr>
        <w:tabs>
          <w:tab w:pos="1363" w:val="left" w:leader="none"/>
          <w:tab w:pos="4233" w:val="left" w:leader="none"/>
          <w:tab w:pos="6723" w:val="left" w:leader="none"/>
        </w:tabs>
        <w:spacing w:before="0"/>
        <w:ind w:left="286" w:right="-20" w:firstLine="0"/>
        <w:jc w:val="left"/>
        <w:rPr>
          <w:rFonts w:ascii="宋体" w:hAnsi="宋体" w:cs="宋体" w:eastAsia="宋体" w:hint="default"/>
          <w:sz w:val="15"/>
          <w:szCs w:val="15"/>
        </w:rPr>
      </w:pPr>
      <w:r>
        <w:rPr>
          <w:rFonts w:ascii="宋体" w:hAnsi="宋体" w:cs="宋体" w:eastAsia="宋体" w:hint="default"/>
          <w:sz w:val="15"/>
          <w:szCs w:val="15"/>
        </w:rPr>
        <w:t>企业类型</w:t>
        <w:tab/>
        <w:t>注册地 </w:t>
      </w:r>
      <w:r>
        <w:rPr>
          <w:rFonts w:ascii="宋体" w:hAnsi="宋体" w:cs="宋体" w:eastAsia="宋体" w:hint="default"/>
          <w:spacing w:val="39"/>
          <w:sz w:val="15"/>
          <w:szCs w:val="15"/>
        </w:rPr>
        <w:t> </w:t>
      </w:r>
      <w:r>
        <w:rPr>
          <w:rFonts w:ascii="宋体" w:hAnsi="宋体" w:cs="宋体" w:eastAsia="宋体" w:hint="default"/>
          <w:sz w:val="15"/>
          <w:szCs w:val="15"/>
        </w:rPr>
        <w:t>法定代表人</w:t>
        <w:tab/>
        <w:t>业务性质</w:t>
        <w:tab/>
        <w:t>注册资本</w:t>
      </w:r>
    </w:p>
    <w:p>
      <w:pPr>
        <w:spacing w:before="53"/>
        <w:ind w:left="486" w:right="-12" w:firstLine="0"/>
        <w:jc w:val="left"/>
        <w:rPr>
          <w:rFonts w:ascii="宋体" w:hAnsi="宋体" w:cs="宋体" w:eastAsia="宋体" w:hint="default"/>
          <w:sz w:val="15"/>
          <w:szCs w:val="15"/>
        </w:rPr>
      </w:pPr>
      <w:r>
        <w:rPr/>
        <w:br w:type="column"/>
      </w:r>
      <w:r>
        <w:rPr>
          <w:rFonts w:ascii="宋体" w:hAnsi="宋体" w:cs="宋体" w:eastAsia="宋体" w:hint="default"/>
          <w:sz w:val="15"/>
          <w:szCs w:val="15"/>
        </w:rPr>
        <w:t>持股比例表决权比</w:t>
      </w:r>
    </w:p>
    <w:p>
      <w:pPr>
        <w:spacing w:line="240" w:lineRule="auto" w:before="8"/>
        <w:rPr>
          <w:rFonts w:ascii="宋体" w:hAnsi="宋体" w:cs="宋体" w:eastAsia="宋体" w:hint="default"/>
          <w:sz w:val="18"/>
          <w:szCs w:val="18"/>
        </w:rPr>
      </w:pPr>
      <w:r>
        <w:rPr/>
        <w:br w:type="column"/>
      </w:r>
      <w:r>
        <w:rPr>
          <w:rFonts w:ascii="宋体"/>
          <w:sz w:val="18"/>
        </w:rPr>
      </w:r>
    </w:p>
    <w:p>
      <w:pPr>
        <w:spacing w:before="0"/>
        <w:ind w:left="52" w:right="0" w:firstLine="0"/>
        <w:jc w:val="left"/>
        <w:rPr>
          <w:rFonts w:ascii="宋体" w:hAnsi="宋体" w:cs="宋体" w:eastAsia="宋体" w:hint="default"/>
          <w:sz w:val="15"/>
          <w:szCs w:val="15"/>
        </w:rPr>
      </w:pPr>
      <w:r>
        <w:rPr>
          <w:rFonts w:ascii="宋体" w:hAnsi="宋体" w:cs="宋体" w:eastAsia="宋体" w:hint="default"/>
          <w:sz w:val="15"/>
          <w:szCs w:val="15"/>
        </w:rPr>
        <w:t>组织机构代码</w:t>
      </w:r>
    </w:p>
    <w:p>
      <w:pPr>
        <w:spacing w:after="0"/>
        <w:jc w:val="left"/>
        <w:rPr>
          <w:rFonts w:ascii="宋体" w:hAnsi="宋体" w:cs="宋体" w:eastAsia="宋体" w:hint="default"/>
          <w:sz w:val="15"/>
          <w:szCs w:val="15"/>
        </w:rPr>
        <w:sectPr>
          <w:type w:val="continuous"/>
          <w:pgSz w:w="16840" w:h="11910" w:orient="landscape"/>
          <w:pgMar w:top="1600" w:bottom="280" w:left="1300" w:right="1260"/>
          <w:cols w:num="5" w:equalWidth="0">
            <w:col w:w="2490" w:space="40"/>
            <w:col w:w="1434" w:space="40"/>
            <w:col w:w="7324" w:space="40"/>
            <w:col w:w="1695" w:space="40"/>
            <w:col w:w="1177"/>
          </w:cols>
        </w:sectPr>
      </w:pPr>
    </w:p>
    <w:p>
      <w:pPr>
        <w:tabs>
          <w:tab w:pos="12040" w:val="left" w:leader="none"/>
          <w:tab w:pos="12572" w:val="left" w:leader="none"/>
        </w:tabs>
        <w:spacing w:line="209" w:lineRule="exact" w:before="0"/>
        <w:ind w:left="3588" w:right="1244" w:firstLine="0"/>
        <w:jc w:val="left"/>
        <w:rPr>
          <w:rFonts w:ascii="Times New Roman" w:hAnsi="Times New Roman" w:cs="Times New Roman" w:eastAsia="Times New Roman" w:hint="default"/>
          <w:sz w:val="15"/>
          <w:szCs w:val="15"/>
        </w:rPr>
      </w:pPr>
      <w:r>
        <w:rPr/>
        <w:pict>
          <v:group style="position:absolute;margin-left:101.511002pt;margin-top:89.879997pt;width:671.85pt;height:429.9pt;mso-position-horizontal-relative:page;mso-position-vertical-relative:page;z-index:-1110280" coordorigin="2030,1798" coordsize="13437,8598">
            <v:group style="position:absolute;left:2049;top:1813;width:13390;height:2" coordorigin="2049,1813" coordsize="13390,2">
              <v:shape style="position:absolute;left:2049;top:1813;width:13390;height:2" coordorigin="2049,1813" coordsize="13390,0" path="m2049,1813l15439,1813e" filled="false" stroked="true" strokeweight="1.5pt" strokecolor="#000000">
                <v:path arrowok="t"/>
              </v:shape>
              <v:shape style="position:absolute;left:4758;top:1808;width:9634;height:798" type="#_x0000_t75" stroked="false">
                <v:imagedata r:id="rId332" o:title=""/>
              </v:shape>
              <v:shape style="position:absolute;left:2030;top:2568;width:13436;height:7828" type="#_x0000_t75" stroked="false">
                <v:imagedata r:id="rId333" o:title=""/>
              </v:shape>
            </v:group>
            <w10:wrap type="none"/>
          </v:group>
        </w:pict>
      </w:r>
      <w:r>
        <w:rPr>
          <w:rFonts w:ascii="宋体" w:hAnsi="宋体" w:cs="宋体" w:eastAsia="宋体" w:hint="default"/>
          <w:position w:val="1"/>
          <w:sz w:val="15"/>
          <w:szCs w:val="15"/>
        </w:rPr>
        <w:t>类型</w:t>
        <w:tab/>
      </w:r>
      <w:r>
        <w:rPr>
          <w:rFonts w:ascii="Times New Roman" w:hAnsi="Times New Roman" w:cs="Times New Roman" w:eastAsia="Times New Roman" w:hint="default"/>
          <w:sz w:val="15"/>
          <w:szCs w:val="15"/>
        </w:rPr>
        <w:t>(%)</w:t>
        <w:tab/>
      </w:r>
      <w:r>
        <w:rPr>
          <w:rFonts w:ascii="宋体" w:hAnsi="宋体" w:cs="宋体" w:eastAsia="宋体" w:hint="default"/>
          <w:position w:val="1"/>
          <w:sz w:val="15"/>
          <w:szCs w:val="15"/>
        </w:rPr>
        <w:t>例</w:t>
      </w:r>
      <w:r>
        <w:rPr>
          <w:rFonts w:ascii="Times New Roman" w:hAnsi="Times New Roman" w:cs="Times New Roman" w:eastAsia="Times New Roman" w:hint="default"/>
          <w:position w:val="1"/>
          <w:sz w:val="15"/>
          <w:szCs w:val="15"/>
        </w:rPr>
        <w:t>(%)</w:t>
      </w:r>
      <w:r>
        <w:rPr>
          <w:rFonts w:ascii="Times New Roman" w:hAnsi="Times New Roman" w:cs="Times New Roman" w:eastAsia="Times New Roman" w:hint="default"/>
          <w:sz w:val="15"/>
          <w:szCs w:val="15"/>
        </w:rPr>
      </w:r>
    </w:p>
    <w:p>
      <w:pPr>
        <w:spacing w:line="240" w:lineRule="auto" w:before="5"/>
        <w:rPr>
          <w:rFonts w:ascii="Times New Roman" w:hAnsi="Times New Roman" w:cs="Times New Roman" w:eastAsia="Times New Roman" w:hint="default"/>
          <w:sz w:val="10"/>
          <w:szCs w:val="10"/>
        </w:rPr>
      </w:pPr>
    </w:p>
    <w:tbl>
      <w:tblPr>
        <w:tblW w:w="0" w:type="auto"/>
        <w:jc w:val="left"/>
        <w:tblInd w:w="735" w:type="dxa"/>
        <w:tblLayout w:type="fixed"/>
        <w:tblCellMar>
          <w:top w:w="0" w:type="dxa"/>
          <w:left w:w="0" w:type="dxa"/>
          <w:bottom w:w="0" w:type="dxa"/>
          <w:right w:w="0" w:type="dxa"/>
        </w:tblCellMar>
        <w:tblLook w:val="01E0"/>
      </w:tblPr>
      <w:tblGrid>
        <w:gridCol w:w="2507"/>
        <w:gridCol w:w="723"/>
        <w:gridCol w:w="1151"/>
        <w:gridCol w:w="778"/>
        <w:gridCol w:w="788"/>
        <w:gridCol w:w="3378"/>
        <w:gridCol w:w="1750"/>
        <w:gridCol w:w="737"/>
        <w:gridCol w:w="542"/>
        <w:gridCol w:w="1048"/>
      </w:tblGrid>
      <w:tr>
        <w:trPr>
          <w:trHeight w:val="378"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91" w:right="0"/>
              <w:jc w:val="left"/>
              <w:rPr>
                <w:rFonts w:ascii="宋体" w:hAnsi="宋体" w:cs="宋体" w:eastAsia="宋体" w:hint="default"/>
                <w:sz w:val="15"/>
                <w:szCs w:val="15"/>
              </w:rPr>
            </w:pPr>
            <w:r>
              <w:rPr>
                <w:rFonts w:ascii="宋体" w:hAnsi="宋体" w:cs="宋体" w:eastAsia="宋体" w:hint="default"/>
                <w:sz w:val="15"/>
                <w:szCs w:val="15"/>
              </w:rPr>
              <w:t>成都东软系统集成有限公司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4" w:right="0"/>
              <w:jc w:val="left"/>
              <w:rPr>
                <w:rFonts w:ascii="宋体" w:hAnsi="宋体" w:cs="宋体" w:eastAsia="宋体" w:hint="default"/>
                <w:sz w:val="15"/>
                <w:szCs w:val="15"/>
              </w:rPr>
            </w:pPr>
            <w:r>
              <w:rPr>
                <w:rFonts w:ascii="宋体" w:hAnsi="宋体" w:cs="宋体" w:eastAsia="宋体" w:hint="default"/>
                <w:sz w:val="15"/>
                <w:szCs w:val="15"/>
              </w:rPr>
              <w:t>成都</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8" w:right="0"/>
              <w:jc w:val="center"/>
              <w:rPr>
                <w:rFonts w:ascii="宋体" w:hAnsi="宋体" w:cs="宋体" w:eastAsia="宋体" w:hint="default"/>
                <w:sz w:val="15"/>
                <w:szCs w:val="15"/>
              </w:rPr>
            </w:pPr>
            <w:r>
              <w:rPr>
                <w:rFonts w:ascii="宋体" w:hAnsi="宋体" w:cs="宋体" w:eastAsia="宋体" w:hint="default"/>
                <w:sz w:val="15"/>
                <w:szCs w:val="15"/>
              </w:rPr>
              <w:t>王勇峰</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26"/>
              <w:jc w:val="right"/>
              <w:rPr>
                <w:rFonts w:ascii="Times New Roman" w:hAnsi="Times New Roman" w:cs="Times New Roman" w:eastAsia="Times New Roman" w:hint="default"/>
                <w:sz w:val="15"/>
                <w:szCs w:val="15"/>
              </w:rPr>
            </w:pPr>
            <w:r>
              <w:rPr>
                <w:rFonts w:ascii="Times New Roman"/>
                <w:spacing w:val="-1"/>
                <w:sz w:val="15"/>
              </w:rPr>
              <w:t>2,000</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52"/>
              <w:jc w:val="right"/>
              <w:rPr>
                <w:rFonts w:ascii="Times New Roman" w:hAnsi="Times New Roman" w:cs="Times New Roman" w:eastAsia="Times New Roman" w:hint="default"/>
                <w:sz w:val="15"/>
                <w:szCs w:val="15"/>
              </w:rPr>
            </w:pPr>
            <w:r>
              <w:rPr>
                <w:rFonts w:ascii="Times New Roman"/>
                <w:spacing w:val="-1"/>
                <w:sz w:val="15"/>
              </w:rPr>
              <w:t>100</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80"/>
              <w:jc w:val="right"/>
              <w:rPr>
                <w:rFonts w:ascii="Times New Roman" w:hAnsi="Times New Roman" w:cs="Times New Roman" w:eastAsia="Times New Roman" w:hint="default"/>
                <w:sz w:val="15"/>
                <w:szCs w:val="15"/>
              </w:rPr>
            </w:pPr>
            <w:r>
              <w:rPr>
                <w:rFonts w:ascii="Times New Roman"/>
                <w:spacing w:val="-1"/>
                <w:sz w:val="15"/>
              </w:rPr>
              <w:t>100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64"/>
              <w:jc w:val="right"/>
              <w:rPr>
                <w:rFonts w:ascii="Times New Roman" w:hAnsi="Times New Roman" w:cs="Times New Roman" w:eastAsia="Times New Roman" w:hint="default"/>
                <w:sz w:val="15"/>
                <w:szCs w:val="15"/>
              </w:rPr>
            </w:pPr>
            <w:r>
              <w:rPr>
                <w:rFonts w:ascii="Times New Roman"/>
                <w:spacing w:val="-1"/>
                <w:sz w:val="15"/>
              </w:rPr>
              <w:t>72539482-8</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深圳市东软软件有限公司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深圳</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王勇峰</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6"/>
              <w:jc w:val="right"/>
              <w:rPr>
                <w:rFonts w:ascii="Times New Roman" w:hAnsi="Times New Roman" w:cs="Times New Roman" w:eastAsia="Times New Roman" w:hint="default"/>
                <w:sz w:val="15"/>
                <w:szCs w:val="15"/>
              </w:rPr>
            </w:pPr>
            <w:r>
              <w:rPr>
                <w:rFonts w:ascii="Times New Roman"/>
                <w:spacing w:val="-1"/>
                <w:sz w:val="15"/>
              </w:rPr>
              <w:t>500</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2"/>
              <w:jc w:val="right"/>
              <w:rPr>
                <w:rFonts w:ascii="Times New Roman" w:hAnsi="Times New Roman" w:cs="Times New Roman" w:eastAsia="Times New Roman" w:hint="default"/>
                <w:sz w:val="15"/>
                <w:szCs w:val="15"/>
              </w:rPr>
            </w:pPr>
            <w:r>
              <w:rPr>
                <w:rFonts w:ascii="Times New Roman"/>
                <w:spacing w:val="-1"/>
                <w:sz w:val="15"/>
              </w:rPr>
              <w:t>100</w:t>
            </w:r>
            <w:r>
              <w:rPr>
                <w:rFonts w:ascii="Times New Roman"/>
                <w:sz w:val="15"/>
              </w:rPr>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pacing w:val="-1"/>
                <w:sz w:val="15"/>
              </w:rPr>
              <w:t>100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4"/>
              <w:jc w:val="right"/>
              <w:rPr>
                <w:rFonts w:ascii="Times New Roman" w:hAnsi="Times New Roman" w:cs="Times New Roman" w:eastAsia="Times New Roman" w:hint="default"/>
                <w:sz w:val="15"/>
                <w:szCs w:val="15"/>
              </w:rPr>
            </w:pPr>
            <w:r>
              <w:rPr>
                <w:rFonts w:ascii="Times New Roman"/>
                <w:spacing w:val="-1"/>
                <w:sz w:val="15"/>
              </w:rPr>
              <w:t>19236465-x</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广东东软软件有限公司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广州</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王勇峰</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6"/>
              <w:jc w:val="right"/>
              <w:rPr>
                <w:rFonts w:ascii="Times New Roman" w:hAnsi="Times New Roman" w:cs="Times New Roman" w:eastAsia="Times New Roman" w:hint="default"/>
                <w:sz w:val="15"/>
                <w:szCs w:val="15"/>
              </w:rPr>
            </w:pPr>
            <w:r>
              <w:rPr>
                <w:rFonts w:ascii="Times New Roman"/>
                <w:spacing w:val="-1"/>
                <w:sz w:val="15"/>
              </w:rPr>
              <w:t>2,000</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2"/>
              <w:jc w:val="right"/>
              <w:rPr>
                <w:rFonts w:ascii="Times New Roman" w:hAnsi="Times New Roman" w:cs="Times New Roman" w:eastAsia="Times New Roman" w:hint="default"/>
                <w:sz w:val="15"/>
                <w:szCs w:val="15"/>
              </w:rPr>
            </w:pPr>
            <w:r>
              <w:rPr>
                <w:rFonts w:ascii="Times New Roman"/>
                <w:spacing w:val="-1"/>
                <w:sz w:val="15"/>
              </w:rPr>
              <w:t>100</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pacing w:val="-1"/>
                <w:sz w:val="15"/>
              </w:rPr>
              <w:t>100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4"/>
              <w:jc w:val="right"/>
              <w:rPr>
                <w:rFonts w:ascii="Times New Roman" w:hAnsi="Times New Roman" w:cs="Times New Roman" w:eastAsia="Times New Roman" w:hint="default"/>
                <w:sz w:val="15"/>
                <w:szCs w:val="15"/>
              </w:rPr>
            </w:pPr>
            <w:r>
              <w:rPr>
                <w:rFonts w:ascii="Times New Roman"/>
                <w:spacing w:val="-1"/>
                <w:sz w:val="15"/>
              </w:rPr>
              <w:t>73144432-6</w:t>
            </w:r>
          </w:p>
        </w:tc>
      </w:tr>
      <w:tr>
        <w:trPr>
          <w:trHeight w:val="298"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东软集团（广州）有限公司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广州</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刘积仁</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经营计算机软硬件、技术咨询、服务</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6"/>
              <w:jc w:val="right"/>
              <w:rPr>
                <w:rFonts w:ascii="Times New Roman" w:hAnsi="Times New Roman" w:cs="Times New Roman" w:eastAsia="Times New Roman" w:hint="default"/>
                <w:sz w:val="15"/>
                <w:szCs w:val="15"/>
              </w:rPr>
            </w:pPr>
            <w:r>
              <w:rPr>
                <w:rFonts w:ascii="Times New Roman"/>
                <w:spacing w:val="-1"/>
                <w:sz w:val="15"/>
              </w:rPr>
              <w:t>10,000</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2"/>
              <w:jc w:val="right"/>
              <w:rPr>
                <w:rFonts w:ascii="Times New Roman" w:hAnsi="Times New Roman" w:cs="Times New Roman" w:eastAsia="Times New Roman" w:hint="default"/>
                <w:sz w:val="15"/>
                <w:szCs w:val="15"/>
              </w:rPr>
            </w:pPr>
            <w:r>
              <w:rPr>
                <w:rFonts w:ascii="Times New Roman"/>
                <w:spacing w:val="-1"/>
                <w:sz w:val="15"/>
              </w:rPr>
              <w:t>100</w:t>
            </w:r>
            <w:r>
              <w:rPr>
                <w:rFonts w:ascii="Times New Roman"/>
                <w:sz w:val="15"/>
              </w:rPr>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pacing w:val="-1"/>
                <w:sz w:val="15"/>
              </w:rPr>
              <w:t>100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4"/>
              <w:jc w:val="right"/>
              <w:rPr>
                <w:rFonts w:ascii="Times New Roman" w:hAnsi="Times New Roman" w:cs="Times New Roman" w:eastAsia="Times New Roman" w:hint="default"/>
                <w:sz w:val="15"/>
                <w:szCs w:val="15"/>
              </w:rPr>
            </w:pPr>
            <w:r>
              <w:rPr>
                <w:rFonts w:ascii="Times New Roman"/>
                <w:spacing w:val="-1"/>
                <w:sz w:val="15"/>
              </w:rPr>
              <w:t>67972637-6</w:t>
            </w:r>
          </w:p>
        </w:tc>
      </w:tr>
      <w:tr>
        <w:trPr>
          <w:trHeight w:val="4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91" w:right="0"/>
              <w:jc w:val="left"/>
              <w:rPr>
                <w:rFonts w:ascii="宋体" w:hAnsi="宋体" w:cs="宋体" w:eastAsia="宋体" w:hint="default"/>
                <w:sz w:val="15"/>
                <w:szCs w:val="15"/>
              </w:rPr>
            </w:pPr>
            <w:r>
              <w:rPr>
                <w:rFonts w:ascii="宋体" w:hAnsi="宋体" w:cs="宋体" w:eastAsia="宋体" w:hint="default"/>
                <w:sz w:val="15"/>
                <w:szCs w:val="15"/>
              </w:rPr>
              <w:t>大连东软金融信息技术有限公司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144" w:right="0"/>
              <w:jc w:val="left"/>
              <w:rPr>
                <w:rFonts w:ascii="宋体" w:hAnsi="宋体" w:cs="宋体" w:eastAsia="宋体" w:hint="default"/>
                <w:sz w:val="15"/>
                <w:szCs w:val="15"/>
              </w:rPr>
            </w:pPr>
            <w:r>
              <w:rPr>
                <w:rFonts w:ascii="宋体" w:hAnsi="宋体" w:cs="宋体" w:eastAsia="宋体" w:hint="default"/>
                <w:sz w:val="15"/>
                <w:szCs w:val="15"/>
              </w:rPr>
              <w:t>大连</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28" w:right="0"/>
              <w:jc w:val="center"/>
              <w:rPr>
                <w:rFonts w:ascii="宋体" w:hAnsi="宋体" w:cs="宋体" w:eastAsia="宋体" w:hint="default"/>
                <w:sz w:val="15"/>
                <w:szCs w:val="15"/>
              </w:rPr>
            </w:pPr>
            <w:r>
              <w:rPr>
                <w:rFonts w:ascii="宋体" w:hAnsi="宋体" w:cs="宋体" w:eastAsia="宋体" w:hint="default"/>
                <w:sz w:val="15"/>
                <w:szCs w:val="15"/>
              </w:rPr>
              <w:t>王勇峰</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25"/>
              <w:jc w:val="right"/>
              <w:rPr>
                <w:rFonts w:ascii="宋体" w:hAnsi="宋体" w:cs="宋体" w:eastAsia="宋体" w:hint="default"/>
                <w:sz w:val="15"/>
                <w:szCs w:val="15"/>
              </w:rPr>
            </w:pPr>
            <w:r>
              <w:rPr>
                <w:rFonts w:ascii="Times New Roman" w:hAnsi="Times New Roman" w:cs="Times New Roman" w:eastAsia="Times New Roman" w:hint="default"/>
                <w:sz w:val="15"/>
                <w:szCs w:val="15"/>
              </w:rPr>
              <w:t>300 </w:t>
            </w:r>
            <w:r>
              <w:rPr>
                <w:rFonts w:ascii="宋体" w:hAnsi="宋体" w:cs="宋体" w:eastAsia="宋体" w:hint="default"/>
                <w:sz w:val="15"/>
                <w:szCs w:val="15"/>
              </w:rPr>
              <w:t>万美元</w:t>
            </w:r>
          </w:p>
        </w:tc>
        <w:tc>
          <w:tcPr>
            <w:tcW w:w="737" w:type="dxa"/>
            <w:tcBorders>
              <w:top w:val="nil" w:sz="6" w:space="0" w:color="auto"/>
              <w:left w:val="nil" w:sz="6" w:space="0" w:color="auto"/>
              <w:bottom w:val="nil" w:sz="6" w:space="0" w:color="auto"/>
              <w:right w:val="nil" w:sz="6" w:space="0" w:color="auto"/>
            </w:tcBorders>
          </w:tcPr>
          <w:p>
            <w:pPr>
              <w:pStyle w:val="TableParagraph"/>
              <w:spacing w:line="174" w:lineRule="exact"/>
              <w:ind w:left="127"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直接</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69</w:t>
            </w:r>
          </w:p>
          <w:p>
            <w:pPr>
              <w:pStyle w:val="TableParagraph"/>
              <w:spacing w:line="201" w:lineRule="exact"/>
              <w:ind w:left="127"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间接</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31</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80"/>
              <w:jc w:val="right"/>
              <w:rPr>
                <w:rFonts w:ascii="Times New Roman" w:hAnsi="Times New Roman" w:cs="Times New Roman" w:eastAsia="Times New Roman" w:hint="default"/>
                <w:sz w:val="15"/>
                <w:szCs w:val="15"/>
              </w:rPr>
            </w:pPr>
            <w:r>
              <w:rPr>
                <w:rFonts w:ascii="Times New Roman"/>
                <w:spacing w:val="-1"/>
                <w:sz w:val="15"/>
              </w:rPr>
              <w:t>100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64"/>
              <w:jc w:val="right"/>
              <w:rPr>
                <w:rFonts w:ascii="Times New Roman" w:hAnsi="Times New Roman" w:cs="Times New Roman" w:eastAsia="Times New Roman" w:hint="default"/>
                <w:sz w:val="15"/>
                <w:szCs w:val="15"/>
              </w:rPr>
            </w:pPr>
            <w:r>
              <w:rPr>
                <w:rFonts w:ascii="Times New Roman"/>
                <w:spacing w:val="-1"/>
                <w:sz w:val="15"/>
              </w:rPr>
              <w:t>70219661-8</w:t>
            </w:r>
          </w:p>
        </w:tc>
      </w:tr>
      <w:tr>
        <w:trPr>
          <w:trHeight w:val="392"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8"/>
              <w:ind w:left="91" w:right="0"/>
              <w:jc w:val="left"/>
              <w:rPr>
                <w:rFonts w:ascii="宋体" w:hAnsi="宋体" w:cs="宋体" w:eastAsia="宋体" w:hint="default"/>
                <w:sz w:val="15"/>
                <w:szCs w:val="15"/>
              </w:rPr>
            </w:pPr>
            <w:r>
              <w:rPr>
                <w:rFonts w:ascii="宋体" w:hAnsi="宋体" w:cs="宋体" w:eastAsia="宋体" w:hint="default"/>
                <w:sz w:val="15"/>
                <w:szCs w:val="15"/>
              </w:rPr>
              <w:t>东软（日本）有限公司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44" w:right="0"/>
              <w:jc w:val="left"/>
              <w:rPr>
                <w:rFonts w:ascii="宋体" w:hAnsi="宋体" w:cs="宋体" w:eastAsia="宋体" w:hint="default"/>
                <w:sz w:val="15"/>
                <w:szCs w:val="15"/>
              </w:rPr>
            </w:pPr>
            <w:r>
              <w:rPr>
                <w:rFonts w:ascii="宋体" w:hAnsi="宋体" w:cs="宋体" w:eastAsia="宋体" w:hint="default"/>
                <w:sz w:val="15"/>
                <w:szCs w:val="15"/>
              </w:rPr>
              <w:t>日本</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28" w:right="0"/>
              <w:jc w:val="center"/>
              <w:rPr>
                <w:rFonts w:ascii="宋体" w:hAnsi="宋体" w:cs="宋体" w:eastAsia="宋体" w:hint="default"/>
                <w:sz w:val="15"/>
                <w:szCs w:val="15"/>
              </w:rPr>
            </w:pPr>
            <w:r>
              <w:rPr>
                <w:rFonts w:ascii="宋体" w:hAnsi="宋体" w:cs="宋体" w:eastAsia="宋体" w:hint="default"/>
                <w:sz w:val="15"/>
                <w:szCs w:val="15"/>
              </w:rPr>
              <w:t>刘积仁</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25"/>
              <w:jc w:val="right"/>
              <w:rPr>
                <w:rFonts w:ascii="宋体" w:hAnsi="宋体" w:cs="宋体" w:eastAsia="宋体" w:hint="default"/>
                <w:sz w:val="15"/>
                <w:szCs w:val="15"/>
              </w:rPr>
            </w:pPr>
            <w:r>
              <w:rPr>
                <w:rFonts w:ascii="Times New Roman" w:hAnsi="Times New Roman" w:cs="Times New Roman" w:eastAsia="Times New Roman" w:hint="default"/>
                <w:sz w:val="15"/>
                <w:szCs w:val="15"/>
              </w:rPr>
              <w:t>18,775</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万日元</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52"/>
              <w:jc w:val="right"/>
              <w:rPr>
                <w:rFonts w:ascii="Times New Roman" w:hAnsi="Times New Roman" w:cs="Times New Roman" w:eastAsia="Times New Roman" w:hint="default"/>
                <w:sz w:val="15"/>
                <w:szCs w:val="15"/>
              </w:rPr>
            </w:pPr>
            <w:r>
              <w:rPr>
                <w:rFonts w:ascii="Times New Roman"/>
                <w:spacing w:val="-1"/>
                <w:sz w:val="15"/>
              </w:rPr>
              <w:t>100</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80"/>
              <w:jc w:val="right"/>
              <w:rPr>
                <w:rFonts w:ascii="Times New Roman" w:hAnsi="Times New Roman" w:cs="Times New Roman" w:eastAsia="Times New Roman" w:hint="default"/>
                <w:sz w:val="15"/>
                <w:szCs w:val="15"/>
              </w:rPr>
            </w:pPr>
            <w:r>
              <w:rPr>
                <w:rFonts w:ascii="Times New Roman"/>
                <w:spacing w:val="-1"/>
                <w:sz w:val="15"/>
              </w:rPr>
              <w:t>100</w:t>
            </w:r>
          </w:p>
        </w:tc>
        <w:tc>
          <w:tcPr>
            <w:tcW w:w="1048" w:type="dxa"/>
            <w:tcBorders>
              <w:top w:val="nil" w:sz="6" w:space="0" w:color="auto"/>
              <w:left w:val="nil" w:sz="6" w:space="0" w:color="auto"/>
              <w:bottom w:val="nil" w:sz="6" w:space="0" w:color="auto"/>
              <w:right w:val="nil" w:sz="6" w:space="0" w:color="auto"/>
            </w:tcBorders>
          </w:tcPr>
          <w:p>
            <w:pP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东软（香港）有限公司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香港</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刘积仁</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计算机软件开发、销售、咨询</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25"/>
              <w:jc w:val="right"/>
              <w:rPr>
                <w:rFonts w:ascii="宋体" w:hAnsi="宋体" w:cs="宋体" w:eastAsia="宋体" w:hint="default"/>
                <w:sz w:val="15"/>
                <w:szCs w:val="15"/>
              </w:rPr>
            </w:pPr>
            <w:r>
              <w:rPr>
                <w:rFonts w:ascii="Times New Roman" w:hAnsi="Times New Roman" w:cs="Times New Roman" w:eastAsia="Times New Roman" w:hint="default"/>
                <w:sz w:val="15"/>
                <w:szCs w:val="15"/>
              </w:rPr>
              <w:t>85 </w:t>
            </w:r>
            <w:r>
              <w:rPr>
                <w:rFonts w:ascii="宋体" w:hAnsi="宋体" w:cs="宋体" w:eastAsia="宋体" w:hint="default"/>
                <w:sz w:val="15"/>
                <w:szCs w:val="15"/>
              </w:rPr>
              <w:t>万美元</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2"/>
              <w:jc w:val="right"/>
              <w:rPr>
                <w:rFonts w:ascii="Times New Roman" w:hAnsi="Times New Roman" w:cs="Times New Roman" w:eastAsia="Times New Roman" w:hint="default"/>
                <w:sz w:val="15"/>
                <w:szCs w:val="15"/>
              </w:rPr>
            </w:pPr>
            <w:r>
              <w:rPr>
                <w:rFonts w:ascii="Times New Roman"/>
                <w:spacing w:val="-1"/>
                <w:sz w:val="15"/>
              </w:rPr>
              <w:t>100</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pacing w:val="-1"/>
                <w:sz w:val="15"/>
              </w:rPr>
              <w:t>100</w:t>
            </w:r>
          </w:p>
        </w:tc>
        <w:tc>
          <w:tcPr>
            <w:tcW w:w="1048" w:type="dxa"/>
            <w:tcBorders>
              <w:top w:val="nil" w:sz="6" w:space="0" w:color="auto"/>
              <w:left w:val="nil" w:sz="6" w:space="0" w:color="auto"/>
              <w:bottom w:val="nil" w:sz="6" w:space="0" w:color="auto"/>
              <w:right w:val="nil" w:sz="6" w:space="0" w:color="auto"/>
            </w:tcBorders>
          </w:tcPr>
          <w:p>
            <w:pP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沈阳东软博安软件有限公司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控股</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沈阳</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王勇峰</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25"/>
              <w:jc w:val="right"/>
              <w:rPr>
                <w:rFonts w:ascii="宋体" w:hAnsi="宋体" w:cs="宋体" w:eastAsia="宋体" w:hint="default"/>
                <w:sz w:val="15"/>
                <w:szCs w:val="15"/>
              </w:rPr>
            </w:pPr>
            <w:r>
              <w:rPr>
                <w:rFonts w:ascii="Times New Roman" w:hAnsi="Times New Roman" w:cs="Times New Roman" w:eastAsia="Times New Roman" w:hint="default"/>
                <w:sz w:val="15"/>
                <w:szCs w:val="15"/>
              </w:rPr>
              <w:t>250 </w:t>
            </w:r>
            <w:r>
              <w:rPr>
                <w:rFonts w:ascii="宋体" w:hAnsi="宋体" w:cs="宋体" w:eastAsia="宋体" w:hint="default"/>
                <w:sz w:val="15"/>
                <w:szCs w:val="15"/>
              </w:rPr>
              <w:t>万美元</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1"/>
              <w:jc w:val="right"/>
              <w:rPr>
                <w:rFonts w:ascii="Times New Roman" w:hAnsi="Times New Roman" w:cs="Times New Roman" w:eastAsia="Times New Roman" w:hint="default"/>
                <w:sz w:val="15"/>
                <w:szCs w:val="15"/>
              </w:rPr>
            </w:pPr>
            <w:r>
              <w:rPr>
                <w:rFonts w:ascii="Times New Roman"/>
                <w:sz w:val="15"/>
              </w:rPr>
              <w:t>60</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z w:val="15"/>
              </w:rPr>
              <w:t>60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8"/>
              <w:jc w:val="right"/>
              <w:rPr>
                <w:rFonts w:ascii="Times New Roman" w:hAnsi="Times New Roman" w:cs="Times New Roman" w:eastAsia="Times New Roman" w:hint="default"/>
                <w:sz w:val="15"/>
                <w:szCs w:val="15"/>
              </w:rPr>
            </w:pPr>
            <w:r>
              <w:rPr>
                <w:rFonts w:ascii="Times New Roman"/>
                <w:spacing w:val="-2"/>
                <w:sz w:val="15"/>
              </w:rPr>
              <w:t>71114763-1</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秦皇岛东软软件有限公司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控股</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秦皇岛</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徐洪利</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计算机软件开发、网络集成</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6"/>
              <w:jc w:val="right"/>
              <w:rPr>
                <w:rFonts w:ascii="Times New Roman" w:hAnsi="Times New Roman" w:cs="Times New Roman" w:eastAsia="Times New Roman" w:hint="default"/>
                <w:sz w:val="15"/>
                <w:szCs w:val="15"/>
              </w:rPr>
            </w:pPr>
            <w:r>
              <w:rPr>
                <w:rFonts w:ascii="Times New Roman"/>
                <w:spacing w:val="-1"/>
                <w:sz w:val="15"/>
              </w:rPr>
              <w:t>1,000</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2"/>
              <w:jc w:val="right"/>
              <w:rPr>
                <w:rFonts w:ascii="Times New Roman" w:hAnsi="Times New Roman" w:cs="Times New Roman" w:eastAsia="Times New Roman" w:hint="default"/>
                <w:sz w:val="15"/>
                <w:szCs w:val="15"/>
              </w:rPr>
            </w:pPr>
            <w:r>
              <w:rPr>
                <w:rFonts w:ascii="Times New Roman"/>
                <w:sz w:val="15"/>
              </w:rPr>
              <w:t>85</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z w:val="15"/>
              </w:rPr>
              <w:t>85</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4"/>
              <w:jc w:val="right"/>
              <w:rPr>
                <w:rFonts w:ascii="Times New Roman" w:hAnsi="Times New Roman" w:cs="Times New Roman" w:eastAsia="Times New Roman" w:hint="default"/>
                <w:sz w:val="15"/>
                <w:szCs w:val="15"/>
              </w:rPr>
            </w:pPr>
            <w:r>
              <w:rPr>
                <w:rFonts w:ascii="Times New Roman"/>
                <w:spacing w:val="-1"/>
                <w:sz w:val="15"/>
              </w:rPr>
              <w:t>60128505-6</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沈阳东软系统集成技术有限公司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沈阳</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王勇峰</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经营计算机软硬件、技术咨询、服务</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6"/>
              <w:jc w:val="right"/>
              <w:rPr>
                <w:rFonts w:ascii="Times New Roman" w:hAnsi="Times New Roman" w:cs="Times New Roman" w:eastAsia="Times New Roman" w:hint="default"/>
                <w:sz w:val="15"/>
                <w:szCs w:val="15"/>
              </w:rPr>
            </w:pPr>
            <w:r>
              <w:rPr>
                <w:rFonts w:ascii="Times New Roman"/>
                <w:spacing w:val="-1"/>
                <w:sz w:val="15"/>
              </w:rPr>
              <w:t>2,000</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2"/>
              <w:jc w:val="right"/>
              <w:rPr>
                <w:rFonts w:ascii="Times New Roman" w:hAnsi="Times New Roman" w:cs="Times New Roman" w:eastAsia="Times New Roman" w:hint="default"/>
                <w:sz w:val="15"/>
                <w:szCs w:val="15"/>
              </w:rPr>
            </w:pPr>
            <w:r>
              <w:rPr>
                <w:rFonts w:ascii="Times New Roman"/>
                <w:spacing w:val="-1"/>
                <w:sz w:val="15"/>
              </w:rPr>
              <w:t>100</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pacing w:val="-1"/>
                <w:sz w:val="15"/>
              </w:rPr>
              <w:t>100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4"/>
              <w:jc w:val="right"/>
              <w:rPr>
                <w:rFonts w:ascii="Times New Roman" w:hAnsi="Times New Roman" w:cs="Times New Roman" w:eastAsia="Times New Roman" w:hint="default"/>
                <w:sz w:val="15"/>
                <w:szCs w:val="15"/>
              </w:rPr>
            </w:pPr>
            <w:r>
              <w:rPr>
                <w:rFonts w:ascii="Times New Roman"/>
                <w:spacing w:val="-1"/>
                <w:sz w:val="15"/>
              </w:rPr>
              <w:t>67533650-6</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辽宁东软创业投资有限公司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控股</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大连</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刘积仁</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对中小企业投资及管理</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6"/>
              <w:jc w:val="right"/>
              <w:rPr>
                <w:rFonts w:ascii="Times New Roman" w:hAnsi="Times New Roman" w:cs="Times New Roman" w:eastAsia="Times New Roman" w:hint="default"/>
                <w:sz w:val="15"/>
                <w:szCs w:val="15"/>
              </w:rPr>
            </w:pPr>
            <w:r>
              <w:rPr>
                <w:rFonts w:ascii="Times New Roman"/>
                <w:spacing w:val="-1"/>
                <w:sz w:val="15"/>
              </w:rPr>
              <w:t>10,500</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2"/>
              <w:jc w:val="right"/>
              <w:rPr>
                <w:rFonts w:ascii="Times New Roman" w:hAnsi="Times New Roman" w:cs="Times New Roman" w:eastAsia="Times New Roman" w:hint="default"/>
                <w:sz w:val="15"/>
                <w:szCs w:val="15"/>
              </w:rPr>
            </w:pPr>
            <w:r>
              <w:rPr>
                <w:rFonts w:ascii="Times New Roman"/>
                <w:spacing w:val="-1"/>
                <w:sz w:val="15"/>
              </w:rPr>
              <w:t>71.43</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pacing w:val="-1"/>
                <w:sz w:val="15"/>
              </w:rPr>
              <w:t>71.43</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4"/>
              <w:jc w:val="right"/>
              <w:rPr>
                <w:rFonts w:ascii="Times New Roman" w:hAnsi="Times New Roman" w:cs="Times New Roman" w:eastAsia="Times New Roman" w:hint="default"/>
                <w:sz w:val="15"/>
                <w:szCs w:val="15"/>
              </w:rPr>
            </w:pPr>
            <w:r>
              <w:rPr>
                <w:rFonts w:ascii="Times New Roman"/>
                <w:spacing w:val="-1"/>
                <w:sz w:val="15"/>
              </w:rPr>
              <w:t>71578937-5</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东软（欧洲）有限公司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瑞士</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刘积仁</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经营计算机软硬件、技术咨询、服务</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76"/>
              <w:jc w:val="right"/>
              <w:rPr>
                <w:rFonts w:ascii="宋体" w:hAnsi="宋体" w:cs="宋体" w:eastAsia="宋体" w:hint="default"/>
                <w:sz w:val="15"/>
                <w:szCs w:val="15"/>
              </w:rPr>
            </w:pPr>
            <w:r>
              <w:rPr>
                <w:rFonts w:ascii="Times New Roman" w:hAnsi="Times New Roman" w:cs="Times New Roman" w:eastAsia="Times New Roman" w:hint="default"/>
                <w:sz w:val="15"/>
                <w:szCs w:val="15"/>
              </w:rPr>
              <w:t>3,790 </w:t>
            </w:r>
            <w:r>
              <w:rPr>
                <w:rFonts w:ascii="宋体" w:hAnsi="宋体" w:cs="宋体" w:eastAsia="宋体" w:hint="default"/>
                <w:sz w:val="15"/>
                <w:szCs w:val="15"/>
              </w:rPr>
              <w:t>万</w:t>
            </w:r>
            <w:r>
              <w:rPr>
                <w:rFonts w:ascii="宋体" w:hAnsi="宋体" w:cs="宋体" w:eastAsia="宋体" w:hint="default"/>
                <w:spacing w:val="-3"/>
                <w:sz w:val="15"/>
                <w:szCs w:val="15"/>
              </w:rPr>
              <w:t> </w:t>
            </w:r>
            <w:r>
              <w:rPr>
                <w:rFonts w:ascii="宋体" w:hAnsi="宋体" w:cs="宋体" w:eastAsia="宋体" w:hint="default"/>
                <w:sz w:val="15"/>
                <w:szCs w:val="15"/>
              </w:rPr>
              <w:t>瑞士法郎</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2"/>
              <w:jc w:val="right"/>
              <w:rPr>
                <w:rFonts w:ascii="Times New Roman" w:hAnsi="Times New Roman" w:cs="Times New Roman" w:eastAsia="Times New Roman" w:hint="default"/>
                <w:sz w:val="15"/>
                <w:szCs w:val="15"/>
              </w:rPr>
            </w:pPr>
            <w:r>
              <w:rPr>
                <w:rFonts w:ascii="Times New Roman"/>
                <w:spacing w:val="-1"/>
                <w:sz w:val="15"/>
              </w:rPr>
              <w:t>100</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pacing w:val="-1"/>
                <w:sz w:val="15"/>
              </w:rPr>
              <w:t>100</w:t>
            </w:r>
          </w:p>
        </w:tc>
        <w:tc>
          <w:tcPr>
            <w:tcW w:w="1048" w:type="dxa"/>
            <w:tcBorders>
              <w:top w:val="nil" w:sz="6" w:space="0" w:color="auto"/>
              <w:left w:val="nil" w:sz="6" w:space="0" w:color="auto"/>
              <w:bottom w:val="nil" w:sz="6" w:space="0" w:color="auto"/>
              <w:right w:val="nil" w:sz="6" w:space="0" w:color="auto"/>
            </w:tcBorders>
          </w:tcPr>
          <w:p>
            <w:pP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东软集团（唐山）有限公司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唐山</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卢朝霞</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计算机软硬件，技术咨询、服务等</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6"/>
              <w:jc w:val="right"/>
              <w:rPr>
                <w:rFonts w:ascii="Times New Roman" w:hAnsi="Times New Roman" w:cs="Times New Roman" w:eastAsia="Times New Roman" w:hint="default"/>
                <w:sz w:val="15"/>
                <w:szCs w:val="15"/>
              </w:rPr>
            </w:pPr>
            <w:r>
              <w:rPr>
                <w:rFonts w:ascii="Times New Roman"/>
                <w:spacing w:val="-1"/>
                <w:sz w:val="15"/>
              </w:rPr>
              <w:t>3,000</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2"/>
              <w:jc w:val="right"/>
              <w:rPr>
                <w:rFonts w:ascii="Times New Roman" w:hAnsi="Times New Roman" w:cs="Times New Roman" w:eastAsia="Times New Roman" w:hint="default"/>
                <w:sz w:val="15"/>
                <w:szCs w:val="15"/>
              </w:rPr>
            </w:pPr>
            <w:r>
              <w:rPr>
                <w:rFonts w:ascii="Times New Roman"/>
                <w:spacing w:val="-1"/>
                <w:sz w:val="15"/>
              </w:rPr>
              <w:t>100</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pacing w:val="-1"/>
                <w:sz w:val="15"/>
              </w:rPr>
              <w:t>100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4"/>
              <w:jc w:val="right"/>
              <w:rPr>
                <w:rFonts w:ascii="Times New Roman" w:hAnsi="Times New Roman" w:cs="Times New Roman" w:eastAsia="Times New Roman" w:hint="default"/>
                <w:sz w:val="15"/>
                <w:szCs w:val="15"/>
              </w:rPr>
            </w:pPr>
            <w:r>
              <w:rPr>
                <w:rFonts w:ascii="Times New Roman"/>
                <w:spacing w:val="-1"/>
                <w:sz w:val="15"/>
              </w:rPr>
              <w:t>55330512-x</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东软集团（海南）有限公司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海南</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王勇峰</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计算机软硬件，技术咨询、服务等</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6"/>
              <w:jc w:val="right"/>
              <w:rPr>
                <w:rFonts w:ascii="Times New Roman" w:hAnsi="Times New Roman" w:cs="Times New Roman" w:eastAsia="Times New Roman" w:hint="default"/>
                <w:sz w:val="15"/>
                <w:szCs w:val="15"/>
              </w:rPr>
            </w:pPr>
            <w:r>
              <w:rPr>
                <w:rFonts w:ascii="Times New Roman"/>
                <w:spacing w:val="-1"/>
                <w:sz w:val="15"/>
              </w:rPr>
              <w:t>10,000</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2"/>
              <w:jc w:val="right"/>
              <w:rPr>
                <w:rFonts w:ascii="Times New Roman" w:hAnsi="Times New Roman" w:cs="Times New Roman" w:eastAsia="Times New Roman" w:hint="default"/>
                <w:sz w:val="15"/>
                <w:szCs w:val="15"/>
              </w:rPr>
            </w:pPr>
            <w:r>
              <w:rPr>
                <w:rFonts w:ascii="Times New Roman"/>
                <w:spacing w:val="-1"/>
                <w:sz w:val="15"/>
              </w:rPr>
              <w:t>100</w:t>
            </w:r>
            <w:r>
              <w:rPr>
                <w:rFonts w:ascii="Times New Roman"/>
                <w:sz w:val="15"/>
              </w:rPr>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pacing w:val="-1"/>
                <w:sz w:val="15"/>
              </w:rPr>
              <w:t>100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4"/>
              <w:jc w:val="right"/>
              <w:rPr>
                <w:rFonts w:ascii="Times New Roman" w:hAnsi="Times New Roman" w:cs="Times New Roman" w:eastAsia="Times New Roman" w:hint="default"/>
                <w:sz w:val="15"/>
                <w:szCs w:val="15"/>
              </w:rPr>
            </w:pPr>
            <w:r>
              <w:rPr>
                <w:rFonts w:ascii="Times New Roman"/>
                <w:spacing w:val="-1"/>
                <w:sz w:val="15"/>
              </w:rPr>
              <w:t>55737352-5</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东软集团（无锡）有限公司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无锡</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王勇峰</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计算机软硬件，技术咨询、服务等</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6"/>
              <w:jc w:val="right"/>
              <w:rPr>
                <w:rFonts w:ascii="Times New Roman" w:hAnsi="Times New Roman" w:cs="Times New Roman" w:eastAsia="Times New Roman" w:hint="default"/>
                <w:sz w:val="15"/>
                <w:szCs w:val="15"/>
              </w:rPr>
            </w:pPr>
            <w:r>
              <w:rPr>
                <w:rFonts w:ascii="Times New Roman"/>
                <w:spacing w:val="-1"/>
                <w:sz w:val="15"/>
              </w:rPr>
              <w:t>2,000</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2"/>
              <w:jc w:val="right"/>
              <w:rPr>
                <w:rFonts w:ascii="Times New Roman" w:hAnsi="Times New Roman" w:cs="Times New Roman" w:eastAsia="Times New Roman" w:hint="default"/>
                <w:sz w:val="15"/>
                <w:szCs w:val="15"/>
              </w:rPr>
            </w:pPr>
            <w:r>
              <w:rPr>
                <w:rFonts w:ascii="Times New Roman"/>
                <w:spacing w:val="-1"/>
                <w:sz w:val="15"/>
              </w:rPr>
              <w:t>100</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pacing w:val="-1"/>
                <w:sz w:val="15"/>
              </w:rPr>
              <w:t>100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4"/>
              <w:jc w:val="right"/>
              <w:rPr>
                <w:rFonts w:ascii="Times New Roman" w:hAnsi="Times New Roman" w:cs="Times New Roman" w:eastAsia="Times New Roman" w:hint="default"/>
                <w:sz w:val="15"/>
                <w:szCs w:val="15"/>
              </w:rPr>
            </w:pPr>
            <w:r>
              <w:rPr>
                <w:rFonts w:ascii="Times New Roman"/>
                <w:spacing w:val="-1"/>
                <w:sz w:val="15"/>
              </w:rPr>
              <w:t>56176638-0</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东软集团（芜湖）有限公司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芜湖</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王勇峰</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计算机软、硬件，开发、服务。</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6"/>
              <w:jc w:val="right"/>
              <w:rPr>
                <w:rFonts w:ascii="Times New Roman" w:hAnsi="Times New Roman" w:cs="Times New Roman" w:eastAsia="Times New Roman" w:hint="default"/>
                <w:sz w:val="15"/>
                <w:szCs w:val="15"/>
              </w:rPr>
            </w:pPr>
            <w:r>
              <w:rPr>
                <w:rFonts w:ascii="Times New Roman"/>
                <w:spacing w:val="-1"/>
                <w:sz w:val="15"/>
              </w:rPr>
              <w:t>1,000</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2"/>
              <w:jc w:val="right"/>
              <w:rPr>
                <w:rFonts w:ascii="Times New Roman" w:hAnsi="Times New Roman" w:cs="Times New Roman" w:eastAsia="Times New Roman" w:hint="default"/>
                <w:sz w:val="15"/>
                <w:szCs w:val="15"/>
              </w:rPr>
            </w:pPr>
            <w:r>
              <w:rPr>
                <w:rFonts w:ascii="Times New Roman"/>
                <w:spacing w:val="-1"/>
                <w:sz w:val="15"/>
              </w:rPr>
              <w:t>100</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pacing w:val="-1"/>
                <w:sz w:val="15"/>
              </w:rPr>
              <w:t>100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4"/>
              <w:jc w:val="right"/>
              <w:rPr>
                <w:rFonts w:ascii="Times New Roman" w:hAnsi="Times New Roman" w:cs="Times New Roman" w:eastAsia="Times New Roman" w:hint="default"/>
                <w:sz w:val="15"/>
                <w:szCs w:val="15"/>
              </w:rPr>
            </w:pPr>
            <w:r>
              <w:rPr>
                <w:rFonts w:ascii="Times New Roman"/>
                <w:spacing w:val="-1"/>
                <w:sz w:val="15"/>
              </w:rPr>
              <w:t>57175470-3</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广东东软时尚数字技术有限公司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控股</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广州</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卢朝霞</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计算机软、硬件，开发、销售。</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6"/>
              <w:jc w:val="right"/>
              <w:rPr>
                <w:rFonts w:ascii="Times New Roman" w:hAnsi="Times New Roman" w:cs="Times New Roman" w:eastAsia="Times New Roman" w:hint="default"/>
                <w:sz w:val="15"/>
                <w:szCs w:val="15"/>
              </w:rPr>
            </w:pPr>
            <w:r>
              <w:rPr>
                <w:rFonts w:ascii="Times New Roman"/>
                <w:spacing w:val="-1"/>
                <w:sz w:val="15"/>
              </w:rPr>
              <w:t>3,750</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2"/>
              <w:jc w:val="right"/>
              <w:rPr>
                <w:rFonts w:ascii="Times New Roman" w:hAnsi="Times New Roman" w:cs="Times New Roman" w:eastAsia="Times New Roman" w:hint="default"/>
                <w:sz w:val="15"/>
                <w:szCs w:val="15"/>
              </w:rPr>
            </w:pPr>
            <w:r>
              <w:rPr>
                <w:rFonts w:ascii="Times New Roman"/>
                <w:sz w:val="15"/>
              </w:rPr>
              <w:t>60</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z w:val="15"/>
              </w:rPr>
              <w:t>60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8"/>
              <w:jc w:val="right"/>
              <w:rPr>
                <w:rFonts w:ascii="Times New Roman" w:hAnsi="Times New Roman" w:cs="Times New Roman" w:eastAsia="Times New Roman" w:hint="default"/>
                <w:sz w:val="15"/>
                <w:szCs w:val="15"/>
              </w:rPr>
            </w:pPr>
            <w:r>
              <w:rPr>
                <w:rFonts w:ascii="Times New Roman"/>
                <w:spacing w:val="-1"/>
                <w:sz w:val="15"/>
              </w:rPr>
              <w:t>6057403343-4</w:t>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沈阳东软交通信息技术有限公司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控股</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沈阳</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王勇峰</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计算机服务、咨询等</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6"/>
              <w:jc w:val="right"/>
              <w:rPr>
                <w:rFonts w:ascii="Times New Roman" w:hAnsi="Times New Roman" w:cs="Times New Roman" w:eastAsia="Times New Roman" w:hint="default"/>
                <w:sz w:val="15"/>
                <w:szCs w:val="15"/>
              </w:rPr>
            </w:pPr>
            <w:r>
              <w:rPr>
                <w:rFonts w:ascii="Times New Roman"/>
                <w:spacing w:val="-1"/>
                <w:sz w:val="15"/>
              </w:rPr>
              <w:t>700</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2"/>
              <w:jc w:val="right"/>
              <w:rPr>
                <w:rFonts w:ascii="Times New Roman" w:hAnsi="Times New Roman" w:cs="Times New Roman" w:eastAsia="Times New Roman" w:hint="default"/>
                <w:sz w:val="15"/>
                <w:szCs w:val="15"/>
              </w:rPr>
            </w:pPr>
            <w:r>
              <w:rPr>
                <w:rFonts w:ascii="Times New Roman"/>
                <w:spacing w:val="-1"/>
                <w:sz w:val="15"/>
              </w:rPr>
              <w:t>50.5</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pacing w:val="-1"/>
                <w:sz w:val="15"/>
              </w:rPr>
              <w:t>50.5</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8"/>
              <w:jc w:val="right"/>
              <w:rPr>
                <w:rFonts w:ascii="Times New Roman" w:hAnsi="Times New Roman" w:cs="Times New Roman" w:eastAsia="Times New Roman" w:hint="default"/>
                <w:sz w:val="15"/>
                <w:szCs w:val="15"/>
              </w:rPr>
            </w:pPr>
            <w:r>
              <w:rPr>
                <w:rFonts w:ascii="Times New Roman"/>
                <w:spacing w:val="-1"/>
                <w:sz w:val="15"/>
              </w:rPr>
              <w:t>573458836</w:t>
            </w:r>
            <w:r>
              <w:rPr>
                <w:rFonts w:ascii="Times New Roman"/>
                <w:sz w:val="15"/>
              </w:rPr>
            </w:r>
          </w:p>
        </w:tc>
      </w:tr>
      <w:tr>
        <w:trPr>
          <w:trHeight w:val="390" w:hRule="exact"/>
        </w:trPr>
        <w:tc>
          <w:tcPr>
            <w:tcW w:w="250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东软集团（郑州）有限公司</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郑州</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王勇峰</w:t>
            </w:r>
          </w:p>
        </w:tc>
        <w:tc>
          <w:tcPr>
            <w:tcW w:w="337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计算机软、硬件，开发、销售等</w:t>
            </w:r>
          </w:p>
        </w:tc>
        <w:tc>
          <w:tcPr>
            <w:tcW w:w="175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6"/>
              <w:jc w:val="right"/>
              <w:rPr>
                <w:rFonts w:ascii="Times New Roman" w:hAnsi="Times New Roman" w:cs="Times New Roman" w:eastAsia="Times New Roman" w:hint="default"/>
                <w:sz w:val="15"/>
                <w:szCs w:val="15"/>
              </w:rPr>
            </w:pPr>
            <w:r>
              <w:rPr>
                <w:rFonts w:ascii="Times New Roman"/>
                <w:spacing w:val="-1"/>
                <w:sz w:val="15"/>
              </w:rPr>
              <w:t>1,000</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2"/>
              <w:jc w:val="right"/>
              <w:rPr>
                <w:rFonts w:ascii="Times New Roman" w:hAnsi="Times New Roman" w:cs="Times New Roman" w:eastAsia="Times New Roman" w:hint="default"/>
                <w:sz w:val="15"/>
                <w:szCs w:val="15"/>
              </w:rPr>
            </w:pPr>
            <w:r>
              <w:rPr>
                <w:rFonts w:ascii="Times New Roman"/>
                <w:spacing w:val="-1"/>
                <w:sz w:val="15"/>
              </w:rPr>
              <w:t>100</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pacing w:val="-1"/>
                <w:sz w:val="15"/>
              </w:rPr>
              <w:t>100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4"/>
              <w:jc w:val="right"/>
              <w:rPr>
                <w:rFonts w:ascii="Times New Roman" w:hAnsi="Times New Roman" w:cs="Times New Roman" w:eastAsia="Times New Roman" w:hint="default"/>
                <w:sz w:val="15"/>
                <w:szCs w:val="15"/>
              </w:rPr>
            </w:pPr>
            <w:r>
              <w:rPr>
                <w:rFonts w:ascii="Times New Roman"/>
                <w:spacing w:val="-1"/>
                <w:sz w:val="15"/>
              </w:rPr>
              <w:t>58288499-2</w:t>
            </w:r>
          </w:p>
        </w:tc>
      </w:tr>
      <w:tr>
        <w:trPr>
          <w:trHeight w:val="300" w:hRule="exact"/>
        </w:trPr>
        <w:tc>
          <w:tcPr>
            <w:tcW w:w="2507"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东软集团（南昌）有限公司</w:t>
            </w:r>
          </w:p>
        </w:tc>
        <w:tc>
          <w:tcPr>
            <w:tcW w:w="723"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778"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南昌</w:t>
            </w:r>
          </w:p>
        </w:tc>
        <w:tc>
          <w:tcPr>
            <w:tcW w:w="788"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28" w:right="0"/>
              <w:jc w:val="center"/>
              <w:rPr>
                <w:rFonts w:ascii="宋体" w:hAnsi="宋体" w:cs="宋体" w:eastAsia="宋体" w:hint="default"/>
                <w:sz w:val="15"/>
                <w:szCs w:val="15"/>
              </w:rPr>
            </w:pPr>
            <w:r>
              <w:rPr>
                <w:rFonts w:ascii="宋体" w:hAnsi="宋体" w:cs="宋体" w:eastAsia="宋体" w:hint="default"/>
                <w:sz w:val="15"/>
                <w:szCs w:val="15"/>
              </w:rPr>
              <w:t>王勇峰</w:t>
            </w:r>
          </w:p>
        </w:tc>
        <w:tc>
          <w:tcPr>
            <w:tcW w:w="3378"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计算机硬件开发、研制、技术咨询、服务等</w:t>
            </w:r>
          </w:p>
        </w:tc>
        <w:tc>
          <w:tcPr>
            <w:tcW w:w="1750"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126"/>
              <w:jc w:val="right"/>
              <w:rPr>
                <w:rFonts w:ascii="Times New Roman" w:hAnsi="Times New Roman" w:cs="Times New Roman" w:eastAsia="Times New Roman" w:hint="default"/>
                <w:sz w:val="15"/>
                <w:szCs w:val="15"/>
              </w:rPr>
            </w:pPr>
            <w:r>
              <w:rPr>
                <w:rFonts w:ascii="Times New Roman"/>
                <w:spacing w:val="-1"/>
                <w:sz w:val="15"/>
              </w:rPr>
              <w:t>2,000</w:t>
            </w:r>
          </w:p>
        </w:tc>
        <w:tc>
          <w:tcPr>
            <w:tcW w:w="737"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152"/>
              <w:jc w:val="right"/>
              <w:rPr>
                <w:rFonts w:ascii="Times New Roman" w:hAnsi="Times New Roman" w:cs="Times New Roman" w:eastAsia="Times New Roman" w:hint="default"/>
                <w:sz w:val="15"/>
                <w:szCs w:val="15"/>
              </w:rPr>
            </w:pPr>
            <w:r>
              <w:rPr>
                <w:rFonts w:ascii="Times New Roman"/>
                <w:spacing w:val="-1"/>
                <w:sz w:val="15"/>
              </w:rPr>
              <w:t>100</w:t>
            </w:r>
          </w:p>
        </w:tc>
        <w:tc>
          <w:tcPr>
            <w:tcW w:w="542"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80"/>
              <w:jc w:val="right"/>
              <w:rPr>
                <w:rFonts w:ascii="Times New Roman" w:hAnsi="Times New Roman" w:cs="Times New Roman" w:eastAsia="Times New Roman" w:hint="default"/>
                <w:sz w:val="15"/>
                <w:szCs w:val="15"/>
              </w:rPr>
            </w:pPr>
            <w:r>
              <w:rPr>
                <w:rFonts w:ascii="Times New Roman"/>
                <w:spacing w:val="-1"/>
                <w:sz w:val="15"/>
              </w:rPr>
              <w:t>100</w:t>
            </w:r>
          </w:p>
        </w:tc>
        <w:tc>
          <w:tcPr>
            <w:tcW w:w="1048"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144"/>
              <w:jc w:val="right"/>
              <w:rPr>
                <w:rFonts w:ascii="Times New Roman" w:hAnsi="Times New Roman" w:cs="Times New Roman" w:eastAsia="Times New Roman" w:hint="default"/>
                <w:sz w:val="15"/>
                <w:szCs w:val="15"/>
              </w:rPr>
            </w:pPr>
            <w:r>
              <w:rPr>
                <w:rFonts w:ascii="Times New Roman"/>
                <w:spacing w:val="-1"/>
                <w:sz w:val="15"/>
              </w:rPr>
              <w:t>58657721-X</w:t>
            </w:r>
          </w:p>
        </w:tc>
      </w:tr>
    </w:tbl>
    <w:p>
      <w:pPr>
        <w:spacing w:after="0" w:line="240" w:lineRule="auto"/>
        <w:jc w:val="right"/>
        <w:rPr>
          <w:rFonts w:ascii="Times New Roman" w:hAnsi="Times New Roman" w:cs="Times New Roman" w:eastAsia="Times New Roman" w:hint="default"/>
          <w:sz w:val="15"/>
          <w:szCs w:val="15"/>
        </w:rPr>
        <w:sectPr>
          <w:type w:val="continuous"/>
          <w:pgSz w:w="16840" w:h="11910" w:orient="landscape"/>
          <w:pgMar w:top="1600" w:bottom="280" w:left="1300" w:right="1260"/>
        </w:sectPr>
      </w:pPr>
    </w:p>
    <w:p>
      <w:pPr>
        <w:spacing w:line="240" w:lineRule="auto" w:before="11"/>
        <w:rPr>
          <w:rFonts w:ascii="Times New Roman" w:hAnsi="Times New Roman" w:cs="Times New Roman" w:eastAsia="Times New Roman" w:hint="default"/>
          <w:sz w:val="28"/>
          <w:szCs w:val="28"/>
        </w:rPr>
      </w:pPr>
    </w:p>
    <w:p>
      <w:pPr>
        <w:spacing w:after="0" w:line="240" w:lineRule="auto"/>
        <w:rPr>
          <w:rFonts w:ascii="Times New Roman" w:hAnsi="Times New Roman" w:cs="Times New Roman" w:eastAsia="Times New Roman" w:hint="default"/>
          <w:sz w:val="28"/>
          <w:szCs w:val="28"/>
        </w:rPr>
        <w:sectPr>
          <w:pgSz w:w="16840" w:h="11910" w:orient="landscape"/>
          <w:pgMar w:header="883" w:footer="999" w:top="1600" w:bottom="1180" w:left="1300" w:right="1260"/>
        </w:sectPr>
      </w:pPr>
    </w:p>
    <w:p>
      <w:pPr>
        <w:spacing w:line="240" w:lineRule="auto" w:before="0"/>
        <w:rPr>
          <w:rFonts w:ascii="Times New Roman" w:hAnsi="Times New Roman" w:cs="Times New Roman" w:eastAsia="Times New Roman" w:hint="default"/>
          <w:sz w:val="14"/>
          <w:szCs w:val="14"/>
        </w:rPr>
      </w:pPr>
    </w:p>
    <w:p>
      <w:pPr>
        <w:spacing w:before="82"/>
        <w:ind w:left="0" w:right="0" w:firstLine="0"/>
        <w:jc w:val="right"/>
        <w:rPr>
          <w:rFonts w:ascii="宋体" w:hAnsi="宋体" w:cs="宋体" w:eastAsia="宋体" w:hint="default"/>
          <w:sz w:val="15"/>
          <w:szCs w:val="15"/>
        </w:rPr>
      </w:pPr>
      <w:r>
        <w:rPr>
          <w:rFonts w:ascii="宋体" w:hAnsi="宋体" w:cs="宋体" w:eastAsia="宋体" w:hint="default"/>
          <w:sz w:val="15"/>
          <w:szCs w:val="15"/>
        </w:rPr>
        <w:t>子公司全称</w:t>
      </w:r>
    </w:p>
    <w:p>
      <w:pPr>
        <w:spacing w:before="53"/>
        <w:ind w:left="0" w:right="0" w:firstLine="0"/>
        <w:jc w:val="right"/>
        <w:rPr>
          <w:rFonts w:ascii="宋体" w:hAnsi="宋体" w:cs="宋体" w:eastAsia="宋体" w:hint="default"/>
          <w:sz w:val="15"/>
          <w:szCs w:val="15"/>
        </w:rPr>
      </w:pPr>
      <w:r>
        <w:rPr/>
        <w:br w:type="column"/>
      </w:r>
      <w:r>
        <w:rPr>
          <w:rFonts w:ascii="宋体" w:hAnsi="宋体" w:cs="宋体" w:eastAsia="宋体" w:hint="default"/>
          <w:sz w:val="15"/>
          <w:szCs w:val="15"/>
        </w:rPr>
        <w:t>子公司</w:t>
      </w:r>
    </w:p>
    <w:p>
      <w:pPr>
        <w:spacing w:line="240" w:lineRule="auto" w:before="8"/>
        <w:rPr>
          <w:rFonts w:ascii="宋体" w:hAnsi="宋体" w:cs="宋体" w:eastAsia="宋体" w:hint="default"/>
          <w:sz w:val="18"/>
          <w:szCs w:val="18"/>
        </w:rPr>
      </w:pPr>
      <w:r>
        <w:rPr/>
        <w:br w:type="column"/>
      </w:r>
      <w:r>
        <w:rPr>
          <w:rFonts w:ascii="宋体"/>
          <w:sz w:val="18"/>
        </w:rPr>
      </w:r>
    </w:p>
    <w:p>
      <w:pPr>
        <w:tabs>
          <w:tab w:pos="1363" w:val="left" w:leader="none"/>
          <w:tab w:pos="4233" w:val="left" w:leader="none"/>
          <w:tab w:pos="6723" w:val="left" w:leader="none"/>
        </w:tabs>
        <w:spacing w:before="0"/>
        <w:ind w:left="286" w:right="-20" w:firstLine="0"/>
        <w:jc w:val="left"/>
        <w:rPr>
          <w:rFonts w:ascii="宋体" w:hAnsi="宋体" w:cs="宋体" w:eastAsia="宋体" w:hint="default"/>
          <w:sz w:val="15"/>
          <w:szCs w:val="15"/>
        </w:rPr>
      </w:pPr>
      <w:r>
        <w:rPr>
          <w:rFonts w:ascii="宋体" w:hAnsi="宋体" w:cs="宋体" w:eastAsia="宋体" w:hint="default"/>
          <w:sz w:val="15"/>
          <w:szCs w:val="15"/>
        </w:rPr>
        <w:t>企业类型</w:t>
        <w:tab/>
        <w:t>注册地 </w:t>
      </w:r>
      <w:r>
        <w:rPr>
          <w:rFonts w:ascii="宋体" w:hAnsi="宋体" w:cs="宋体" w:eastAsia="宋体" w:hint="default"/>
          <w:spacing w:val="39"/>
          <w:sz w:val="15"/>
          <w:szCs w:val="15"/>
        </w:rPr>
        <w:t> </w:t>
      </w:r>
      <w:r>
        <w:rPr>
          <w:rFonts w:ascii="宋体" w:hAnsi="宋体" w:cs="宋体" w:eastAsia="宋体" w:hint="default"/>
          <w:sz w:val="15"/>
          <w:szCs w:val="15"/>
        </w:rPr>
        <w:t>法定代表人</w:t>
        <w:tab/>
        <w:t>业务性质</w:t>
        <w:tab/>
        <w:t>注册资本</w:t>
      </w:r>
    </w:p>
    <w:p>
      <w:pPr>
        <w:spacing w:before="53"/>
        <w:ind w:left="486" w:right="-12" w:firstLine="0"/>
        <w:jc w:val="left"/>
        <w:rPr>
          <w:rFonts w:ascii="宋体" w:hAnsi="宋体" w:cs="宋体" w:eastAsia="宋体" w:hint="default"/>
          <w:sz w:val="15"/>
          <w:szCs w:val="15"/>
        </w:rPr>
      </w:pPr>
      <w:r>
        <w:rPr/>
        <w:br w:type="column"/>
      </w:r>
      <w:r>
        <w:rPr>
          <w:rFonts w:ascii="宋体" w:hAnsi="宋体" w:cs="宋体" w:eastAsia="宋体" w:hint="default"/>
          <w:sz w:val="15"/>
          <w:szCs w:val="15"/>
        </w:rPr>
        <w:t>持股比例表决权比</w:t>
      </w:r>
    </w:p>
    <w:p>
      <w:pPr>
        <w:spacing w:line="240" w:lineRule="auto" w:before="8"/>
        <w:rPr>
          <w:rFonts w:ascii="宋体" w:hAnsi="宋体" w:cs="宋体" w:eastAsia="宋体" w:hint="default"/>
          <w:sz w:val="18"/>
          <w:szCs w:val="18"/>
        </w:rPr>
      </w:pPr>
      <w:r>
        <w:rPr/>
        <w:br w:type="column"/>
      </w:r>
      <w:r>
        <w:rPr>
          <w:rFonts w:ascii="宋体"/>
          <w:sz w:val="18"/>
        </w:rPr>
      </w:r>
    </w:p>
    <w:p>
      <w:pPr>
        <w:spacing w:before="0"/>
        <w:ind w:left="52" w:right="0" w:firstLine="0"/>
        <w:jc w:val="left"/>
        <w:rPr>
          <w:rFonts w:ascii="宋体" w:hAnsi="宋体" w:cs="宋体" w:eastAsia="宋体" w:hint="default"/>
          <w:sz w:val="15"/>
          <w:szCs w:val="15"/>
        </w:rPr>
      </w:pPr>
      <w:r>
        <w:rPr>
          <w:rFonts w:ascii="宋体" w:hAnsi="宋体" w:cs="宋体" w:eastAsia="宋体" w:hint="default"/>
          <w:sz w:val="15"/>
          <w:szCs w:val="15"/>
        </w:rPr>
        <w:t>组织机构代码</w:t>
      </w:r>
    </w:p>
    <w:p>
      <w:pPr>
        <w:spacing w:after="0"/>
        <w:jc w:val="left"/>
        <w:rPr>
          <w:rFonts w:ascii="宋体" w:hAnsi="宋体" w:cs="宋体" w:eastAsia="宋体" w:hint="default"/>
          <w:sz w:val="15"/>
          <w:szCs w:val="15"/>
        </w:rPr>
        <w:sectPr>
          <w:type w:val="continuous"/>
          <w:pgSz w:w="16840" w:h="11910" w:orient="landscape"/>
          <w:pgMar w:top="1600" w:bottom="280" w:left="1300" w:right="1260"/>
          <w:cols w:num="5" w:equalWidth="0">
            <w:col w:w="2490" w:space="40"/>
            <w:col w:w="1434" w:space="40"/>
            <w:col w:w="7324" w:space="40"/>
            <w:col w:w="1695" w:space="40"/>
            <w:col w:w="1177"/>
          </w:cols>
        </w:sectPr>
      </w:pPr>
    </w:p>
    <w:p>
      <w:pPr>
        <w:tabs>
          <w:tab w:pos="12040" w:val="left" w:leader="none"/>
          <w:tab w:pos="12572" w:val="left" w:leader="none"/>
        </w:tabs>
        <w:spacing w:line="209" w:lineRule="exact" w:before="0"/>
        <w:ind w:left="3588" w:right="1244" w:firstLine="0"/>
        <w:jc w:val="left"/>
        <w:rPr>
          <w:rFonts w:ascii="Times New Roman" w:hAnsi="Times New Roman" w:cs="Times New Roman" w:eastAsia="Times New Roman" w:hint="default"/>
          <w:sz w:val="15"/>
          <w:szCs w:val="15"/>
        </w:rPr>
      </w:pPr>
      <w:r>
        <w:rPr/>
        <w:pict>
          <v:group style="position:absolute;margin-left:101.511002pt;margin-top:89.879997pt;width:671.85pt;height:427.5pt;mso-position-horizontal-relative:page;mso-position-vertical-relative:page;z-index:-1110256" coordorigin="2030,1798" coordsize="13437,8550">
            <v:group style="position:absolute;left:2049;top:1813;width:13390;height:2" coordorigin="2049,1813" coordsize="13390,2">
              <v:shape style="position:absolute;left:2049;top:1813;width:13390;height:2" coordorigin="2049,1813" coordsize="13390,0" path="m2049,1813l15439,1813e" filled="false" stroked="true" strokeweight="1.5pt" strokecolor="#000000">
                <v:path arrowok="t"/>
              </v:shape>
              <v:shape style="position:absolute;left:4758;top:1808;width:9634;height:798" type="#_x0000_t75" stroked="false">
                <v:imagedata r:id="rId332" o:title=""/>
              </v:shape>
              <v:shape style="position:absolute;left:2030;top:2568;width:13436;height:7780" type="#_x0000_t75" stroked="false">
                <v:imagedata r:id="rId334" o:title=""/>
              </v:shape>
            </v:group>
            <w10:wrap type="none"/>
          </v:group>
        </w:pict>
      </w:r>
      <w:r>
        <w:rPr>
          <w:rFonts w:ascii="宋体" w:hAnsi="宋体" w:cs="宋体" w:eastAsia="宋体" w:hint="default"/>
          <w:position w:val="1"/>
          <w:sz w:val="15"/>
          <w:szCs w:val="15"/>
        </w:rPr>
        <w:t>类型</w:t>
        <w:tab/>
      </w:r>
      <w:r>
        <w:rPr>
          <w:rFonts w:ascii="Times New Roman" w:hAnsi="Times New Roman" w:cs="Times New Roman" w:eastAsia="Times New Roman" w:hint="default"/>
          <w:sz w:val="15"/>
          <w:szCs w:val="15"/>
        </w:rPr>
        <w:t>(%)</w:t>
        <w:tab/>
      </w:r>
      <w:r>
        <w:rPr>
          <w:rFonts w:ascii="宋体" w:hAnsi="宋体" w:cs="宋体" w:eastAsia="宋体" w:hint="default"/>
          <w:position w:val="1"/>
          <w:sz w:val="15"/>
          <w:szCs w:val="15"/>
        </w:rPr>
        <w:t>例</w:t>
      </w:r>
      <w:r>
        <w:rPr>
          <w:rFonts w:ascii="Times New Roman" w:hAnsi="Times New Roman" w:cs="Times New Roman" w:eastAsia="Times New Roman" w:hint="default"/>
          <w:position w:val="1"/>
          <w:sz w:val="15"/>
          <w:szCs w:val="15"/>
        </w:rPr>
        <w:t>(%)</w:t>
      </w:r>
      <w:r>
        <w:rPr>
          <w:rFonts w:ascii="Times New Roman" w:hAnsi="Times New Roman" w:cs="Times New Roman" w:eastAsia="Times New Roman" w:hint="default"/>
          <w:sz w:val="15"/>
          <w:szCs w:val="15"/>
        </w:rPr>
      </w:r>
    </w:p>
    <w:p>
      <w:pPr>
        <w:spacing w:line="240" w:lineRule="auto" w:before="5"/>
        <w:rPr>
          <w:rFonts w:ascii="Times New Roman" w:hAnsi="Times New Roman" w:cs="Times New Roman" w:eastAsia="Times New Roman" w:hint="default"/>
          <w:sz w:val="10"/>
          <w:szCs w:val="10"/>
        </w:rPr>
      </w:pPr>
    </w:p>
    <w:tbl>
      <w:tblPr>
        <w:tblW w:w="0" w:type="auto"/>
        <w:jc w:val="left"/>
        <w:tblInd w:w="735" w:type="dxa"/>
        <w:tblLayout w:type="fixed"/>
        <w:tblCellMar>
          <w:top w:w="0" w:type="dxa"/>
          <w:left w:w="0" w:type="dxa"/>
          <w:bottom w:w="0" w:type="dxa"/>
          <w:right w:w="0" w:type="dxa"/>
        </w:tblCellMar>
        <w:tblLook w:val="01E0"/>
      </w:tblPr>
      <w:tblGrid>
        <w:gridCol w:w="2606"/>
        <w:gridCol w:w="624"/>
        <w:gridCol w:w="1151"/>
        <w:gridCol w:w="853"/>
        <w:gridCol w:w="729"/>
        <w:gridCol w:w="3631"/>
        <w:gridCol w:w="1540"/>
        <w:gridCol w:w="662"/>
        <w:gridCol w:w="596"/>
        <w:gridCol w:w="1010"/>
      </w:tblGrid>
      <w:tr>
        <w:trPr>
          <w:trHeight w:val="378" w:hRule="exact"/>
        </w:trPr>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91" w:right="0"/>
              <w:jc w:val="left"/>
              <w:rPr>
                <w:rFonts w:ascii="宋体" w:hAnsi="宋体" w:cs="宋体" w:eastAsia="宋体" w:hint="default"/>
                <w:sz w:val="15"/>
                <w:szCs w:val="15"/>
              </w:rPr>
            </w:pPr>
            <w:r>
              <w:rPr>
                <w:rFonts w:ascii="宋体" w:hAnsi="宋体" w:cs="宋体" w:eastAsia="宋体" w:hint="default"/>
                <w:sz w:val="15"/>
                <w:szCs w:val="15"/>
              </w:rPr>
              <w:t>东软集团南京有限公司</w:t>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44" w:right="0"/>
              <w:jc w:val="left"/>
              <w:rPr>
                <w:rFonts w:ascii="宋体" w:hAnsi="宋体" w:cs="宋体" w:eastAsia="宋体" w:hint="default"/>
                <w:sz w:val="15"/>
                <w:szCs w:val="15"/>
              </w:rPr>
            </w:pPr>
            <w:r>
              <w:rPr>
                <w:rFonts w:ascii="宋体" w:hAnsi="宋体" w:cs="宋体" w:eastAsia="宋体" w:hint="default"/>
                <w:sz w:val="15"/>
                <w:szCs w:val="15"/>
              </w:rPr>
              <w:t>南京</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8" w:right="0"/>
              <w:jc w:val="left"/>
              <w:rPr>
                <w:rFonts w:ascii="宋体" w:hAnsi="宋体" w:cs="宋体" w:eastAsia="宋体" w:hint="default"/>
                <w:sz w:val="15"/>
                <w:szCs w:val="15"/>
              </w:rPr>
            </w:pPr>
            <w:r>
              <w:rPr>
                <w:rFonts w:ascii="宋体" w:hAnsi="宋体" w:cs="宋体" w:eastAsia="宋体" w:hint="default"/>
                <w:sz w:val="15"/>
                <w:szCs w:val="15"/>
              </w:rPr>
              <w:t>王勇峰</w:t>
            </w:r>
          </w:p>
        </w:tc>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38" w:right="0"/>
              <w:jc w:val="left"/>
              <w:rPr>
                <w:rFonts w:ascii="宋体" w:hAnsi="宋体" w:cs="宋体" w:eastAsia="宋体" w:hint="default"/>
                <w:sz w:val="15"/>
                <w:szCs w:val="15"/>
              </w:rPr>
            </w:pPr>
            <w:r>
              <w:rPr>
                <w:rFonts w:ascii="宋体" w:hAnsi="宋体" w:cs="宋体" w:eastAsia="宋体" w:hint="default"/>
                <w:sz w:val="15"/>
                <w:szCs w:val="15"/>
              </w:rPr>
              <w:t>计算机软、硬件，开发、销售、技术咨询等</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85"/>
              <w:jc w:val="right"/>
              <w:rPr>
                <w:rFonts w:ascii="Times New Roman" w:hAnsi="Times New Roman" w:cs="Times New Roman" w:eastAsia="Times New Roman" w:hint="default"/>
                <w:sz w:val="15"/>
                <w:szCs w:val="15"/>
              </w:rPr>
            </w:pPr>
            <w:r>
              <w:rPr>
                <w:rFonts w:ascii="Times New Roman"/>
                <w:spacing w:val="-1"/>
                <w:sz w:val="15"/>
              </w:rPr>
              <w:t>1,200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37"/>
              <w:jc w:val="right"/>
              <w:rPr>
                <w:rFonts w:ascii="Times New Roman" w:hAnsi="Times New Roman" w:cs="Times New Roman" w:eastAsia="Times New Roman" w:hint="default"/>
                <w:sz w:val="15"/>
                <w:szCs w:val="15"/>
              </w:rPr>
            </w:pPr>
            <w:r>
              <w:rPr>
                <w:rFonts w:ascii="Times New Roman"/>
                <w:spacing w:val="-1"/>
                <w:sz w:val="15"/>
              </w:rPr>
              <w:t>100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4"/>
              <w:jc w:val="center"/>
              <w:rPr>
                <w:rFonts w:ascii="Times New Roman" w:hAnsi="Times New Roman" w:cs="Times New Roman" w:eastAsia="Times New Roman" w:hint="default"/>
                <w:sz w:val="15"/>
                <w:szCs w:val="15"/>
              </w:rPr>
            </w:pPr>
            <w:r>
              <w:rPr>
                <w:rFonts w:ascii="Times New Roman"/>
                <w:sz w:val="15"/>
              </w:rPr>
              <w:t>57593939-3</w:t>
            </w:r>
          </w:p>
        </w:tc>
      </w:tr>
      <w:tr>
        <w:trPr>
          <w:trHeight w:val="398" w:hRule="exact"/>
        </w:trPr>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北京利博赛社保信息技术有限公司</w:t>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控股</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北京</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8" w:right="0"/>
              <w:jc w:val="left"/>
              <w:rPr>
                <w:rFonts w:ascii="宋体" w:hAnsi="宋体" w:cs="宋体" w:eastAsia="宋体" w:hint="default"/>
                <w:sz w:val="15"/>
                <w:szCs w:val="15"/>
              </w:rPr>
            </w:pPr>
            <w:r>
              <w:rPr>
                <w:rFonts w:ascii="宋体" w:hAnsi="宋体" w:cs="宋体" w:eastAsia="宋体" w:hint="default"/>
                <w:sz w:val="15"/>
                <w:szCs w:val="15"/>
              </w:rPr>
              <w:t>胡伟伟</w:t>
            </w:r>
          </w:p>
        </w:tc>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8" w:right="0"/>
              <w:jc w:val="left"/>
              <w:rPr>
                <w:rFonts w:ascii="宋体" w:hAnsi="宋体" w:cs="宋体" w:eastAsia="宋体" w:hint="default"/>
                <w:sz w:val="15"/>
                <w:szCs w:val="15"/>
              </w:rPr>
            </w:pPr>
            <w:r>
              <w:rPr>
                <w:rFonts w:ascii="宋体" w:hAnsi="宋体" w:cs="宋体" w:eastAsia="宋体" w:hint="default"/>
                <w:sz w:val="15"/>
                <w:szCs w:val="15"/>
              </w:rPr>
              <w:t>技术开发咨询服务及产品销售</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5"/>
              <w:jc w:val="right"/>
              <w:rPr>
                <w:rFonts w:ascii="Times New Roman" w:hAnsi="Times New Roman" w:cs="Times New Roman" w:eastAsia="Times New Roman" w:hint="default"/>
                <w:sz w:val="15"/>
                <w:szCs w:val="15"/>
              </w:rPr>
            </w:pPr>
            <w:r>
              <w:rPr>
                <w:rFonts w:ascii="Times New Roman"/>
                <w:spacing w:val="-1"/>
                <w:sz w:val="15"/>
              </w:rPr>
              <w:t>1,500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7"/>
              <w:jc w:val="right"/>
              <w:rPr>
                <w:rFonts w:ascii="Times New Roman" w:hAnsi="Times New Roman" w:cs="Times New Roman" w:eastAsia="Times New Roman" w:hint="default"/>
                <w:sz w:val="15"/>
                <w:szCs w:val="15"/>
              </w:rPr>
            </w:pPr>
            <w:r>
              <w:rPr>
                <w:rFonts w:ascii="Times New Roman"/>
                <w:spacing w:val="-1"/>
                <w:sz w:val="15"/>
              </w:rPr>
              <w:t>61.67</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61.67</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4"/>
              <w:jc w:val="center"/>
              <w:rPr>
                <w:rFonts w:ascii="Times New Roman" w:hAnsi="Times New Roman" w:cs="Times New Roman" w:eastAsia="Times New Roman" w:hint="default"/>
                <w:sz w:val="15"/>
                <w:szCs w:val="15"/>
              </w:rPr>
            </w:pPr>
            <w:r>
              <w:rPr>
                <w:rFonts w:ascii="Times New Roman"/>
                <w:sz w:val="15"/>
              </w:rPr>
              <w:t>80204827-6</w:t>
            </w:r>
          </w:p>
        </w:tc>
      </w:tr>
      <w:tr>
        <w:trPr>
          <w:trHeight w:val="481" w:hRule="exact"/>
        </w:trPr>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1"/>
                <w:szCs w:val="11"/>
              </w:rPr>
            </w:pPr>
          </w:p>
          <w:p>
            <w:pPr>
              <w:pStyle w:val="TableParagraph"/>
              <w:spacing w:line="240" w:lineRule="auto"/>
              <w:ind w:left="91" w:right="0"/>
              <w:jc w:val="left"/>
              <w:rPr>
                <w:rFonts w:ascii="Times New Roman" w:hAnsi="Times New Roman" w:cs="Times New Roman" w:eastAsia="Times New Roman" w:hint="default"/>
                <w:sz w:val="15"/>
                <w:szCs w:val="15"/>
              </w:rPr>
            </w:pPr>
            <w:r>
              <w:rPr>
                <w:rFonts w:ascii="Times New Roman"/>
                <w:sz w:val="15"/>
              </w:rPr>
              <w:t>Neusoft    Mobile    Solutions</w:t>
            </w:r>
            <w:r>
              <w:rPr>
                <w:rFonts w:ascii="Times New Roman"/>
                <w:spacing w:val="-11"/>
                <w:sz w:val="15"/>
              </w:rPr>
              <w:t> </w:t>
            </w:r>
            <w:r>
              <w:rPr>
                <w:rFonts w:ascii="Times New Roman"/>
                <w:sz w:val="15"/>
              </w:rPr>
              <w:t>Oy</w:t>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87"/>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87"/>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87"/>
              <w:ind w:left="144" w:right="0"/>
              <w:jc w:val="left"/>
              <w:rPr>
                <w:rFonts w:ascii="宋体" w:hAnsi="宋体" w:cs="宋体" w:eastAsia="宋体" w:hint="default"/>
                <w:sz w:val="15"/>
                <w:szCs w:val="15"/>
              </w:rPr>
            </w:pPr>
            <w:r>
              <w:rPr>
                <w:rFonts w:ascii="宋体" w:hAnsi="宋体" w:cs="宋体" w:eastAsia="宋体" w:hint="default"/>
                <w:sz w:val="15"/>
                <w:szCs w:val="15"/>
              </w:rPr>
              <w:t>芬兰</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8" w:right="0"/>
              <w:jc w:val="left"/>
              <w:rPr>
                <w:rFonts w:ascii="Times New Roman" w:hAnsi="Times New Roman" w:cs="Times New Roman" w:eastAsia="Times New Roman" w:hint="default"/>
                <w:sz w:val="15"/>
                <w:szCs w:val="15"/>
              </w:rPr>
            </w:pPr>
            <w:r>
              <w:rPr>
                <w:rFonts w:ascii="Times New Roman"/>
                <w:sz w:val="15"/>
              </w:rPr>
              <w:t>Klaus</w:t>
            </w:r>
          </w:p>
        </w:tc>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87"/>
              <w:ind w:left="138" w:right="0"/>
              <w:jc w:val="left"/>
              <w:rPr>
                <w:rFonts w:ascii="宋体" w:hAnsi="宋体" w:cs="宋体" w:eastAsia="宋体" w:hint="default"/>
                <w:sz w:val="15"/>
                <w:szCs w:val="15"/>
              </w:rPr>
            </w:pPr>
            <w:r>
              <w:rPr>
                <w:rFonts w:ascii="宋体" w:hAnsi="宋体" w:cs="宋体" w:eastAsia="宋体" w:hint="default"/>
                <w:sz w:val="15"/>
                <w:szCs w:val="15"/>
              </w:rPr>
              <w:t>计算机软硬件，技术咨询、服务等</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4"/>
              <w:jc w:val="right"/>
              <w:rPr>
                <w:rFonts w:ascii="宋体" w:hAnsi="宋体" w:cs="宋体" w:eastAsia="宋体" w:hint="default"/>
                <w:sz w:val="15"/>
                <w:szCs w:val="15"/>
              </w:rPr>
            </w:pPr>
            <w:r>
              <w:rPr>
                <w:rFonts w:ascii="Times New Roman" w:hAnsi="Times New Roman" w:cs="Times New Roman" w:eastAsia="Times New Roman" w:hint="default"/>
                <w:sz w:val="15"/>
                <w:szCs w:val="15"/>
              </w:rPr>
              <w:t>0.86</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万欧元</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1"/>
                <w:szCs w:val="11"/>
              </w:rPr>
            </w:pPr>
          </w:p>
          <w:p>
            <w:pPr>
              <w:pStyle w:val="TableParagraph"/>
              <w:spacing w:line="240" w:lineRule="auto"/>
              <w:ind w:right="136"/>
              <w:jc w:val="right"/>
              <w:rPr>
                <w:rFonts w:ascii="Times New Roman" w:hAnsi="Times New Roman" w:cs="Times New Roman" w:eastAsia="Times New Roman" w:hint="default"/>
                <w:sz w:val="15"/>
                <w:szCs w:val="15"/>
              </w:rPr>
            </w:pPr>
            <w:r>
              <w:rPr>
                <w:rFonts w:ascii="Times New Roman"/>
                <w:spacing w:val="-1"/>
                <w:sz w:val="15"/>
              </w:rPr>
              <w:t>100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1"/>
                <w:szCs w:val="11"/>
              </w:rPr>
            </w:pPr>
          </w:p>
          <w:p>
            <w:pPr>
              <w:pStyle w:val="TableParagraph"/>
              <w:spacing w:line="240" w:lineRule="auto"/>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0" w:type="dxa"/>
            <w:tcBorders>
              <w:top w:val="nil" w:sz="6" w:space="0" w:color="auto"/>
              <w:left w:val="nil" w:sz="6" w:space="0" w:color="auto"/>
              <w:bottom w:val="nil" w:sz="6" w:space="0" w:color="auto"/>
              <w:right w:val="nil" w:sz="6" w:space="0" w:color="auto"/>
            </w:tcBorders>
          </w:tcPr>
          <w:p>
            <w:pPr/>
          </w:p>
        </w:tc>
      </w:tr>
      <w:tr>
        <w:trPr>
          <w:trHeight w:val="290" w:hRule="exact"/>
        </w:trPr>
        <w:tc>
          <w:tcPr>
            <w:tcW w:w="2606" w:type="dxa"/>
            <w:tcBorders>
              <w:top w:val="nil" w:sz="6" w:space="0" w:color="auto"/>
              <w:left w:val="nil" w:sz="6" w:space="0" w:color="auto"/>
              <w:bottom w:val="nil" w:sz="6" w:space="0" w:color="auto"/>
              <w:right w:val="nil" w:sz="6" w:space="0" w:color="auto"/>
            </w:tcBorders>
          </w:tcPr>
          <w:p>
            <w:pPr/>
          </w:p>
        </w:tc>
        <w:tc>
          <w:tcPr>
            <w:tcW w:w="624"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853" w:type="dxa"/>
            <w:tcBorders>
              <w:top w:val="nil" w:sz="6" w:space="0" w:color="auto"/>
              <w:left w:val="nil" w:sz="6" w:space="0" w:color="auto"/>
              <w:bottom w:val="nil" w:sz="6" w:space="0" w:color="auto"/>
              <w:right w:val="nil" w:sz="6" w:space="0" w:color="auto"/>
            </w:tcBorders>
          </w:tcPr>
          <w:p>
            <w:pP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ind w:left="108" w:right="0"/>
              <w:jc w:val="left"/>
              <w:rPr>
                <w:rFonts w:ascii="Times New Roman" w:hAnsi="Times New Roman" w:cs="Times New Roman" w:eastAsia="Times New Roman" w:hint="default"/>
                <w:sz w:val="15"/>
                <w:szCs w:val="15"/>
              </w:rPr>
            </w:pPr>
            <w:r>
              <w:rPr>
                <w:rFonts w:ascii="Times New Roman"/>
                <w:sz w:val="15"/>
              </w:rPr>
              <w:t>Zimmer</w:t>
            </w:r>
          </w:p>
        </w:tc>
        <w:tc>
          <w:tcPr>
            <w:tcW w:w="3631"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
        </w:tc>
        <w:tc>
          <w:tcPr>
            <w:tcW w:w="662" w:type="dxa"/>
            <w:tcBorders>
              <w:top w:val="nil" w:sz="6" w:space="0" w:color="auto"/>
              <w:left w:val="nil" w:sz="6" w:space="0" w:color="auto"/>
              <w:bottom w:val="nil" w:sz="6" w:space="0" w:color="auto"/>
              <w:right w:val="nil" w:sz="6" w:space="0" w:color="auto"/>
            </w:tcBorders>
          </w:tcPr>
          <w:p>
            <w:pPr/>
          </w:p>
        </w:tc>
        <w:tc>
          <w:tcPr>
            <w:tcW w:w="596"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
        </w:tc>
      </w:tr>
      <w:tr>
        <w:trPr>
          <w:trHeight w:val="480" w:hRule="exact"/>
        </w:trPr>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3"/>
              <w:ind w:right="0"/>
              <w:jc w:val="left"/>
              <w:rPr>
                <w:rFonts w:ascii="Times New Roman" w:hAnsi="Times New Roman" w:cs="Times New Roman" w:eastAsia="Times New Roman" w:hint="default"/>
                <w:sz w:val="11"/>
                <w:szCs w:val="11"/>
              </w:rPr>
            </w:pPr>
          </w:p>
          <w:p>
            <w:pPr>
              <w:pStyle w:val="TableParagraph"/>
              <w:spacing w:line="240" w:lineRule="auto"/>
              <w:ind w:left="122" w:right="0"/>
              <w:jc w:val="left"/>
              <w:rPr>
                <w:rFonts w:ascii="Times New Roman" w:hAnsi="Times New Roman" w:cs="Times New Roman" w:eastAsia="Times New Roman" w:hint="default"/>
                <w:sz w:val="15"/>
                <w:szCs w:val="15"/>
              </w:rPr>
            </w:pPr>
            <w:r>
              <w:rPr>
                <w:rFonts w:ascii="Times New Roman"/>
                <w:sz w:val="15"/>
              </w:rPr>
              <w:t>Neusoft Mobile Solutions</w:t>
            </w:r>
            <w:r>
              <w:rPr>
                <w:rFonts w:ascii="Times New Roman"/>
                <w:spacing w:val="-12"/>
                <w:sz w:val="15"/>
              </w:rPr>
              <w:t> </w:t>
            </w:r>
            <w:r>
              <w:rPr>
                <w:rFonts w:ascii="Times New Roman"/>
                <w:sz w:val="15"/>
              </w:rPr>
              <w:t>SRL</w:t>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8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8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85"/>
              <w:ind w:left="144" w:right="0"/>
              <w:jc w:val="left"/>
              <w:rPr>
                <w:rFonts w:ascii="宋体" w:hAnsi="宋体" w:cs="宋体" w:eastAsia="宋体" w:hint="default"/>
                <w:sz w:val="15"/>
                <w:szCs w:val="15"/>
              </w:rPr>
            </w:pPr>
            <w:r>
              <w:rPr>
                <w:rFonts w:ascii="宋体" w:hAnsi="宋体" w:cs="宋体" w:eastAsia="宋体" w:hint="default"/>
                <w:sz w:val="15"/>
                <w:szCs w:val="15"/>
              </w:rPr>
              <w:t>罗马尼亚</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8" w:right="0"/>
              <w:jc w:val="left"/>
              <w:rPr>
                <w:rFonts w:ascii="Times New Roman" w:hAnsi="Times New Roman" w:cs="Times New Roman" w:eastAsia="Times New Roman" w:hint="default"/>
                <w:sz w:val="15"/>
                <w:szCs w:val="15"/>
              </w:rPr>
            </w:pPr>
            <w:r>
              <w:rPr>
                <w:rFonts w:ascii="Times New Roman"/>
                <w:sz w:val="15"/>
              </w:rPr>
              <w:t>Klaus</w:t>
            </w:r>
          </w:p>
        </w:tc>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85"/>
              <w:ind w:left="138" w:right="0"/>
              <w:jc w:val="left"/>
              <w:rPr>
                <w:rFonts w:ascii="宋体" w:hAnsi="宋体" w:cs="宋体" w:eastAsia="宋体" w:hint="default"/>
                <w:sz w:val="15"/>
                <w:szCs w:val="15"/>
              </w:rPr>
            </w:pPr>
            <w:r>
              <w:rPr>
                <w:rFonts w:ascii="宋体" w:hAnsi="宋体" w:cs="宋体" w:eastAsia="宋体" w:hint="default"/>
                <w:sz w:val="15"/>
                <w:szCs w:val="15"/>
              </w:rPr>
              <w:t>计算机软硬件，技术咨询、服务等</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1"/>
                <w:szCs w:val="21"/>
              </w:rPr>
            </w:pPr>
          </w:p>
          <w:p>
            <w:pPr>
              <w:pStyle w:val="TableParagraph"/>
              <w:spacing w:line="240" w:lineRule="auto"/>
              <w:ind w:right="185"/>
              <w:jc w:val="right"/>
              <w:rPr>
                <w:rFonts w:ascii="宋体" w:hAnsi="宋体" w:cs="宋体" w:eastAsia="宋体" w:hint="default"/>
                <w:sz w:val="15"/>
                <w:szCs w:val="15"/>
              </w:rPr>
            </w:pPr>
            <w:r>
              <w:rPr>
                <w:rFonts w:ascii="Times New Roman" w:hAnsi="Times New Roman" w:cs="Times New Roman" w:eastAsia="Times New Roman" w:hint="default"/>
                <w:sz w:val="15"/>
                <w:szCs w:val="15"/>
              </w:rPr>
              <w:t>9.4</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万罗马尼亚列伊</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3"/>
              <w:ind w:right="0"/>
              <w:jc w:val="left"/>
              <w:rPr>
                <w:rFonts w:ascii="Times New Roman" w:hAnsi="Times New Roman" w:cs="Times New Roman" w:eastAsia="Times New Roman" w:hint="default"/>
                <w:sz w:val="11"/>
                <w:szCs w:val="11"/>
              </w:rPr>
            </w:pPr>
          </w:p>
          <w:p>
            <w:pPr>
              <w:pStyle w:val="TableParagraph"/>
              <w:spacing w:line="240" w:lineRule="auto"/>
              <w:ind w:right="136"/>
              <w:jc w:val="right"/>
              <w:rPr>
                <w:rFonts w:ascii="Times New Roman" w:hAnsi="Times New Roman" w:cs="Times New Roman" w:eastAsia="Times New Roman" w:hint="default"/>
                <w:sz w:val="15"/>
                <w:szCs w:val="15"/>
              </w:rPr>
            </w:pPr>
            <w:r>
              <w:rPr>
                <w:rFonts w:ascii="Times New Roman"/>
                <w:spacing w:val="-1"/>
                <w:sz w:val="15"/>
              </w:rPr>
              <w:t>100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3"/>
              <w:ind w:right="0"/>
              <w:jc w:val="left"/>
              <w:rPr>
                <w:rFonts w:ascii="Times New Roman" w:hAnsi="Times New Roman" w:cs="Times New Roman" w:eastAsia="Times New Roman" w:hint="default"/>
                <w:sz w:val="11"/>
                <w:szCs w:val="11"/>
              </w:rPr>
            </w:pPr>
          </w:p>
          <w:p>
            <w:pPr>
              <w:pStyle w:val="TableParagraph"/>
              <w:spacing w:line="240" w:lineRule="auto"/>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0" w:type="dxa"/>
            <w:tcBorders>
              <w:top w:val="nil" w:sz="6" w:space="0" w:color="auto"/>
              <w:left w:val="nil" w:sz="6" w:space="0" w:color="auto"/>
              <w:bottom w:val="nil" w:sz="6" w:space="0" w:color="auto"/>
              <w:right w:val="nil" w:sz="6" w:space="0" w:color="auto"/>
            </w:tcBorders>
          </w:tcPr>
          <w:p>
            <w:pPr/>
          </w:p>
        </w:tc>
      </w:tr>
      <w:tr>
        <w:trPr>
          <w:trHeight w:val="290" w:hRule="exact"/>
        </w:trPr>
        <w:tc>
          <w:tcPr>
            <w:tcW w:w="2606" w:type="dxa"/>
            <w:tcBorders>
              <w:top w:val="nil" w:sz="6" w:space="0" w:color="auto"/>
              <w:left w:val="nil" w:sz="6" w:space="0" w:color="auto"/>
              <w:bottom w:val="nil" w:sz="6" w:space="0" w:color="auto"/>
              <w:right w:val="nil" w:sz="6" w:space="0" w:color="auto"/>
            </w:tcBorders>
          </w:tcPr>
          <w:p>
            <w:pPr/>
          </w:p>
        </w:tc>
        <w:tc>
          <w:tcPr>
            <w:tcW w:w="624"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853" w:type="dxa"/>
            <w:tcBorders>
              <w:top w:val="nil" w:sz="6" w:space="0" w:color="auto"/>
              <w:left w:val="nil" w:sz="6" w:space="0" w:color="auto"/>
              <w:bottom w:val="nil" w:sz="6" w:space="0" w:color="auto"/>
              <w:right w:val="nil" w:sz="6" w:space="0" w:color="auto"/>
            </w:tcBorders>
          </w:tcPr>
          <w:p>
            <w:pP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1"/>
              <w:ind w:left="108" w:right="0"/>
              <w:jc w:val="left"/>
              <w:rPr>
                <w:rFonts w:ascii="Times New Roman" w:hAnsi="Times New Roman" w:cs="Times New Roman" w:eastAsia="Times New Roman" w:hint="default"/>
                <w:sz w:val="15"/>
                <w:szCs w:val="15"/>
              </w:rPr>
            </w:pPr>
            <w:r>
              <w:rPr>
                <w:rFonts w:ascii="Times New Roman"/>
                <w:sz w:val="15"/>
              </w:rPr>
              <w:t>Zimmer</w:t>
            </w:r>
          </w:p>
        </w:tc>
        <w:tc>
          <w:tcPr>
            <w:tcW w:w="3631"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
        </w:tc>
        <w:tc>
          <w:tcPr>
            <w:tcW w:w="662" w:type="dxa"/>
            <w:tcBorders>
              <w:top w:val="nil" w:sz="6" w:space="0" w:color="auto"/>
              <w:left w:val="nil" w:sz="6" w:space="0" w:color="auto"/>
              <w:bottom w:val="nil" w:sz="6" w:space="0" w:color="auto"/>
              <w:right w:val="nil" w:sz="6" w:space="0" w:color="auto"/>
            </w:tcBorders>
          </w:tcPr>
          <w:p>
            <w:pPr/>
          </w:p>
        </w:tc>
        <w:tc>
          <w:tcPr>
            <w:tcW w:w="596"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
        </w:tc>
      </w:tr>
      <w:tr>
        <w:trPr>
          <w:trHeight w:val="479" w:hRule="exact"/>
        </w:trPr>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3"/>
              <w:ind w:right="0"/>
              <w:jc w:val="left"/>
              <w:rPr>
                <w:rFonts w:ascii="Times New Roman" w:hAnsi="Times New Roman" w:cs="Times New Roman" w:eastAsia="Times New Roman" w:hint="default"/>
                <w:sz w:val="11"/>
                <w:szCs w:val="11"/>
              </w:rPr>
            </w:pPr>
          </w:p>
          <w:p>
            <w:pPr>
              <w:pStyle w:val="TableParagraph"/>
              <w:spacing w:line="240" w:lineRule="auto"/>
              <w:ind w:left="122" w:right="0"/>
              <w:jc w:val="left"/>
              <w:rPr>
                <w:rFonts w:ascii="Times New Roman" w:hAnsi="Times New Roman" w:cs="Times New Roman" w:eastAsia="Times New Roman" w:hint="default"/>
                <w:sz w:val="15"/>
                <w:szCs w:val="15"/>
              </w:rPr>
            </w:pPr>
            <w:r>
              <w:rPr>
                <w:rFonts w:ascii="Times New Roman"/>
                <w:sz w:val="15"/>
              </w:rPr>
              <w:t>Neusoft</w:t>
            </w:r>
            <w:r>
              <w:rPr>
                <w:rFonts w:ascii="Times New Roman"/>
                <w:spacing w:val="-11"/>
                <w:sz w:val="15"/>
              </w:rPr>
              <w:t> </w:t>
            </w:r>
            <w:r>
              <w:rPr>
                <w:rFonts w:ascii="Times New Roman"/>
                <w:sz w:val="15"/>
              </w:rPr>
              <w:t>Technology</w:t>
            </w:r>
            <w:r>
              <w:rPr>
                <w:rFonts w:ascii="Times New Roman"/>
                <w:spacing w:val="-11"/>
                <w:sz w:val="15"/>
              </w:rPr>
              <w:t> </w:t>
            </w:r>
            <w:r>
              <w:rPr>
                <w:rFonts w:ascii="Times New Roman"/>
                <w:sz w:val="15"/>
              </w:rPr>
              <w:t>Solutions</w:t>
            </w:r>
            <w:r>
              <w:rPr>
                <w:rFonts w:ascii="Times New Roman"/>
                <w:spacing w:val="-8"/>
                <w:sz w:val="15"/>
              </w:rPr>
              <w:t> </w:t>
            </w:r>
            <w:r>
              <w:rPr>
                <w:rFonts w:ascii="Times New Roman"/>
                <w:sz w:val="15"/>
              </w:rPr>
              <w:t>GmbH</w:t>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8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8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85"/>
              <w:ind w:left="144" w:right="0"/>
              <w:jc w:val="left"/>
              <w:rPr>
                <w:rFonts w:ascii="宋体" w:hAnsi="宋体" w:cs="宋体" w:eastAsia="宋体" w:hint="default"/>
                <w:sz w:val="15"/>
                <w:szCs w:val="15"/>
              </w:rPr>
            </w:pPr>
            <w:r>
              <w:rPr>
                <w:rFonts w:ascii="宋体" w:hAnsi="宋体" w:cs="宋体" w:eastAsia="宋体" w:hint="default"/>
                <w:sz w:val="15"/>
                <w:szCs w:val="15"/>
              </w:rPr>
              <w:t>德国</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8" w:right="0"/>
              <w:jc w:val="left"/>
              <w:rPr>
                <w:rFonts w:ascii="Times New Roman" w:hAnsi="Times New Roman" w:cs="Times New Roman" w:eastAsia="Times New Roman" w:hint="default"/>
                <w:sz w:val="15"/>
                <w:szCs w:val="15"/>
              </w:rPr>
            </w:pPr>
            <w:r>
              <w:rPr>
                <w:rFonts w:ascii="Times New Roman"/>
                <w:sz w:val="15"/>
              </w:rPr>
              <w:t>Klaus</w:t>
            </w:r>
          </w:p>
        </w:tc>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85"/>
              <w:ind w:left="138" w:right="0"/>
              <w:jc w:val="left"/>
              <w:rPr>
                <w:rFonts w:ascii="宋体" w:hAnsi="宋体" w:cs="宋体" w:eastAsia="宋体" w:hint="default"/>
                <w:sz w:val="15"/>
                <w:szCs w:val="15"/>
              </w:rPr>
            </w:pPr>
            <w:r>
              <w:rPr>
                <w:rFonts w:ascii="宋体" w:hAnsi="宋体" w:cs="宋体" w:eastAsia="宋体" w:hint="default"/>
                <w:sz w:val="15"/>
                <w:szCs w:val="15"/>
              </w:rPr>
              <w:t>计算机软硬件，技术咨询、服务等</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21"/>
                <w:szCs w:val="21"/>
              </w:rPr>
            </w:pPr>
          </w:p>
          <w:p>
            <w:pPr>
              <w:pStyle w:val="TableParagraph"/>
              <w:spacing w:line="240" w:lineRule="auto"/>
              <w:ind w:right="184"/>
              <w:jc w:val="right"/>
              <w:rPr>
                <w:rFonts w:ascii="宋体" w:hAnsi="宋体" w:cs="宋体" w:eastAsia="宋体" w:hint="default"/>
                <w:sz w:val="15"/>
                <w:szCs w:val="15"/>
              </w:rPr>
            </w:pPr>
            <w:r>
              <w:rPr>
                <w:rFonts w:ascii="Times New Roman" w:hAnsi="Times New Roman" w:cs="Times New Roman" w:eastAsia="Times New Roman" w:hint="default"/>
                <w:sz w:val="15"/>
                <w:szCs w:val="15"/>
              </w:rPr>
              <w:t>102.5</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万欧元</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3"/>
              <w:ind w:right="0"/>
              <w:jc w:val="left"/>
              <w:rPr>
                <w:rFonts w:ascii="Times New Roman" w:hAnsi="Times New Roman" w:cs="Times New Roman" w:eastAsia="Times New Roman" w:hint="default"/>
                <w:sz w:val="11"/>
                <w:szCs w:val="11"/>
              </w:rPr>
            </w:pPr>
          </w:p>
          <w:p>
            <w:pPr>
              <w:pStyle w:val="TableParagraph"/>
              <w:spacing w:line="240" w:lineRule="auto"/>
              <w:ind w:right="136"/>
              <w:jc w:val="right"/>
              <w:rPr>
                <w:rFonts w:ascii="Times New Roman" w:hAnsi="Times New Roman" w:cs="Times New Roman" w:eastAsia="Times New Roman" w:hint="default"/>
                <w:sz w:val="15"/>
                <w:szCs w:val="15"/>
              </w:rPr>
            </w:pPr>
            <w:r>
              <w:rPr>
                <w:rFonts w:ascii="Times New Roman"/>
                <w:spacing w:val="-1"/>
                <w:sz w:val="15"/>
              </w:rPr>
              <w:t>100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3"/>
              <w:ind w:right="0"/>
              <w:jc w:val="left"/>
              <w:rPr>
                <w:rFonts w:ascii="Times New Roman" w:hAnsi="Times New Roman" w:cs="Times New Roman" w:eastAsia="Times New Roman" w:hint="default"/>
                <w:sz w:val="11"/>
                <w:szCs w:val="11"/>
              </w:rPr>
            </w:pPr>
          </w:p>
          <w:p>
            <w:pPr>
              <w:pStyle w:val="TableParagraph"/>
              <w:spacing w:line="240" w:lineRule="auto"/>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0" w:type="dxa"/>
            <w:tcBorders>
              <w:top w:val="nil" w:sz="6" w:space="0" w:color="auto"/>
              <w:left w:val="nil" w:sz="6" w:space="0" w:color="auto"/>
              <w:bottom w:val="nil" w:sz="6" w:space="0" w:color="auto"/>
              <w:right w:val="nil" w:sz="6" w:space="0" w:color="auto"/>
            </w:tcBorders>
          </w:tcPr>
          <w:p>
            <w:pPr/>
          </w:p>
        </w:tc>
      </w:tr>
      <w:tr>
        <w:trPr>
          <w:trHeight w:val="281" w:hRule="exact"/>
        </w:trPr>
        <w:tc>
          <w:tcPr>
            <w:tcW w:w="2606" w:type="dxa"/>
            <w:tcBorders>
              <w:top w:val="nil" w:sz="6" w:space="0" w:color="auto"/>
              <w:left w:val="nil" w:sz="6" w:space="0" w:color="auto"/>
              <w:bottom w:val="nil" w:sz="6" w:space="0" w:color="auto"/>
              <w:right w:val="nil" w:sz="6" w:space="0" w:color="auto"/>
            </w:tcBorders>
          </w:tcPr>
          <w:p>
            <w:pPr/>
          </w:p>
        </w:tc>
        <w:tc>
          <w:tcPr>
            <w:tcW w:w="624"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853" w:type="dxa"/>
            <w:tcBorders>
              <w:top w:val="nil" w:sz="6" w:space="0" w:color="auto"/>
              <w:left w:val="nil" w:sz="6" w:space="0" w:color="auto"/>
              <w:bottom w:val="nil" w:sz="6" w:space="0" w:color="auto"/>
              <w:right w:val="nil" w:sz="6" w:space="0" w:color="auto"/>
            </w:tcBorders>
          </w:tcPr>
          <w:p>
            <w:pP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ind w:left="108" w:right="0"/>
              <w:jc w:val="left"/>
              <w:rPr>
                <w:rFonts w:ascii="Times New Roman" w:hAnsi="Times New Roman" w:cs="Times New Roman" w:eastAsia="Times New Roman" w:hint="default"/>
                <w:sz w:val="15"/>
                <w:szCs w:val="15"/>
              </w:rPr>
            </w:pPr>
            <w:r>
              <w:rPr>
                <w:rFonts w:ascii="Times New Roman"/>
                <w:sz w:val="15"/>
              </w:rPr>
              <w:t>Zimmer</w:t>
            </w:r>
          </w:p>
        </w:tc>
        <w:tc>
          <w:tcPr>
            <w:tcW w:w="3631"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
        </w:tc>
        <w:tc>
          <w:tcPr>
            <w:tcW w:w="662" w:type="dxa"/>
            <w:tcBorders>
              <w:top w:val="nil" w:sz="6" w:space="0" w:color="auto"/>
              <w:left w:val="nil" w:sz="6" w:space="0" w:color="auto"/>
              <w:bottom w:val="nil" w:sz="6" w:space="0" w:color="auto"/>
              <w:right w:val="nil" w:sz="6" w:space="0" w:color="auto"/>
            </w:tcBorders>
          </w:tcPr>
          <w:p>
            <w:pPr/>
          </w:p>
        </w:tc>
        <w:tc>
          <w:tcPr>
            <w:tcW w:w="596"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
        </w:tc>
      </w:tr>
      <w:tr>
        <w:trPr>
          <w:trHeight w:val="282" w:hRule="exact"/>
        </w:trPr>
        <w:tc>
          <w:tcPr>
            <w:tcW w:w="2606" w:type="dxa"/>
            <w:tcBorders>
              <w:top w:val="nil" w:sz="6" w:space="0" w:color="auto"/>
              <w:left w:val="nil" w:sz="6" w:space="0" w:color="auto"/>
              <w:bottom w:val="nil" w:sz="6" w:space="0" w:color="auto"/>
              <w:right w:val="nil" w:sz="6" w:space="0" w:color="auto"/>
            </w:tcBorders>
          </w:tcPr>
          <w:p>
            <w:pPr/>
          </w:p>
        </w:tc>
        <w:tc>
          <w:tcPr>
            <w:tcW w:w="624"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853" w:type="dxa"/>
            <w:tcBorders>
              <w:top w:val="nil" w:sz="6" w:space="0" w:color="auto"/>
              <w:left w:val="nil" w:sz="6" w:space="0" w:color="auto"/>
              <w:bottom w:val="nil" w:sz="6" w:space="0" w:color="auto"/>
              <w:right w:val="nil" w:sz="6" w:space="0" w:color="auto"/>
            </w:tcBorders>
          </w:tcPr>
          <w:p>
            <w:pPr/>
          </w:p>
        </w:tc>
        <w:tc>
          <w:tcPr>
            <w:tcW w:w="729" w:type="dxa"/>
            <w:tcBorders>
              <w:top w:val="nil" w:sz="6" w:space="0" w:color="auto"/>
              <w:left w:val="nil" w:sz="6" w:space="0" w:color="auto"/>
              <w:bottom w:val="nil" w:sz="6" w:space="0" w:color="auto"/>
              <w:right w:val="nil" w:sz="6" w:space="0" w:color="auto"/>
            </w:tcBorders>
          </w:tcPr>
          <w:p>
            <w:pPr/>
          </w:p>
        </w:tc>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8" w:right="0"/>
              <w:jc w:val="left"/>
              <w:rPr>
                <w:rFonts w:ascii="宋体" w:hAnsi="宋体" w:cs="宋体" w:eastAsia="宋体" w:hint="default"/>
                <w:sz w:val="15"/>
                <w:szCs w:val="15"/>
              </w:rPr>
            </w:pPr>
            <w:r>
              <w:rPr>
                <w:rFonts w:ascii="宋体" w:hAnsi="宋体" w:cs="宋体" w:eastAsia="宋体" w:hint="default"/>
                <w:sz w:val="15"/>
                <w:szCs w:val="15"/>
              </w:rPr>
              <w:t>开发、生产计算机软件；销售自产产品；技术支持服</w:t>
            </w:r>
          </w:p>
        </w:tc>
        <w:tc>
          <w:tcPr>
            <w:tcW w:w="1540" w:type="dxa"/>
            <w:tcBorders>
              <w:top w:val="nil" w:sz="6" w:space="0" w:color="auto"/>
              <w:left w:val="nil" w:sz="6" w:space="0" w:color="auto"/>
              <w:bottom w:val="nil" w:sz="6" w:space="0" w:color="auto"/>
              <w:right w:val="nil" w:sz="6" w:space="0" w:color="auto"/>
            </w:tcBorders>
          </w:tcPr>
          <w:p>
            <w:pPr/>
          </w:p>
        </w:tc>
        <w:tc>
          <w:tcPr>
            <w:tcW w:w="662" w:type="dxa"/>
            <w:tcBorders>
              <w:top w:val="nil" w:sz="6" w:space="0" w:color="auto"/>
              <w:left w:val="nil" w:sz="6" w:space="0" w:color="auto"/>
              <w:bottom w:val="nil" w:sz="6" w:space="0" w:color="auto"/>
              <w:right w:val="nil" w:sz="6" w:space="0" w:color="auto"/>
            </w:tcBorders>
          </w:tcPr>
          <w:p>
            <w:pPr/>
          </w:p>
        </w:tc>
        <w:tc>
          <w:tcPr>
            <w:tcW w:w="596"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
        </w:tc>
      </w:tr>
      <w:tr>
        <w:trPr>
          <w:trHeight w:val="480" w:hRule="exact"/>
        </w:trPr>
        <w:tc>
          <w:tcPr>
            <w:tcW w:w="2606" w:type="dxa"/>
            <w:tcBorders>
              <w:top w:val="nil" w:sz="6" w:space="0" w:color="auto"/>
              <w:left w:val="nil" w:sz="6" w:space="0" w:color="auto"/>
              <w:bottom w:val="nil" w:sz="6" w:space="0" w:color="auto"/>
              <w:right w:val="nil" w:sz="6" w:space="0" w:color="auto"/>
            </w:tcBorders>
          </w:tcPr>
          <w:p>
            <w:pPr>
              <w:pStyle w:val="TableParagraph"/>
              <w:spacing w:line="170" w:lineRule="exact"/>
              <w:ind w:left="122" w:right="0"/>
              <w:jc w:val="left"/>
              <w:rPr>
                <w:rFonts w:ascii="宋体" w:hAnsi="宋体" w:cs="宋体" w:eastAsia="宋体" w:hint="default"/>
                <w:sz w:val="15"/>
                <w:szCs w:val="15"/>
              </w:rPr>
            </w:pPr>
            <w:r>
              <w:rPr>
                <w:rFonts w:ascii="宋体" w:hAnsi="宋体" w:cs="宋体" w:eastAsia="宋体" w:hint="default"/>
                <w:sz w:val="15"/>
                <w:szCs w:val="15"/>
              </w:rPr>
              <w:t>北京东软望海科技有限公司</w:t>
            </w:r>
          </w:p>
        </w:tc>
        <w:tc>
          <w:tcPr>
            <w:tcW w:w="624" w:type="dxa"/>
            <w:tcBorders>
              <w:top w:val="nil" w:sz="6" w:space="0" w:color="auto"/>
              <w:left w:val="nil" w:sz="6" w:space="0" w:color="auto"/>
              <w:bottom w:val="nil" w:sz="6" w:space="0" w:color="auto"/>
              <w:right w:val="nil" w:sz="6" w:space="0" w:color="auto"/>
            </w:tcBorders>
          </w:tcPr>
          <w:p>
            <w:pPr>
              <w:pStyle w:val="TableParagraph"/>
              <w:spacing w:line="170" w:lineRule="exact"/>
              <w:ind w:right="104"/>
              <w:jc w:val="right"/>
              <w:rPr>
                <w:rFonts w:ascii="宋体" w:hAnsi="宋体" w:cs="宋体" w:eastAsia="宋体" w:hint="default"/>
                <w:sz w:val="15"/>
                <w:szCs w:val="15"/>
              </w:rPr>
            </w:pPr>
            <w:r>
              <w:rPr>
                <w:rFonts w:ascii="宋体" w:hAnsi="宋体" w:cs="宋体" w:eastAsia="宋体" w:hint="default"/>
                <w:sz w:val="15"/>
                <w:szCs w:val="15"/>
              </w:rPr>
              <w:t>控股</w:t>
            </w:r>
          </w:p>
        </w:tc>
        <w:tc>
          <w:tcPr>
            <w:tcW w:w="1151" w:type="dxa"/>
            <w:tcBorders>
              <w:top w:val="nil" w:sz="6" w:space="0" w:color="auto"/>
              <w:left w:val="nil" w:sz="6" w:space="0" w:color="auto"/>
              <w:bottom w:val="nil" w:sz="6" w:space="0" w:color="auto"/>
              <w:right w:val="nil" w:sz="6" w:space="0" w:color="auto"/>
            </w:tcBorders>
          </w:tcPr>
          <w:p>
            <w:pPr>
              <w:pStyle w:val="TableParagraph"/>
              <w:spacing w:line="170" w:lineRule="exact"/>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853" w:type="dxa"/>
            <w:tcBorders>
              <w:top w:val="nil" w:sz="6" w:space="0" w:color="auto"/>
              <w:left w:val="nil" w:sz="6" w:space="0" w:color="auto"/>
              <w:bottom w:val="nil" w:sz="6" w:space="0" w:color="auto"/>
              <w:right w:val="nil" w:sz="6" w:space="0" w:color="auto"/>
            </w:tcBorders>
          </w:tcPr>
          <w:p>
            <w:pPr>
              <w:pStyle w:val="TableParagraph"/>
              <w:spacing w:line="170" w:lineRule="exact"/>
              <w:ind w:left="144" w:right="0"/>
              <w:jc w:val="left"/>
              <w:rPr>
                <w:rFonts w:ascii="宋体" w:hAnsi="宋体" w:cs="宋体" w:eastAsia="宋体" w:hint="default"/>
                <w:sz w:val="15"/>
                <w:szCs w:val="15"/>
              </w:rPr>
            </w:pPr>
            <w:r>
              <w:rPr>
                <w:rFonts w:ascii="宋体" w:hAnsi="宋体" w:cs="宋体" w:eastAsia="宋体" w:hint="default"/>
                <w:sz w:val="15"/>
                <w:szCs w:val="15"/>
              </w:rPr>
              <w:t>北京</w:t>
            </w:r>
          </w:p>
        </w:tc>
        <w:tc>
          <w:tcPr>
            <w:tcW w:w="729" w:type="dxa"/>
            <w:tcBorders>
              <w:top w:val="nil" w:sz="6" w:space="0" w:color="auto"/>
              <w:left w:val="nil" w:sz="6" w:space="0" w:color="auto"/>
              <w:bottom w:val="nil" w:sz="6" w:space="0" w:color="auto"/>
              <w:right w:val="nil" w:sz="6" w:space="0" w:color="auto"/>
            </w:tcBorders>
          </w:tcPr>
          <w:p>
            <w:pPr>
              <w:pStyle w:val="TableParagraph"/>
              <w:spacing w:line="170" w:lineRule="exact"/>
              <w:ind w:left="108" w:right="0"/>
              <w:jc w:val="left"/>
              <w:rPr>
                <w:rFonts w:ascii="宋体" w:hAnsi="宋体" w:cs="宋体" w:eastAsia="宋体" w:hint="default"/>
                <w:sz w:val="15"/>
                <w:szCs w:val="15"/>
              </w:rPr>
            </w:pPr>
            <w:r>
              <w:rPr>
                <w:rFonts w:ascii="宋体" w:hAnsi="宋体" w:cs="宋体" w:eastAsia="宋体" w:hint="default"/>
                <w:sz w:val="15"/>
                <w:szCs w:val="15"/>
              </w:rPr>
              <w:t>卢朝霞</w:t>
            </w:r>
          </w:p>
        </w:tc>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38" w:right="0"/>
              <w:jc w:val="left"/>
              <w:rPr>
                <w:rFonts w:ascii="宋体" w:hAnsi="宋体" w:cs="宋体" w:eastAsia="宋体" w:hint="default"/>
                <w:sz w:val="15"/>
                <w:szCs w:val="15"/>
              </w:rPr>
            </w:pPr>
            <w:r>
              <w:rPr>
                <w:rFonts w:ascii="宋体" w:hAnsi="宋体" w:cs="宋体" w:eastAsia="宋体" w:hint="default"/>
                <w:sz w:val="15"/>
                <w:szCs w:val="15"/>
              </w:rPr>
              <w:t>务；计算机软硬件产品的批发、佣金代理进出口业务</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85"/>
              <w:jc w:val="right"/>
              <w:rPr>
                <w:rFonts w:ascii="Times New Roman" w:hAnsi="Times New Roman" w:cs="Times New Roman" w:eastAsia="Times New Roman" w:hint="default"/>
                <w:sz w:val="15"/>
                <w:szCs w:val="15"/>
              </w:rPr>
            </w:pPr>
            <w:r>
              <w:rPr>
                <w:rFonts w:ascii="Times New Roman"/>
                <w:spacing w:val="-1"/>
                <w:sz w:val="15"/>
              </w:rPr>
              <w:t>2,779</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7"/>
              <w:jc w:val="right"/>
              <w:rPr>
                <w:rFonts w:ascii="Times New Roman" w:hAnsi="Times New Roman" w:cs="Times New Roman" w:eastAsia="Times New Roman" w:hint="default"/>
                <w:sz w:val="15"/>
                <w:szCs w:val="15"/>
              </w:rPr>
            </w:pPr>
            <w:r>
              <w:rPr>
                <w:rFonts w:ascii="Times New Roman"/>
                <w:spacing w:val="-1"/>
                <w:sz w:val="15"/>
              </w:rPr>
              <w:t>73.14</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8"/>
              <w:jc w:val="right"/>
              <w:rPr>
                <w:rFonts w:ascii="Times New Roman" w:hAnsi="Times New Roman" w:cs="Times New Roman" w:eastAsia="Times New Roman" w:hint="default"/>
                <w:sz w:val="15"/>
                <w:szCs w:val="15"/>
              </w:rPr>
            </w:pPr>
            <w:r>
              <w:rPr>
                <w:rFonts w:ascii="Times New Roman"/>
                <w:spacing w:val="-1"/>
                <w:sz w:val="15"/>
              </w:rPr>
              <w:t>73.14</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4"/>
              <w:jc w:val="center"/>
              <w:rPr>
                <w:rFonts w:ascii="Times New Roman" w:hAnsi="Times New Roman" w:cs="Times New Roman" w:eastAsia="Times New Roman" w:hint="default"/>
                <w:sz w:val="15"/>
                <w:szCs w:val="15"/>
              </w:rPr>
            </w:pPr>
            <w:r>
              <w:rPr>
                <w:rFonts w:ascii="Times New Roman"/>
                <w:sz w:val="15"/>
              </w:rPr>
              <w:t>75010398-1</w:t>
            </w:r>
          </w:p>
        </w:tc>
      </w:tr>
      <w:tr>
        <w:trPr>
          <w:trHeight w:val="398" w:hRule="exact"/>
        </w:trPr>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22" w:right="0"/>
              <w:jc w:val="left"/>
              <w:rPr>
                <w:rFonts w:ascii="宋体" w:hAnsi="宋体" w:cs="宋体" w:eastAsia="宋体" w:hint="default"/>
                <w:sz w:val="15"/>
                <w:szCs w:val="15"/>
              </w:rPr>
            </w:pPr>
            <w:r>
              <w:rPr>
                <w:rFonts w:ascii="宋体" w:hAnsi="宋体" w:cs="宋体" w:eastAsia="宋体" w:hint="default"/>
                <w:sz w:val="15"/>
                <w:szCs w:val="15"/>
              </w:rPr>
              <w:t>东软熙康控股有限公司</w:t>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44" w:right="0"/>
              <w:jc w:val="left"/>
              <w:rPr>
                <w:rFonts w:ascii="宋体" w:hAnsi="宋体" w:cs="宋体" w:eastAsia="宋体" w:hint="default"/>
                <w:sz w:val="15"/>
                <w:szCs w:val="15"/>
              </w:rPr>
            </w:pPr>
            <w:r>
              <w:rPr>
                <w:rFonts w:ascii="宋体" w:hAnsi="宋体" w:cs="宋体" w:eastAsia="宋体" w:hint="default"/>
                <w:sz w:val="15"/>
                <w:szCs w:val="15"/>
              </w:rPr>
              <w:t>开曼群岛</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08" w:right="0"/>
              <w:jc w:val="left"/>
              <w:rPr>
                <w:rFonts w:ascii="宋体" w:hAnsi="宋体" w:cs="宋体" w:eastAsia="宋体" w:hint="default"/>
                <w:sz w:val="15"/>
                <w:szCs w:val="15"/>
              </w:rPr>
            </w:pPr>
            <w:r>
              <w:rPr>
                <w:rFonts w:ascii="宋体" w:hAnsi="宋体" w:cs="宋体" w:eastAsia="宋体" w:hint="default"/>
                <w:sz w:val="15"/>
                <w:szCs w:val="15"/>
              </w:rPr>
              <w:t>刘积仁</w:t>
            </w:r>
          </w:p>
        </w:tc>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3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IT</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及相关咨询服务</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85"/>
              <w:jc w:val="right"/>
              <w:rPr>
                <w:rFonts w:ascii="宋体" w:hAnsi="宋体" w:cs="宋体" w:eastAsia="宋体" w:hint="default"/>
                <w:sz w:val="15"/>
                <w:szCs w:val="15"/>
              </w:rPr>
            </w:pPr>
            <w:r>
              <w:rPr>
                <w:rFonts w:ascii="Times New Roman" w:hAnsi="Times New Roman" w:cs="Times New Roman" w:eastAsia="Times New Roman" w:hint="default"/>
                <w:sz w:val="15"/>
                <w:szCs w:val="15"/>
              </w:rPr>
              <w:t>5 </w:t>
            </w:r>
            <w:r>
              <w:rPr>
                <w:rFonts w:ascii="宋体" w:hAnsi="宋体" w:cs="宋体" w:eastAsia="宋体" w:hint="default"/>
                <w:sz w:val="15"/>
                <w:szCs w:val="15"/>
              </w:rPr>
              <w:t>万美元</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35"/>
              <w:jc w:val="right"/>
              <w:rPr>
                <w:rFonts w:ascii="Times New Roman" w:hAnsi="Times New Roman" w:cs="Times New Roman" w:eastAsia="Times New Roman" w:hint="default"/>
                <w:sz w:val="15"/>
                <w:szCs w:val="15"/>
              </w:rPr>
            </w:pPr>
            <w:r>
              <w:rPr>
                <w:rFonts w:ascii="Times New Roman"/>
                <w:sz w:val="15"/>
              </w:rPr>
              <w:t>70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18"/>
              <w:jc w:val="right"/>
              <w:rPr>
                <w:rFonts w:ascii="Times New Roman" w:hAnsi="Times New Roman" w:cs="Times New Roman" w:eastAsia="Times New Roman" w:hint="default"/>
                <w:sz w:val="15"/>
                <w:szCs w:val="15"/>
              </w:rPr>
            </w:pPr>
            <w:r>
              <w:rPr>
                <w:rFonts w:ascii="Times New Roman"/>
                <w:sz w:val="15"/>
              </w:rPr>
              <w:t>70</w:t>
            </w:r>
          </w:p>
        </w:tc>
        <w:tc>
          <w:tcPr>
            <w:tcW w:w="1010" w:type="dxa"/>
            <w:tcBorders>
              <w:top w:val="nil" w:sz="6" w:space="0" w:color="auto"/>
              <w:left w:val="nil" w:sz="6" w:space="0" w:color="auto"/>
              <w:bottom w:val="nil" w:sz="6" w:space="0" w:color="auto"/>
              <w:right w:val="nil" w:sz="6" w:space="0" w:color="auto"/>
            </w:tcBorders>
          </w:tcPr>
          <w:p>
            <w:pPr/>
          </w:p>
        </w:tc>
      </w:tr>
      <w:tr>
        <w:trPr>
          <w:trHeight w:val="390" w:hRule="exact"/>
        </w:trPr>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2" w:right="0"/>
              <w:jc w:val="left"/>
              <w:rPr>
                <w:rFonts w:ascii="宋体" w:hAnsi="宋体" w:cs="宋体" w:eastAsia="宋体" w:hint="default"/>
                <w:sz w:val="15"/>
                <w:szCs w:val="15"/>
              </w:rPr>
            </w:pPr>
            <w:r>
              <w:rPr>
                <w:rFonts w:ascii="宋体" w:hAnsi="宋体" w:cs="宋体" w:eastAsia="宋体" w:hint="default"/>
                <w:sz w:val="15"/>
                <w:szCs w:val="15"/>
              </w:rPr>
              <w:t>东软熙康国际有限公司</w:t>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香港</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8" w:right="0"/>
              <w:jc w:val="left"/>
              <w:rPr>
                <w:rFonts w:ascii="宋体" w:hAnsi="宋体" w:cs="宋体" w:eastAsia="宋体" w:hint="default"/>
                <w:sz w:val="15"/>
                <w:szCs w:val="15"/>
              </w:rPr>
            </w:pPr>
            <w:r>
              <w:rPr>
                <w:rFonts w:ascii="宋体" w:hAnsi="宋体" w:cs="宋体" w:eastAsia="宋体" w:hint="default"/>
                <w:sz w:val="15"/>
                <w:szCs w:val="15"/>
              </w:rPr>
              <w:t>赵宏</w:t>
            </w:r>
          </w:p>
        </w:tc>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8"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IT</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及相关咨询服务</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84"/>
              <w:jc w:val="right"/>
              <w:rPr>
                <w:rFonts w:ascii="宋体" w:hAnsi="宋体" w:cs="宋体" w:eastAsia="宋体" w:hint="default"/>
                <w:sz w:val="15"/>
                <w:szCs w:val="15"/>
              </w:rPr>
            </w:pPr>
            <w:r>
              <w:rPr>
                <w:rFonts w:ascii="Times New Roman" w:hAnsi="Times New Roman" w:cs="Times New Roman" w:eastAsia="Times New Roman" w:hint="default"/>
                <w:sz w:val="15"/>
                <w:szCs w:val="15"/>
              </w:rPr>
              <w:t>100 </w:t>
            </w:r>
            <w:r>
              <w:rPr>
                <w:rFonts w:ascii="宋体" w:hAnsi="宋体" w:cs="宋体" w:eastAsia="宋体" w:hint="default"/>
                <w:sz w:val="15"/>
                <w:szCs w:val="15"/>
              </w:rPr>
              <w:t>万港元</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6"/>
              <w:jc w:val="right"/>
              <w:rPr>
                <w:rFonts w:ascii="Times New Roman" w:hAnsi="Times New Roman" w:cs="Times New Roman" w:eastAsia="Times New Roman" w:hint="default"/>
                <w:sz w:val="15"/>
                <w:szCs w:val="15"/>
              </w:rPr>
            </w:pPr>
            <w:r>
              <w:rPr>
                <w:rFonts w:ascii="Times New Roman"/>
                <w:spacing w:val="-1"/>
                <w:sz w:val="15"/>
              </w:rPr>
              <w:t>100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0" w:type="dxa"/>
            <w:tcBorders>
              <w:top w:val="nil" w:sz="6" w:space="0" w:color="auto"/>
              <w:left w:val="nil" w:sz="6" w:space="0" w:color="auto"/>
              <w:bottom w:val="nil" w:sz="6" w:space="0" w:color="auto"/>
              <w:right w:val="nil" w:sz="6" w:space="0" w:color="auto"/>
            </w:tcBorders>
          </w:tcPr>
          <w:p>
            <w:pPr/>
          </w:p>
        </w:tc>
      </w:tr>
      <w:tr>
        <w:trPr>
          <w:trHeight w:val="390" w:hRule="exact"/>
        </w:trPr>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2" w:right="0"/>
              <w:jc w:val="left"/>
              <w:rPr>
                <w:rFonts w:ascii="宋体" w:hAnsi="宋体" w:cs="宋体" w:eastAsia="宋体" w:hint="default"/>
                <w:sz w:val="15"/>
                <w:szCs w:val="15"/>
              </w:rPr>
            </w:pPr>
            <w:r>
              <w:rPr>
                <w:rFonts w:ascii="宋体" w:hAnsi="宋体" w:cs="宋体" w:eastAsia="宋体" w:hint="default"/>
                <w:sz w:val="15"/>
                <w:szCs w:val="15"/>
              </w:rPr>
              <w:t>东软熙康健康科技有限公司</w:t>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北京</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8" w:right="0"/>
              <w:jc w:val="left"/>
              <w:rPr>
                <w:rFonts w:ascii="宋体" w:hAnsi="宋体" w:cs="宋体" w:eastAsia="宋体" w:hint="default"/>
                <w:sz w:val="15"/>
                <w:szCs w:val="15"/>
              </w:rPr>
            </w:pPr>
            <w:r>
              <w:rPr>
                <w:rFonts w:ascii="宋体" w:hAnsi="宋体" w:cs="宋体" w:eastAsia="宋体" w:hint="default"/>
                <w:sz w:val="15"/>
                <w:szCs w:val="15"/>
              </w:rPr>
              <w:t>卢朝霞</w:t>
            </w:r>
          </w:p>
        </w:tc>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8" w:right="0"/>
              <w:jc w:val="left"/>
              <w:rPr>
                <w:rFonts w:ascii="宋体" w:hAnsi="宋体" w:cs="宋体" w:eastAsia="宋体" w:hint="default"/>
                <w:sz w:val="15"/>
                <w:szCs w:val="15"/>
              </w:rPr>
            </w:pPr>
            <w:r>
              <w:rPr>
                <w:rFonts w:ascii="宋体" w:hAnsi="宋体" w:cs="宋体" w:eastAsia="宋体" w:hint="default"/>
                <w:sz w:val="15"/>
                <w:szCs w:val="15"/>
              </w:rPr>
              <w:t>计算机软硬件、电子产品开发、企业投资管理咨询</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84"/>
              <w:jc w:val="right"/>
              <w:rPr>
                <w:rFonts w:ascii="宋体" w:hAnsi="宋体" w:cs="宋体" w:eastAsia="宋体" w:hint="default"/>
                <w:sz w:val="15"/>
                <w:szCs w:val="15"/>
              </w:rPr>
            </w:pPr>
            <w:r>
              <w:rPr>
                <w:rFonts w:ascii="Times New Roman" w:hAnsi="Times New Roman" w:cs="Times New Roman" w:eastAsia="Times New Roman" w:hint="default"/>
                <w:sz w:val="15"/>
                <w:szCs w:val="15"/>
              </w:rPr>
              <w:t>800 </w:t>
            </w:r>
            <w:r>
              <w:rPr>
                <w:rFonts w:ascii="宋体" w:hAnsi="宋体" w:cs="宋体" w:eastAsia="宋体" w:hint="default"/>
                <w:sz w:val="15"/>
                <w:szCs w:val="15"/>
              </w:rPr>
              <w:t>万美元</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6"/>
              <w:jc w:val="right"/>
              <w:rPr>
                <w:rFonts w:ascii="Times New Roman" w:hAnsi="Times New Roman" w:cs="Times New Roman" w:eastAsia="Times New Roman" w:hint="default"/>
                <w:sz w:val="15"/>
                <w:szCs w:val="15"/>
              </w:rPr>
            </w:pPr>
            <w:r>
              <w:rPr>
                <w:rFonts w:ascii="Times New Roman"/>
                <w:spacing w:val="-1"/>
                <w:sz w:val="15"/>
              </w:rPr>
              <w:t>100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4"/>
              <w:jc w:val="center"/>
              <w:rPr>
                <w:rFonts w:ascii="Times New Roman" w:hAnsi="Times New Roman" w:cs="Times New Roman" w:eastAsia="Times New Roman" w:hint="default"/>
                <w:sz w:val="15"/>
                <w:szCs w:val="15"/>
              </w:rPr>
            </w:pPr>
            <w:r>
              <w:rPr>
                <w:rFonts w:ascii="Times New Roman"/>
                <w:sz w:val="15"/>
              </w:rPr>
              <w:t>57515244-3</w:t>
            </w:r>
          </w:p>
        </w:tc>
      </w:tr>
      <w:tr>
        <w:trPr>
          <w:trHeight w:val="390" w:hRule="exact"/>
        </w:trPr>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2" w:right="0"/>
              <w:jc w:val="left"/>
              <w:rPr>
                <w:rFonts w:ascii="宋体" w:hAnsi="宋体" w:cs="宋体" w:eastAsia="宋体" w:hint="default"/>
                <w:sz w:val="15"/>
                <w:szCs w:val="15"/>
              </w:rPr>
            </w:pPr>
            <w:r>
              <w:rPr>
                <w:rFonts w:ascii="宋体" w:hAnsi="宋体" w:cs="宋体" w:eastAsia="宋体" w:hint="default"/>
                <w:sz w:val="15"/>
                <w:szCs w:val="15"/>
              </w:rPr>
              <w:t>辽宁东软熙康健康管理有限公司</w:t>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沈阳</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8" w:right="0"/>
              <w:jc w:val="left"/>
              <w:rPr>
                <w:rFonts w:ascii="宋体" w:hAnsi="宋体" w:cs="宋体" w:eastAsia="宋体" w:hint="default"/>
                <w:sz w:val="15"/>
                <w:szCs w:val="15"/>
              </w:rPr>
            </w:pPr>
            <w:r>
              <w:rPr>
                <w:rFonts w:ascii="宋体" w:hAnsi="宋体" w:cs="宋体" w:eastAsia="宋体" w:hint="default"/>
                <w:sz w:val="15"/>
                <w:szCs w:val="15"/>
              </w:rPr>
              <w:t>卢朝霞</w:t>
            </w:r>
          </w:p>
        </w:tc>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8" w:right="0"/>
              <w:jc w:val="left"/>
              <w:rPr>
                <w:rFonts w:ascii="宋体" w:hAnsi="宋体" w:cs="宋体" w:eastAsia="宋体" w:hint="default"/>
                <w:sz w:val="15"/>
                <w:szCs w:val="15"/>
              </w:rPr>
            </w:pPr>
            <w:r>
              <w:rPr>
                <w:rFonts w:ascii="宋体" w:hAnsi="宋体" w:cs="宋体" w:eastAsia="宋体" w:hint="default"/>
                <w:sz w:val="15"/>
                <w:szCs w:val="15"/>
              </w:rPr>
              <w:t>健康信息管理、信息咨询、管理服务及管理系统开发</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5"/>
              <w:jc w:val="right"/>
              <w:rPr>
                <w:rFonts w:ascii="Times New Roman" w:hAnsi="Times New Roman" w:cs="Times New Roman" w:eastAsia="Times New Roman" w:hint="default"/>
                <w:sz w:val="15"/>
                <w:szCs w:val="15"/>
              </w:rPr>
            </w:pPr>
            <w:r>
              <w:rPr>
                <w:rFonts w:ascii="Times New Roman"/>
                <w:spacing w:val="-1"/>
                <w:sz w:val="15"/>
              </w:rPr>
              <w:t>3,000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7"/>
              <w:jc w:val="right"/>
              <w:rPr>
                <w:rFonts w:ascii="Times New Roman" w:hAnsi="Times New Roman" w:cs="Times New Roman" w:eastAsia="Times New Roman" w:hint="default"/>
                <w:sz w:val="15"/>
                <w:szCs w:val="15"/>
              </w:rPr>
            </w:pPr>
            <w:r>
              <w:rPr>
                <w:rFonts w:ascii="Times New Roman"/>
                <w:spacing w:val="-1"/>
                <w:sz w:val="15"/>
              </w:rPr>
              <w:t>100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4"/>
              <w:jc w:val="center"/>
              <w:rPr>
                <w:rFonts w:ascii="Times New Roman" w:hAnsi="Times New Roman" w:cs="Times New Roman" w:eastAsia="Times New Roman" w:hint="default"/>
                <w:sz w:val="15"/>
                <w:szCs w:val="15"/>
              </w:rPr>
            </w:pPr>
            <w:r>
              <w:rPr>
                <w:rFonts w:ascii="Times New Roman"/>
                <w:sz w:val="15"/>
              </w:rPr>
              <w:t>58385530-9</w:t>
            </w:r>
          </w:p>
        </w:tc>
      </w:tr>
      <w:tr>
        <w:trPr>
          <w:trHeight w:val="390" w:hRule="exact"/>
        </w:trPr>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2" w:right="0"/>
              <w:jc w:val="left"/>
              <w:rPr>
                <w:rFonts w:ascii="宋体" w:hAnsi="宋体" w:cs="宋体" w:eastAsia="宋体" w:hint="default"/>
                <w:sz w:val="15"/>
                <w:szCs w:val="15"/>
              </w:rPr>
            </w:pPr>
            <w:r>
              <w:rPr>
                <w:rFonts w:ascii="宋体" w:hAnsi="宋体" w:cs="宋体" w:eastAsia="宋体" w:hint="default"/>
                <w:sz w:val="15"/>
                <w:szCs w:val="15"/>
              </w:rPr>
              <w:t>沈阳东软熙康医疗系统有限公司</w:t>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沈阳</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8" w:right="0"/>
              <w:jc w:val="left"/>
              <w:rPr>
                <w:rFonts w:ascii="宋体" w:hAnsi="宋体" w:cs="宋体" w:eastAsia="宋体" w:hint="default"/>
                <w:sz w:val="15"/>
                <w:szCs w:val="15"/>
              </w:rPr>
            </w:pPr>
            <w:r>
              <w:rPr>
                <w:rFonts w:ascii="宋体" w:hAnsi="宋体" w:cs="宋体" w:eastAsia="宋体" w:hint="default"/>
                <w:sz w:val="15"/>
                <w:szCs w:val="15"/>
              </w:rPr>
              <w:t>卢朝霞</w:t>
            </w:r>
          </w:p>
        </w:tc>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8" w:right="0"/>
              <w:jc w:val="left"/>
              <w:rPr>
                <w:rFonts w:ascii="宋体" w:hAnsi="宋体" w:cs="宋体" w:eastAsia="宋体" w:hint="default"/>
                <w:sz w:val="15"/>
                <w:szCs w:val="15"/>
              </w:rPr>
            </w:pPr>
            <w:r>
              <w:rPr>
                <w:rFonts w:ascii="宋体" w:hAnsi="宋体" w:cs="宋体" w:eastAsia="宋体" w:hint="default"/>
                <w:sz w:val="15"/>
                <w:szCs w:val="15"/>
              </w:rPr>
              <w:t>医疗系统计算机软硬件开发、健康管理咨询服务</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5"/>
              <w:jc w:val="right"/>
              <w:rPr>
                <w:rFonts w:ascii="Times New Roman" w:hAnsi="Times New Roman" w:cs="Times New Roman" w:eastAsia="Times New Roman" w:hint="default"/>
                <w:sz w:val="15"/>
                <w:szCs w:val="15"/>
              </w:rPr>
            </w:pPr>
            <w:r>
              <w:rPr>
                <w:rFonts w:ascii="Times New Roman"/>
                <w:spacing w:val="-1"/>
                <w:sz w:val="15"/>
              </w:rPr>
              <w:t>1,000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7"/>
              <w:jc w:val="right"/>
              <w:rPr>
                <w:rFonts w:ascii="Times New Roman" w:hAnsi="Times New Roman" w:cs="Times New Roman" w:eastAsia="Times New Roman" w:hint="default"/>
                <w:sz w:val="15"/>
                <w:szCs w:val="15"/>
              </w:rPr>
            </w:pPr>
            <w:r>
              <w:rPr>
                <w:rFonts w:ascii="Times New Roman"/>
                <w:spacing w:val="-1"/>
                <w:sz w:val="15"/>
              </w:rPr>
              <w:t>100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4"/>
              <w:jc w:val="center"/>
              <w:rPr>
                <w:rFonts w:ascii="Times New Roman" w:hAnsi="Times New Roman" w:cs="Times New Roman" w:eastAsia="Times New Roman" w:hint="default"/>
                <w:sz w:val="15"/>
                <w:szCs w:val="15"/>
              </w:rPr>
            </w:pPr>
            <w:r>
              <w:rPr>
                <w:rFonts w:ascii="Times New Roman"/>
                <w:sz w:val="15"/>
              </w:rPr>
              <w:t>58387954-6</w:t>
            </w:r>
          </w:p>
        </w:tc>
      </w:tr>
      <w:tr>
        <w:trPr>
          <w:trHeight w:val="390" w:hRule="exact"/>
        </w:trPr>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2" w:right="0"/>
              <w:jc w:val="left"/>
              <w:rPr>
                <w:rFonts w:ascii="宋体" w:hAnsi="宋体" w:cs="宋体" w:eastAsia="宋体" w:hint="default"/>
                <w:sz w:val="15"/>
                <w:szCs w:val="15"/>
              </w:rPr>
            </w:pPr>
            <w:r>
              <w:rPr>
                <w:rFonts w:ascii="宋体" w:hAnsi="宋体" w:cs="宋体" w:eastAsia="宋体" w:hint="default"/>
                <w:sz w:val="15"/>
                <w:szCs w:val="15"/>
              </w:rPr>
              <w:t>深圳市东软时尚数字技术有限公司</w:t>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深圳</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8" w:right="0"/>
              <w:jc w:val="left"/>
              <w:rPr>
                <w:rFonts w:ascii="宋体" w:hAnsi="宋体" w:cs="宋体" w:eastAsia="宋体" w:hint="default"/>
                <w:sz w:val="15"/>
                <w:szCs w:val="15"/>
              </w:rPr>
            </w:pPr>
            <w:r>
              <w:rPr>
                <w:rFonts w:ascii="宋体" w:hAnsi="宋体" w:cs="宋体" w:eastAsia="宋体" w:hint="default"/>
                <w:sz w:val="15"/>
                <w:szCs w:val="15"/>
              </w:rPr>
              <w:t>卢朝霞</w:t>
            </w:r>
          </w:p>
        </w:tc>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8" w:right="0"/>
              <w:jc w:val="left"/>
              <w:rPr>
                <w:rFonts w:ascii="宋体" w:hAnsi="宋体" w:cs="宋体" w:eastAsia="宋体" w:hint="default"/>
                <w:sz w:val="15"/>
                <w:szCs w:val="15"/>
              </w:rPr>
            </w:pPr>
            <w:r>
              <w:rPr>
                <w:rFonts w:ascii="宋体" w:hAnsi="宋体" w:cs="宋体" w:eastAsia="宋体" w:hint="default"/>
                <w:sz w:val="15"/>
                <w:szCs w:val="15"/>
              </w:rPr>
              <w:t>计算机软、硬件，开发、销售。</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5"/>
              <w:jc w:val="right"/>
              <w:rPr>
                <w:rFonts w:ascii="Times New Roman" w:hAnsi="Times New Roman" w:cs="Times New Roman" w:eastAsia="Times New Roman" w:hint="default"/>
                <w:sz w:val="15"/>
                <w:szCs w:val="15"/>
              </w:rPr>
            </w:pPr>
            <w:r>
              <w:rPr>
                <w:rFonts w:ascii="Times New Roman"/>
                <w:spacing w:val="-1"/>
                <w:sz w:val="15"/>
              </w:rPr>
              <w:t>100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6"/>
              <w:jc w:val="right"/>
              <w:rPr>
                <w:rFonts w:ascii="Times New Roman" w:hAnsi="Times New Roman" w:cs="Times New Roman" w:eastAsia="Times New Roman" w:hint="default"/>
                <w:sz w:val="15"/>
                <w:szCs w:val="15"/>
              </w:rPr>
            </w:pPr>
            <w:r>
              <w:rPr>
                <w:rFonts w:ascii="Times New Roman"/>
                <w:spacing w:val="-1"/>
                <w:sz w:val="15"/>
              </w:rPr>
              <w:t>100</w:t>
            </w:r>
            <w:r>
              <w:rPr>
                <w:rFonts w:ascii="Times New Roman"/>
                <w:sz w:val="15"/>
              </w:rPr>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4"/>
              <w:jc w:val="center"/>
              <w:rPr>
                <w:rFonts w:ascii="Times New Roman" w:hAnsi="Times New Roman" w:cs="Times New Roman" w:eastAsia="Times New Roman" w:hint="default"/>
                <w:sz w:val="15"/>
                <w:szCs w:val="15"/>
              </w:rPr>
            </w:pPr>
            <w:r>
              <w:rPr>
                <w:rFonts w:ascii="Times New Roman"/>
                <w:sz w:val="15"/>
              </w:rPr>
              <w:t>58790030-6</w:t>
            </w:r>
          </w:p>
        </w:tc>
      </w:tr>
      <w:tr>
        <w:trPr>
          <w:trHeight w:val="390" w:hRule="exact"/>
        </w:trPr>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2" w:right="0"/>
              <w:jc w:val="left"/>
              <w:rPr>
                <w:rFonts w:ascii="宋体" w:hAnsi="宋体" w:cs="宋体" w:eastAsia="宋体" w:hint="default"/>
                <w:sz w:val="15"/>
                <w:szCs w:val="15"/>
              </w:rPr>
            </w:pPr>
            <w:r>
              <w:rPr>
                <w:rFonts w:ascii="宋体" w:hAnsi="宋体" w:cs="宋体" w:eastAsia="宋体" w:hint="default"/>
                <w:sz w:val="15"/>
                <w:szCs w:val="15"/>
              </w:rPr>
              <w:t>天津熙康健康科技有限公司</w:t>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控股</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天津</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8" w:right="0"/>
              <w:jc w:val="left"/>
              <w:rPr>
                <w:rFonts w:ascii="宋体" w:hAnsi="宋体" w:cs="宋体" w:eastAsia="宋体" w:hint="default"/>
                <w:sz w:val="15"/>
                <w:szCs w:val="15"/>
              </w:rPr>
            </w:pPr>
            <w:r>
              <w:rPr>
                <w:rFonts w:ascii="宋体" w:hAnsi="宋体" w:cs="宋体" w:eastAsia="宋体" w:hint="default"/>
                <w:sz w:val="15"/>
                <w:szCs w:val="15"/>
              </w:rPr>
              <w:t>卢朝霞</w:t>
            </w:r>
          </w:p>
        </w:tc>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8" w:right="0"/>
              <w:jc w:val="left"/>
              <w:rPr>
                <w:rFonts w:ascii="宋体" w:hAnsi="宋体" w:cs="宋体" w:eastAsia="宋体" w:hint="default"/>
                <w:sz w:val="15"/>
                <w:szCs w:val="15"/>
              </w:rPr>
            </w:pPr>
            <w:r>
              <w:rPr>
                <w:rFonts w:ascii="宋体" w:hAnsi="宋体" w:cs="宋体" w:eastAsia="宋体" w:hint="default"/>
                <w:sz w:val="15"/>
                <w:szCs w:val="15"/>
              </w:rPr>
              <w:t>计算机软硬件、电子产品开发、企业投资管理咨询</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5"/>
              <w:jc w:val="right"/>
              <w:rPr>
                <w:rFonts w:ascii="Times New Roman" w:hAnsi="Times New Roman" w:cs="Times New Roman" w:eastAsia="Times New Roman" w:hint="default"/>
                <w:sz w:val="15"/>
                <w:szCs w:val="15"/>
              </w:rPr>
            </w:pPr>
            <w:r>
              <w:rPr>
                <w:rFonts w:ascii="Times New Roman"/>
                <w:spacing w:val="-1"/>
                <w:sz w:val="15"/>
              </w:rPr>
              <w:t>3,000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7"/>
              <w:jc w:val="right"/>
              <w:rPr>
                <w:rFonts w:ascii="Times New Roman" w:hAnsi="Times New Roman" w:cs="Times New Roman" w:eastAsia="Times New Roman" w:hint="default"/>
                <w:sz w:val="15"/>
                <w:szCs w:val="15"/>
              </w:rPr>
            </w:pPr>
            <w:r>
              <w:rPr>
                <w:rFonts w:ascii="Times New Roman"/>
                <w:sz w:val="15"/>
              </w:rPr>
              <w:t>75</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z w:val="15"/>
              </w:rPr>
              <w:t>75</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4"/>
              <w:jc w:val="center"/>
              <w:rPr>
                <w:rFonts w:ascii="Times New Roman" w:hAnsi="Times New Roman" w:cs="Times New Roman" w:eastAsia="Times New Roman" w:hint="default"/>
                <w:sz w:val="15"/>
                <w:szCs w:val="15"/>
              </w:rPr>
            </w:pPr>
            <w:r>
              <w:rPr>
                <w:rFonts w:ascii="Times New Roman"/>
                <w:sz w:val="15"/>
              </w:rPr>
              <w:t>58975520-2</w:t>
            </w:r>
          </w:p>
        </w:tc>
      </w:tr>
      <w:tr>
        <w:trPr>
          <w:trHeight w:val="390" w:hRule="exact"/>
        </w:trPr>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天津东软软件技术有限公司</w:t>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天津</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8" w:right="0"/>
              <w:jc w:val="left"/>
              <w:rPr>
                <w:rFonts w:ascii="宋体" w:hAnsi="宋体" w:cs="宋体" w:eastAsia="宋体" w:hint="default"/>
                <w:sz w:val="15"/>
                <w:szCs w:val="15"/>
              </w:rPr>
            </w:pPr>
            <w:r>
              <w:rPr>
                <w:rFonts w:ascii="宋体" w:hAnsi="宋体" w:cs="宋体" w:eastAsia="宋体" w:hint="default"/>
                <w:sz w:val="15"/>
                <w:szCs w:val="15"/>
              </w:rPr>
              <w:t>王勇峰</w:t>
            </w:r>
          </w:p>
        </w:tc>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8" w:right="0"/>
              <w:jc w:val="left"/>
              <w:rPr>
                <w:rFonts w:ascii="宋体" w:hAnsi="宋体" w:cs="宋体" w:eastAsia="宋体" w:hint="default"/>
                <w:sz w:val="15"/>
                <w:szCs w:val="15"/>
              </w:rPr>
            </w:pPr>
            <w:r>
              <w:rPr>
                <w:rFonts w:ascii="宋体" w:hAnsi="宋体" w:cs="宋体" w:eastAsia="宋体" w:hint="default"/>
                <w:sz w:val="15"/>
                <w:szCs w:val="15"/>
              </w:rPr>
              <w:t>计算机软硬件、系统集成、技术咨询服务</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5"/>
              <w:jc w:val="right"/>
              <w:rPr>
                <w:rFonts w:ascii="Times New Roman" w:hAnsi="Times New Roman" w:cs="Times New Roman" w:eastAsia="Times New Roman" w:hint="default"/>
                <w:sz w:val="15"/>
                <w:szCs w:val="15"/>
              </w:rPr>
            </w:pPr>
            <w:r>
              <w:rPr>
                <w:rFonts w:ascii="Times New Roman"/>
                <w:spacing w:val="-1"/>
                <w:sz w:val="15"/>
              </w:rPr>
              <w:t>500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6"/>
              <w:jc w:val="right"/>
              <w:rPr>
                <w:rFonts w:ascii="Times New Roman" w:hAnsi="Times New Roman" w:cs="Times New Roman" w:eastAsia="Times New Roman" w:hint="default"/>
                <w:sz w:val="15"/>
                <w:szCs w:val="15"/>
              </w:rPr>
            </w:pPr>
            <w:r>
              <w:rPr>
                <w:rFonts w:ascii="Times New Roman"/>
                <w:spacing w:val="-1"/>
                <w:sz w:val="15"/>
              </w:rPr>
              <w:t>100</w:t>
            </w:r>
            <w:r>
              <w:rPr>
                <w:rFonts w:ascii="Times New Roman"/>
                <w:sz w:val="15"/>
              </w:rPr>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4"/>
              <w:jc w:val="center"/>
              <w:rPr>
                <w:rFonts w:ascii="Times New Roman" w:hAnsi="Times New Roman" w:cs="Times New Roman" w:eastAsia="Times New Roman" w:hint="default"/>
                <w:sz w:val="15"/>
                <w:szCs w:val="15"/>
              </w:rPr>
            </w:pPr>
            <w:r>
              <w:rPr>
                <w:rFonts w:ascii="Times New Roman"/>
                <w:sz w:val="15"/>
              </w:rPr>
              <w:t>78639469-6</w:t>
            </w:r>
          </w:p>
        </w:tc>
      </w:tr>
      <w:tr>
        <w:trPr>
          <w:trHeight w:val="390" w:hRule="exact"/>
        </w:trPr>
        <w:tc>
          <w:tcPr>
            <w:tcW w:w="260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沈阳东软医疗系统进出口有限公司</w:t>
            </w:r>
          </w:p>
        </w:tc>
        <w:tc>
          <w:tcPr>
            <w:tcW w:w="62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85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沈阳</w:t>
            </w:r>
          </w:p>
        </w:tc>
        <w:tc>
          <w:tcPr>
            <w:tcW w:w="729"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8" w:right="0"/>
              <w:jc w:val="left"/>
              <w:rPr>
                <w:rFonts w:ascii="宋体" w:hAnsi="宋体" w:cs="宋体" w:eastAsia="宋体" w:hint="default"/>
                <w:sz w:val="15"/>
                <w:szCs w:val="15"/>
              </w:rPr>
            </w:pPr>
            <w:r>
              <w:rPr>
                <w:rFonts w:ascii="宋体" w:hAnsi="宋体" w:cs="宋体" w:eastAsia="宋体" w:hint="default"/>
                <w:sz w:val="15"/>
                <w:szCs w:val="15"/>
              </w:rPr>
              <w:t>江根苗</w:t>
            </w:r>
          </w:p>
        </w:tc>
        <w:tc>
          <w:tcPr>
            <w:tcW w:w="3631"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8" w:right="0"/>
              <w:jc w:val="left"/>
              <w:rPr>
                <w:rFonts w:ascii="宋体" w:hAnsi="宋体" w:cs="宋体" w:eastAsia="宋体" w:hint="default"/>
                <w:sz w:val="15"/>
                <w:szCs w:val="15"/>
              </w:rPr>
            </w:pPr>
            <w:r>
              <w:rPr>
                <w:rFonts w:ascii="宋体" w:hAnsi="宋体" w:cs="宋体" w:eastAsia="宋体" w:hint="default"/>
                <w:sz w:val="15"/>
                <w:szCs w:val="15"/>
              </w:rPr>
              <w:t>商品、技术进出口</w:t>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5"/>
              <w:jc w:val="right"/>
              <w:rPr>
                <w:rFonts w:ascii="Times New Roman" w:hAnsi="Times New Roman" w:cs="Times New Roman" w:eastAsia="Times New Roman" w:hint="default"/>
                <w:sz w:val="15"/>
                <w:szCs w:val="15"/>
              </w:rPr>
            </w:pPr>
            <w:r>
              <w:rPr>
                <w:rFonts w:ascii="Times New Roman"/>
                <w:spacing w:val="-1"/>
                <w:sz w:val="15"/>
              </w:rPr>
              <w:t>500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6"/>
              <w:jc w:val="right"/>
              <w:rPr>
                <w:rFonts w:ascii="Times New Roman" w:hAnsi="Times New Roman" w:cs="Times New Roman" w:eastAsia="Times New Roman" w:hint="default"/>
                <w:sz w:val="15"/>
                <w:szCs w:val="15"/>
              </w:rPr>
            </w:pPr>
            <w:r>
              <w:rPr>
                <w:rFonts w:ascii="Times New Roman"/>
                <w:spacing w:val="-1"/>
                <w:sz w:val="15"/>
              </w:rPr>
              <w:t>100</w:t>
            </w:r>
            <w:r>
              <w:rPr>
                <w:rFonts w:ascii="Times New Roman"/>
                <w:sz w:val="15"/>
              </w:rPr>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4"/>
              <w:jc w:val="center"/>
              <w:rPr>
                <w:rFonts w:ascii="Times New Roman" w:hAnsi="Times New Roman" w:cs="Times New Roman" w:eastAsia="Times New Roman" w:hint="default"/>
                <w:sz w:val="15"/>
                <w:szCs w:val="15"/>
              </w:rPr>
            </w:pPr>
            <w:r>
              <w:rPr>
                <w:rFonts w:ascii="Times New Roman"/>
                <w:sz w:val="15"/>
              </w:rPr>
              <w:t>76439265-7</w:t>
            </w:r>
          </w:p>
        </w:tc>
      </w:tr>
      <w:tr>
        <w:trPr>
          <w:trHeight w:val="301" w:hRule="exact"/>
        </w:trPr>
        <w:tc>
          <w:tcPr>
            <w:tcW w:w="2606"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东软医疗（美国）有限公司</w:t>
            </w:r>
          </w:p>
        </w:tc>
        <w:tc>
          <w:tcPr>
            <w:tcW w:w="624"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04"/>
              <w:jc w:val="right"/>
              <w:rPr>
                <w:rFonts w:ascii="宋体" w:hAnsi="宋体" w:cs="宋体" w:eastAsia="宋体" w:hint="default"/>
                <w:sz w:val="15"/>
                <w:szCs w:val="15"/>
              </w:rPr>
            </w:pPr>
            <w:r>
              <w:rPr>
                <w:rFonts w:ascii="宋体" w:hAnsi="宋体" w:cs="宋体" w:eastAsia="宋体" w:hint="default"/>
                <w:sz w:val="15"/>
                <w:szCs w:val="15"/>
              </w:rPr>
              <w:t>全资</w:t>
            </w:r>
          </w:p>
        </w:tc>
        <w:tc>
          <w:tcPr>
            <w:tcW w:w="1151"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853"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44" w:right="0"/>
              <w:jc w:val="left"/>
              <w:rPr>
                <w:rFonts w:ascii="宋体" w:hAnsi="宋体" w:cs="宋体" w:eastAsia="宋体" w:hint="default"/>
                <w:sz w:val="15"/>
                <w:szCs w:val="15"/>
              </w:rPr>
            </w:pPr>
            <w:r>
              <w:rPr>
                <w:rFonts w:ascii="宋体" w:hAnsi="宋体" w:cs="宋体" w:eastAsia="宋体" w:hint="default"/>
                <w:sz w:val="15"/>
                <w:szCs w:val="15"/>
              </w:rPr>
              <w:t>美国</w:t>
            </w:r>
          </w:p>
        </w:tc>
        <w:tc>
          <w:tcPr>
            <w:tcW w:w="729"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39" w:right="0"/>
              <w:jc w:val="left"/>
              <w:rPr>
                <w:rFonts w:ascii="宋体" w:hAnsi="宋体" w:cs="宋体" w:eastAsia="宋体" w:hint="default"/>
                <w:sz w:val="15"/>
                <w:szCs w:val="15"/>
              </w:rPr>
            </w:pPr>
            <w:r>
              <w:rPr>
                <w:rFonts w:ascii="宋体" w:hAnsi="宋体" w:cs="宋体" w:eastAsia="宋体" w:hint="default"/>
                <w:sz w:val="15"/>
                <w:szCs w:val="15"/>
              </w:rPr>
              <w:t>刘积仁</w:t>
            </w:r>
          </w:p>
        </w:tc>
        <w:tc>
          <w:tcPr>
            <w:tcW w:w="3631"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38" w:right="0"/>
              <w:jc w:val="left"/>
              <w:rPr>
                <w:rFonts w:ascii="宋体" w:hAnsi="宋体" w:cs="宋体" w:eastAsia="宋体" w:hint="default"/>
                <w:sz w:val="15"/>
                <w:szCs w:val="15"/>
              </w:rPr>
            </w:pPr>
            <w:r>
              <w:rPr>
                <w:rFonts w:ascii="宋体" w:hAnsi="宋体" w:cs="宋体" w:eastAsia="宋体" w:hint="default"/>
                <w:sz w:val="15"/>
                <w:szCs w:val="15"/>
              </w:rPr>
              <w:t>产品的研发、制造、技术咨询和服务等</w:t>
            </w:r>
          </w:p>
        </w:tc>
        <w:tc>
          <w:tcPr>
            <w:tcW w:w="1540"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84"/>
              <w:jc w:val="right"/>
              <w:rPr>
                <w:rFonts w:ascii="宋体" w:hAnsi="宋体" w:cs="宋体" w:eastAsia="宋体" w:hint="default"/>
                <w:sz w:val="15"/>
                <w:szCs w:val="15"/>
              </w:rPr>
            </w:pPr>
            <w:r>
              <w:rPr>
                <w:rFonts w:ascii="Times New Roman" w:hAnsi="Times New Roman" w:cs="Times New Roman" w:eastAsia="Times New Roman" w:hint="default"/>
                <w:sz w:val="15"/>
                <w:szCs w:val="15"/>
              </w:rPr>
              <w:t>400 </w:t>
            </w:r>
            <w:r>
              <w:rPr>
                <w:rFonts w:ascii="宋体" w:hAnsi="宋体" w:cs="宋体" w:eastAsia="宋体" w:hint="default"/>
                <w:sz w:val="15"/>
                <w:szCs w:val="15"/>
              </w:rPr>
              <w:t>万美元</w:t>
            </w:r>
          </w:p>
        </w:tc>
        <w:tc>
          <w:tcPr>
            <w:tcW w:w="662"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136"/>
              <w:jc w:val="right"/>
              <w:rPr>
                <w:rFonts w:ascii="Times New Roman" w:hAnsi="Times New Roman" w:cs="Times New Roman" w:eastAsia="Times New Roman" w:hint="default"/>
                <w:sz w:val="15"/>
                <w:szCs w:val="15"/>
              </w:rPr>
            </w:pPr>
            <w:r>
              <w:rPr>
                <w:rFonts w:ascii="Times New Roman"/>
                <w:spacing w:val="-1"/>
                <w:sz w:val="15"/>
              </w:rPr>
              <w:t>100</w:t>
            </w:r>
          </w:p>
        </w:tc>
        <w:tc>
          <w:tcPr>
            <w:tcW w:w="596"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0" w:type="dxa"/>
            <w:tcBorders>
              <w:top w:val="nil" w:sz="6" w:space="0" w:color="auto"/>
              <w:left w:val="nil" w:sz="6" w:space="0" w:color="auto"/>
              <w:bottom w:val="single" w:sz="12" w:space="0" w:color="000000"/>
              <w:right w:val="nil" w:sz="6" w:space="0" w:color="auto"/>
            </w:tcBorders>
          </w:tcPr>
          <w:p>
            <w:pPr/>
          </w:p>
        </w:tc>
      </w:tr>
    </w:tbl>
    <w:p>
      <w:pPr>
        <w:spacing w:after="0"/>
        <w:sectPr>
          <w:type w:val="continuous"/>
          <w:pgSz w:w="16840" w:h="11910" w:orient="landscape"/>
          <w:pgMar w:top="1600" w:bottom="280" w:left="1300" w:right="1260"/>
        </w:sectPr>
      </w:pPr>
    </w:p>
    <w:p>
      <w:pPr>
        <w:spacing w:line="240" w:lineRule="auto" w:before="11"/>
        <w:rPr>
          <w:rFonts w:ascii="Times New Roman" w:hAnsi="Times New Roman" w:cs="Times New Roman" w:eastAsia="Times New Roman" w:hint="default"/>
          <w:sz w:val="28"/>
          <w:szCs w:val="28"/>
        </w:rPr>
      </w:pPr>
    </w:p>
    <w:p>
      <w:pPr>
        <w:spacing w:after="0" w:line="240" w:lineRule="auto"/>
        <w:rPr>
          <w:rFonts w:ascii="Times New Roman" w:hAnsi="Times New Roman" w:cs="Times New Roman" w:eastAsia="Times New Roman" w:hint="default"/>
          <w:sz w:val="28"/>
          <w:szCs w:val="28"/>
        </w:rPr>
        <w:sectPr>
          <w:pgSz w:w="16840" w:h="11910" w:orient="landscape"/>
          <w:pgMar w:header="883" w:footer="999" w:top="1600" w:bottom="1180" w:left="1300" w:right="1260"/>
        </w:sectPr>
      </w:pPr>
    </w:p>
    <w:p>
      <w:pPr>
        <w:spacing w:line="240" w:lineRule="auto" w:before="0"/>
        <w:rPr>
          <w:rFonts w:ascii="Times New Roman" w:hAnsi="Times New Roman" w:cs="Times New Roman" w:eastAsia="Times New Roman" w:hint="default"/>
          <w:sz w:val="14"/>
          <w:szCs w:val="14"/>
        </w:rPr>
      </w:pPr>
    </w:p>
    <w:p>
      <w:pPr>
        <w:spacing w:before="82"/>
        <w:ind w:left="0" w:right="0" w:firstLine="0"/>
        <w:jc w:val="right"/>
        <w:rPr>
          <w:rFonts w:ascii="宋体" w:hAnsi="宋体" w:cs="宋体" w:eastAsia="宋体" w:hint="default"/>
          <w:sz w:val="15"/>
          <w:szCs w:val="15"/>
        </w:rPr>
      </w:pPr>
      <w:r>
        <w:rPr>
          <w:rFonts w:ascii="宋体" w:hAnsi="宋体" w:cs="宋体" w:eastAsia="宋体" w:hint="default"/>
          <w:sz w:val="15"/>
          <w:szCs w:val="15"/>
        </w:rPr>
        <w:t>子公司全称</w:t>
      </w:r>
    </w:p>
    <w:p>
      <w:pPr>
        <w:spacing w:before="53"/>
        <w:ind w:left="0" w:right="0" w:firstLine="0"/>
        <w:jc w:val="right"/>
        <w:rPr>
          <w:rFonts w:ascii="宋体" w:hAnsi="宋体" w:cs="宋体" w:eastAsia="宋体" w:hint="default"/>
          <w:sz w:val="15"/>
          <w:szCs w:val="15"/>
        </w:rPr>
      </w:pPr>
      <w:r>
        <w:rPr/>
        <w:br w:type="column"/>
      </w:r>
      <w:r>
        <w:rPr>
          <w:rFonts w:ascii="宋体" w:hAnsi="宋体" w:cs="宋体" w:eastAsia="宋体" w:hint="default"/>
          <w:sz w:val="15"/>
          <w:szCs w:val="15"/>
        </w:rPr>
        <w:t>子公司</w:t>
      </w:r>
    </w:p>
    <w:p>
      <w:pPr>
        <w:spacing w:line="240" w:lineRule="auto" w:before="8"/>
        <w:rPr>
          <w:rFonts w:ascii="宋体" w:hAnsi="宋体" w:cs="宋体" w:eastAsia="宋体" w:hint="default"/>
          <w:sz w:val="18"/>
          <w:szCs w:val="18"/>
        </w:rPr>
      </w:pPr>
      <w:r>
        <w:rPr/>
        <w:br w:type="column"/>
      </w:r>
      <w:r>
        <w:rPr>
          <w:rFonts w:ascii="宋体"/>
          <w:sz w:val="18"/>
        </w:rPr>
      </w:r>
    </w:p>
    <w:p>
      <w:pPr>
        <w:tabs>
          <w:tab w:pos="1363" w:val="left" w:leader="none"/>
          <w:tab w:pos="4233" w:val="left" w:leader="none"/>
          <w:tab w:pos="6723" w:val="left" w:leader="none"/>
        </w:tabs>
        <w:spacing w:before="0"/>
        <w:ind w:left="286" w:right="-20" w:firstLine="0"/>
        <w:jc w:val="left"/>
        <w:rPr>
          <w:rFonts w:ascii="宋体" w:hAnsi="宋体" w:cs="宋体" w:eastAsia="宋体" w:hint="default"/>
          <w:sz w:val="15"/>
          <w:szCs w:val="15"/>
        </w:rPr>
      </w:pPr>
      <w:r>
        <w:rPr>
          <w:rFonts w:ascii="宋体" w:hAnsi="宋体" w:cs="宋体" w:eastAsia="宋体" w:hint="default"/>
          <w:sz w:val="15"/>
          <w:szCs w:val="15"/>
        </w:rPr>
        <w:t>企业类型</w:t>
        <w:tab/>
        <w:t>注册地 </w:t>
      </w:r>
      <w:r>
        <w:rPr>
          <w:rFonts w:ascii="宋体" w:hAnsi="宋体" w:cs="宋体" w:eastAsia="宋体" w:hint="default"/>
          <w:spacing w:val="39"/>
          <w:sz w:val="15"/>
          <w:szCs w:val="15"/>
        </w:rPr>
        <w:t> </w:t>
      </w:r>
      <w:r>
        <w:rPr>
          <w:rFonts w:ascii="宋体" w:hAnsi="宋体" w:cs="宋体" w:eastAsia="宋体" w:hint="default"/>
          <w:sz w:val="15"/>
          <w:szCs w:val="15"/>
        </w:rPr>
        <w:t>法定代表人</w:t>
        <w:tab/>
        <w:t>业务性质</w:t>
        <w:tab/>
        <w:t>注册资本</w:t>
      </w:r>
    </w:p>
    <w:p>
      <w:pPr>
        <w:spacing w:before="53"/>
        <w:ind w:left="486" w:right="-12" w:firstLine="0"/>
        <w:jc w:val="left"/>
        <w:rPr>
          <w:rFonts w:ascii="宋体" w:hAnsi="宋体" w:cs="宋体" w:eastAsia="宋体" w:hint="default"/>
          <w:sz w:val="15"/>
          <w:szCs w:val="15"/>
        </w:rPr>
      </w:pPr>
      <w:r>
        <w:rPr/>
        <w:br w:type="column"/>
      </w:r>
      <w:r>
        <w:rPr>
          <w:rFonts w:ascii="宋体" w:hAnsi="宋体" w:cs="宋体" w:eastAsia="宋体" w:hint="default"/>
          <w:sz w:val="15"/>
          <w:szCs w:val="15"/>
        </w:rPr>
        <w:t>持股比例表决权比</w:t>
      </w:r>
    </w:p>
    <w:p>
      <w:pPr>
        <w:spacing w:line="240" w:lineRule="auto" w:before="8"/>
        <w:rPr>
          <w:rFonts w:ascii="宋体" w:hAnsi="宋体" w:cs="宋体" w:eastAsia="宋体" w:hint="default"/>
          <w:sz w:val="18"/>
          <w:szCs w:val="18"/>
        </w:rPr>
      </w:pPr>
      <w:r>
        <w:rPr/>
        <w:br w:type="column"/>
      </w:r>
      <w:r>
        <w:rPr>
          <w:rFonts w:ascii="宋体"/>
          <w:sz w:val="18"/>
        </w:rPr>
      </w:r>
    </w:p>
    <w:p>
      <w:pPr>
        <w:spacing w:before="0"/>
        <w:ind w:left="52" w:right="0" w:firstLine="0"/>
        <w:jc w:val="left"/>
        <w:rPr>
          <w:rFonts w:ascii="宋体" w:hAnsi="宋体" w:cs="宋体" w:eastAsia="宋体" w:hint="default"/>
          <w:sz w:val="15"/>
          <w:szCs w:val="15"/>
        </w:rPr>
      </w:pPr>
      <w:r>
        <w:rPr>
          <w:rFonts w:ascii="宋体" w:hAnsi="宋体" w:cs="宋体" w:eastAsia="宋体" w:hint="default"/>
          <w:sz w:val="15"/>
          <w:szCs w:val="15"/>
        </w:rPr>
        <w:t>组织机构代码</w:t>
      </w:r>
    </w:p>
    <w:p>
      <w:pPr>
        <w:spacing w:after="0"/>
        <w:jc w:val="left"/>
        <w:rPr>
          <w:rFonts w:ascii="宋体" w:hAnsi="宋体" w:cs="宋体" w:eastAsia="宋体" w:hint="default"/>
          <w:sz w:val="15"/>
          <w:szCs w:val="15"/>
        </w:rPr>
        <w:sectPr>
          <w:type w:val="continuous"/>
          <w:pgSz w:w="16840" w:h="11910" w:orient="landscape"/>
          <w:pgMar w:top="1600" w:bottom="280" w:left="1300" w:right="1260"/>
          <w:cols w:num="5" w:equalWidth="0">
            <w:col w:w="2490" w:space="40"/>
            <w:col w:w="1434" w:space="40"/>
            <w:col w:w="7324" w:space="40"/>
            <w:col w:w="1695" w:space="40"/>
            <w:col w:w="1177"/>
          </w:cols>
        </w:sectPr>
      </w:pPr>
    </w:p>
    <w:p>
      <w:pPr>
        <w:tabs>
          <w:tab w:pos="12040" w:val="left" w:leader="none"/>
          <w:tab w:pos="12572" w:val="left" w:leader="none"/>
        </w:tabs>
        <w:spacing w:line="209" w:lineRule="exact" w:before="0"/>
        <w:ind w:left="3588" w:right="1244" w:firstLine="0"/>
        <w:jc w:val="left"/>
        <w:rPr>
          <w:rFonts w:ascii="Times New Roman" w:hAnsi="Times New Roman" w:cs="Times New Roman" w:eastAsia="Times New Roman" w:hint="default"/>
          <w:sz w:val="15"/>
          <w:szCs w:val="15"/>
        </w:rPr>
      </w:pPr>
      <w:r>
        <w:rPr/>
        <w:pict>
          <v:group style="position:absolute;margin-left:101.511002pt;margin-top:89.879997pt;width:671.85pt;height:427.45pt;mso-position-horizontal-relative:page;mso-position-vertical-relative:page;z-index:-1110232" coordorigin="2030,1798" coordsize="13437,8549">
            <v:group style="position:absolute;left:2049;top:1813;width:13390;height:2" coordorigin="2049,1813" coordsize="13390,2">
              <v:shape style="position:absolute;left:2049;top:1813;width:13390;height:2" coordorigin="2049,1813" coordsize="13390,0" path="m2049,1813l15439,1813e" filled="false" stroked="true" strokeweight="1.5pt" strokecolor="#000000">
                <v:path arrowok="t"/>
              </v:shape>
              <v:shape style="position:absolute;left:4758;top:1808;width:9634;height:798" type="#_x0000_t75" stroked="false">
                <v:imagedata r:id="rId332" o:title=""/>
              </v:shape>
              <v:shape style="position:absolute;left:2030;top:2568;width:13436;height:7778" type="#_x0000_t75" stroked="false">
                <v:imagedata r:id="rId335" o:title=""/>
              </v:shape>
              <v:shape style="position:absolute;left:5271;top:9547;width:48;height:799" type="#_x0000_t75" stroked="false">
                <v:imagedata r:id="rId336" o:title=""/>
              </v:shape>
              <v:shape style="position:absolute;left:6461;top:9547;width:48;height:799" type="#_x0000_t75" stroked="false">
                <v:imagedata r:id="rId337" o:title=""/>
              </v:shape>
              <v:shape style="position:absolute;left:7278;top:9547;width:48;height:799" type="#_x0000_t75" stroked="false">
                <v:imagedata r:id="rId338" o:title=""/>
              </v:shape>
              <v:shape style="position:absolute;left:8037;top:9547;width:48;height:799" type="#_x0000_t75" stroked="false">
                <v:imagedata r:id="rId336" o:title=""/>
              </v:shape>
              <v:shape style="position:absolute;left:11589;top:9547;width:48;height:799" type="#_x0000_t75" stroked="false">
                <v:imagedata r:id="rId336" o:title=""/>
              </v:shape>
              <v:shape style="position:absolute;left:13009;top:9538;width:67;height:806" type="#_x0000_t75" stroked="false">
                <v:imagedata r:id="rId339" o:title=""/>
              </v:shape>
              <v:shape style="position:absolute;left:13731;top:9547;width:48;height:799" type="#_x0000_t75" stroked="false">
                <v:imagedata r:id="rId336" o:title=""/>
              </v:shape>
              <v:shape style="position:absolute;left:14343;top:9547;width:48;height:799" type="#_x0000_t75" stroked="false">
                <v:imagedata r:id="rId338" o:title=""/>
              </v:shape>
            </v:group>
            <w10:wrap type="none"/>
          </v:group>
        </w:pict>
      </w:r>
      <w:r>
        <w:rPr>
          <w:rFonts w:ascii="宋体" w:hAnsi="宋体" w:cs="宋体" w:eastAsia="宋体" w:hint="default"/>
          <w:position w:val="1"/>
          <w:sz w:val="15"/>
          <w:szCs w:val="15"/>
        </w:rPr>
        <w:t>类型</w:t>
        <w:tab/>
      </w:r>
      <w:r>
        <w:rPr>
          <w:rFonts w:ascii="Times New Roman" w:hAnsi="Times New Roman" w:cs="Times New Roman" w:eastAsia="Times New Roman" w:hint="default"/>
          <w:sz w:val="15"/>
          <w:szCs w:val="15"/>
        </w:rPr>
        <w:t>(%)</w:t>
        <w:tab/>
      </w:r>
      <w:r>
        <w:rPr>
          <w:rFonts w:ascii="宋体" w:hAnsi="宋体" w:cs="宋体" w:eastAsia="宋体" w:hint="default"/>
          <w:position w:val="1"/>
          <w:sz w:val="15"/>
          <w:szCs w:val="15"/>
        </w:rPr>
        <w:t>例</w:t>
      </w:r>
      <w:r>
        <w:rPr>
          <w:rFonts w:ascii="Times New Roman" w:hAnsi="Times New Roman" w:cs="Times New Roman" w:eastAsia="Times New Roman" w:hint="default"/>
          <w:position w:val="1"/>
          <w:sz w:val="15"/>
          <w:szCs w:val="15"/>
        </w:rPr>
        <w:t>(%)</w:t>
      </w:r>
      <w:r>
        <w:rPr>
          <w:rFonts w:ascii="Times New Roman" w:hAnsi="Times New Roman" w:cs="Times New Roman" w:eastAsia="Times New Roman" w:hint="default"/>
          <w:sz w:val="15"/>
          <w:szCs w:val="15"/>
        </w:rPr>
      </w:r>
    </w:p>
    <w:p>
      <w:pPr>
        <w:spacing w:line="240" w:lineRule="auto" w:before="5"/>
        <w:rPr>
          <w:rFonts w:ascii="Times New Roman" w:hAnsi="Times New Roman" w:cs="Times New Roman" w:eastAsia="Times New Roman" w:hint="default"/>
          <w:sz w:val="10"/>
          <w:szCs w:val="10"/>
        </w:rPr>
      </w:pPr>
    </w:p>
    <w:tbl>
      <w:tblPr>
        <w:tblW w:w="0" w:type="auto"/>
        <w:jc w:val="left"/>
        <w:tblInd w:w="735" w:type="dxa"/>
        <w:tblLayout w:type="fixed"/>
        <w:tblCellMar>
          <w:top w:w="0" w:type="dxa"/>
          <w:left w:w="0" w:type="dxa"/>
          <w:bottom w:w="0" w:type="dxa"/>
          <w:right w:w="0" w:type="dxa"/>
        </w:tblCellMar>
        <w:tblLook w:val="01E0"/>
      </w:tblPr>
      <w:tblGrid>
        <w:gridCol w:w="2732"/>
        <w:gridCol w:w="498"/>
        <w:gridCol w:w="1167"/>
        <w:gridCol w:w="688"/>
        <w:gridCol w:w="863"/>
        <w:gridCol w:w="3946"/>
        <w:gridCol w:w="1241"/>
        <w:gridCol w:w="662"/>
        <w:gridCol w:w="596"/>
        <w:gridCol w:w="1010"/>
      </w:tblGrid>
      <w:tr>
        <w:trPr>
          <w:trHeight w:val="660" w:hRule="exact"/>
        </w:trPr>
        <w:tc>
          <w:tcPr>
            <w:tcW w:w="273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91" w:right="0"/>
              <w:jc w:val="left"/>
              <w:rPr>
                <w:rFonts w:ascii="宋体" w:hAnsi="宋体" w:cs="宋体" w:eastAsia="宋体" w:hint="default"/>
                <w:sz w:val="15"/>
                <w:szCs w:val="15"/>
              </w:rPr>
            </w:pPr>
            <w:r>
              <w:rPr>
                <w:rFonts w:ascii="宋体" w:hAnsi="宋体" w:cs="宋体" w:eastAsia="宋体" w:hint="default"/>
                <w:sz w:val="15"/>
                <w:szCs w:val="15"/>
              </w:rPr>
              <w:t>沈阳东软波谱磁共振技术有限公司</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91" w:right="0"/>
              <w:jc w:val="left"/>
              <w:rPr>
                <w:rFonts w:ascii="宋体" w:hAnsi="宋体" w:cs="宋体" w:eastAsia="宋体" w:hint="default"/>
                <w:sz w:val="15"/>
                <w:szCs w:val="15"/>
              </w:rPr>
            </w:pPr>
            <w:r>
              <w:rPr>
                <w:rFonts w:ascii="宋体" w:hAnsi="宋体" w:cs="宋体" w:eastAsia="宋体" w:hint="default"/>
                <w:sz w:val="15"/>
                <w:szCs w:val="15"/>
              </w:rPr>
              <w:t>控股</w:t>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28" w:right="0"/>
              <w:jc w:val="left"/>
              <w:rPr>
                <w:rFonts w:ascii="宋体" w:hAnsi="宋体" w:cs="宋体" w:eastAsia="宋体" w:hint="default"/>
                <w:sz w:val="15"/>
                <w:szCs w:val="15"/>
              </w:rPr>
            </w:pPr>
            <w:r>
              <w:rPr>
                <w:rFonts w:ascii="宋体" w:hAnsi="宋体" w:cs="宋体" w:eastAsia="宋体" w:hint="default"/>
                <w:sz w:val="15"/>
                <w:szCs w:val="15"/>
              </w:rPr>
              <w:t>沈阳</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58" w:right="0"/>
              <w:jc w:val="left"/>
              <w:rPr>
                <w:rFonts w:ascii="宋体" w:hAnsi="宋体" w:cs="宋体" w:eastAsia="宋体" w:hint="default"/>
                <w:sz w:val="15"/>
                <w:szCs w:val="15"/>
              </w:rPr>
            </w:pPr>
            <w:r>
              <w:rPr>
                <w:rFonts w:ascii="宋体" w:hAnsi="宋体" w:cs="宋体" w:eastAsia="宋体" w:hint="default"/>
                <w:sz w:val="15"/>
                <w:szCs w:val="15"/>
              </w:rPr>
              <w:t>江根苗</w:t>
            </w: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54" w:right="0"/>
              <w:jc w:val="left"/>
              <w:rPr>
                <w:rFonts w:ascii="宋体" w:hAnsi="宋体" w:cs="宋体" w:eastAsia="宋体" w:hint="default"/>
                <w:sz w:val="15"/>
                <w:szCs w:val="15"/>
              </w:rPr>
            </w:pPr>
            <w:r>
              <w:rPr>
                <w:rFonts w:ascii="宋体" w:hAnsi="宋体" w:cs="宋体" w:eastAsia="宋体" w:hint="default"/>
                <w:sz w:val="15"/>
                <w:szCs w:val="15"/>
              </w:rPr>
              <w:t>低场永磁产品研究制造，磁共振技术开发、咨询</w:t>
            </w:r>
          </w:p>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left="154" w:right="0"/>
              <w:jc w:val="left"/>
              <w:rPr>
                <w:rFonts w:ascii="宋体" w:hAnsi="宋体" w:cs="宋体" w:eastAsia="宋体" w:hint="default"/>
                <w:sz w:val="15"/>
                <w:szCs w:val="15"/>
              </w:rPr>
            </w:pPr>
            <w:r>
              <w:rPr>
                <w:rFonts w:ascii="宋体" w:hAnsi="宋体" w:cs="宋体" w:eastAsia="宋体" w:hint="default"/>
                <w:sz w:val="15"/>
                <w:szCs w:val="15"/>
              </w:rPr>
              <w:t>开发、生产正电子发射计算机断层显像系统，相关技</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85"/>
              <w:jc w:val="right"/>
              <w:rPr>
                <w:rFonts w:ascii="Times New Roman" w:hAnsi="Times New Roman" w:cs="Times New Roman" w:eastAsia="Times New Roman" w:hint="default"/>
                <w:sz w:val="15"/>
                <w:szCs w:val="15"/>
              </w:rPr>
            </w:pPr>
            <w:r>
              <w:rPr>
                <w:rFonts w:ascii="Times New Roman"/>
                <w:spacing w:val="-1"/>
                <w:sz w:val="15"/>
              </w:rPr>
              <w:t>1,000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37"/>
              <w:jc w:val="right"/>
              <w:rPr>
                <w:rFonts w:ascii="Times New Roman" w:hAnsi="Times New Roman" w:cs="Times New Roman" w:eastAsia="Times New Roman" w:hint="default"/>
                <w:sz w:val="15"/>
                <w:szCs w:val="15"/>
              </w:rPr>
            </w:pPr>
            <w:r>
              <w:rPr>
                <w:rFonts w:ascii="Times New Roman"/>
                <w:sz w:val="15"/>
              </w:rPr>
              <w:t>80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8"/>
              <w:jc w:val="right"/>
              <w:rPr>
                <w:rFonts w:ascii="Times New Roman" w:hAnsi="Times New Roman" w:cs="Times New Roman" w:eastAsia="Times New Roman" w:hint="default"/>
                <w:sz w:val="15"/>
                <w:szCs w:val="15"/>
              </w:rPr>
            </w:pPr>
            <w:r>
              <w:rPr>
                <w:rFonts w:ascii="Times New Roman"/>
                <w:sz w:val="15"/>
              </w:rPr>
              <w:t>80</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4"/>
              <w:jc w:val="center"/>
              <w:rPr>
                <w:rFonts w:ascii="Times New Roman" w:hAnsi="Times New Roman" w:cs="Times New Roman" w:eastAsia="Times New Roman" w:hint="default"/>
                <w:sz w:val="15"/>
                <w:szCs w:val="15"/>
              </w:rPr>
            </w:pPr>
            <w:r>
              <w:rPr>
                <w:rFonts w:ascii="Times New Roman"/>
                <w:sz w:val="15"/>
              </w:rPr>
              <w:t>73464528-9</w:t>
            </w:r>
          </w:p>
        </w:tc>
      </w:tr>
      <w:tr>
        <w:trPr>
          <w:trHeight w:val="480" w:hRule="exact"/>
        </w:trPr>
        <w:tc>
          <w:tcPr>
            <w:tcW w:w="2732" w:type="dxa"/>
            <w:tcBorders>
              <w:top w:val="nil" w:sz="6" w:space="0" w:color="auto"/>
              <w:left w:val="nil" w:sz="6" w:space="0" w:color="auto"/>
              <w:bottom w:val="nil" w:sz="6" w:space="0" w:color="auto"/>
              <w:right w:val="nil" w:sz="6" w:space="0" w:color="auto"/>
            </w:tcBorders>
          </w:tcPr>
          <w:p>
            <w:pPr>
              <w:pStyle w:val="TableParagraph"/>
              <w:spacing w:line="170" w:lineRule="exact"/>
              <w:ind w:left="91" w:right="0"/>
              <w:jc w:val="left"/>
              <w:rPr>
                <w:rFonts w:ascii="宋体" w:hAnsi="宋体" w:cs="宋体" w:eastAsia="宋体" w:hint="default"/>
                <w:sz w:val="15"/>
                <w:szCs w:val="15"/>
              </w:rPr>
            </w:pPr>
            <w:r>
              <w:rPr>
                <w:rFonts w:ascii="宋体" w:hAnsi="宋体" w:cs="宋体" w:eastAsia="宋体" w:hint="default"/>
                <w:sz w:val="15"/>
                <w:szCs w:val="15"/>
              </w:rPr>
              <w:t>沈阳东软派斯通医疗系统有限公司</w:t>
            </w:r>
          </w:p>
        </w:tc>
        <w:tc>
          <w:tcPr>
            <w:tcW w:w="498" w:type="dxa"/>
            <w:tcBorders>
              <w:top w:val="nil" w:sz="6" w:space="0" w:color="auto"/>
              <w:left w:val="nil" w:sz="6" w:space="0" w:color="auto"/>
              <w:bottom w:val="nil" w:sz="6" w:space="0" w:color="auto"/>
              <w:right w:val="nil" w:sz="6" w:space="0" w:color="auto"/>
            </w:tcBorders>
          </w:tcPr>
          <w:p>
            <w:pPr>
              <w:pStyle w:val="TableParagraph"/>
              <w:spacing w:line="170" w:lineRule="exact"/>
              <w:ind w:left="91" w:right="0"/>
              <w:jc w:val="left"/>
              <w:rPr>
                <w:rFonts w:ascii="宋体" w:hAnsi="宋体" w:cs="宋体" w:eastAsia="宋体" w:hint="default"/>
                <w:sz w:val="15"/>
                <w:szCs w:val="15"/>
              </w:rPr>
            </w:pPr>
            <w:r>
              <w:rPr>
                <w:rFonts w:ascii="宋体" w:hAnsi="宋体" w:cs="宋体" w:eastAsia="宋体" w:hint="default"/>
                <w:sz w:val="15"/>
                <w:szCs w:val="15"/>
              </w:rPr>
              <w:t>控股</w:t>
            </w:r>
          </w:p>
        </w:tc>
        <w:tc>
          <w:tcPr>
            <w:tcW w:w="1167" w:type="dxa"/>
            <w:tcBorders>
              <w:top w:val="nil" w:sz="6" w:space="0" w:color="auto"/>
              <w:left w:val="nil" w:sz="6" w:space="0" w:color="auto"/>
              <w:bottom w:val="nil" w:sz="6" w:space="0" w:color="auto"/>
              <w:right w:val="nil" w:sz="6" w:space="0" w:color="auto"/>
            </w:tcBorders>
          </w:tcPr>
          <w:p>
            <w:pPr>
              <w:pStyle w:val="TableParagraph"/>
              <w:spacing w:line="170" w:lineRule="exact"/>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688" w:type="dxa"/>
            <w:tcBorders>
              <w:top w:val="nil" w:sz="6" w:space="0" w:color="auto"/>
              <w:left w:val="nil" w:sz="6" w:space="0" w:color="auto"/>
              <w:bottom w:val="nil" w:sz="6" w:space="0" w:color="auto"/>
              <w:right w:val="nil" w:sz="6" w:space="0" w:color="auto"/>
            </w:tcBorders>
          </w:tcPr>
          <w:p>
            <w:pPr>
              <w:pStyle w:val="TableParagraph"/>
              <w:spacing w:line="170" w:lineRule="exact"/>
              <w:ind w:left="128" w:right="0"/>
              <w:jc w:val="left"/>
              <w:rPr>
                <w:rFonts w:ascii="宋体" w:hAnsi="宋体" w:cs="宋体" w:eastAsia="宋体" w:hint="default"/>
                <w:sz w:val="15"/>
                <w:szCs w:val="15"/>
              </w:rPr>
            </w:pPr>
            <w:r>
              <w:rPr>
                <w:rFonts w:ascii="宋体" w:hAnsi="宋体" w:cs="宋体" w:eastAsia="宋体" w:hint="default"/>
                <w:sz w:val="15"/>
                <w:szCs w:val="15"/>
              </w:rPr>
              <w:t>沈阳</w:t>
            </w:r>
          </w:p>
        </w:tc>
        <w:tc>
          <w:tcPr>
            <w:tcW w:w="863" w:type="dxa"/>
            <w:tcBorders>
              <w:top w:val="nil" w:sz="6" w:space="0" w:color="auto"/>
              <w:left w:val="nil" w:sz="6" w:space="0" w:color="auto"/>
              <w:bottom w:val="nil" w:sz="6" w:space="0" w:color="auto"/>
              <w:right w:val="nil" w:sz="6" w:space="0" w:color="auto"/>
            </w:tcBorders>
          </w:tcPr>
          <w:p>
            <w:pPr>
              <w:pStyle w:val="TableParagraph"/>
              <w:spacing w:line="170" w:lineRule="exact"/>
              <w:ind w:left="258" w:right="0"/>
              <w:jc w:val="left"/>
              <w:rPr>
                <w:rFonts w:ascii="宋体" w:hAnsi="宋体" w:cs="宋体" w:eastAsia="宋体" w:hint="default"/>
                <w:sz w:val="15"/>
                <w:szCs w:val="15"/>
              </w:rPr>
            </w:pPr>
            <w:r>
              <w:rPr>
                <w:rFonts w:ascii="宋体" w:hAnsi="宋体" w:cs="宋体" w:eastAsia="宋体" w:hint="default"/>
                <w:sz w:val="15"/>
                <w:szCs w:val="15"/>
              </w:rPr>
              <w:t>江根苗</w:t>
            </w: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54" w:right="0"/>
              <w:jc w:val="left"/>
              <w:rPr>
                <w:rFonts w:ascii="宋体" w:hAnsi="宋体" w:cs="宋体" w:eastAsia="宋体" w:hint="default"/>
                <w:sz w:val="15"/>
                <w:szCs w:val="15"/>
              </w:rPr>
            </w:pPr>
            <w:r>
              <w:rPr>
                <w:rFonts w:ascii="宋体" w:hAnsi="宋体" w:cs="宋体" w:eastAsia="宋体" w:hint="default"/>
                <w:sz w:val="15"/>
                <w:szCs w:val="15"/>
              </w:rPr>
              <w:t>术咨询、服务</w:t>
            </w:r>
          </w:p>
        </w:tc>
        <w:tc>
          <w:tcPr>
            <w:tcW w:w="1241" w:type="dxa"/>
            <w:tcBorders>
              <w:top w:val="nil" w:sz="6" w:space="0" w:color="auto"/>
              <w:left w:val="nil" w:sz="6" w:space="0" w:color="auto"/>
              <w:bottom w:val="nil" w:sz="6" w:space="0" w:color="auto"/>
              <w:right w:val="nil" w:sz="6" w:space="0" w:color="auto"/>
            </w:tcBorders>
          </w:tcPr>
          <w:p>
            <w:pPr>
              <w:pStyle w:val="TableParagraph"/>
              <w:spacing w:line="182" w:lineRule="exact"/>
              <w:ind w:right="184"/>
              <w:jc w:val="right"/>
              <w:rPr>
                <w:rFonts w:ascii="宋体" w:hAnsi="宋体" w:cs="宋体" w:eastAsia="宋体" w:hint="default"/>
                <w:sz w:val="15"/>
                <w:szCs w:val="15"/>
              </w:rPr>
            </w:pPr>
            <w:r>
              <w:rPr>
                <w:rFonts w:ascii="Times New Roman" w:hAnsi="Times New Roman" w:cs="Times New Roman" w:eastAsia="Times New Roman" w:hint="default"/>
                <w:sz w:val="15"/>
                <w:szCs w:val="15"/>
              </w:rPr>
              <w:t>350 </w:t>
            </w:r>
            <w:r>
              <w:rPr>
                <w:rFonts w:ascii="宋体" w:hAnsi="宋体" w:cs="宋体" w:eastAsia="宋体" w:hint="default"/>
                <w:sz w:val="15"/>
                <w:szCs w:val="15"/>
              </w:rPr>
              <w:t>万美元</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5"/>
              <w:jc w:val="right"/>
              <w:rPr>
                <w:rFonts w:ascii="Times New Roman" w:hAnsi="Times New Roman" w:cs="Times New Roman" w:eastAsia="Times New Roman" w:hint="default"/>
                <w:sz w:val="15"/>
                <w:szCs w:val="15"/>
              </w:rPr>
            </w:pPr>
            <w:r>
              <w:rPr>
                <w:rFonts w:ascii="Times New Roman"/>
                <w:sz w:val="15"/>
              </w:rPr>
              <w:t>99</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8"/>
              <w:jc w:val="right"/>
              <w:rPr>
                <w:rFonts w:ascii="Times New Roman" w:hAnsi="Times New Roman" w:cs="Times New Roman" w:eastAsia="Times New Roman" w:hint="default"/>
                <w:sz w:val="15"/>
                <w:szCs w:val="15"/>
              </w:rPr>
            </w:pPr>
            <w:r>
              <w:rPr>
                <w:rFonts w:ascii="Times New Roman"/>
                <w:sz w:val="15"/>
              </w:rPr>
              <w:t>99</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4"/>
              <w:jc w:val="center"/>
              <w:rPr>
                <w:rFonts w:ascii="Times New Roman" w:hAnsi="Times New Roman" w:cs="Times New Roman" w:eastAsia="Times New Roman" w:hint="default"/>
                <w:sz w:val="15"/>
                <w:szCs w:val="15"/>
              </w:rPr>
            </w:pPr>
            <w:r>
              <w:rPr>
                <w:rFonts w:ascii="Times New Roman"/>
                <w:sz w:val="15"/>
              </w:rPr>
              <w:t>78005017-1</w:t>
            </w:r>
          </w:p>
        </w:tc>
      </w:tr>
      <w:tr>
        <w:trPr>
          <w:trHeight w:val="398" w:hRule="exact"/>
        </w:trPr>
        <w:tc>
          <w:tcPr>
            <w:tcW w:w="2732" w:type="dxa"/>
            <w:tcBorders>
              <w:top w:val="nil" w:sz="6" w:space="0" w:color="auto"/>
              <w:left w:val="nil" w:sz="6" w:space="0" w:color="auto"/>
              <w:bottom w:val="nil" w:sz="6" w:space="0" w:color="auto"/>
              <w:right w:val="nil" w:sz="6" w:space="0" w:color="auto"/>
            </w:tcBorders>
          </w:tcPr>
          <w:p>
            <w:pPr>
              <w:pStyle w:val="TableParagraph"/>
              <w:spacing w:line="240" w:lineRule="auto" w:before="73"/>
              <w:ind w:left="91" w:right="0"/>
              <w:jc w:val="left"/>
              <w:rPr>
                <w:rFonts w:ascii="宋体" w:hAnsi="宋体" w:cs="宋体" w:eastAsia="宋体" w:hint="default"/>
                <w:sz w:val="15"/>
                <w:szCs w:val="15"/>
              </w:rPr>
            </w:pPr>
            <w:r>
              <w:rPr>
                <w:rFonts w:ascii="宋体" w:hAnsi="宋体" w:cs="宋体" w:eastAsia="宋体" w:hint="default"/>
                <w:sz w:val="15"/>
                <w:szCs w:val="15"/>
              </w:rPr>
              <w:t>北京东软慧聚信息技术有限公司</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before="73"/>
              <w:ind w:left="91" w:right="0"/>
              <w:jc w:val="left"/>
              <w:rPr>
                <w:rFonts w:ascii="宋体" w:hAnsi="宋体" w:cs="宋体" w:eastAsia="宋体" w:hint="default"/>
                <w:sz w:val="15"/>
                <w:szCs w:val="15"/>
              </w:rPr>
            </w:pPr>
            <w:r>
              <w:rPr>
                <w:rFonts w:ascii="宋体" w:hAnsi="宋体" w:cs="宋体" w:eastAsia="宋体" w:hint="default"/>
                <w:sz w:val="15"/>
                <w:szCs w:val="15"/>
              </w:rPr>
              <w:t>控股</w:t>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28" w:right="0"/>
              <w:jc w:val="left"/>
              <w:rPr>
                <w:rFonts w:ascii="宋体" w:hAnsi="宋体" w:cs="宋体" w:eastAsia="宋体" w:hint="default"/>
                <w:sz w:val="15"/>
                <w:szCs w:val="15"/>
              </w:rPr>
            </w:pPr>
            <w:r>
              <w:rPr>
                <w:rFonts w:ascii="宋体" w:hAnsi="宋体" w:cs="宋体" w:eastAsia="宋体" w:hint="default"/>
                <w:sz w:val="15"/>
                <w:szCs w:val="15"/>
              </w:rPr>
              <w:t>北京</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73"/>
              <w:ind w:left="258" w:right="0"/>
              <w:jc w:val="left"/>
              <w:rPr>
                <w:rFonts w:ascii="宋体" w:hAnsi="宋体" w:cs="宋体" w:eastAsia="宋体" w:hint="default"/>
                <w:sz w:val="15"/>
                <w:szCs w:val="15"/>
              </w:rPr>
            </w:pPr>
            <w:r>
              <w:rPr>
                <w:rFonts w:ascii="宋体" w:hAnsi="宋体" w:cs="宋体" w:eastAsia="宋体" w:hint="default"/>
                <w:sz w:val="15"/>
                <w:szCs w:val="15"/>
              </w:rPr>
              <w:t>荣新节</w:t>
            </w: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54" w:right="0"/>
              <w:jc w:val="left"/>
              <w:rPr>
                <w:rFonts w:ascii="宋体" w:hAnsi="宋体" w:cs="宋体" w:eastAsia="宋体" w:hint="default"/>
                <w:sz w:val="15"/>
                <w:szCs w:val="15"/>
              </w:rPr>
            </w:pPr>
            <w:r>
              <w:rPr>
                <w:rFonts w:ascii="宋体" w:hAnsi="宋体" w:cs="宋体" w:eastAsia="宋体" w:hint="default"/>
                <w:sz w:val="15"/>
                <w:szCs w:val="15"/>
              </w:rPr>
              <w:t>计算机软硬件、技术服务</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85"/>
              <w:jc w:val="right"/>
              <w:rPr>
                <w:rFonts w:ascii="Times New Roman" w:hAnsi="Times New Roman" w:cs="Times New Roman" w:eastAsia="Times New Roman" w:hint="default"/>
                <w:sz w:val="15"/>
                <w:szCs w:val="15"/>
              </w:rPr>
            </w:pPr>
            <w:r>
              <w:rPr>
                <w:rFonts w:ascii="Times New Roman"/>
                <w:spacing w:val="-1"/>
                <w:sz w:val="15"/>
              </w:rPr>
              <w:t>2,665</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37"/>
              <w:jc w:val="right"/>
              <w:rPr>
                <w:rFonts w:ascii="Times New Roman" w:hAnsi="Times New Roman" w:cs="Times New Roman" w:eastAsia="Times New Roman" w:hint="default"/>
                <w:sz w:val="15"/>
                <w:szCs w:val="15"/>
              </w:rPr>
            </w:pPr>
            <w:r>
              <w:rPr>
                <w:rFonts w:ascii="Times New Roman"/>
                <w:spacing w:val="-1"/>
                <w:sz w:val="15"/>
              </w:rPr>
              <w:t>80.28</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18"/>
              <w:jc w:val="right"/>
              <w:rPr>
                <w:rFonts w:ascii="Times New Roman" w:hAnsi="Times New Roman" w:cs="Times New Roman" w:eastAsia="Times New Roman" w:hint="default"/>
                <w:sz w:val="15"/>
                <w:szCs w:val="15"/>
              </w:rPr>
            </w:pPr>
            <w:r>
              <w:rPr>
                <w:rFonts w:ascii="Times New Roman"/>
                <w:spacing w:val="-1"/>
                <w:sz w:val="15"/>
              </w:rPr>
              <w:t>80.28</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44"/>
              <w:jc w:val="center"/>
              <w:rPr>
                <w:rFonts w:ascii="Times New Roman" w:hAnsi="Times New Roman" w:cs="Times New Roman" w:eastAsia="Times New Roman" w:hint="default"/>
                <w:sz w:val="15"/>
                <w:szCs w:val="15"/>
              </w:rPr>
            </w:pPr>
            <w:r>
              <w:rPr>
                <w:rFonts w:ascii="Times New Roman"/>
                <w:sz w:val="15"/>
              </w:rPr>
              <w:t>66217772-9</w:t>
            </w:r>
          </w:p>
        </w:tc>
      </w:tr>
      <w:tr>
        <w:trPr>
          <w:trHeight w:val="390" w:hRule="exact"/>
        </w:trPr>
        <w:tc>
          <w:tcPr>
            <w:tcW w:w="2732"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深圳市东软移动终端设计有限公司</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控股</w:t>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8" w:right="0"/>
              <w:jc w:val="left"/>
              <w:rPr>
                <w:rFonts w:ascii="宋体" w:hAnsi="宋体" w:cs="宋体" w:eastAsia="宋体" w:hint="default"/>
                <w:sz w:val="15"/>
                <w:szCs w:val="15"/>
              </w:rPr>
            </w:pPr>
            <w:r>
              <w:rPr>
                <w:rFonts w:ascii="宋体" w:hAnsi="宋体" w:cs="宋体" w:eastAsia="宋体" w:hint="default"/>
                <w:sz w:val="15"/>
                <w:szCs w:val="15"/>
              </w:rPr>
              <w:t>深圳</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58" w:right="0"/>
              <w:jc w:val="left"/>
              <w:rPr>
                <w:rFonts w:ascii="宋体" w:hAnsi="宋体" w:cs="宋体" w:eastAsia="宋体" w:hint="default"/>
                <w:sz w:val="15"/>
                <w:szCs w:val="15"/>
              </w:rPr>
            </w:pPr>
            <w:r>
              <w:rPr>
                <w:rFonts w:ascii="宋体" w:hAnsi="宋体" w:cs="宋体" w:eastAsia="宋体" w:hint="default"/>
                <w:sz w:val="15"/>
                <w:szCs w:val="15"/>
              </w:rPr>
              <w:t>陈锡民</w:t>
            </w: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电子产品技术开发销售、技术咨询</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5"/>
              <w:jc w:val="right"/>
              <w:rPr>
                <w:rFonts w:ascii="Times New Roman" w:hAnsi="Times New Roman" w:cs="Times New Roman" w:eastAsia="Times New Roman" w:hint="default"/>
                <w:sz w:val="15"/>
                <w:szCs w:val="15"/>
              </w:rPr>
            </w:pPr>
            <w:r>
              <w:rPr>
                <w:rFonts w:ascii="Times New Roman"/>
                <w:spacing w:val="-1"/>
                <w:sz w:val="15"/>
              </w:rPr>
              <w:t>500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6"/>
              <w:jc w:val="right"/>
              <w:rPr>
                <w:rFonts w:ascii="Times New Roman" w:hAnsi="Times New Roman" w:cs="Times New Roman" w:eastAsia="Times New Roman" w:hint="default"/>
                <w:sz w:val="15"/>
                <w:szCs w:val="15"/>
              </w:rPr>
            </w:pPr>
            <w:r>
              <w:rPr>
                <w:rFonts w:ascii="Times New Roman"/>
                <w:sz w:val="15"/>
              </w:rPr>
              <w:t>70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z w:val="15"/>
              </w:rPr>
              <w:t>70</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4"/>
              <w:jc w:val="center"/>
              <w:rPr>
                <w:rFonts w:ascii="Times New Roman" w:hAnsi="Times New Roman" w:cs="Times New Roman" w:eastAsia="Times New Roman" w:hint="default"/>
                <w:sz w:val="15"/>
                <w:szCs w:val="15"/>
              </w:rPr>
            </w:pPr>
            <w:r>
              <w:rPr>
                <w:rFonts w:ascii="Times New Roman"/>
                <w:sz w:val="15"/>
              </w:rPr>
              <w:t>68537951-8</w:t>
            </w:r>
          </w:p>
        </w:tc>
      </w:tr>
      <w:tr>
        <w:trPr>
          <w:trHeight w:val="390" w:hRule="exact"/>
        </w:trPr>
        <w:tc>
          <w:tcPr>
            <w:tcW w:w="2732"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北京东软越通软件技术有限公司</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控股</w:t>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8" w:right="0"/>
              <w:jc w:val="left"/>
              <w:rPr>
                <w:rFonts w:ascii="宋体" w:hAnsi="宋体" w:cs="宋体" w:eastAsia="宋体" w:hint="default"/>
                <w:sz w:val="15"/>
                <w:szCs w:val="15"/>
              </w:rPr>
            </w:pPr>
            <w:r>
              <w:rPr>
                <w:rFonts w:ascii="宋体" w:hAnsi="宋体" w:cs="宋体" w:eastAsia="宋体" w:hint="default"/>
                <w:sz w:val="15"/>
                <w:szCs w:val="15"/>
              </w:rPr>
              <w:t>北京</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58" w:right="0"/>
              <w:jc w:val="left"/>
              <w:rPr>
                <w:rFonts w:ascii="宋体" w:hAnsi="宋体" w:cs="宋体" w:eastAsia="宋体" w:hint="default"/>
                <w:sz w:val="15"/>
                <w:szCs w:val="15"/>
              </w:rPr>
            </w:pPr>
            <w:r>
              <w:rPr>
                <w:rFonts w:ascii="宋体" w:hAnsi="宋体" w:cs="宋体" w:eastAsia="宋体" w:hint="default"/>
                <w:sz w:val="15"/>
                <w:szCs w:val="15"/>
              </w:rPr>
              <w:t>王立民</w:t>
            </w: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经营计算机软、硬件以及服务</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5"/>
              <w:jc w:val="right"/>
              <w:rPr>
                <w:rFonts w:ascii="Times New Roman" w:hAnsi="Times New Roman" w:cs="Times New Roman" w:eastAsia="Times New Roman" w:hint="default"/>
                <w:sz w:val="15"/>
                <w:szCs w:val="15"/>
              </w:rPr>
            </w:pPr>
            <w:r>
              <w:rPr>
                <w:rFonts w:ascii="Times New Roman"/>
                <w:spacing w:val="-1"/>
                <w:sz w:val="15"/>
              </w:rPr>
              <w:t>1,500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7"/>
              <w:jc w:val="right"/>
              <w:rPr>
                <w:rFonts w:ascii="Times New Roman" w:hAnsi="Times New Roman" w:cs="Times New Roman" w:eastAsia="Times New Roman" w:hint="default"/>
                <w:sz w:val="15"/>
                <w:szCs w:val="15"/>
              </w:rPr>
            </w:pPr>
            <w:r>
              <w:rPr>
                <w:rFonts w:ascii="Times New Roman"/>
                <w:sz w:val="15"/>
              </w:rPr>
              <w:t>70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z w:val="15"/>
              </w:rPr>
              <w:t>70</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4"/>
              <w:jc w:val="center"/>
              <w:rPr>
                <w:rFonts w:ascii="Times New Roman" w:hAnsi="Times New Roman" w:cs="Times New Roman" w:eastAsia="Times New Roman" w:hint="default"/>
                <w:sz w:val="15"/>
                <w:szCs w:val="15"/>
              </w:rPr>
            </w:pPr>
            <w:r>
              <w:rPr>
                <w:rFonts w:ascii="Times New Roman"/>
                <w:sz w:val="15"/>
              </w:rPr>
              <w:t>69230700-2</w:t>
            </w:r>
          </w:p>
        </w:tc>
      </w:tr>
      <w:tr>
        <w:trPr>
          <w:trHeight w:val="281" w:hRule="exact"/>
        </w:trPr>
        <w:tc>
          <w:tcPr>
            <w:tcW w:w="2732" w:type="dxa"/>
            <w:tcBorders>
              <w:top w:val="nil" w:sz="6" w:space="0" w:color="auto"/>
              <w:left w:val="nil" w:sz="6" w:space="0" w:color="auto"/>
              <w:bottom w:val="nil" w:sz="6" w:space="0" w:color="auto"/>
              <w:right w:val="nil" w:sz="6" w:space="0" w:color="auto"/>
            </w:tcBorders>
          </w:tcPr>
          <w:p>
            <w:pPr/>
          </w:p>
        </w:tc>
        <w:tc>
          <w:tcPr>
            <w:tcW w:w="498" w:type="dxa"/>
            <w:tcBorders>
              <w:top w:val="nil" w:sz="6" w:space="0" w:color="auto"/>
              <w:left w:val="nil" w:sz="6" w:space="0" w:color="auto"/>
              <w:bottom w:val="nil" w:sz="6" w:space="0" w:color="auto"/>
              <w:right w:val="nil" w:sz="6" w:space="0" w:color="auto"/>
            </w:tcBorders>
          </w:tcPr>
          <w:p>
            <w:pPr/>
          </w:p>
        </w:tc>
        <w:tc>
          <w:tcPr>
            <w:tcW w:w="1167" w:type="dxa"/>
            <w:tcBorders>
              <w:top w:val="nil" w:sz="6" w:space="0" w:color="auto"/>
              <w:left w:val="nil" w:sz="6" w:space="0" w:color="auto"/>
              <w:bottom w:val="nil" w:sz="6" w:space="0" w:color="auto"/>
              <w:right w:val="nil" w:sz="6" w:space="0" w:color="auto"/>
            </w:tcBorders>
          </w:tcPr>
          <w:p>
            <w:pPr/>
          </w:p>
        </w:tc>
        <w:tc>
          <w:tcPr>
            <w:tcW w:w="688" w:type="dxa"/>
            <w:tcBorders>
              <w:top w:val="nil" w:sz="6" w:space="0" w:color="auto"/>
              <w:left w:val="nil" w:sz="6" w:space="0" w:color="auto"/>
              <w:bottom w:val="nil" w:sz="6" w:space="0" w:color="auto"/>
              <w:right w:val="nil" w:sz="6" w:space="0" w:color="auto"/>
            </w:tcBorders>
          </w:tcPr>
          <w:p>
            <w:pPr/>
          </w:p>
        </w:tc>
        <w:tc>
          <w:tcPr>
            <w:tcW w:w="863" w:type="dxa"/>
            <w:tcBorders>
              <w:top w:val="nil" w:sz="6" w:space="0" w:color="auto"/>
              <w:left w:val="nil" w:sz="6" w:space="0" w:color="auto"/>
              <w:bottom w:val="nil" w:sz="6" w:space="0" w:color="auto"/>
              <w:right w:val="nil" w:sz="6" w:space="0" w:color="auto"/>
            </w:tcBorders>
          </w:tcPr>
          <w:p>
            <w:pP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计算机软件开发及技术咨询服务；房屋租赁；物业管</w:t>
            </w:r>
          </w:p>
        </w:tc>
        <w:tc>
          <w:tcPr>
            <w:tcW w:w="1241" w:type="dxa"/>
            <w:tcBorders>
              <w:top w:val="nil" w:sz="6" w:space="0" w:color="auto"/>
              <w:left w:val="nil" w:sz="6" w:space="0" w:color="auto"/>
              <w:bottom w:val="nil" w:sz="6" w:space="0" w:color="auto"/>
              <w:right w:val="nil" w:sz="6" w:space="0" w:color="auto"/>
            </w:tcBorders>
          </w:tcPr>
          <w:p>
            <w:pPr/>
          </w:p>
        </w:tc>
        <w:tc>
          <w:tcPr>
            <w:tcW w:w="662" w:type="dxa"/>
            <w:tcBorders>
              <w:top w:val="nil" w:sz="6" w:space="0" w:color="auto"/>
              <w:left w:val="nil" w:sz="6" w:space="0" w:color="auto"/>
              <w:bottom w:val="nil" w:sz="6" w:space="0" w:color="auto"/>
              <w:right w:val="nil" w:sz="6" w:space="0" w:color="auto"/>
            </w:tcBorders>
          </w:tcPr>
          <w:p>
            <w:pPr/>
          </w:p>
        </w:tc>
        <w:tc>
          <w:tcPr>
            <w:tcW w:w="596"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
        </w:tc>
      </w:tr>
      <w:tr>
        <w:trPr>
          <w:trHeight w:val="481" w:hRule="exact"/>
        </w:trPr>
        <w:tc>
          <w:tcPr>
            <w:tcW w:w="2732" w:type="dxa"/>
            <w:tcBorders>
              <w:top w:val="nil" w:sz="6" w:space="0" w:color="auto"/>
              <w:left w:val="nil" w:sz="6" w:space="0" w:color="auto"/>
              <w:bottom w:val="nil" w:sz="6" w:space="0" w:color="auto"/>
              <w:right w:val="nil" w:sz="6" w:space="0" w:color="auto"/>
            </w:tcBorders>
          </w:tcPr>
          <w:p>
            <w:pPr>
              <w:pStyle w:val="TableParagraph"/>
              <w:spacing w:line="170" w:lineRule="exact"/>
              <w:ind w:left="91" w:right="0"/>
              <w:jc w:val="left"/>
              <w:rPr>
                <w:rFonts w:ascii="宋体" w:hAnsi="宋体" w:cs="宋体" w:eastAsia="宋体" w:hint="default"/>
                <w:sz w:val="15"/>
                <w:szCs w:val="15"/>
              </w:rPr>
            </w:pPr>
            <w:r>
              <w:rPr>
                <w:rFonts w:ascii="宋体" w:hAnsi="宋体" w:cs="宋体" w:eastAsia="宋体" w:hint="default"/>
                <w:sz w:val="15"/>
                <w:szCs w:val="15"/>
              </w:rPr>
              <w:t>大连东软软件园产业发展有限公司</w:t>
            </w:r>
          </w:p>
        </w:tc>
        <w:tc>
          <w:tcPr>
            <w:tcW w:w="498" w:type="dxa"/>
            <w:tcBorders>
              <w:top w:val="nil" w:sz="6" w:space="0" w:color="auto"/>
              <w:left w:val="nil" w:sz="6" w:space="0" w:color="auto"/>
              <w:bottom w:val="nil" w:sz="6" w:space="0" w:color="auto"/>
              <w:right w:val="nil" w:sz="6" w:space="0" w:color="auto"/>
            </w:tcBorders>
          </w:tcPr>
          <w:p>
            <w:pPr>
              <w:pStyle w:val="TableParagraph"/>
              <w:spacing w:line="170" w:lineRule="exact"/>
              <w:ind w:left="91" w:right="0"/>
              <w:jc w:val="left"/>
              <w:rPr>
                <w:rFonts w:ascii="宋体" w:hAnsi="宋体" w:cs="宋体" w:eastAsia="宋体" w:hint="default"/>
                <w:sz w:val="15"/>
                <w:szCs w:val="15"/>
              </w:rPr>
            </w:pPr>
            <w:r>
              <w:rPr>
                <w:rFonts w:ascii="宋体" w:hAnsi="宋体" w:cs="宋体" w:eastAsia="宋体" w:hint="default"/>
                <w:sz w:val="15"/>
                <w:szCs w:val="15"/>
              </w:rPr>
              <w:t>控股</w:t>
            </w:r>
          </w:p>
        </w:tc>
        <w:tc>
          <w:tcPr>
            <w:tcW w:w="1167" w:type="dxa"/>
            <w:tcBorders>
              <w:top w:val="nil" w:sz="6" w:space="0" w:color="auto"/>
              <w:left w:val="nil" w:sz="6" w:space="0" w:color="auto"/>
              <w:bottom w:val="nil" w:sz="6" w:space="0" w:color="auto"/>
              <w:right w:val="nil" w:sz="6" w:space="0" w:color="auto"/>
            </w:tcBorders>
          </w:tcPr>
          <w:p>
            <w:pPr>
              <w:pStyle w:val="TableParagraph"/>
              <w:spacing w:line="170" w:lineRule="exact"/>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688" w:type="dxa"/>
            <w:tcBorders>
              <w:top w:val="nil" w:sz="6" w:space="0" w:color="auto"/>
              <w:left w:val="nil" w:sz="6" w:space="0" w:color="auto"/>
              <w:bottom w:val="nil" w:sz="6" w:space="0" w:color="auto"/>
              <w:right w:val="nil" w:sz="6" w:space="0" w:color="auto"/>
            </w:tcBorders>
          </w:tcPr>
          <w:p>
            <w:pPr>
              <w:pStyle w:val="TableParagraph"/>
              <w:spacing w:line="170" w:lineRule="exact"/>
              <w:ind w:left="128" w:right="0"/>
              <w:jc w:val="left"/>
              <w:rPr>
                <w:rFonts w:ascii="宋体" w:hAnsi="宋体" w:cs="宋体" w:eastAsia="宋体" w:hint="default"/>
                <w:sz w:val="15"/>
                <w:szCs w:val="15"/>
              </w:rPr>
            </w:pPr>
            <w:r>
              <w:rPr>
                <w:rFonts w:ascii="宋体" w:hAnsi="宋体" w:cs="宋体" w:eastAsia="宋体" w:hint="default"/>
                <w:sz w:val="15"/>
                <w:szCs w:val="15"/>
              </w:rPr>
              <w:t>大连</w:t>
            </w:r>
          </w:p>
        </w:tc>
        <w:tc>
          <w:tcPr>
            <w:tcW w:w="863" w:type="dxa"/>
            <w:tcBorders>
              <w:top w:val="nil" w:sz="6" w:space="0" w:color="auto"/>
              <w:left w:val="nil" w:sz="6" w:space="0" w:color="auto"/>
              <w:bottom w:val="nil" w:sz="6" w:space="0" w:color="auto"/>
              <w:right w:val="nil" w:sz="6" w:space="0" w:color="auto"/>
            </w:tcBorders>
          </w:tcPr>
          <w:p>
            <w:pPr>
              <w:pStyle w:val="TableParagraph"/>
              <w:spacing w:line="170" w:lineRule="exact"/>
              <w:ind w:left="258" w:right="0"/>
              <w:jc w:val="left"/>
              <w:rPr>
                <w:rFonts w:ascii="宋体" w:hAnsi="宋体" w:cs="宋体" w:eastAsia="宋体" w:hint="default"/>
                <w:sz w:val="15"/>
                <w:szCs w:val="15"/>
              </w:rPr>
            </w:pPr>
            <w:r>
              <w:rPr>
                <w:rFonts w:ascii="宋体" w:hAnsi="宋体" w:cs="宋体" w:eastAsia="宋体" w:hint="default"/>
                <w:sz w:val="15"/>
                <w:szCs w:val="15"/>
              </w:rPr>
              <w:t>刘积仁</w:t>
            </w: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54" w:right="0"/>
              <w:jc w:val="left"/>
              <w:rPr>
                <w:rFonts w:ascii="宋体" w:hAnsi="宋体" w:cs="宋体" w:eastAsia="宋体" w:hint="default"/>
                <w:sz w:val="15"/>
                <w:szCs w:val="15"/>
              </w:rPr>
            </w:pPr>
            <w:r>
              <w:rPr>
                <w:rFonts w:ascii="宋体" w:hAnsi="宋体" w:cs="宋体" w:eastAsia="宋体" w:hint="default"/>
                <w:sz w:val="15"/>
                <w:szCs w:val="15"/>
              </w:rPr>
              <w:t>理；国内一般贸易、货物及技术进出口</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85"/>
              <w:jc w:val="right"/>
              <w:rPr>
                <w:rFonts w:ascii="Times New Roman" w:hAnsi="Times New Roman" w:cs="Times New Roman" w:eastAsia="Times New Roman" w:hint="default"/>
                <w:sz w:val="15"/>
                <w:szCs w:val="15"/>
              </w:rPr>
            </w:pPr>
            <w:r>
              <w:rPr>
                <w:rFonts w:ascii="Times New Roman"/>
                <w:spacing w:val="-1"/>
                <w:sz w:val="15"/>
              </w:rPr>
              <w:t>35,900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7"/>
              <w:jc w:val="right"/>
              <w:rPr>
                <w:rFonts w:ascii="Times New Roman" w:hAnsi="Times New Roman" w:cs="Times New Roman" w:eastAsia="Times New Roman" w:hint="default"/>
                <w:sz w:val="15"/>
                <w:szCs w:val="15"/>
              </w:rPr>
            </w:pPr>
            <w:r>
              <w:rPr>
                <w:rFonts w:ascii="Times New Roman"/>
                <w:sz w:val="15"/>
              </w:rPr>
              <w:t>60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8"/>
              <w:jc w:val="right"/>
              <w:rPr>
                <w:rFonts w:ascii="Times New Roman" w:hAnsi="Times New Roman" w:cs="Times New Roman" w:eastAsia="Times New Roman" w:hint="default"/>
                <w:sz w:val="15"/>
                <w:szCs w:val="15"/>
              </w:rPr>
            </w:pPr>
            <w:r>
              <w:rPr>
                <w:rFonts w:ascii="Times New Roman"/>
                <w:sz w:val="15"/>
              </w:rPr>
              <w:t>60</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4"/>
              <w:jc w:val="center"/>
              <w:rPr>
                <w:rFonts w:ascii="Times New Roman" w:hAnsi="Times New Roman" w:cs="Times New Roman" w:eastAsia="Times New Roman" w:hint="default"/>
                <w:sz w:val="15"/>
                <w:szCs w:val="15"/>
              </w:rPr>
            </w:pPr>
            <w:r>
              <w:rPr>
                <w:rFonts w:ascii="Times New Roman"/>
                <w:sz w:val="15"/>
              </w:rPr>
              <w:t>74090764-4</w:t>
            </w:r>
          </w:p>
        </w:tc>
      </w:tr>
      <w:tr>
        <w:trPr>
          <w:trHeight w:val="290" w:hRule="exact"/>
        </w:trPr>
        <w:tc>
          <w:tcPr>
            <w:tcW w:w="2732" w:type="dxa"/>
            <w:tcBorders>
              <w:top w:val="nil" w:sz="6" w:space="0" w:color="auto"/>
              <w:left w:val="nil" w:sz="6" w:space="0" w:color="auto"/>
              <w:bottom w:val="nil" w:sz="6" w:space="0" w:color="auto"/>
              <w:right w:val="nil" w:sz="6" w:space="0" w:color="auto"/>
            </w:tcBorders>
          </w:tcPr>
          <w:p>
            <w:pPr/>
          </w:p>
        </w:tc>
        <w:tc>
          <w:tcPr>
            <w:tcW w:w="498" w:type="dxa"/>
            <w:tcBorders>
              <w:top w:val="nil" w:sz="6" w:space="0" w:color="auto"/>
              <w:left w:val="nil" w:sz="6" w:space="0" w:color="auto"/>
              <w:bottom w:val="nil" w:sz="6" w:space="0" w:color="auto"/>
              <w:right w:val="nil" w:sz="6" w:space="0" w:color="auto"/>
            </w:tcBorders>
          </w:tcPr>
          <w:p>
            <w:pPr/>
          </w:p>
        </w:tc>
        <w:tc>
          <w:tcPr>
            <w:tcW w:w="1167" w:type="dxa"/>
            <w:tcBorders>
              <w:top w:val="nil" w:sz="6" w:space="0" w:color="auto"/>
              <w:left w:val="nil" w:sz="6" w:space="0" w:color="auto"/>
              <w:bottom w:val="nil" w:sz="6" w:space="0" w:color="auto"/>
              <w:right w:val="nil" w:sz="6" w:space="0" w:color="auto"/>
            </w:tcBorders>
          </w:tcPr>
          <w:p>
            <w:pPr/>
          </w:p>
        </w:tc>
        <w:tc>
          <w:tcPr>
            <w:tcW w:w="688" w:type="dxa"/>
            <w:tcBorders>
              <w:top w:val="nil" w:sz="6" w:space="0" w:color="auto"/>
              <w:left w:val="nil" w:sz="6" w:space="0" w:color="auto"/>
              <w:bottom w:val="nil" w:sz="6" w:space="0" w:color="auto"/>
              <w:right w:val="nil" w:sz="6" w:space="0" w:color="auto"/>
            </w:tcBorders>
          </w:tcPr>
          <w:p>
            <w:pPr/>
          </w:p>
        </w:tc>
        <w:tc>
          <w:tcPr>
            <w:tcW w:w="863" w:type="dxa"/>
            <w:tcBorders>
              <w:top w:val="nil" w:sz="6" w:space="0" w:color="auto"/>
              <w:left w:val="nil" w:sz="6" w:space="0" w:color="auto"/>
              <w:bottom w:val="nil" w:sz="6" w:space="0" w:color="auto"/>
              <w:right w:val="nil" w:sz="6" w:space="0" w:color="auto"/>
            </w:tcBorders>
          </w:tcPr>
          <w:p>
            <w:pP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54" w:right="0"/>
              <w:jc w:val="left"/>
              <w:rPr>
                <w:rFonts w:ascii="宋体" w:hAnsi="宋体" w:cs="宋体" w:eastAsia="宋体" w:hint="default"/>
                <w:sz w:val="15"/>
                <w:szCs w:val="15"/>
              </w:rPr>
            </w:pPr>
            <w:r>
              <w:rPr>
                <w:rFonts w:ascii="宋体" w:hAnsi="宋体" w:cs="宋体" w:eastAsia="宋体" w:hint="default"/>
                <w:sz w:val="15"/>
                <w:szCs w:val="15"/>
              </w:rPr>
              <w:t>对南海东软信息技术学院的投资、建设与管理，信息</w:t>
            </w:r>
          </w:p>
        </w:tc>
        <w:tc>
          <w:tcPr>
            <w:tcW w:w="1241" w:type="dxa"/>
            <w:tcBorders>
              <w:top w:val="nil" w:sz="6" w:space="0" w:color="auto"/>
              <w:left w:val="nil" w:sz="6" w:space="0" w:color="auto"/>
              <w:bottom w:val="nil" w:sz="6" w:space="0" w:color="auto"/>
              <w:right w:val="nil" w:sz="6" w:space="0" w:color="auto"/>
            </w:tcBorders>
          </w:tcPr>
          <w:p>
            <w:pPr/>
          </w:p>
        </w:tc>
        <w:tc>
          <w:tcPr>
            <w:tcW w:w="662" w:type="dxa"/>
            <w:tcBorders>
              <w:top w:val="nil" w:sz="6" w:space="0" w:color="auto"/>
              <w:left w:val="nil" w:sz="6" w:space="0" w:color="auto"/>
              <w:bottom w:val="nil" w:sz="6" w:space="0" w:color="auto"/>
              <w:right w:val="nil" w:sz="6" w:space="0" w:color="auto"/>
            </w:tcBorders>
          </w:tcPr>
          <w:p>
            <w:pPr/>
          </w:p>
        </w:tc>
        <w:tc>
          <w:tcPr>
            <w:tcW w:w="596"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
        </w:tc>
      </w:tr>
      <w:tr>
        <w:trPr>
          <w:trHeight w:val="479" w:hRule="exact"/>
        </w:trPr>
        <w:tc>
          <w:tcPr>
            <w:tcW w:w="2732" w:type="dxa"/>
            <w:tcBorders>
              <w:top w:val="nil" w:sz="6" w:space="0" w:color="auto"/>
              <w:left w:val="nil" w:sz="6" w:space="0" w:color="auto"/>
              <w:bottom w:val="nil" w:sz="6" w:space="0" w:color="auto"/>
              <w:right w:val="nil" w:sz="6" w:space="0" w:color="auto"/>
            </w:tcBorders>
          </w:tcPr>
          <w:p>
            <w:pPr>
              <w:pStyle w:val="TableParagraph"/>
              <w:spacing w:line="170" w:lineRule="exact"/>
              <w:ind w:left="91" w:right="0"/>
              <w:jc w:val="left"/>
              <w:rPr>
                <w:rFonts w:ascii="宋体" w:hAnsi="宋体" w:cs="宋体" w:eastAsia="宋体" w:hint="default"/>
                <w:sz w:val="15"/>
                <w:szCs w:val="15"/>
              </w:rPr>
            </w:pPr>
            <w:r>
              <w:rPr>
                <w:rFonts w:ascii="宋体" w:hAnsi="宋体" w:cs="宋体" w:eastAsia="宋体" w:hint="default"/>
                <w:sz w:val="15"/>
                <w:szCs w:val="15"/>
              </w:rPr>
              <w:t>佛山市南海东软信息技术发展有限公司</w:t>
            </w:r>
          </w:p>
        </w:tc>
        <w:tc>
          <w:tcPr>
            <w:tcW w:w="498" w:type="dxa"/>
            <w:tcBorders>
              <w:top w:val="nil" w:sz="6" w:space="0" w:color="auto"/>
              <w:left w:val="nil" w:sz="6" w:space="0" w:color="auto"/>
              <w:bottom w:val="nil" w:sz="6" w:space="0" w:color="auto"/>
              <w:right w:val="nil" w:sz="6" w:space="0" w:color="auto"/>
            </w:tcBorders>
          </w:tcPr>
          <w:p>
            <w:pPr>
              <w:pStyle w:val="TableParagraph"/>
              <w:spacing w:line="170" w:lineRule="exact"/>
              <w:ind w:left="91" w:right="0"/>
              <w:jc w:val="left"/>
              <w:rPr>
                <w:rFonts w:ascii="宋体" w:hAnsi="宋体" w:cs="宋体" w:eastAsia="宋体" w:hint="default"/>
                <w:sz w:val="15"/>
                <w:szCs w:val="15"/>
              </w:rPr>
            </w:pPr>
            <w:r>
              <w:rPr>
                <w:rFonts w:ascii="宋体" w:hAnsi="宋体" w:cs="宋体" w:eastAsia="宋体" w:hint="default"/>
                <w:sz w:val="15"/>
                <w:szCs w:val="15"/>
              </w:rPr>
              <w:t>控股</w:t>
            </w:r>
          </w:p>
        </w:tc>
        <w:tc>
          <w:tcPr>
            <w:tcW w:w="1167" w:type="dxa"/>
            <w:tcBorders>
              <w:top w:val="nil" w:sz="6" w:space="0" w:color="auto"/>
              <w:left w:val="nil" w:sz="6" w:space="0" w:color="auto"/>
              <w:bottom w:val="nil" w:sz="6" w:space="0" w:color="auto"/>
              <w:right w:val="nil" w:sz="6" w:space="0" w:color="auto"/>
            </w:tcBorders>
          </w:tcPr>
          <w:p>
            <w:pPr>
              <w:pStyle w:val="TableParagraph"/>
              <w:spacing w:line="170" w:lineRule="exact"/>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688" w:type="dxa"/>
            <w:tcBorders>
              <w:top w:val="nil" w:sz="6" w:space="0" w:color="auto"/>
              <w:left w:val="nil" w:sz="6" w:space="0" w:color="auto"/>
              <w:bottom w:val="nil" w:sz="6" w:space="0" w:color="auto"/>
              <w:right w:val="nil" w:sz="6" w:space="0" w:color="auto"/>
            </w:tcBorders>
          </w:tcPr>
          <w:p>
            <w:pPr>
              <w:pStyle w:val="TableParagraph"/>
              <w:spacing w:line="170" w:lineRule="exact"/>
              <w:ind w:left="128" w:right="0"/>
              <w:jc w:val="left"/>
              <w:rPr>
                <w:rFonts w:ascii="宋体" w:hAnsi="宋体" w:cs="宋体" w:eastAsia="宋体" w:hint="default"/>
                <w:sz w:val="15"/>
                <w:szCs w:val="15"/>
              </w:rPr>
            </w:pPr>
            <w:r>
              <w:rPr>
                <w:rFonts w:ascii="宋体" w:hAnsi="宋体" w:cs="宋体" w:eastAsia="宋体" w:hint="default"/>
                <w:sz w:val="15"/>
                <w:szCs w:val="15"/>
              </w:rPr>
              <w:t>佛山</w:t>
            </w:r>
          </w:p>
        </w:tc>
        <w:tc>
          <w:tcPr>
            <w:tcW w:w="863" w:type="dxa"/>
            <w:tcBorders>
              <w:top w:val="nil" w:sz="6" w:space="0" w:color="auto"/>
              <w:left w:val="nil" w:sz="6" w:space="0" w:color="auto"/>
              <w:bottom w:val="nil" w:sz="6" w:space="0" w:color="auto"/>
              <w:right w:val="nil" w:sz="6" w:space="0" w:color="auto"/>
            </w:tcBorders>
          </w:tcPr>
          <w:p>
            <w:pPr>
              <w:pStyle w:val="TableParagraph"/>
              <w:spacing w:line="170" w:lineRule="exact"/>
              <w:ind w:left="258" w:right="0"/>
              <w:jc w:val="left"/>
              <w:rPr>
                <w:rFonts w:ascii="宋体" w:hAnsi="宋体" w:cs="宋体" w:eastAsia="宋体" w:hint="default"/>
                <w:sz w:val="15"/>
                <w:szCs w:val="15"/>
              </w:rPr>
            </w:pPr>
            <w:r>
              <w:rPr>
                <w:rFonts w:ascii="宋体" w:hAnsi="宋体" w:cs="宋体" w:eastAsia="宋体" w:hint="default"/>
                <w:sz w:val="15"/>
                <w:szCs w:val="15"/>
              </w:rPr>
              <w:t>刘积仁</w:t>
            </w: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154" w:right="0"/>
              <w:jc w:val="left"/>
              <w:rPr>
                <w:rFonts w:ascii="宋体" w:hAnsi="宋体" w:cs="宋体" w:eastAsia="宋体" w:hint="default"/>
                <w:sz w:val="15"/>
                <w:szCs w:val="15"/>
              </w:rPr>
            </w:pPr>
            <w:r>
              <w:rPr>
                <w:rFonts w:ascii="宋体" w:hAnsi="宋体" w:cs="宋体" w:eastAsia="宋体" w:hint="default"/>
                <w:sz w:val="15"/>
                <w:szCs w:val="15"/>
              </w:rPr>
              <w:t>技术、管理人才教育培训及咨询服务</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85"/>
              <w:jc w:val="right"/>
              <w:rPr>
                <w:rFonts w:ascii="Times New Roman" w:hAnsi="Times New Roman" w:cs="Times New Roman" w:eastAsia="Times New Roman" w:hint="default"/>
                <w:sz w:val="15"/>
                <w:szCs w:val="15"/>
              </w:rPr>
            </w:pPr>
            <w:r>
              <w:rPr>
                <w:rFonts w:ascii="Times New Roman"/>
                <w:spacing w:val="-1"/>
                <w:sz w:val="15"/>
              </w:rPr>
              <w:t>6,000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7"/>
              <w:jc w:val="right"/>
              <w:rPr>
                <w:rFonts w:ascii="Times New Roman" w:hAnsi="Times New Roman" w:cs="Times New Roman" w:eastAsia="Times New Roman" w:hint="default"/>
                <w:sz w:val="15"/>
                <w:szCs w:val="15"/>
              </w:rPr>
            </w:pPr>
            <w:r>
              <w:rPr>
                <w:rFonts w:ascii="Times New Roman"/>
                <w:sz w:val="15"/>
              </w:rPr>
              <w:t>99</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8"/>
              <w:jc w:val="right"/>
              <w:rPr>
                <w:rFonts w:ascii="Times New Roman" w:hAnsi="Times New Roman" w:cs="Times New Roman" w:eastAsia="Times New Roman" w:hint="default"/>
                <w:sz w:val="15"/>
                <w:szCs w:val="15"/>
              </w:rPr>
            </w:pPr>
            <w:r>
              <w:rPr>
                <w:rFonts w:ascii="Times New Roman"/>
                <w:sz w:val="15"/>
              </w:rPr>
              <w:t>99</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4"/>
              <w:jc w:val="center"/>
              <w:rPr>
                <w:rFonts w:ascii="Times New Roman" w:hAnsi="Times New Roman" w:cs="Times New Roman" w:eastAsia="Times New Roman" w:hint="default"/>
                <w:sz w:val="15"/>
                <w:szCs w:val="15"/>
              </w:rPr>
            </w:pPr>
            <w:r>
              <w:rPr>
                <w:rFonts w:ascii="Times New Roman"/>
                <w:sz w:val="15"/>
              </w:rPr>
              <w:t>73500424-8</w:t>
            </w:r>
          </w:p>
        </w:tc>
      </w:tr>
      <w:tr>
        <w:trPr>
          <w:trHeight w:val="385" w:hRule="exact"/>
        </w:trPr>
        <w:tc>
          <w:tcPr>
            <w:tcW w:w="2732" w:type="dxa"/>
            <w:tcBorders>
              <w:top w:val="nil" w:sz="6" w:space="0" w:color="auto"/>
              <w:left w:val="nil" w:sz="6" w:space="0" w:color="auto"/>
              <w:bottom w:val="nil" w:sz="6" w:space="0" w:color="auto"/>
              <w:right w:val="nil" w:sz="6" w:space="0" w:color="auto"/>
            </w:tcBorders>
          </w:tcPr>
          <w:p>
            <w:pPr/>
          </w:p>
        </w:tc>
        <w:tc>
          <w:tcPr>
            <w:tcW w:w="498" w:type="dxa"/>
            <w:tcBorders>
              <w:top w:val="nil" w:sz="6" w:space="0" w:color="auto"/>
              <w:left w:val="nil" w:sz="6" w:space="0" w:color="auto"/>
              <w:bottom w:val="nil" w:sz="6" w:space="0" w:color="auto"/>
              <w:right w:val="nil" w:sz="6" w:space="0" w:color="auto"/>
            </w:tcBorders>
          </w:tcPr>
          <w:p>
            <w:pPr/>
          </w:p>
        </w:tc>
        <w:tc>
          <w:tcPr>
            <w:tcW w:w="1167" w:type="dxa"/>
            <w:tcBorders>
              <w:top w:val="nil" w:sz="6" w:space="0" w:color="auto"/>
              <w:left w:val="nil" w:sz="6" w:space="0" w:color="auto"/>
              <w:bottom w:val="nil" w:sz="6" w:space="0" w:color="auto"/>
              <w:right w:val="nil" w:sz="6" w:space="0" w:color="auto"/>
            </w:tcBorders>
          </w:tcPr>
          <w:p>
            <w:pPr/>
          </w:p>
        </w:tc>
        <w:tc>
          <w:tcPr>
            <w:tcW w:w="688" w:type="dxa"/>
            <w:tcBorders>
              <w:top w:val="nil" w:sz="6" w:space="0" w:color="auto"/>
              <w:left w:val="nil" w:sz="6" w:space="0" w:color="auto"/>
              <w:bottom w:val="nil" w:sz="6" w:space="0" w:color="auto"/>
              <w:right w:val="nil" w:sz="6" w:space="0" w:color="auto"/>
            </w:tcBorders>
          </w:tcPr>
          <w:p>
            <w:pPr/>
          </w:p>
        </w:tc>
        <w:tc>
          <w:tcPr>
            <w:tcW w:w="863" w:type="dxa"/>
            <w:tcBorders>
              <w:top w:val="nil" w:sz="6" w:space="0" w:color="auto"/>
              <w:left w:val="nil" w:sz="6" w:space="0" w:color="auto"/>
              <w:bottom w:val="nil" w:sz="6" w:space="0" w:color="auto"/>
              <w:right w:val="nil" w:sz="6" w:space="0" w:color="auto"/>
            </w:tcBorders>
          </w:tcPr>
          <w:p>
            <w:pP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54" w:right="0"/>
              <w:jc w:val="left"/>
              <w:rPr>
                <w:rFonts w:ascii="宋体" w:hAnsi="宋体" w:cs="宋体" w:eastAsia="宋体" w:hint="default"/>
                <w:sz w:val="15"/>
                <w:szCs w:val="15"/>
              </w:rPr>
            </w:pPr>
            <w:r>
              <w:rPr>
                <w:rFonts w:ascii="宋体" w:hAnsi="宋体" w:cs="宋体" w:eastAsia="宋体" w:hint="default"/>
                <w:sz w:val="15"/>
                <w:szCs w:val="15"/>
              </w:rPr>
              <w:t>计算机软硬件、教育课件开发、租赁、销售；房地产</w:t>
            </w:r>
          </w:p>
        </w:tc>
        <w:tc>
          <w:tcPr>
            <w:tcW w:w="1241" w:type="dxa"/>
            <w:tcBorders>
              <w:top w:val="nil" w:sz="6" w:space="0" w:color="auto"/>
              <w:left w:val="nil" w:sz="6" w:space="0" w:color="auto"/>
              <w:bottom w:val="nil" w:sz="6" w:space="0" w:color="auto"/>
              <w:right w:val="nil" w:sz="6" w:space="0" w:color="auto"/>
            </w:tcBorders>
          </w:tcPr>
          <w:p>
            <w:pPr/>
          </w:p>
        </w:tc>
        <w:tc>
          <w:tcPr>
            <w:tcW w:w="662" w:type="dxa"/>
            <w:tcBorders>
              <w:top w:val="nil" w:sz="6" w:space="0" w:color="auto"/>
              <w:left w:val="nil" w:sz="6" w:space="0" w:color="auto"/>
              <w:bottom w:val="nil" w:sz="6" w:space="0" w:color="auto"/>
              <w:right w:val="nil" w:sz="6" w:space="0" w:color="auto"/>
            </w:tcBorders>
          </w:tcPr>
          <w:p>
            <w:pPr/>
          </w:p>
        </w:tc>
        <w:tc>
          <w:tcPr>
            <w:tcW w:w="596"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
        </w:tc>
      </w:tr>
      <w:tr>
        <w:trPr>
          <w:trHeight w:val="389" w:hRule="exact"/>
        </w:trPr>
        <w:tc>
          <w:tcPr>
            <w:tcW w:w="2732" w:type="dxa"/>
            <w:tcBorders>
              <w:top w:val="nil" w:sz="6" w:space="0" w:color="auto"/>
              <w:left w:val="nil" w:sz="6" w:space="0" w:color="auto"/>
              <w:bottom w:val="nil" w:sz="6" w:space="0" w:color="auto"/>
              <w:right w:val="nil" w:sz="6" w:space="0" w:color="auto"/>
            </w:tcBorders>
          </w:tcPr>
          <w:p>
            <w:pPr>
              <w:pStyle w:val="TableParagraph"/>
              <w:spacing w:line="240" w:lineRule="auto" w:before="69"/>
              <w:ind w:left="91" w:right="0"/>
              <w:jc w:val="left"/>
              <w:rPr>
                <w:rFonts w:ascii="宋体" w:hAnsi="宋体" w:cs="宋体" w:eastAsia="宋体" w:hint="default"/>
                <w:sz w:val="15"/>
                <w:szCs w:val="15"/>
              </w:rPr>
            </w:pPr>
            <w:r>
              <w:rPr>
                <w:rFonts w:ascii="宋体" w:hAnsi="宋体" w:cs="宋体" w:eastAsia="宋体" w:hint="default"/>
                <w:sz w:val="15"/>
                <w:szCs w:val="15"/>
              </w:rPr>
              <w:t>成都东软信息技术发展有限公司</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before="69"/>
              <w:ind w:left="91" w:right="0"/>
              <w:jc w:val="left"/>
              <w:rPr>
                <w:rFonts w:ascii="宋体" w:hAnsi="宋体" w:cs="宋体" w:eastAsia="宋体" w:hint="default"/>
                <w:sz w:val="15"/>
                <w:szCs w:val="15"/>
              </w:rPr>
            </w:pPr>
            <w:r>
              <w:rPr>
                <w:rFonts w:ascii="宋体" w:hAnsi="宋体" w:cs="宋体" w:eastAsia="宋体" w:hint="default"/>
                <w:sz w:val="15"/>
                <w:szCs w:val="15"/>
              </w:rPr>
              <w:t>控股</w:t>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8" w:right="0"/>
              <w:jc w:val="left"/>
              <w:rPr>
                <w:rFonts w:ascii="宋体" w:hAnsi="宋体" w:cs="宋体" w:eastAsia="宋体" w:hint="default"/>
                <w:sz w:val="15"/>
                <w:szCs w:val="15"/>
              </w:rPr>
            </w:pPr>
            <w:r>
              <w:rPr>
                <w:rFonts w:ascii="宋体" w:hAnsi="宋体" w:cs="宋体" w:eastAsia="宋体" w:hint="default"/>
                <w:sz w:val="15"/>
                <w:szCs w:val="15"/>
              </w:rPr>
              <w:t>成都</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58" w:right="0"/>
              <w:jc w:val="left"/>
              <w:rPr>
                <w:rFonts w:ascii="宋体" w:hAnsi="宋体" w:cs="宋体" w:eastAsia="宋体" w:hint="default"/>
                <w:sz w:val="15"/>
                <w:szCs w:val="15"/>
              </w:rPr>
            </w:pPr>
            <w:r>
              <w:rPr>
                <w:rFonts w:ascii="宋体" w:hAnsi="宋体" w:cs="宋体" w:eastAsia="宋体" w:hint="default"/>
                <w:sz w:val="15"/>
                <w:szCs w:val="15"/>
              </w:rPr>
              <w:t>刘积仁</w:t>
            </w: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54" w:right="0"/>
              <w:jc w:val="left"/>
              <w:rPr>
                <w:rFonts w:ascii="宋体" w:hAnsi="宋体" w:cs="宋体" w:eastAsia="宋体" w:hint="default"/>
                <w:sz w:val="15"/>
                <w:szCs w:val="15"/>
              </w:rPr>
            </w:pPr>
            <w:r>
              <w:rPr>
                <w:rFonts w:ascii="宋体" w:hAnsi="宋体" w:cs="宋体" w:eastAsia="宋体" w:hint="default"/>
                <w:sz w:val="15"/>
                <w:szCs w:val="15"/>
              </w:rPr>
              <w:t>开发、销售；物业管理、场地租赁；信息技术、管理</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85"/>
              <w:jc w:val="right"/>
              <w:rPr>
                <w:rFonts w:ascii="Times New Roman" w:hAnsi="Times New Roman" w:cs="Times New Roman" w:eastAsia="Times New Roman" w:hint="default"/>
                <w:sz w:val="15"/>
                <w:szCs w:val="15"/>
              </w:rPr>
            </w:pPr>
            <w:r>
              <w:rPr>
                <w:rFonts w:ascii="Times New Roman"/>
                <w:spacing w:val="-1"/>
                <w:sz w:val="15"/>
              </w:rPr>
              <w:t>6,000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37"/>
              <w:jc w:val="right"/>
              <w:rPr>
                <w:rFonts w:ascii="Times New Roman" w:hAnsi="Times New Roman" w:cs="Times New Roman" w:eastAsia="Times New Roman" w:hint="default"/>
                <w:sz w:val="15"/>
                <w:szCs w:val="15"/>
              </w:rPr>
            </w:pPr>
            <w:r>
              <w:rPr>
                <w:rFonts w:ascii="Times New Roman"/>
                <w:sz w:val="15"/>
              </w:rPr>
              <w:t>99</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18"/>
              <w:jc w:val="right"/>
              <w:rPr>
                <w:rFonts w:ascii="Times New Roman" w:hAnsi="Times New Roman" w:cs="Times New Roman" w:eastAsia="Times New Roman" w:hint="default"/>
                <w:sz w:val="15"/>
                <w:szCs w:val="15"/>
              </w:rPr>
            </w:pPr>
            <w:r>
              <w:rPr>
                <w:rFonts w:ascii="Times New Roman"/>
                <w:sz w:val="15"/>
              </w:rPr>
              <w:t>99</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44"/>
              <w:jc w:val="center"/>
              <w:rPr>
                <w:rFonts w:ascii="Times New Roman" w:hAnsi="Times New Roman" w:cs="Times New Roman" w:eastAsia="Times New Roman" w:hint="default"/>
                <w:sz w:val="15"/>
                <w:szCs w:val="15"/>
              </w:rPr>
            </w:pPr>
            <w:r>
              <w:rPr>
                <w:rFonts w:ascii="Times New Roman"/>
                <w:sz w:val="15"/>
              </w:rPr>
              <w:t>74031031-1</w:t>
            </w:r>
          </w:p>
        </w:tc>
      </w:tr>
      <w:tr>
        <w:trPr>
          <w:trHeight w:val="377" w:hRule="exact"/>
        </w:trPr>
        <w:tc>
          <w:tcPr>
            <w:tcW w:w="2732" w:type="dxa"/>
            <w:tcBorders>
              <w:top w:val="nil" w:sz="6" w:space="0" w:color="auto"/>
              <w:left w:val="nil" w:sz="6" w:space="0" w:color="auto"/>
              <w:bottom w:val="nil" w:sz="6" w:space="0" w:color="auto"/>
              <w:right w:val="nil" w:sz="6" w:space="0" w:color="auto"/>
            </w:tcBorders>
          </w:tcPr>
          <w:p>
            <w:pPr/>
          </w:p>
        </w:tc>
        <w:tc>
          <w:tcPr>
            <w:tcW w:w="498" w:type="dxa"/>
            <w:tcBorders>
              <w:top w:val="nil" w:sz="6" w:space="0" w:color="auto"/>
              <w:left w:val="nil" w:sz="6" w:space="0" w:color="auto"/>
              <w:bottom w:val="nil" w:sz="6" w:space="0" w:color="auto"/>
              <w:right w:val="nil" w:sz="6" w:space="0" w:color="auto"/>
            </w:tcBorders>
          </w:tcPr>
          <w:p>
            <w:pPr/>
          </w:p>
        </w:tc>
        <w:tc>
          <w:tcPr>
            <w:tcW w:w="1167" w:type="dxa"/>
            <w:tcBorders>
              <w:top w:val="nil" w:sz="6" w:space="0" w:color="auto"/>
              <w:left w:val="nil" w:sz="6" w:space="0" w:color="auto"/>
              <w:bottom w:val="nil" w:sz="6" w:space="0" w:color="auto"/>
              <w:right w:val="nil" w:sz="6" w:space="0" w:color="auto"/>
            </w:tcBorders>
          </w:tcPr>
          <w:p>
            <w:pPr/>
          </w:p>
        </w:tc>
        <w:tc>
          <w:tcPr>
            <w:tcW w:w="688" w:type="dxa"/>
            <w:tcBorders>
              <w:top w:val="nil" w:sz="6" w:space="0" w:color="auto"/>
              <w:left w:val="nil" w:sz="6" w:space="0" w:color="auto"/>
              <w:bottom w:val="nil" w:sz="6" w:space="0" w:color="auto"/>
              <w:right w:val="nil" w:sz="6" w:space="0" w:color="auto"/>
            </w:tcBorders>
          </w:tcPr>
          <w:p>
            <w:pPr/>
          </w:p>
        </w:tc>
        <w:tc>
          <w:tcPr>
            <w:tcW w:w="863" w:type="dxa"/>
            <w:tcBorders>
              <w:top w:val="nil" w:sz="6" w:space="0" w:color="auto"/>
              <w:left w:val="nil" w:sz="6" w:space="0" w:color="auto"/>
              <w:bottom w:val="nil" w:sz="6" w:space="0" w:color="auto"/>
              <w:right w:val="nil" w:sz="6" w:space="0" w:color="auto"/>
            </w:tcBorders>
          </w:tcPr>
          <w:p>
            <w:pP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54" w:right="0"/>
              <w:jc w:val="left"/>
              <w:rPr>
                <w:rFonts w:ascii="宋体" w:hAnsi="宋体" w:cs="宋体" w:eastAsia="宋体" w:hint="default"/>
                <w:sz w:val="15"/>
                <w:szCs w:val="15"/>
              </w:rPr>
            </w:pPr>
            <w:r>
              <w:rPr>
                <w:rFonts w:ascii="宋体" w:hAnsi="宋体" w:cs="宋体" w:eastAsia="宋体" w:hint="default"/>
                <w:sz w:val="15"/>
                <w:szCs w:val="15"/>
              </w:rPr>
              <w:t>人才培训及顾问、咨询服务</w:t>
            </w:r>
          </w:p>
        </w:tc>
        <w:tc>
          <w:tcPr>
            <w:tcW w:w="1241" w:type="dxa"/>
            <w:tcBorders>
              <w:top w:val="nil" w:sz="6" w:space="0" w:color="auto"/>
              <w:left w:val="nil" w:sz="6" w:space="0" w:color="auto"/>
              <w:bottom w:val="nil" w:sz="6" w:space="0" w:color="auto"/>
              <w:right w:val="nil" w:sz="6" w:space="0" w:color="auto"/>
            </w:tcBorders>
          </w:tcPr>
          <w:p>
            <w:pPr/>
          </w:p>
        </w:tc>
        <w:tc>
          <w:tcPr>
            <w:tcW w:w="662" w:type="dxa"/>
            <w:tcBorders>
              <w:top w:val="nil" w:sz="6" w:space="0" w:color="auto"/>
              <w:left w:val="nil" w:sz="6" w:space="0" w:color="auto"/>
              <w:bottom w:val="nil" w:sz="6" w:space="0" w:color="auto"/>
              <w:right w:val="nil" w:sz="6" w:space="0" w:color="auto"/>
            </w:tcBorders>
          </w:tcPr>
          <w:p>
            <w:pPr/>
          </w:p>
        </w:tc>
        <w:tc>
          <w:tcPr>
            <w:tcW w:w="596"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
        </w:tc>
      </w:tr>
      <w:tr>
        <w:trPr>
          <w:trHeight w:val="398" w:hRule="exact"/>
        </w:trPr>
        <w:tc>
          <w:tcPr>
            <w:tcW w:w="2732" w:type="dxa"/>
            <w:tcBorders>
              <w:top w:val="nil" w:sz="6" w:space="0" w:color="auto"/>
              <w:left w:val="nil" w:sz="6" w:space="0" w:color="auto"/>
              <w:bottom w:val="nil" w:sz="6" w:space="0" w:color="auto"/>
              <w:right w:val="nil" w:sz="6" w:space="0" w:color="auto"/>
            </w:tcBorders>
          </w:tcPr>
          <w:p>
            <w:pPr>
              <w:pStyle w:val="TableParagraph"/>
              <w:spacing w:line="240" w:lineRule="auto" w:before="73"/>
              <w:ind w:left="91" w:right="0"/>
              <w:jc w:val="left"/>
              <w:rPr>
                <w:rFonts w:ascii="宋体" w:hAnsi="宋体" w:cs="宋体" w:eastAsia="宋体" w:hint="default"/>
                <w:sz w:val="15"/>
                <w:szCs w:val="15"/>
              </w:rPr>
            </w:pPr>
            <w:r>
              <w:rPr>
                <w:rFonts w:ascii="宋体" w:hAnsi="宋体" w:cs="宋体" w:eastAsia="宋体" w:hint="default"/>
                <w:sz w:val="15"/>
                <w:szCs w:val="15"/>
              </w:rPr>
              <w:t>北京英博睿智咨询有限公司</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before="73"/>
              <w:ind w:left="91"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28" w:right="0"/>
              <w:jc w:val="left"/>
              <w:rPr>
                <w:rFonts w:ascii="宋体" w:hAnsi="宋体" w:cs="宋体" w:eastAsia="宋体" w:hint="default"/>
                <w:sz w:val="15"/>
                <w:szCs w:val="15"/>
              </w:rPr>
            </w:pPr>
            <w:r>
              <w:rPr>
                <w:rFonts w:ascii="宋体" w:hAnsi="宋体" w:cs="宋体" w:eastAsia="宋体" w:hint="default"/>
                <w:sz w:val="15"/>
                <w:szCs w:val="15"/>
              </w:rPr>
              <w:t>北京</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73"/>
              <w:ind w:left="258" w:right="0"/>
              <w:jc w:val="left"/>
              <w:rPr>
                <w:rFonts w:ascii="宋体" w:hAnsi="宋体" w:cs="宋体" w:eastAsia="宋体" w:hint="default"/>
                <w:sz w:val="15"/>
                <w:szCs w:val="15"/>
              </w:rPr>
            </w:pPr>
            <w:r>
              <w:rPr>
                <w:rFonts w:ascii="宋体" w:hAnsi="宋体" w:cs="宋体" w:eastAsia="宋体" w:hint="default"/>
                <w:sz w:val="15"/>
                <w:szCs w:val="15"/>
              </w:rPr>
              <w:t>宋丽</w:t>
            </w: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54" w:right="0"/>
              <w:jc w:val="left"/>
              <w:rPr>
                <w:rFonts w:ascii="宋体" w:hAnsi="宋体" w:cs="宋体" w:eastAsia="宋体" w:hint="default"/>
                <w:sz w:val="15"/>
                <w:szCs w:val="15"/>
              </w:rPr>
            </w:pPr>
            <w:r>
              <w:rPr>
                <w:rFonts w:ascii="宋体" w:hAnsi="宋体" w:cs="宋体" w:eastAsia="宋体" w:hint="default"/>
                <w:sz w:val="15"/>
                <w:szCs w:val="15"/>
              </w:rPr>
              <w:t>招聘外包和提供猎头服务</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84"/>
              <w:jc w:val="right"/>
              <w:rPr>
                <w:rFonts w:ascii="Times New Roman" w:hAnsi="Times New Roman" w:cs="Times New Roman" w:eastAsia="Times New Roman" w:hint="default"/>
                <w:sz w:val="15"/>
                <w:szCs w:val="15"/>
              </w:rPr>
            </w:pPr>
            <w:r>
              <w:rPr>
                <w:rFonts w:ascii="Times New Roman"/>
                <w:sz w:val="15"/>
              </w:rPr>
              <w:t>10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36"/>
              <w:jc w:val="right"/>
              <w:rPr>
                <w:rFonts w:ascii="Times New Roman" w:hAnsi="Times New Roman" w:cs="Times New Roman" w:eastAsia="Times New Roman" w:hint="default"/>
                <w:sz w:val="15"/>
                <w:szCs w:val="15"/>
              </w:rPr>
            </w:pPr>
            <w:r>
              <w:rPr>
                <w:rFonts w:ascii="Times New Roman"/>
                <w:spacing w:val="-1"/>
                <w:sz w:val="15"/>
              </w:rPr>
              <w:t>100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44"/>
              <w:jc w:val="center"/>
              <w:rPr>
                <w:rFonts w:ascii="Times New Roman" w:hAnsi="Times New Roman" w:cs="Times New Roman" w:eastAsia="Times New Roman" w:hint="default"/>
                <w:sz w:val="15"/>
                <w:szCs w:val="15"/>
              </w:rPr>
            </w:pPr>
            <w:r>
              <w:rPr>
                <w:rFonts w:ascii="Times New Roman"/>
                <w:sz w:val="15"/>
              </w:rPr>
              <w:t>69231782-5</w:t>
            </w:r>
          </w:p>
        </w:tc>
      </w:tr>
      <w:tr>
        <w:trPr>
          <w:trHeight w:val="390" w:hRule="exact"/>
        </w:trPr>
        <w:tc>
          <w:tcPr>
            <w:tcW w:w="2732"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大连东软商业流程咨询服务有限公司</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8" w:right="0"/>
              <w:jc w:val="left"/>
              <w:rPr>
                <w:rFonts w:ascii="宋体" w:hAnsi="宋体" w:cs="宋体" w:eastAsia="宋体" w:hint="default"/>
                <w:sz w:val="15"/>
                <w:szCs w:val="15"/>
              </w:rPr>
            </w:pPr>
            <w:r>
              <w:rPr>
                <w:rFonts w:ascii="宋体" w:hAnsi="宋体" w:cs="宋体" w:eastAsia="宋体" w:hint="default"/>
                <w:sz w:val="15"/>
                <w:szCs w:val="15"/>
              </w:rPr>
              <w:t>大连</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58" w:right="0"/>
              <w:jc w:val="left"/>
              <w:rPr>
                <w:rFonts w:ascii="宋体" w:hAnsi="宋体" w:cs="宋体" w:eastAsia="宋体" w:hint="default"/>
                <w:sz w:val="15"/>
                <w:szCs w:val="15"/>
              </w:rPr>
            </w:pPr>
            <w:r>
              <w:rPr>
                <w:rFonts w:ascii="宋体" w:hAnsi="宋体" w:cs="宋体" w:eastAsia="宋体" w:hint="default"/>
                <w:sz w:val="15"/>
                <w:szCs w:val="15"/>
              </w:rPr>
              <w:t>王勇峰</w:t>
            </w: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5"/>
              <w:jc w:val="right"/>
              <w:rPr>
                <w:rFonts w:ascii="Times New Roman" w:hAnsi="Times New Roman" w:cs="Times New Roman" w:eastAsia="Times New Roman" w:hint="default"/>
                <w:sz w:val="15"/>
                <w:szCs w:val="15"/>
              </w:rPr>
            </w:pPr>
            <w:r>
              <w:rPr>
                <w:rFonts w:ascii="Times New Roman"/>
                <w:spacing w:val="-1"/>
                <w:sz w:val="15"/>
              </w:rPr>
              <w:t>500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6"/>
              <w:jc w:val="right"/>
              <w:rPr>
                <w:rFonts w:ascii="Times New Roman" w:hAnsi="Times New Roman" w:cs="Times New Roman" w:eastAsia="Times New Roman" w:hint="default"/>
                <w:sz w:val="15"/>
                <w:szCs w:val="15"/>
              </w:rPr>
            </w:pPr>
            <w:r>
              <w:rPr>
                <w:rFonts w:ascii="Times New Roman"/>
                <w:spacing w:val="-1"/>
                <w:sz w:val="15"/>
              </w:rPr>
              <w:t>100</w:t>
            </w:r>
            <w:r>
              <w:rPr>
                <w:rFonts w:ascii="Times New Roman"/>
                <w:sz w:val="15"/>
              </w:rPr>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4"/>
              <w:jc w:val="center"/>
              <w:rPr>
                <w:rFonts w:ascii="Times New Roman" w:hAnsi="Times New Roman" w:cs="Times New Roman" w:eastAsia="Times New Roman" w:hint="default"/>
                <w:sz w:val="15"/>
                <w:szCs w:val="15"/>
              </w:rPr>
            </w:pPr>
            <w:r>
              <w:rPr>
                <w:rFonts w:ascii="Times New Roman"/>
                <w:sz w:val="15"/>
              </w:rPr>
              <w:t>69600028-6</w:t>
            </w:r>
          </w:p>
        </w:tc>
      </w:tr>
      <w:tr>
        <w:trPr>
          <w:trHeight w:val="390" w:hRule="exact"/>
        </w:trPr>
        <w:tc>
          <w:tcPr>
            <w:tcW w:w="2732"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合肥东软信息技术有限公司</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8" w:right="0"/>
              <w:jc w:val="left"/>
              <w:rPr>
                <w:rFonts w:ascii="宋体" w:hAnsi="宋体" w:cs="宋体" w:eastAsia="宋体" w:hint="default"/>
                <w:sz w:val="15"/>
                <w:szCs w:val="15"/>
              </w:rPr>
            </w:pPr>
            <w:r>
              <w:rPr>
                <w:rFonts w:ascii="宋体" w:hAnsi="宋体" w:cs="宋体" w:eastAsia="宋体" w:hint="default"/>
                <w:sz w:val="15"/>
                <w:szCs w:val="15"/>
              </w:rPr>
              <w:t>合肥</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58" w:right="0"/>
              <w:jc w:val="left"/>
              <w:rPr>
                <w:rFonts w:ascii="宋体" w:hAnsi="宋体" w:cs="宋体" w:eastAsia="宋体" w:hint="default"/>
                <w:sz w:val="15"/>
                <w:szCs w:val="15"/>
              </w:rPr>
            </w:pPr>
            <w:r>
              <w:rPr>
                <w:rFonts w:ascii="宋体" w:hAnsi="宋体" w:cs="宋体" w:eastAsia="宋体" w:hint="default"/>
                <w:sz w:val="15"/>
                <w:szCs w:val="15"/>
              </w:rPr>
              <w:t>王勇峰</w:t>
            </w: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计算机软硬件、系统集成、技术咨询服务</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4"/>
              <w:jc w:val="right"/>
              <w:rPr>
                <w:rFonts w:ascii="Times New Roman" w:hAnsi="Times New Roman" w:cs="Times New Roman" w:eastAsia="Times New Roman" w:hint="default"/>
                <w:sz w:val="15"/>
                <w:szCs w:val="15"/>
              </w:rPr>
            </w:pPr>
            <w:r>
              <w:rPr>
                <w:rFonts w:ascii="Times New Roman"/>
                <w:sz w:val="15"/>
              </w:rPr>
              <w:t>50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6"/>
              <w:jc w:val="right"/>
              <w:rPr>
                <w:rFonts w:ascii="Times New Roman" w:hAnsi="Times New Roman" w:cs="Times New Roman" w:eastAsia="Times New Roman" w:hint="default"/>
                <w:sz w:val="15"/>
                <w:szCs w:val="15"/>
              </w:rPr>
            </w:pPr>
            <w:r>
              <w:rPr>
                <w:rFonts w:ascii="Times New Roman"/>
                <w:spacing w:val="-1"/>
                <w:sz w:val="15"/>
              </w:rPr>
              <w:t>100</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4"/>
              <w:jc w:val="center"/>
              <w:rPr>
                <w:rFonts w:ascii="Times New Roman" w:hAnsi="Times New Roman" w:cs="Times New Roman" w:eastAsia="Times New Roman" w:hint="default"/>
                <w:sz w:val="15"/>
                <w:szCs w:val="15"/>
              </w:rPr>
            </w:pPr>
            <w:r>
              <w:rPr>
                <w:rFonts w:ascii="Times New Roman"/>
                <w:sz w:val="15"/>
              </w:rPr>
              <w:t>77735490-8</w:t>
            </w:r>
          </w:p>
        </w:tc>
      </w:tr>
      <w:tr>
        <w:trPr>
          <w:trHeight w:val="390" w:hRule="exact"/>
        </w:trPr>
        <w:tc>
          <w:tcPr>
            <w:tcW w:w="2732"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北京源越通软件技术有限公司</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控股</w:t>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8" w:right="0"/>
              <w:jc w:val="left"/>
              <w:rPr>
                <w:rFonts w:ascii="宋体" w:hAnsi="宋体" w:cs="宋体" w:eastAsia="宋体" w:hint="default"/>
                <w:sz w:val="15"/>
                <w:szCs w:val="15"/>
              </w:rPr>
            </w:pPr>
            <w:r>
              <w:rPr>
                <w:rFonts w:ascii="宋体" w:hAnsi="宋体" w:cs="宋体" w:eastAsia="宋体" w:hint="default"/>
                <w:sz w:val="15"/>
                <w:szCs w:val="15"/>
              </w:rPr>
              <w:t>北京</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58" w:right="0"/>
              <w:jc w:val="left"/>
              <w:rPr>
                <w:rFonts w:ascii="宋体" w:hAnsi="宋体" w:cs="宋体" w:eastAsia="宋体" w:hint="default"/>
                <w:sz w:val="15"/>
                <w:szCs w:val="15"/>
              </w:rPr>
            </w:pPr>
            <w:r>
              <w:rPr>
                <w:rFonts w:ascii="宋体" w:hAnsi="宋体" w:cs="宋体" w:eastAsia="宋体" w:hint="default"/>
                <w:sz w:val="15"/>
                <w:szCs w:val="15"/>
              </w:rPr>
              <w:t>王成鹏</w:t>
            </w: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计算机软件开发、服务</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5"/>
              <w:jc w:val="right"/>
              <w:rPr>
                <w:rFonts w:ascii="Times New Roman" w:hAnsi="Times New Roman" w:cs="Times New Roman" w:eastAsia="Times New Roman" w:hint="default"/>
                <w:sz w:val="15"/>
                <w:szCs w:val="15"/>
              </w:rPr>
            </w:pPr>
            <w:r>
              <w:rPr>
                <w:rFonts w:ascii="Times New Roman"/>
                <w:spacing w:val="-1"/>
                <w:sz w:val="15"/>
              </w:rPr>
              <w:t>100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6"/>
              <w:jc w:val="right"/>
              <w:rPr>
                <w:rFonts w:ascii="Times New Roman" w:hAnsi="Times New Roman" w:cs="Times New Roman" w:eastAsia="Times New Roman" w:hint="default"/>
                <w:sz w:val="15"/>
                <w:szCs w:val="15"/>
              </w:rPr>
            </w:pPr>
            <w:r>
              <w:rPr>
                <w:rFonts w:ascii="Times New Roman"/>
                <w:sz w:val="15"/>
              </w:rPr>
              <w:t>74</w:t>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z w:val="15"/>
              </w:rPr>
              <w:t>74</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4"/>
              <w:jc w:val="center"/>
              <w:rPr>
                <w:rFonts w:ascii="Times New Roman" w:hAnsi="Times New Roman" w:cs="Times New Roman" w:eastAsia="Times New Roman" w:hint="default"/>
                <w:sz w:val="15"/>
                <w:szCs w:val="15"/>
              </w:rPr>
            </w:pPr>
            <w:r>
              <w:rPr>
                <w:rFonts w:ascii="Times New Roman"/>
                <w:sz w:val="15"/>
              </w:rPr>
              <w:t>76679629-2</w:t>
            </w:r>
          </w:p>
        </w:tc>
      </w:tr>
      <w:tr>
        <w:trPr>
          <w:trHeight w:val="390" w:hRule="exact"/>
        </w:trPr>
        <w:tc>
          <w:tcPr>
            <w:tcW w:w="2732"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东软越通软件技术（大连）有限公司</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91" w:right="0"/>
              <w:jc w:val="left"/>
              <w:rPr>
                <w:rFonts w:ascii="宋体" w:hAnsi="宋体" w:cs="宋体" w:eastAsia="宋体" w:hint="default"/>
                <w:sz w:val="15"/>
                <w:szCs w:val="15"/>
              </w:rPr>
            </w:pPr>
            <w:r>
              <w:rPr>
                <w:rFonts w:ascii="宋体" w:hAnsi="宋体" w:cs="宋体" w:eastAsia="宋体" w:hint="default"/>
                <w:sz w:val="15"/>
                <w:szCs w:val="15"/>
              </w:rPr>
              <w:t>全资</w:t>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7"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28" w:right="0"/>
              <w:jc w:val="left"/>
              <w:rPr>
                <w:rFonts w:ascii="宋体" w:hAnsi="宋体" w:cs="宋体" w:eastAsia="宋体" w:hint="default"/>
                <w:sz w:val="15"/>
                <w:szCs w:val="15"/>
              </w:rPr>
            </w:pPr>
            <w:r>
              <w:rPr>
                <w:rFonts w:ascii="宋体" w:hAnsi="宋体" w:cs="宋体" w:eastAsia="宋体" w:hint="default"/>
                <w:sz w:val="15"/>
                <w:szCs w:val="15"/>
              </w:rPr>
              <w:t>大连</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65"/>
              <w:ind w:left="258" w:right="0"/>
              <w:jc w:val="left"/>
              <w:rPr>
                <w:rFonts w:ascii="宋体" w:hAnsi="宋体" w:cs="宋体" w:eastAsia="宋体" w:hint="default"/>
                <w:sz w:val="15"/>
                <w:szCs w:val="15"/>
              </w:rPr>
            </w:pPr>
            <w:r>
              <w:rPr>
                <w:rFonts w:ascii="宋体" w:hAnsi="宋体" w:cs="宋体" w:eastAsia="宋体" w:hint="default"/>
                <w:sz w:val="15"/>
                <w:szCs w:val="15"/>
              </w:rPr>
              <w:t>马喜明</w:t>
            </w: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经营计算机软、硬件</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5"/>
              <w:jc w:val="right"/>
              <w:rPr>
                <w:rFonts w:ascii="Times New Roman" w:hAnsi="Times New Roman" w:cs="Times New Roman" w:eastAsia="Times New Roman" w:hint="default"/>
                <w:sz w:val="15"/>
                <w:szCs w:val="15"/>
              </w:rPr>
            </w:pPr>
            <w:r>
              <w:rPr>
                <w:rFonts w:ascii="Times New Roman"/>
                <w:spacing w:val="-1"/>
                <w:sz w:val="15"/>
              </w:rPr>
              <w:t>500</w:t>
            </w:r>
          </w:p>
        </w:tc>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6"/>
              <w:jc w:val="right"/>
              <w:rPr>
                <w:rFonts w:ascii="Times New Roman" w:hAnsi="Times New Roman" w:cs="Times New Roman" w:eastAsia="Times New Roman" w:hint="default"/>
                <w:sz w:val="15"/>
                <w:szCs w:val="15"/>
              </w:rPr>
            </w:pPr>
            <w:r>
              <w:rPr>
                <w:rFonts w:ascii="Times New Roman"/>
                <w:spacing w:val="-1"/>
                <w:sz w:val="15"/>
              </w:rPr>
              <w:t>100</w:t>
            </w:r>
            <w:r>
              <w:rPr>
                <w:rFonts w:ascii="Times New Roman"/>
                <w:sz w:val="15"/>
              </w:rPr>
            </w:r>
          </w:p>
        </w:tc>
        <w:tc>
          <w:tcPr>
            <w:tcW w:w="59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8"/>
              <w:jc w:val="right"/>
              <w:rPr>
                <w:rFonts w:ascii="Times New Roman" w:hAnsi="Times New Roman" w:cs="Times New Roman" w:eastAsia="Times New Roman" w:hint="default"/>
                <w:sz w:val="15"/>
                <w:szCs w:val="15"/>
              </w:rPr>
            </w:pPr>
            <w:r>
              <w:rPr>
                <w:rFonts w:ascii="Times New Roman"/>
                <w:spacing w:val="-1"/>
                <w:sz w:val="15"/>
              </w:rPr>
              <w:t>100</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44"/>
              <w:jc w:val="center"/>
              <w:rPr>
                <w:rFonts w:ascii="Times New Roman" w:hAnsi="Times New Roman" w:cs="Times New Roman" w:eastAsia="Times New Roman" w:hint="default"/>
                <w:sz w:val="15"/>
                <w:szCs w:val="15"/>
              </w:rPr>
            </w:pPr>
            <w:r>
              <w:rPr>
                <w:rFonts w:ascii="Times New Roman"/>
                <w:sz w:val="15"/>
              </w:rPr>
              <w:t>55981522-7</w:t>
            </w:r>
          </w:p>
        </w:tc>
      </w:tr>
      <w:tr>
        <w:trPr>
          <w:trHeight w:val="281" w:hRule="exact"/>
        </w:trPr>
        <w:tc>
          <w:tcPr>
            <w:tcW w:w="2732" w:type="dxa"/>
            <w:tcBorders>
              <w:top w:val="nil" w:sz="6" w:space="0" w:color="auto"/>
              <w:left w:val="nil" w:sz="6" w:space="0" w:color="auto"/>
              <w:bottom w:val="nil" w:sz="6" w:space="0" w:color="auto"/>
              <w:right w:val="nil" w:sz="6" w:space="0" w:color="auto"/>
            </w:tcBorders>
          </w:tcPr>
          <w:p>
            <w:pPr/>
          </w:p>
        </w:tc>
        <w:tc>
          <w:tcPr>
            <w:tcW w:w="498" w:type="dxa"/>
            <w:tcBorders>
              <w:top w:val="nil" w:sz="6" w:space="0" w:color="auto"/>
              <w:left w:val="nil" w:sz="6" w:space="0" w:color="auto"/>
              <w:bottom w:val="nil" w:sz="6" w:space="0" w:color="auto"/>
              <w:right w:val="nil" w:sz="6" w:space="0" w:color="auto"/>
            </w:tcBorders>
          </w:tcPr>
          <w:p>
            <w:pPr/>
          </w:p>
        </w:tc>
        <w:tc>
          <w:tcPr>
            <w:tcW w:w="1167" w:type="dxa"/>
            <w:tcBorders>
              <w:top w:val="nil" w:sz="6" w:space="0" w:color="auto"/>
              <w:left w:val="nil" w:sz="6" w:space="0" w:color="auto"/>
              <w:bottom w:val="nil" w:sz="6" w:space="0" w:color="auto"/>
              <w:right w:val="nil" w:sz="6" w:space="0" w:color="auto"/>
            </w:tcBorders>
          </w:tcPr>
          <w:p>
            <w:pPr/>
          </w:p>
        </w:tc>
        <w:tc>
          <w:tcPr>
            <w:tcW w:w="688" w:type="dxa"/>
            <w:tcBorders>
              <w:top w:val="nil" w:sz="6" w:space="0" w:color="auto"/>
              <w:left w:val="nil" w:sz="6" w:space="0" w:color="auto"/>
              <w:bottom w:val="nil" w:sz="6" w:space="0" w:color="auto"/>
              <w:right w:val="nil" w:sz="6" w:space="0" w:color="auto"/>
            </w:tcBorders>
          </w:tcPr>
          <w:p>
            <w:pPr/>
          </w:p>
        </w:tc>
        <w:tc>
          <w:tcPr>
            <w:tcW w:w="863" w:type="dxa"/>
            <w:tcBorders>
              <w:top w:val="nil" w:sz="6" w:space="0" w:color="auto"/>
              <w:left w:val="nil" w:sz="6" w:space="0" w:color="auto"/>
              <w:bottom w:val="nil" w:sz="6" w:space="0" w:color="auto"/>
              <w:right w:val="nil" w:sz="6" w:space="0" w:color="auto"/>
            </w:tcBorders>
          </w:tcPr>
          <w:p>
            <w:pP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4" w:right="0"/>
              <w:jc w:val="left"/>
              <w:rPr>
                <w:rFonts w:ascii="宋体" w:hAnsi="宋体" w:cs="宋体" w:eastAsia="宋体" w:hint="default"/>
                <w:sz w:val="15"/>
                <w:szCs w:val="15"/>
              </w:rPr>
            </w:pPr>
            <w:r>
              <w:rPr>
                <w:rFonts w:ascii="宋体" w:hAnsi="宋体" w:cs="宋体" w:eastAsia="宋体" w:hint="default"/>
                <w:sz w:val="15"/>
                <w:szCs w:val="15"/>
              </w:rPr>
              <w:t>计算机设备及软件产品的设计、开发、生产、服务、</w:t>
            </w:r>
          </w:p>
        </w:tc>
        <w:tc>
          <w:tcPr>
            <w:tcW w:w="1241" w:type="dxa"/>
            <w:tcBorders>
              <w:top w:val="nil" w:sz="6" w:space="0" w:color="auto"/>
              <w:left w:val="nil" w:sz="6" w:space="0" w:color="auto"/>
              <w:bottom w:val="nil" w:sz="6" w:space="0" w:color="auto"/>
              <w:right w:val="nil" w:sz="6" w:space="0" w:color="auto"/>
            </w:tcBorders>
          </w:tcPr>
          <w:p>
            <w:pPr/>
          </w:p>
        </w:tc>
        <w:tc>
          <w:tcPr>
            <w:tcW w:w="662" w:type="dxa"/>
            <w:tcBorders>
              <w:top w:val="nil" w:sz="6" w:space="0" w:color="auto"/>
              <w:left w:val="nil" w:sz="6" w:space="0" w:color="auto"/>
              <w:bottom w:val="nil" w:sz="6" w:space="0" w:color="auto"/>
              <w:right w:val="nil" w:sz="6" w:space="0" w:color="auto"/>
            </w:tcBorders>
          </w:tcPr>
          <w:p>
            <w:pPr/>
          </w:p>
        </w:tc>
        <w:tc>
          <w:tcPr>
            <w:tcW w:w="596"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nil" w:sz="6" w:space="0" w:color="auto"/>
            </w:tcBorders>
          </w:tcPr>
          <w:p>
            <w:pPr/>
          </w:p>
        </w:tc>
      </w:tr>
      <w:tr>
        <w:trPr>
          <w:trHeight w:val="399" w:hRule="exact"/>
        </w:trPr>
        <w:tc>
          <w:tcPr>
            <w:tcW w:w="2732" w:type="dxa"/>
            <w:tcBorders>
              <w:top w:val="nil" w:sz="6" w:space="0" w:color="auto"/>
              <w:left w:val="nil" w:sz="6" w:space="0" w:color="auto"/>
              <w:bottom w:val="single" w:sz="12" w:space="0" w:color="000000"/>
              <w:right w:val="nil" w:sz="6" w:space="0" w:color="auto"/>
            </w:tcBorders>
          </w:tcPr>
          <w:p>
            <w:pPr>
              <w:pStyle w:val="TableParagraph"/>
              <w:spacing w:line="170" w:lineRule="exact"/>
              <w:ind w:left="91" w:right="0"/>
              <w:jc w:val="left"/>
              <w:rPr>
                <w:rFonts w:ascii="宋体" w:hAnsi="宋体" w:cs="宋体" w:eastAsia="宋体" w:hint="default"/>
                <w:sz w:val="15"/>
                <w:szCs w:val="15"/>
              </w:rPr>
            </w:pPr>
            <w:r>
              <w:rPr>
                <w:rFonts w:ascii="宋体" w:hAnsi="宋体" w:cs="宋体" w:eastAsia="宋体" w:hint="default"/>
                <w:sz w:val="15"/>
                <w:szCs w:val="15"/>
              </w:rPr>
              <w:t>昆明东软金沙信息技术有限公司</w:t>
            </w:r>
          </w:p>
        </w:tc>
        <w:tc>
          <w:tcPr>
            <w:tcW w:w="498" w:type="dxa"/>
            <w:tcBorders>
              <w:top w:val="nil" w:sz="6" w:space="0" w:color="auto"/>
              <w:left w:val="nil" w:sz="6" w:space="0" w:color="auto"/>
              <w:bottom w:val="single" w:sz="12" w:space="0" w:color="000000"/>
              <w:right w:val="nil" w:sz="6" w:space="0" w:color="auto"/>
            </w:tcBorders>
          </w:tcPr>
          <w:p>
            <w:pPr>
              <w:pStyle w:val="TableParagraph"/>
              <w:spacing w:line="170" w:lineRule="exact"/>
              <w:ind w:left="91" w:right="0"/>
              <w:jc w:val="left"/>
              <w:rPr>
                <w:rFonts w:ascii="宋体" w:hAnsi="宋体" w:cs="宋体" w:eastAsia="宋体" w:hint="default"/>
                <w:sz w:val="15"/>
                <w:szCs w:val="15"/>
              </w:rPr>
            </w:pPr>
            <w:r>
              <w:rPr>
                <w:rFonts w:ascii="宋体" w:hAnsi="宋体" w:cs="宋体" w:eastAsia="宋体" w:hint="default"/>
                <w:sz w:val="15"/>
                <w:szCs w:val="15"/>
              </w:rPr>
              <w:t>控股</w:t>
            </w:r>
          </w:p>
        </w:tc>
        <w:tc>
          <w:tcPr>
            <w:tcW w:w="1167" w:type="dxa"/>
            <w:tcBorders>
              <w:top w:val="nil" w:sz="6" w:space="0" w:color="auto"/>
              <w:left w:val="nil" w:sz="6" w:space="0" w:color="auto"/>
              <w:bottom w:val="single" w:sz="12" w:space="0" w:color="000000"/>
              <w:right w:val="nil" w:sz="6" w:space="0" w:color="auto"/>
            </w:tcBorders>
          </w:tcPr>
          <w:p>
            <w:pPr>
              <w:pStyle w:val="TableParagraph"/>
              <w:spacing w:line="170" w:lineRule="exact"/>
              <w:ind w:left="106" w:right="0"/>
              <w:jc w:val="left"/>
              <w:rPr>
                <w:rFonts w:ascii="宋体" w:hAnsi="宋体" w:cs="宋体" w:eastAsia="宋体" w:hint="default"/>
                <w:sz w:val="15"/>
                <w:szCs w:val="15"/>
              </w:rPr>
            </w:pPr>
            <w:r>
              <w:rPr>
                <w:rFonts w:ascii="宋体" w:hAnsi="宋体" w:cs="宋体" w:eastAsia="宋体" w:hint="default"/>
                <w:sz w:val="15"/>
                <w:szCs w:val="15"/>
              </w:rPr>
              <w:t>有限责任公司</w:t>
            </w:r>
          </w:p>
        </w:tc>
        <w:tc>
          <w:tcPr>
            <w:tcW w:w="688" w:type="dxa"/>
            <w:tcBorders>
              <w:top w:val="nil" w:sz="6" w:space="0" w:color="auto"/>
              <w:left w:val="nil" w:sz="6" w:space="0" w:color="auto"/>
              <w:bottom w:val="single" w:sz="12" w:space="0" w:color="000000"/>
              <w:right w:val="nil" w:sz="6" w:space="0" w:color="auto"/>
            </w:tcBorders>
          </w:tcPr>
          <w:p>
            <w:pPr>
              <w:pStyle w:val="TableParagraph"/>
              <w:spacing w:line="170" w:lineRule="exact"/>
              <w:ind w:left="128" w:right="0"/>
              <w:jc w:val="left"/>
              <w:rPr>
                <w:rFonts w:ascii="宋体" w:hAnsi="宋体" w:cs="宋体" w:eastAsia="宋体" w:hint="default"/>
                <w:sz w:val="15"/>
                <w:szCs w:val="15"/>
              </w:rPr>
            </w:pPr>
            <w:r>
              <w:rPr>
                <w:rFonts w:ascii="宋体" w:hAnsi="宋体" w:cs="宋体" w:eastAsia="宋体" w:hint="default"/>
                <w:sz w:val="15"/>
                <w:szCs w:val="15"/>
              </w:rPr>
              <w:t>昆明</w:t>
            </w:r>
          </w:p>
        </w:tc>
        <w:tc>
          <w:tcPr>
            <w:tcW w:w="863" w:type="dxa"/>
            <w:tcBorders>
              <w:top w:val="nil" w:sz="6" w:space="0" w:color="auto"/>
              <w:left w:val="nil" w:sz="6" w:space="0" w:color="auto"/>
              <w:bottom w:val="single" w:sz="12" w:space="0" w:color="000000"/>
              <w:right w:val="nil" w:sz="6" w:space="0" w:color="auto"/>
            </w:tcBorders>
          </w:tcPr>
          <w:p>
            <w:pPr>
              <w:pStyle w:val="TableParagraph"/>
              <w:spacing w:line="170" w:lineRule="exact"/>
              <w:ind w:left="258" w:right="0"/>
              <w:jc w:val="left"/>
              <w:rPr>
                <w:rFonts w:ascii="宋体" w:hAnsi="宋体" w:cs="宋体" w:eastAsia="宋体" w:hint="default"/>
                <w:sz w:val="15"/>
                <w:szCs w:val="15"/>
              </w:rPr>
            </w:pPr>
            <w:r>
              <w:rPr>
                <w:rFonts w:ascii="宋体" w:hAnsi="宋体" w:cs="宋体" w:eastAsia="宋体" w:hint="default"/>
                <w:sz w:val="15"/>
                <w:szCs w:val="15"/>
              </w:rPr>
              <w:t>单正龙</w:t>
            </w:r>
          </w:p>
        </w:tc>
        <w:tc>
          <w:tcPr>
            <w:tcW w:w="3946"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left="154" w:right="0"/>
              <w:jc w:val="left"/>
              <w:rPr>
                <w:rFonts w:ascii="宋体" w:hAnsi="宋体" w:cs="宋体" w:eastAsia="宋体" w:hint="default"/>
                <w:sz w:val="15"/>
                <w:szCs w:val="15"/>
              </w:rPr>
            </w:pPr>
            <w:r>
              <w:rPr>
                <w:rFonts w:ascii="宋体" w:hAnsi="宋体" w:cs="宋体" w:eastAsia="宋体" w:hint="default"/>
                <w:sz w:val="15"/>
                <w:szCs w:val="15"/>
              </w:rPr>
              <w:t>销售</w:t>
            </w:r>
          </w:p>
        </w:tc>
        <w:tc>
          <w:tcPr>
            <w:tcW w:w="1241"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right="185"/>
              <w:jc w:val="right"/>
              <w:rPr>
                <w:rFonts w:ascii="Times New Roman" w:hAnsi="Times New Roman" w:cs="Times New Roman" w:eastAsia="Times New Roman" w:hint="default"/>
                <w:sz w:val="15"/>
                <w:szCs w:val="15"/>
              </w:rPr>
            </w:pPr>
            <w:r>
              <w:rPr>
                <w:rFonts w:ascii="Times New Roman"/>
                <w:spacing w:val="-1"/>
                <w:sz w:val="15"/>
              </w:rPr>
              <w:t>2,965</w:t>
            </w:r>
          </w:p>
        </w:tc>
        <w:tc>
          <w:tcPr>
            <w:tcW w:w="662"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right="137"/>
              <w:jc w:val="right"/>
              <w:rPr>
                <w:rFonts w:ascii="Times New Roman" w:hAnsi="Times New Roman" w:cs="Times New Roman" w:eastAsia="Times New Roman" w:hint="default"/>
                <w:sz w:val="15"/>
                <w:szCs w:val="15"/>
              </w:rPr>
            </w:pPr>
            <w:r>
              <w:rPr>
                <w:rFonts w:ascii="Times New Roman"/>
                <w:sz w:val="15"/>
              </w:rPr>
              <w:t>51</w:t>
            </w:r>
          </w:p>
        </w:tc>
        <w:tc>
          <w:tcPr>
            <w:tcW w:w="596"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right="118"/>
              <w:jc w:val="right"/>
              <w:rPr>
                <w:rFonts w:ascii="Times New Roman" w:hAnsi="Times New Roman" w:cs="Times New Roman" w:eastAsia="Times New Roman" w:hint="default"/>
                <w:sz w:val="15"/>
                <w:szCs w:val="15"/>
              </w:rPr>
            </w:pPr>
            <w:r>
              <w:rPr>
                <w:rFonts w:ascii="Times New Roman"/>
                <w:sz w:val="15"/>
              </w:rPr>
              <w:t>51</w:t>
            </w:r>
          </w:p>
        </w:tc>
        <w:tc>
          <w:tcPr>
            <w:tcW w:w="1010"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right="44"/>
              <w:jc w:val="center"/>
              <w:rPr>
                <w:rFonts w:ascii="Times New Roman" w:hAnsi="Times New Roman" w:cs="Times New Roman" w:eastAsia="Times New Roman" w:hint="default"/>
                <w:sz w:val="15"/>
                <w:szCs w:val="15"/>
              </w:rPr>
            </w:pPr>
            <w:r>
              <w:rPr>
                <w:rFonts w:ascii="Times New Roman"/>
                <w:sz w:val="15"/>
              </w:rPr>
              <w:t>21663341-3</w:t>
            </w:r>
          </w:p>
        </w:tc>
      </w:tr>
    </w:tbl>
    <w:p>
      <w:pPr>
        <w:spacing w:after="0" w:line="240" w:lineRule="auto"/>
        <w:jc w:val="center"/>
        <w:rPr>
          <w:rFonts w:ascii="Times New Roman" w:hAnsi="Times New Roman" w:cs="Times New Roman" w:eastAsia="Times New Roman" w:hint="default"/>
          <w:sz w:val="15"/>
          <w:szCs w:val="15"/>
        </w:rPr>
        <w:sectPr>
          <w:type w:val="continuous"/>
          <w:pgSz w:w="16840" w:h="11910" w:orient="landscape"/>
          <w:pgMar w:top="1600" w:bottom="280" w:left="1300" w:right="1260"/>
        </w:sectPr>
      </w:pPr>
    </w:p>
    <w:p>
      <w:pPr>
        <w:spacing w:line="240" w:lineRule="auto" w:before="1"/>
        <w:rPr>
          <w:rFonts w:ascii="Times New Roman" w:hAnsi="Times New Roman" w:cs="Times New Roman" w:eastAsia="Times New Roman" w:hint="default"/>
          <w:sz w:val="17"/>
          <w:szCs w:val="17"/>
        </w:rPr>
      </w:pPr>
    </w:p>
    <w:p>
      <w:pPr>
        <w:spacing w:line="1209" w:lineRule="exact"/>
        <w:ind w:left="72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3"/>
          <w:sz w:val="20"/>
          <w:szCs w:val="20"/>
        </w:rPr>
        <w:pict>
          <v:group style="width:671.7pt;height:60.5pt;mso-position-horizontal-relative:char;mso-position-vertical-relative:line" coordorigin="0,0" coordsize="13434,1210">
            <v:group style="position:absolute;left:29;top:15;width:13390;height:2" coordorigin="29,15" coordsize="13390,2">
              <v:shape style="position:absolute;left:29;top:15;width:13390;height:2" coordorigin="29,15" coordsize="13390,0" path="m29,15l13419,15e" filled="false" stroked="true" strokeweight="1.5pt" strokecolor="#000000">
                <v:path arrowok="t"/>
              </v:shape>
            </v:group>
            <v:group style="position:absolute;left:15;top:1195;width:2742;height:2" coordorigin="15,1195" coordsize="2742,2">
              <v:shape style="position:absolute;left:15;top:1195;width:2742;height:2" coordorigin="15,1195" coordsize="2742,0" path="m15,1195l2757,1195e" filled="false" stroked="true" strokeweight="1.5pt" strokecolor="#000000">
                <v:path arrowok="t"/>
              </v:shape>
            </v:group>
            <v:group style="position:absolute;left:2757;top:1195;width:514;height:2" coordorigin="2757,1195" coordsize="514,2">
              <v:shape style="position:absolute;left:2757;top:1195;width:514;height:2" coordorigin="2757,1195" coordsize="514,0" path="m2757,1195l3271,1195e" filled="false" stroked="true" strokeweight="1.5pt" strokecolor="#000000">
                <v:path arrowok="t"/>
              </v:shape>
            </v:group>
            <v:group style="position:absolute;left:3271;top:1195;width:1190;height:2" coordorigin="3271,1195" coordsize="1190,2">
              <v:shape style="position:absolute;left:3271;top:1195;width:1190;height:2" coordorigin="3271,1195" coordsize="1190,0" path="m3271,1195l4460,1195e" filled="false" stroked="true" strokeweight="1.5pt" strokecolor="#000000">
                <v:path arrowok="t"/>
              </v:shape>
            </v:group>
            <v:group style="position:absolute;left:4460;top:1195;width:818;height:2" coordorigin="4460,1195" coordsize="818,2">
              <v:shape style="position:absolute;left:4460;top:1195;width:818;height:2" coordorigin="4460,1195" coordsize="818,0" path="m4460,1195l5277,1195e" filled="false" stroked="true" strokeweight="1.5pt" strokecolor="#000000">
                <v:path arrowok="t"/>
              </v:shape>
            </v:group>
            <v:group style="position:absolute;left:5277;top:1195;width:760;height:2" coordorigin="5277,1195" coordsize="760,2">
              <v:shape style="position:absolute;left:5277;top:1195;width:760;height:2" coordorigin="5277,1195" coordsize="760,0" path="m5277,1195l6037,1195e" filled="false" stroked="true" strokeweight="1.5pt" strokecolor="#000000">
                <v:path arrowok="t"/>
              </v:shape>
            </v:group>
            <v:group style="position:absolute;left:6037;top:1195;width:3552;height:2" coordorigin="6037,1195" coordsize="3552,2">
              <v:shape style="position:absolute;left:6037;top:1195;width:3552;height:2" coordorigin="6037,1195" coordsize="3552,0" path="m6037,1195l9589,1195e" filled="false" stroked="true" strokeweight="1.5pt" strokecolor="#000000">
                <v:path arrowok="t"/>
              </v:shape>
            </v:group>
            <v:group style="position:absolute;left:9589;top:1195;width:1430;height:2" coordorigin="9589,1195" coordsize="1430,2">
              <v:shape style="position:absolute;left:9589;top:1195;width:1430;height:2" coordorigin="9589,1195" coordsize="1430,0" path="m9589,1195l11018,1195e" filled="false" stroked="true" strokeweight="1.5pt" strokecolor="#000000">
                <v:path arrowok="t"/>
              </v:shape>
            </v:group>
            <v:group style="position:absolute;left:11018;top:1195;width:713;height:2" coordorigin="11018,1195" coordsize="713,2">
              <v:shape style="position:absolute;left:11018;top:1195;width:713;height:2" coordorigin="11018,1195" coordsize="713,0" path="m11018,1195l11731,1195e" filled="false" stroked="true" strokeweight="1.5pt" strokecolor="#000000">
                <v:path arrowok="t"/>
              </v:shape>
            </v:group>
            <v:group style="position:absolute;left:11731;top:1195;width:612;height:2" coordorigin="11731,1195" coordsize="612,2">
              <v:shape style="position:absolute;left:11731;top:1195;width:612;height:2" coordorigin="11731,1195" coordsize="612,0" path="m11731,1195l12343,1195e" filled="false" stroked="true" strokeweight="1.5pt" strokecolor="#000000">
                <v:path arrowok="t"/>
              </v:shape>
              <v:shape style="position:absolute;left:10;top:11;width:13417;height:1169" type="#_x0000_t75" stroked="false">
                <v:imagedata r:id="rId340" o:title=""/>
              </v:shape>
            </v:group>
            <v:group style="position:absolute;left:12343;top:1195;width:1077;height:2" coordorigin="12343,1195" coordsize="1077,2">
              <v:shape style="position:absolute;left:12343;top:1195;width:1077;height:2" coordorigin="12343,1195" coordsize="1077,0" path="m12343,1195l13419,1195e" filled="false" stroked="true" strokeweight="1.5pt" strokecolor="#000000">
                <v:path arrowok="t"/>
              </v:shape>
              <v:shape style="position:absolute;left:2793;top:236;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子公司</w:t>
                      </w:r>
                    </w:p>
                  </w:txbxContent>
                </v:textbox>
                <w10:wrap type="none"/>
              </v:shape>
              <v:shape style="position:absolute;left:11133;top:236;width:1208;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持股比例表决权比</w:t>
                      </w:r>
                    </w:p>
                  </w:txbxContent>
                </v:textbox>
                <w10:wrap type="none"/>
              </v:shape>
              <v:shape style="position:absolute;left:1019;top:425;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子公司全称</w:t>
                      </w:r>
                    </w:p>
                  </w:txbxContent>
                </v:textbox>
                <w10:wrap type="none"/>
              </v:shape>
              <v:shape style="position:absolute;left:3569;top:42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企业类型</w:t>
                      </w:r>
                    </w:p>
                  </w:txbxContent>
                </v:textbox>
                <w10:wrap type="none"/>
              </v:shape>
              <v:shape style="position:absolute;left:4647;top:425;width:139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注册地 </w:t>
                      </w:r>
                      <w:r>
                        <w:rPr>
                          <w:rFonts w:ascii="宋体" w:hAnsi="宋体" w:cs="宋体" w:eastAsia="宋体" w:hint="default"/>
                          <w:spacing w:val="39"/>
                          <w:sz w:val="15"/>
                          <w:szCs w:val="15"/>
                        </w:rPr>
                        <w:t> </w:t>
                      </w:r>
                      <w:r>
                        <w:rPr>
                          <w:rFonts w:ascii="宋体" w:hAnsi="宋体" w:cs="宋体" w:eastAsia="宋体" w:hint="default"/>
                          <w:sz w:val="15"/>
                          <w:szCs w:val="15"/>
                        </w:rPr>
                        <w:t>法定代表人</w:t>
                      </w:r>
                    </w:p>
                  </w:txbxContent>
                </v:textbox>
                <w10:wrap type="none"/>
              </v:shape>
              <v:shape style="position:absolute;left:7516;top:42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业务性质</w:t>
                      </w:r>
                    </w:p>
                  </w:txbxContent>
                </v:textbox>
                <w10:wrap type="none"/>
              </v:shape>
              <v:shape style="position:absolute;left:10006;top:425;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注册资本</w:t>
                      </w:r>
                    </w:p>
                  </w:txbxContent>
                </v:textbox>
                <w10:wrap type="none"/>
              </v:shape>
              <v:shape style="position:absolute;left:12433;top:425;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组织机构代码</w:t>
                      </w:r>
                    </w:p>
                  </w:txbxContent>
                </v:textbox>
                <w10:wrap type="none"/>
              </v:shape>
              <v:shape style="position:absolute;left:2869;top:615;width:9360;height:167" type="#_x0000_t202" filled="false" stroked="false">
                <v:textbox inset="0,0,0,0">
                  <w:txbxContent>
                    <w:p>
                      <w:pPr>
                        <w:tabs>
                          <w:tab w:pos="8451" w:val="left" w:leader="none"/>
                          <w:tab w:pos="8984" w:val="left" w:leader="none"/>
                        </w:tabs>
                        <w:spacing w:line="167"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类型</w:t>
                        <w:tab/>
                      </w:r>
                      <w:r>
                        <w:rPr>
                          <w:rFonts w:ascii="Times New Roman" w:hAnsi="Times New Roman" w:cs="Times New Roman" w:eastAsia="Times New Roman" w:hint="default"/>
                          <w:sz w:val="15"/>
                          <w:szCs w:val="15"/>
                        </w:rPr>
                        <w:t>(%)</w:t>
                        <w:tab/>
                      </w:r>
                      <w:r>
                        <w:rPr>
                          <w:rFonts w:ascii="宋体" w:hAnsi="宋体" w:cs="宋体" w:eastAsia="宋体" w:hint="default"/>
                          <w:position w:val="1"/>
                          <w:sz w:val="15"/>
                          <w:szCs w:val="15"/>
                        </w:rPr>
                        <w:t>例</w:t>
                      </w:r>
                      <w:r>
                        <w:rPr>
                          <w:rFonts w:ascii="Times New Roman" w:hAnsi="Times New Roman" w:cs="Times New Roman" w:eastAsia="Times New Roman" w:hint="default"/>
                          <w:position w:val="1"/>
                          <w:sz w:val="15"/>
                          <w:szCs w:val="15"/>
                        </w:rPr>
                        <w:t>(%)</w:t>
                      </w:r>
                      <w:r>
                        <w:rPr>
                          <w:rFonts w:ascii="Times New Roman" w:hAnsi="Times New Roman" w:cs="Times New Roman" w:eastAsia="Times New Roman" w:hint="default"/>
                          <w:sz w:val="15"/>
                          <w:szCs w:val="15"/>
                        </w:rPr>
                      </w:r>
                    </w:p>
                  </w:txbxContent>
                </v:textbox>
                <w10:wrap type="none"/>
              </v:shape>
              <v:shape style="position:absolute;left:106;top:1005;width:4146;height:150" type="#_x0000_t202" filled="false" stroked="false">
                <v:textbox inset="0,0,0,0">
                  <w:txbxContent>
                    <w:p>
                      <w:pPr>
                        <w:tabs>
                          <w:tab w:pos="3245"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东软医疗（中东）自由区有限责任公司 </w:t>
                      </w:r>
                      <w:r>
                        <w:rPr>
                          <w:rFonts w:ascii="宋体" w:hAnsi="宋体" w:cs="宋体" w:eastAsia="宋体" w:hint="default"/>
                          <w:spacing w:val="32"/>
                          <w:sz w:val="15"/>
                          <w:szCs w:val="15"/>
                        </w:rPr>
                        <w:t> </w:t>
                      </w:r>
                      <w:r>
                        <w:rPr>
                          <w:rFonts w:ascii="宋体" w:hAnsi="宋体" w:cs="宋体" w:eastAsia="宋体" w:hint="default"/>
                          <w:sz w:val="15"/>
                          <w:szCs w:val="15"/>
                        </w:rPr>
                        <w:t>全资</w:t>
                        <w:tab/>
                        <w:t>有限责任公司</w:t>
                      </w:r>
                    </w:p>
                  </w:txbxContent>
                </v:textbox>
                <w10:wrap type="none"/>
              </v:shape>
              <v:shape style="position:absolute;left:4541;top:1005;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阿联酋</w:t>
                      </w:r>
                    </w:p>
                  </w:txbxContent>
                </v:textbox>
                <w10:wrap type="none"/>
              </v:shape>
              <v:shape style="position:absolute;left:5359;top:1005;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江根苗</w:t>
                      </w:r>
                    </w:p>
                  </w:txbxContent>
                </v:textbox>
                <w10:wrap type="none"/>
              </v:shape>
              <v:shape style="position:absolute;left:6118;top:1005;width:24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经营医疗系统，相关技术咨询、服务</w:t>
                      </w:r>
                    </w:p>
                  </w:txbxContent>
                </v:textbox>
                <w10:wrap type="none"/>
              </v:shape>
              <v:shape style="position:absolute;left:10250;top:1005;width:714;height:159" type="#_x0000_t202" filled="false" stroked="false">
                <v:textbox inset="0,0,0,0">
                  <w:txbxContent>
                    <w:p>
                      <w:pPr>
                        <w:spacing w:line="158"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350 </w:t>
                      </w:r>
                      <w:r>
                        <w:rPr>
                          <w:rFonts w:ascii="宋体" w:hAnsi="宋体" w:cs="宋体" w:eastAsia="宋体" w:hint="default"/>
                          <w:sz w:val="15"/>
                          <w:szCs w:val="15"/>
                        </w:rPr>
                        <w:t>万美元</w:t>
                      </w:r>
                    </w:p>
                  </w:txbxContent>
                </v:textbox>
                <w10:wrap type="none"/>
              </v:shape>
              <v:shape style="position:absolute;left:11450;top:1022;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12063;top:1022;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group>
          </v:group>
        </w:pict>
      </w:r>
      <w:r>
        <w:rPr>
          <w:rFonts w:ascii="Times New Roman" w:hAnsi="Times New Roman" w:cs="Times New Roman" w:eastAsia="Times New Roman" w:hint="default"/>
          <w:position w:val="-23"/>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9"/>
          <w:szCs w:val="19"/>
        </w:rPr>
      </w:pPr>
    </w:p>
    <w:p>
      <w:pPr>
        <w:pStyle w:val="Heading6"/>
        <w:tabs>
          <w:tab w:pos="895" w:val="left" w:leader="none"/>
        </w:tabs>
        <w:spacing w:line="240" w:lineRule="auto"/>
        <w:ind w:left="125" w:right="2084"/>
        <w:jc w:val="left"/>
        <w:rPr>
          <w:b w:val="0"/>
          <w:bCs w:val="0"/>
        </w:rPr>
      </w:pPr>
      <w:r>
        <w:rPr/>
        <w:pict>
          <v:group style="position:absolute;margin-left:101.030998pt;margin-top:17.133234pt;width:672.45pt;height:325.5pt;mso-position-horizontal-relative:page;mso-position-vertical-relative:paragraph;z-index:-1109512" coordorigin="2021,343" coordsize="13449,6510">
            <v:group style="position:absolute;left:2049;top:358;width:13389;height:2" coordorigin="2049,358" coordsize="13389,2">
              <v:shape style="position:absolute;left:2049;top:358;width:13389;height:2" coordorigin="2049,358" coordsize="13389,0" path="m2049,358l15438,358e" filled="false" stroked="true" strokeweight="1.5pt" strokecolor="#000000">
                <v:path arrowok="t"/>
              </v:shape>
              <v:shape style="position:absolute;left:5579;top:344;width:8905;height:1258" type="#_x0000_t75" stroked="false">
                <v:imagedata r:id="rId341" o:title=""/>
              </v:shape>
              <v:shape style="position:absolute;left:2021;top:1549;width:13448;height:5303" type="#_x0000_t75" stroked="false">
                <v:imagedata r:id="rId342" o:title=""/>
              </v:shape>
              <v:shape style="position:absolute;left:12779;top:621;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本企业在被投</w:t>
                      </w:r>
                      <w:r>
                        <w:rPr>
                          <w:rFonts w:ascii="宋体" w:hAnsi="宋体" w:cs="宋体" w:eastAsia="宋体" w:hint="default"/>
                          <w:sz w:val="13"/>
                          <w:szCs w:val="13"/>
                        </w:rPr>
                      </w:r>
                    </w:p>
                  </w:txbxContent>
                </v:textbox>
                <w10:wrap type="none"/>
              </v:shape>
              <v:shape style="position:absolute;left:11859;top:820;width:65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本企业持股</w:t>
                      </w:r>
                      <w:r>
                        <w:rPr>
                          <w:rFonts w:ascii="宋体" w:hAnsi="宋体" w:cs="宋体" w:eastAsia="宋体" w:hint="default"/>
                          <w:sz w:val="13"/>
                          <w:szCs w:val="13"/>
                        </w:rPr>
                      </w:r>
                    </w:p>
                  </w:txbxContent>
                </v:textbox>
                <w10:wrap type="none"/>
              </v:shape>
              <v:shape style="position:absolute;left:3393;top:1021;width:90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被投资单位名称</w:t>
                      </w:r>
                      <w:r>
                        <w:rPr>
                          <w:rFonts w:ascii="宋体" w:hAnsi="宋体" w:cs="宋体" w:eastAsia="宋体" w:hint="default"/>
                          <w:sz w:val="13"/>
                          <w:szCs w:val="13"/>
                        </w:rPr>
                      </w:r>
                    </w:p>
                  </w:txbxContent>
                </v:textbox>
                <w10:wrap type="none"/>
              </v:shape>
              <v:shape style="position:absolute;left:5928;top:1021;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企业类型</w:t>
                      </w:r>
                      <w:r>
                        <w:rPr>
                          <w:rFonts w:ascii="宋体" w:hAnsi="宋体" w:cs="宋体" w:eastAsia="宋体" w:hint="default"/>
                          <w:sz w:val="13"/>
                          <w:szCs w:val="13"/>
                        </w:rPr>
                      </w:r>
                    </w:p>
                  </w:txbxContent>
                </v:textbox>
                <w10:wrap type="none"/>
              </v:shape>
              <v:shape style="position:absolute;left:6884;top:1021;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注册地</w:t>
                      </w:r>
                      <w:r>
                        <w:rPr>
                          <w:rFonts w:ascii="宋体" w:hAnsi="宋体" w:cs="宋体" w:eastAsia="宋体" w:hint="default"/>
                          <w:sz w:val="13"/>
                          <w:szCs w:val="13"/>
                        </w:rPr>
                      </w:r>
                    </w:p>
                  </w:txbxContent>
                </v:textbox>
                <w10:wrap type="none"/>
              </v:shape>
              <v:shape style="position:absolute;left:7680;top:1021;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法人代表</w:t>
                      </w:r>
                      <w:r>
                        <w:rPr>
                          <w:rFonts w:ascii="宋体" w:hAnsi="宋体" w:cs="宋体" w:eastAsia="宋体" w:hint="default"/>
                          <w:sz w:val="13"/>
                          <w:szCs w:val="13"/>
                        </w:rPr>
                      </w:r>
                    </w:p>
                  </w:txbxContent>
                </v:textbox>
                <w10:wrap type="none"/>
              </v:shape>
              <v:shape style="position:absolute;left:9373;top:1021;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业务性质</w:t>
                      </w:r>
                      <w:r>
                        <w:rPr>
                          <w:rFonts w:ascii="宋体" w:hAnsi="宋体" w:cs="宋体" w:eastAsia="宋体" w:hint="default"/>
                          <w:sz w:val="13"/>
                          <w:szCs w:val="13"/>
                        </w:rPr>
                      </w:r>
                    </w:p>
                  </w:txbxContent>
                </v:textbox>
                <w10:wrap type="none"/>
              </v:shape>
              <v:shape style="position:absolute;left:11013;top:1021;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注册资本</w:t>
                      </w:r>
                      <w:r>
                        <w:rPr>
                          <w:rFonts w:ascii="宋体" w:hAnsi="宋体" w:cs="宋体" w:eastAsia="宋体" w:hint="default"/>
                          <w:sz w:val="13"/>
                          <w:szCs w:val="13"/>
                        </w:rPr>
                      </w:r>
                    </w:p>
                  </w:txbxContent>
                </v:textbox>
                <w10:wrap type="none"/>
              </v:shape>
              <v:shape style="position:absolute;left:12779;top:1021;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资单位表决权</w:t>
                      </w:r>
                      <w:r>
                        <w:rPr>
                          <w:rFonts w:ascii="宋体" w:hAnsi="宋体" w:cs="宋体" w:eastAsia="宋体" w:hint="default"/>
                          <w:sz w:val="13"/>
                          <w:szCs w:val="13"/>
                        </w:rPr>
                      </w:r>
                    </w:p>
                  </w:txbxContent>
                </v:textbox>
                <w10:wrap type="none"/>
              </v:shape>
              <v:shape style="position:absolute;left:13830;top:1021;width:1521;height:130" type="#_x0000_t202" filled="false" stroked="false">
                <v:textbox inset="0,0,0,0">
                  <w:txbxContent>
                    <w:p>
                      <w:pPr>
                        <w:tabs>
                          <w:tab w:pos="741"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关联关系</w:t>
                        <w:tab/>
                        <w:t>组织机构代码</w:t>
                      </w:r>
                      <w:r>
                        <w:rPr>
                          <w:rFonts w:ascii="宋体" w:hAnsi="宋体" w:cs="宋体" w:eastAsia="宋体" w:hint="default"/>
                          <w:sz w:val="13"/>
                          <w:szCs w:val="13"/>
                        </w:rPr>
                      </w:r>
                    </w:p>
                  </w:txbxContent>
                </v:textbox>
                <w10:wrap type="none"/>
              </v:shape>
              <v:shape style="position:absolute;left:11957;top:1221;width:454;height:137" type="#_x0000_t202" filled="false" stroked="false">
                <v:textbox inset="0,0,0,0">
                  <w:txbxContent>
                    <w:p>
                      <w:pPr>
                        <w:spacing w:line="137" w:lineRule="exact" w:before="0"/>
                        <w:ind w:left="0" w:right="0" w:firstLine="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xbxContent>
                </v:textbox>
                <w10:wrap type="none"/>
              </v:shape>
              <v:shape style="position:absolute;left:12942;top:1420;width:454;height:137" type="#_x0000_t202" filled="false" stroked="false">
                <v:textbox inset="0,0,0,0">
                  <w:txbxContent>
                    <w:p>
                      <w:pPr>
                        <w:spacing w:line="137" w:lineRule="exact" w:before="0"/>
                        <w:ind w:left="0" w:right="0" w:firstLine="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xbxContent>
                </v:textbox>
                <w10:wrap type="none"/>
              </v:shape>
            </v:group>
            <w10:wrap type="none"/>
          </v:group>
        </w:pict>
      </w:r>
      <w:r>
        <w:rPr>
          <w:w w:val="95"/>
        </w:rPr>
        <w:t>(二)</w:t>
        <w:tab/>
      </w:r>
      <w:r>
        <w:rPr/>
        <w:t>本集团的合营和联营企业情况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8"/>
          <w:szCs w:val="28"/>
        </w:rPr>
      </w:pPr>
    </w:p>
    <w:tbl>
      <w:tblPr>
        <w:tblW w:w="0" w:type="auto"/>
        <w:jc w:val="left"/>
        <w:tblInd w:w="735" w:type="dxa"/>
        <w:tblLayout w:type="fixed"/>
        <w:tblCellMar>
          <w:top w:w="0" w:type="dxa"/>
          <w:left w:w="0" w:type="dxa"/>
          <w:bottom w:w="0" w:type="dxa"/>
          <w:right w:w="0" w:type="dxa"/>
        </w:tblCellMar>
        <w:tblLook w:val="01E0"/>
      </w:tblPr>
      <w:tblGrid>
        <w:gridCol w:w="3497"/>
        <w:gridCol w:w="1147"/>
        <w:gridCol w:w="697"/>
        <w:gridCol w:w="956"/>
        <w:gridCol w:w="2399"/>
        <w:gridCol w:w="1215"/>
        <w:gridCol w:w="998"/>
        <w:gridCol w:w="760"/>
        <w:gridCol w:w="761"/>
        <w:gridCol w:w="974"/>
      </w:tblGrid>
      <w:tr>
        <w:trPr>
          <w:trHeight w:val="678" w:hRule="exact"/>
        </w:trPr>
        <w:tc>
          <w:tcPr>
            <w:tcW w:w="3497" w:type="dxa"/>
            <w:tcBorders>
              <w:top w:val="nil" w:sz="6" w:space="0" w:color="auto"/>
              <w:left w:val="nil" w:sz="6" w:space="0" w:color="auto"/>
              <w:bottom w:val="nil" w:sz="6" w:space="0" w:color="auto"/>
              <w:right w:val="nil" w:sz="6" w:space="0" w:color="auto"/>
            </w:tcBorders>
          </w:tcPr>
          <w:p>
            <w:pPr>
              <w:pStyle w:val="TableParagraph"/>
              <w:spacing w:line="240" w:lineRule="auto" w:before="59"/>
              <w:ind w:left="91" w:right="0"/>
              <w:jc w:val="left"/>
              <w:rPr>
                <w:rFonts w:ascii="宋体" w:hAnsi="宋体" w:cs="宋体" w:eastAsia="宋体" w:hint="default"/>
                <w:sz w:val="13"/>
                <w:szCs w:val="13"/>
              </w:rPr>
            </w:pPr>
            <w:r>
              <w:rPr>
                <w:rFonts w:ascii="宋体" w:hAnsi="宋体" w:cs="宋体" w:eastAsia="宋体" w:hint="default"/>
                <w:sz w:val="13"/>
                <w:szCs w:val="13"/>
              </w:rPr>
              <w:t>诺基亚西门子东软通信技术有限公司</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53"/>
              <w:jc w:val="center"/>
              <w:rPr>
                <w:rFonts w:ascii="宋体" w:hAnsi="宋体" w:cs="宋体" w:eastAsia="宋体" w:hint="default"/>
                <w:sz w:val="13"/>
                <w:szCs w:val="13"/>
              </w:rPr>
            </w:pPr>
            <w:r>
              <w:rPr>
                <w:rFonts w:ascii="宋体" w:hAnsi="宋体" w:cs="宋体" w:eastAsia="宋体" w:hint="default"/>
                <w:sz w:val="13"/>
                <w:szCs w:val="13"/>
              </w:rPr>
              <w:t>有限责任公司</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75"/>
              <w:jc w:val="right"/>
              <w:rPr>
                <w:rFonts w:ascii="宋体" w:hAnsi="宋体" w:cs="宋体" w:eastAsia="宋体" w:hint="default"/>
                <w:sz w:val="13"/>
                <w:szCs w:val="13"/>
              </w:rPr>
            </w:pPr>
            <w:r>
              <w:rPr>
                <w:rFonts w:ascii="宋体" w:hAnsi="宋体" w:cs="宋体" w:eastAsia="宋体" w:hint="default"/>
                <w:w w:val="95"/>
                <w:sz w:val="13"/>
                <w:szCs w:val="13"/>
              </w:rPr>
              <w:t>大连</w:t>
            </w:r>
            <w:r>
              <w:rPr>
                <w:rFonts w:ascii="宋体" w:hAnsi="宋体" w:cs="宋体" w:eastAsia="宋体" w:hint="default"/>
                <w:sz w:val="13"/>
                <w:szCs w:val="13"/>
              </w:rPr>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97" w:right="0"/>
              <w:jc w:val="left"/>
              <w:rPr>
                <w:rFonts w:ascii="宋体" w:hAnsi="宋体" w:cs="宋体" w:eastAsia="宋体" w:hint="default"/>
                <w:sz w:val="13"/>
                <w:szCs w:val="13"/>
              </w:rPr>
            </w:pPr>
            <w:r>
              <w:rPr>
                <w:rFonts w:ascii="宋体" w:hAnsi="宋体" w:cs="宋体" w:eastAsia="宋体" w:hint="default"/>
                <w:sz w:val="13"/>
                <w:szCs w:val="13"/>
              </w:rPr>
              <w:t>张志强</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91" w:right="0"/>
              <w:jc w:val="left"/>
              <w:rPr>
                <w:rFonts w:ascii="宋体" w:hAnsi="宋体" w:cs="宋体" w:eastAsia="宋体" w:hint="default"/>
                <w:sz w:val="13"/>
                <w:szCs w:val="13"/>
              </w:rPr>
            </w:pPr>
            <w:r>
              <w:rPr>
                <w:rFonts w:ascii="宋体" w:hAnsi="宋体" w:cs="宋体" w:eastAsia="宋体" w:hint="default"/>
                <w:sz w:val="13"/>
                <w:szCs w:val="13"/>
              </w:rPr>
              <w:t>无线应用产品及解决方案</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700</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万美元</w:t>
            </w:r>
          </w:p>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12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1,200</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万元</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98"/>
              <w:ind w:left="307" w:right="0"/>
              <w:jc w:val="left"/>
              <w:rPr>
                <w:rFonts w:ascii="Times New Roman" w:hAnsi="Times New Roman" w:cs="Times New Roman" w:eastAsia="Times New Roman" w:hint="default"/>
                <w:sz w:val="13"/>
                <w:szCs w:val="13"/>
              </w:rPr>
            </w:pPr>
            <w:r>
              <w:rPr>
                <w:rFonts w:ascii="Times New Roman"/>
                <w:sz w:val="13"/>
              </w:rPr>
              <w:t>46.00</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67"/>
              <w:jc w:val="right"/>
              <w:rPr>
                <w:rFonts w:ascii="Times New Roman" w:hAnsi="Times New Roman" w:cs="Times New Roman" w:eastAsia="Times New Roman" w:hint="default"/>
                <w:sz w:val="13"/>
                <w:szCs w:val="13"/>
              </w:rPr>
            </w:pPr>
            <w:r>
              <w:rPr>
                <w:rFonts w:ascii="Times New Roman"/>
                <w:w w:val="95"/>
                <w:sz w:val="13"/>
              </w:rPr>
              <w:t>46.00</w:t>
            </w:r>
            <w:r>
              <w:rPr>
                <w:rFonts w:ascii="Times New Roman"/>
                <w:sz w:val="13"/>
              </w:rPr>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68" w:right="0"/>
              <w:jc w:val="left"/>
              <w:rPr>
                <w:rFonts w:ascii="宋体" w:hAnsi="宋体" w:cs="宋体" w:eastAsia="宋体" w:hint="default"/>
                <w:sz w:val="13"/>
                <w:szCs w:val="13"/>
              </w:rPr>
            </w:pPr>
            <w:r>
              <w:rPr>
                <w:rFonts w:ascii="宋体" w:hAnsi="宋体" w:cs="宋体" w:eastAsia="宋体" w:hint="default"/>
                <w:sz w:val="13"/>
                <w:szCs w:val="13"/>
              </w:rPr>
              <w:t>联营公司</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0"/>
              <w:jc w:val="center"/>
              <w:rPr>
                <w:rFonts w:ascii="Times New Roman" w:hAnsi="Times New Roman" w:cs="Times New Roman" w:eastAsia="Times New Roman" w:hint="default"/>
                <w:sz w:val="13"/>
                <w:szCs w:val="13"/>
              </w:rPr>
            </w:pPr>
            <w:r>
              <w:rPr>
                <w:rFonts w:ascii="Times New Roman"/>
                <w:sz w:val="13"/>
              </w:rPr>
              <w:t>71699395-x</w:t>
            </w:r>
          </w:p>
        </w:tc>
      </w:tr>
      <w:tr>
        <w:trPr>
          <w:trHeight w:val="502" w:hRule="exact"/>
        </w:trPr>
        <w:tc>
          <w:tcPr>
            <w:tcW w:w="3497" w:type="dxa"/>
            <w:tcBorders>
              <w:top w:val="nil" w:sz="6" w:space="0" w:color="auto"/>
              <w:left w:val="nil" w:sz="6" w:space="0" w:color="auto"/>
              <w:bottom w:val="nil" w:sz="6" w:space="0" w:color="auto"/>
              <w:right w:val="nil" w:sz="6" w:space="0" w:color="auto"/>
            </w:tcBorders>
          </w:tcPr>
          <w:p>
            <w:pPr>
              <w:pStyle w:val="TableParagraph"/>
              <w:spacing w:line="161" w:lineRule="exact"/>
              <w:ind w:left="91" w:right="0"/>
              <w:jc w:val="left"/>
              <w:rPr>
                <w:rFonts w:ascii="宋体" w:hAnsi="宋体" w:cs="宋体" w:eastAsia="宋体" w:hint="default"/>
                <w:sz w:val="13"/>
                <w:szCs w:val="13"/>
              </w:rPr>
            </w:pPr>
            <w:r>
              <w:rPr>
                <w:rFonts w:ascii="宋体" w:hAnsi="宋体" w:cs="宋体" w:eastAsia="宋体" w:hint="default"/>
                <w:sz w:val="13"/>
                <w:szCs w:val="13"/>
              </w:rPr>
              <w:t>沈阳凯塔数据科技有限公司</w:t>
            </w:r>
          </w:p>
        </w:tc>
        <w:tc>
          <w:tcPr>
            <w:tcW w:w="1147" w:type="dxa"/>
            <w:tcBorders>
              <w:top w:val="nil" w:sz="6" w:space="0" w:color="auto"/>
              <w:left w:val="nil" w:sz="6" w:space="0" w:color="auto"/>
              <w:bottom w:val="nil" w:sz="6" w:space="0" w:color="auto"/>
              <w:right w:val="nil" w:sz="6" w:space="0" w:color="auto"/>
            </w:tcBorders>
          </w:tcPr>
          <w:p>
            <w:pPr>
              <w:pStyle w:val="TableParagraph"/>
              <w:spacing w:line="161" w:lineRule="exact"/>
              <w:ind w:right="53"/>
              <w:jc w:val="center"/>
              <w:rPr>
                <w:rFonts w:ascii="宋体" w:hAnsi="宋体" w:cs="宋体" w:eastAsia="宋体" w:hint="default"/>
                <w:sz w:val="13"/>
                <w:szCs w:val="13"/>
              </w:rPr>
            </w:pPr>
            <w:r>
              <w:rPr>
                <w:rFonts w:ascii="宋体" w:hAnsi="宋体" w:cs="宋体" w:eastAsia="宋体" w:hint="default"/>
                <w:sz w:val="13"/>
                <w:szCs w:val="13"/>
              </w:rPr>
              <w:t>有限责任公司</w:t>
            </w:r>
          </w:p>
        </w:tc>
        <w:tc>
          <w:tcPr>
            <w:tcW w:w="697" w:type="dxa"/>
            <w:tcBorders>
              <w:top w:val="nil" w:sz="6" w:space="0" w:color="auto"/>
              <w:left w:val="nil" w:sz="6" w:space="0" w:color="auto"/>
              <w:bottom w:val="nil" w:sz="6" w:space="0" w:color="auto"/>
              <w:right w:val="nil" w:sz="6" w:space="0" w:color="auto"/>
            </w:tcBorders>
          </w:tcPr>
          <w:p>
            <w:pPr>
              <w:pStyle w:val="TableParagraph"/>
              <w:spacing w:line="161" w:lineRule="exact"/>
              <w:ind w:right="175"/>
              <w:jc w:val="right"/>
              <w:rPr>
                <w:rFonts w:ascii="宋体" w:hAnsi="宋体" w:cs="宋体" w:eastAsia="宋体" w:hint="default"/>
                <w:sz w:val="13"/>
                <w:szCs w:val="13"/>
              </w:rPr>
            </w:pPr>
            <w:r>
              <w:rPr>
                <w:rFonts w:ascii="宋体" w:hAnsi="宋体" w:cs="宋体" w:eastAsia="宋体" w:hint="default"/>
                <w:w w:val="95"/>
                <w:sz w:val="13"/>
                <w:szCs w:val="13"/>
              </w:rPr>
              <w:t>沈阳</w:t>
            </w:r>
            <w:r>
              <w:rPr>
                <w:rFonts w:ascii="宋体" w:hAnsi="宋体" w:cs="宋体" w:eastAsia="宋体" w:hint="default"/>
                <w:sz w:val="13"/>
                <w:szCs w:val="13"/>
              </w:rPr>
            </w:r>
          </w:p>
        </w:tc>
        <w:tc>
          <w:tcPr>
            <w:tcW w:w="956" w:type="dxa"/>
            <w:tcBorders>
              <w:top w:val="nil" w:sz="6" w:space="0" w:color="auto"/>
              <w:left w:val="nil" w:sz="6" w:space="0" w:color="auto"/>
              <w:bottom w:val="nil" w:sz="6" w:space="0" w:color="auto"/>
              <w:right w:val="nil" w:sz="6" w:space="0" w:color="auto"/>
            </w:tcBorders>
          </w:tcPr>
          <w:p>
            <w:pPr>
              <w:pStyle w:val="TableParagraph"/>
              <w:spacing w:line="161" w:lineRule="exact"/>
              <w:ind w:left="97" w:right="0"/>
              <w:jc w:val="left"/>
              <w:rPr>
                <w:rFonts w:ascii="宋体" w:hAnsi="宋体" w:cs="宋体" w:eastAsia="宋体" w:hint="default"/>
                <w:sz w:val="13"/>
                <w:szCs w:val="13"/>
              </w:rPr>
            </w:pPr>
            <w:r>
              <w:rPr>
                <w:rFonts w:ascii="宋体" w:hAnsi="宋体" w:cs="宋体" w:eastAsia="宋体" w:hint="default"/>
                <w:sz w:val="13"/>
                <w:szCs w:val="13"/>
              </w:rPr>
              <w:t>董延春</w:t>
            </w:r>
          </w:p>
        </w:tc>
        <w:tc>
          <w:tcPr>
            <w:tcW w:w="2399" w:type="dxa"/>
            <w:tcBorders>
              <w:top w:val="nil" w:sz="6" w:space="0" w:color="auto"/>
              <w:left w:val="nil" w:sz="6" w:space="0" w:color="auto"/>
              <w:bottom w:val="nil" w:sz="6" w:space="0" w:color="auto"/>
              <w:right w:val="nil" w:sz="6" w:space="0" w:color="auto"/>
            </w:tcBorders>
          </w:tcPr>
          <w:p>
            <w:pPr>
              <w:pStyle w:val="TableParagraph"/>
              <w:spacing w:line="161" w:lineRule="exact"/>
              <w:ind w:left="191" w:right="0"/>
              <w:jc w:val="left"/>
              <w:rPr>
                <w:rFonts w:ascii="宋体" w:hAnsi="宋体" w:cs="宋体" w:eastAsia="宋体" w:hint="default"/>
                <w:sz w:val="13"/>
                <w:szCs w:val="13"/>
              </w:rPr>
            </w:pPr>
            <w:r>
              <w:rPr>
                <w:rFonts w:ascii="宋体" w:hAnsi="宋体" w:cs="宋体" w:eastAsia="宋体" w:hint="default"/>
                <w:sz w:val="13"/>
                <w:szCs w:val="13"/>
              </w:rPr>
              <w:t>计算机软件开发及销售等</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28" w:right="0"/>
              <w:jc w:val="left"/>
              <w:rPr>
                <w:rFonts w:ascii="宋体" w:hAnsi="宋体" w:cs="宋体" w:eastAsia="宋体" w:hint="default"/>
                <w:sz w:val="13"/>
                <w:szCs w:val="13"/>
              </w:rPr>
            </w:pPr>
            <w:r>
              <w:rPr>
                <w:rFonts w:ascii="宋体" w:hAnsi="宋体" w:cs="宋体" w:eastAsia="宋体" w:hint="default"/>
                <w:sz w:val="13"/>
                <w:szCs w:val="13"/>
              </w:rPr>
              <w:t>人民币</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07" w:right="0"/>
              <w:jc w:val="left"/>
              <w:rPr>
                <w:rFonts w:ascii="Times New Roman" w:hAnsi="Times New Roman" w:cs="Times New Roman" w:eastAsia="Times New Roman" w:hint="default"/>
                <w:sz w:val="13"/>
                <w:szCs w:val="13"/>
              </w:rPr>
            </w:pPr>
            <w:r>
              <w:rPr>
                <w:rFonts w:ascii="Times New Roman"/>
                <w:sz w:val="13"/>
              </w:rPr>
              <w:t>16.67</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67"/>
              <w:jc w:val="right"/>
              <w:rPr>
                <w:rFonts w:ascii="Times New Roman" w:hAnsi="Times New Roman" w:cs="Times New Roman" w:eastAsia="Times New Roman" w:hint="default"/>
                <w:sz w:val="13"/>
                <w:szCs w:val="13"/>
              </w:rPr>
            </w:pPr>
            <w:r>
              <w:rPr>
                <w:rFonts w:ascii="Times New Roman"/>
                <w:w w:val="95"/>
                <w:sz w:val="13"/>
              </w:rPr>
              <w:t>16.67</w:t>
            </w:r>
            <w:r>
              <w:rPr>
                <w:rFonts w:ascii="Times New Roman"/>
                <w:sz w:val="13"/>
              </w:rPr>
            </w:r>
          </w:p>
        </w:tc>
        <w:tc>
          <w:tcPr>
            <w:tcW w:w="761" w:type="dxa"/>
            <w:tcBorders>
              <w:top w:val="nil" w:sz="6" w:space="0" w:color="auto"/>
              <w:left w:val="nil" w:sz="6" w:space="0" w:color="auto"/>
              <w:bottom w:val="nil" w:sz="6" w:space="0" w:color="auto"/>
              <w:right w:val="nil" w:sz="6" w:space="0" w:color="auto"/>
            </w:tcBorders>
          </w:tcPr>
          <w:p>
            <w:pPr>
              <w:pStyle w:val="TableParagraph"/>
              <w:spacing w:line="161" w:lineRule="exact"/>
              <w:ind w:left="68" w:right="0"/>
              <w:jc w:val="left"/>
              <w:rPr>
                <w:rFonts w:ascii="宋体" w:hAnsi="宋体" w:cs="宋体" w:eastAsia="宋体" w:hint="default"/>
                <w:sz w:val="13"/>
                <w:szCs w:val="13"/>
              </w:rPr>
            </w:pPr>
            <w:r>
              <w:rPr>
                <w:rFonts w:ascii="宋体" w:hAnsi="宋体" w:cs="宋体" w:eastAsia="宋体" w:hint="default"/>
                <w:sz w:val="13"/>
                <w:szCs w:val="13"/>
              </w:rPr>
              <w:t>联营公司</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0"/>
              <w:jc w:val="center"/>
              <w:rPr>
                <w:rFonts w:ascii="Times New Roman" w:hAnsi="Times New Roman" w:cs="Times New Roman" w:eastAsia="Times New Roman" w:hint="default"/>
                <w:sz w:val="13"/>
                <w:szCs w:val="13"/>
              </w:rPr>
            </w:pPr>
            <w:r>
              <w:rPr>
                <w:rFonts w:ascii="Times New Roman"/>
                <w:sz w:val="13"/>
              </w:rPr>
              <w:t>55079395-7</w:t>
            </w:r>
          </w:p>
        </w:tc>
      </w:tr>
      <w:tr>
        <w:trPr>
          <w:trHeight w:val="418" w:hRule="exact"/>
        </w:trPr>
        <w:tc>
          <w:tcPr>
            <w:tcW w:w="3497"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91" w:right="0"/>
              <w:jc w:val="left"/>
              <w:rPr>
                <w:rFonts w:ascii="宋体" w:hAnsi="宋体" w:cs="宋体" w:eastAsia="宋体" w:hint="default"/>
                <w:sz w:val="13"/>
                <w:szCs w:val="13"/>
              </w:rPr>
            </w:pPr>
            <w:r>
              <w:rPr>
                <w:rFonts w:ascii="宋体" w:hAnsi="宋体" w:cs="宋体" w:eastAsia="宋体" w:hint="default"/>
                <w:sz w:val="13"/>
                <w:szCs w:val="13"/>
              </w:rPr>
              <w:t>东软飞利浦医疗设备系统有限责任公司（</w:t>
            </w:r>
            <w:r>
              <w:rPr>
                <w:rFonts w:ascii="Times New Roman" w:hAnsi="Times New Roman" w:cs="Times New Roman" w:eastAsia="Times New Roman" w:hint="default"/>
                <w:sz w:val="13"/>
                <w:szCs w:val="13"/>
              </w:rPr>
              <w:t>”</w:t>
            </w:r>
            <w:r>
              <w:rPr>
                <w:rFonts w:ascii="宋体" w:hAnsi="宋体" w:cs="宋体" w:eastAsia="宋体" w:hint="default"/>
                <w:sz w:val="13"/>
                <w:szCs w:val="13"/>
              </w:rPr>
              <w:t>东软飞利浦</w:t>
            </w:r>
            <w:r>
              <w:rPr>
                <w:rFonts w:ascii="Times New Roman" w:hAnsi="Times New Roman" w:cs="Times New Roman" w:eastAsia="Times New Roman" w:hint="default"/>
                <w:sz w:val="13"/>
                <w:szCs w:val="13"/>
              </w:rPr>
              <w:t>”</w:t>
            </w:r>
            <w:r>
              <w:rPr>
                <w:rFonts w:ascii="宋体" w:hAnsi="宋体" w:cs="宋体" w:eastAsia="宋体" w:hint="default"/>
                <w:sz w:val="13"/>
                <w:szCs w:val="13"/>
              </w:rPr>
              <w:t>）</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51"/>
              <w:jc w:val="center"/>
              <w:rPr>
                <w:rFonts w:ascii="宋体" w:hAnsi="宋体" w:cs="宋体" w:eastAsia="宋体" w:hint="default"/>
                <w:sz w:val="13"/>
                <w:szCs w:val="13"/>
              </w:rPr>
            </w:pPr>
            <w:r>
              <w:rPr>
                <w:rFonts w:ascii="宋体" w:hAnsi="宋体" w:cs="宋体" w:eastAsia="宋体" w:hint="default"/>
                <w:sz w:val="13"/>
                <w:szCs w:val="13"/>
              </w:rPr>
              <w:t>有限责任公司</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75"/>
              <w:jc w:val="right"/>
              <w:rPr>
                <w:rFonts w:ascii="宋体" w:hAnsi="宋体" w:cs="宋体" w:eastAsia="宋体" w:hint="default"/>
                <w:sz w:val="13"/>
                <w:szCs w:val="13"/>
              </w:rPr>
            </w:pPr>
            <w:r>
              <w:rPr>
                <w:rFonts w:ascii="宋体" w:hAnsi="宋体" w:cs="宋体" w:eastAsia="宋体" w:hint="default"/>
                <w:w w:val="95"/>
                <w:sz w:val="13"/>
                <w:szCs w:val="13"/>
              </w:rPr>
              <w:t>沈阳</w:t>
            </w:r>
            <w:r>
              <w:rPr>
                <w:rFonts w:ascii="宋体" w:hAnsi="宋体" w:cs="宋体" w:eastAsia="宋体" w:hint="default"/>
                <w:sz w:val="13"/>
                <w:szCs w:val="13"/>
              </w:rPr>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97" w:right="0"/>
              <w:jc w:val="left"/>
              <w:rPr>
                <w:rFonts w:ascii="宋体" w:hAnsi="宋体" w:cs="宋体" w:eastAsia="宋体" w:hint="default"/>
                <w:sz w:val="13"/>
                <w:szCs w:val="13"/>
              </w:rPr>
            </w:pPr>
            <w:r>
              <w:rPr>
                <w:rFonts w:ascii="宋体" w:hAnsi="宋体" w:cs="宋体" w:eastAsia="宋体" w:hint="default"/>
                <w:sz w:val="13"/>
                <w:szCs w:val="13"/>
              </w:rPr>
              <w:t>刘积仁</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91" w:right="0"/>
              <w:jc w:val="left"/>
              <w:rPr>
                <w:rFonts w:ascii="宋体" w:hAnsi="宋体" w:cs="宋体" w:eastAsia="宋体" w:hint="default"/>
                <w:sz w:val="13"/>
                <w:szCs w:val="13"/>
              </w:rPr>
            </w:pPr>
            <w:r>
              <w:rPr>
                <w:rFonts w:ascii="宋体" w:hAnsi="宋体" w:cs="宋体" w:eastAsia="宋体" w:hint="default"/>
                <w:sz w:val="13"/>
                <w:szCs w:val="13"/>
              </w:rPr>
              <w:t>研究开发生产销售</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CT</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机等</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29"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2,960</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万美元</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0"/>
                <w:szCs w:val="10"/>
              </w:rPr>
            </w:pPr>
          </w:p>
          <w:p>
            <w:pPr>
              <w:pStyle w:val="TableParagraph"/>
              <w:spacing w:line="240" w:lineRule="auto"/>
              <w:ind w:left="307" w:right="0"/>
              <w:jc w:val="left"/>
              <w:rPr>
                <w:rFonts w:ascii="Times New Roman" w:hAnsi="Times New Roman" w:cs="Times New Roman" w:eastAsia="Times New Roman" w:hint="default"/>
                <w:sz w:val="13"/>
                <w:szCs w:val="13"/>
              </w:rPr>
            </w:pPr>
            <w:r>
              <w:rPr>
                <w:rFonts w:ascii="Times New Roman"/>
                <w:sz w:val="13"/>
              </w:rPr>
              <w:t>49.00</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0"/>
                <w:szCs w:val="10"/>
              </w:rPr>
            </w:pPr>
          </w:p>
          <w:p>
            <w:pPr>
              <w:pStyle w:val="TableParagraph"/>
              <w:spacing w:line="240" w:lineRule="auto"/>
              <w:ind w:right="66"/>
              <w:jc w:val="right"/>
              <w:rPr>
                <w:rFonts w:ascii="Times New Roman" w:hAnsi="Times New Roman" w:cs="Times New Roman" w:eastAsia="Times New Roman" w:hint="default"/>
                <w:sz w:val="13"/>
                <w:szCs w:val="13"/>
              </w:rPr>
            </w:pPr>
            <w:r>
              <w:rPr>
                <w:rFonts w:ascii="Times New Roman"/>
                <w:w w:val="95"/>
                <w:sz w:val="13"/>
              </w:rPr>
              <w:t>49.00</w:t>
            </w:r>
            <w:r>
              <w:rPr>
                <w:rFonts w:ascii="Times New Roman"/>
                <w:sz w:val="13"/>
              </w:rPr>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69" w:right="0"/>
              <w:jc w:val="left"/>
              <w:rPr>
                <w:rFonts w:ascii="宋体" w:hAnsi="宋体" w:cs="宋体" w:eastAsia="宋体" w:hint="default"/>
                <w:sz w:val="13"/>
                <w:szCs w:val="13"/>
              </w:rPr>
            </w:pPr>
            <w:r>
              <w:rPr>
                <w:rFonts w:ascii="宋体" w:hAnsi="宋体" w:cs="宋体" w:eastAsia="宋体" w:hint="default"/>
                <w:sz w:val="13"/>
                <w:szCs w:val="13"/>
              </w:rPr>
              <w:t>联营公司</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0"/>
                <w:szCs w:val="10"/>
              </w:rPr>
            </w:pPr>
          </w:p>
          <w:p>
            <w:pPr>
              <w:pStyle w:val="TableParagraph"/>
              <w:spacing w:line="240" w:lineRule="auto"/>
              <w:ind w:right="0"/>
              <w:jc w:val="center"/>
              <w:rPr>
                <w:rFonts w:ascii="Times New Roman" w:hAnsi="Times New Roman" w:cs="Times New Roman" w:eastAsia="Times New Roman" w:hint="default"/>
                <w:sz w:val="13"/>
                <w:szCs w:val="13"/>
              </w:rPr>
            </w:pPr>
            <w:r>
              <w:rPr>
                <w:rFonts w:ascii="Times New Roman"/>
                <w:sz w:val="13"/>
              </w:rPr>
              <w:t>76007551-5</w:t>
            </w:r>
          </w:p>
        </w:tc>
      </w:tr>
      <w:tr>
        <w:trPr>
          <w:trHeight w:val="505" w:hRule="exact"/>
        </w:trPr>
        <w:tc>
          <w:tcPr>
            <w:tcW w:w="34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left="91" w:right="0"/>
              <w:jc w:val="left"/>
              <w:rPr>
                <w:rFonts w:ascii="宋体" w:hAnsi="宋体" w:cs="宋体" w:eastAsia="宋体" w:hint="default"/>
                <w:sz w:val="13"/>
                <w:szCs w:val="13"/>
              </w:rPr>
            </w:pPr>
            <w:r>
              <w:rPr>
                <w:rFonts w:ascii="宋体" w:hAnsi="宋体" w:cs="宋体" w:eastAsia="宋体" w:hint="default"/>
                <w:sz w:val="13"/>
                <w:szCs w:val="13"/>
              </w:rPr>
              <w:t>辽宁盛京熙康健康管理有限公司（</w:t>
            </w:r>
            <w:r>
              <w:rPr>
                <w:rFonts w:ascii="Times New Roman" w:hAnsi="Times New Roman" w:cs="Times New Roman" w:eastAsia="Times New Roman" w:hint="default"/>
                <w:sz w:val="13"/>
                <w:szCs w:val="13"/>
              </w:rPr>
              <w:t>“</w:t>
            </w:r>
            <w:r>
              <w:rPr>
                <w:rFonts w:ascii="宋体" w:hAnsi="宋体" w:cs="宋体" w:eastAsia="宋体" w:hint="default"/>
                <w:sz w:val="13"/>
                <w:szCs w:val="13"/>
              </w:rPr>
              <w:t>盛京熙康公司</w:t>
            </w:r>
            <w:r>
              <w:rPr>
                <w:rFonts w:ascii="Times New Roman" w:hAnsi="Times New Roman" w:cs="Times New Roman" w:eastAsia="Times New Roman" w:hint="default"/>
                <w:sz w:val="13"/>
                <w:szCs w:val="13"/>
              </w:rPr>
              <w:t>”</w:t>
            </w:r>
            <w:r>
              <w:rPr>
                <w:rFonts w:ascii="宋体" w:hAnsi="宋体" w:cs="宋体" w:eastAsia="宋体" w:hint="default"/>
                <w:sz w:val="13"/>
                <w:szCs w:val="13"/>
              </w:rPr>
              <w:t>）</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52"/>
              <w:jc w:val="center"/>
              <w:rPr>
                <w:rFonts w:ascii="宋体" w:hAnsi="宋体" w:cs="宋体" w:eastAsia="宋体" w:hint="default"/>
                <w:sz w:val="13"/>
                <w:szCs w:val="13"/>
              </w:rPr>
            </w:pPr>
            <w:r>
              <w:rPr>
                <w:rFonts w:ascii="宋体" w:hAnsi="宋体" w:cs="宋体" w:eastAsia="宋体" w:hint="default"/>
                <w:sz w:val="13"/>
                <w:szCs w:val="13"/>
              </w:rPr>
              <w:t>有限责任公司</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right="175"/>
              <w:jc w:val="right"/>
              <w:rPr>
                <w:rFonts w:ascii="宋体" w:hAnsi="宋体" w:cs="宋体" w:eastAsia="宋体" w:hint="default"/>
                <w:sz w:val="13"/>
                <w:szCs w:val="13"/>
              </w:rPr>
            </w:pPr>
            <w:r>
              <w:rPr>
                <w:rFonts w:ascii="宋体" w:hAnsi="宋体" w:cs="宋体" w:eastAsia="宋体" w:hint="default"/>
                <w:w w:val="95"/>
                <w:sz w:val="13"/>
                <w:szCs w:val="13"/>
              </w:rPr>
              <w:t>沈阳</w:t>
            </w:r>
            <w:r>
              <w:rPr>
                <w:rFonts w:ascii="宋体" w:hAnsi="宋体" w:cs="宋体" w:eastAsia="宋体" w:hint="default"/>
                <w:sz w:val="13"/>
                <w:szCs w:val="13"/>
              </w:rPr>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left="97" w:right="0"/>
              <w:jc w:val="left"/>
              <w:rPr>
                <w:rFonts w:ascii="宋体" w:hAnsi="宋体" w:cs="宋体" w:eastAsia="宋体" w:hint="default"/>
                <w:sz w:val="13"/>
                <w:szCs w:val="13"/>
              </w:rPr>
            </w:pPr>
            <w:r>
              <w:rPr>
                <w:rFonts w:ascii="宋体" w:hAnsi="宋体" w:cs="宋体" w:eastAsia="宋体" w:hint="default"/>
                <w:sz w:val="13"/>
                <w:szCs w:val="13"/>
              </w:rPr>
              <w:t>佡剑非</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left="191" w:right="0"/>
              <w:jc w:val="left"/>
              <w:rPr>
                <w:rFonts w:ascii="宋体" w:hAnsi="宋体" w:cs="宋体" w:eastAsia="宋体" w:hint="default"/>
                <w:sz w:val="13"/>
                <w:szCs w:val="13"/>
              </w:rPr>
            </w:pPr>
            <w:r>
              <w:rPr>
                <w:rFonts w:ascii="宋体" w:hAnsi="宋体" w:cs="宋体" w:eastAsia="宋体" w:hint="default"/>
                <w:sz w:val="13"/>
                <w:szCs w:val="13"/>
              </w:rPr>
              <w:t>健康科技项目开发；健康管理服务等</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2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100</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万元</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307" w:right="0"/>
              <w:jc w:val="left"/>
              <w:rPr>
                <w:rFonts w:ascii="Times New Roman" w:hAnsi="Times New Roman" w:cs="Times New Roman" w:eastAsia="Times New Roman" w:hint="default"/>
                <w:sz w:val="13"/>
                <w:szCs w:val="13"/>
              </w:rPr>
            </w:pPr>
            <w:r>
              <w:rPr>
                <w:rFonts w:ascii="Times New Roman"/>
                <w:sz w:val="13"/>
              </w:rPr>
              <w:t>49.00</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right="67"/>
              <w:jc w:val="right"/>
              <w:rPr>
                <w:rFonts w:ascii="Times New Roman" w:hAnsi="Times New Roman" w:cs="Times New Roman" w:eastAsia="Times New Roman" w:hint="default"/>
                <w:sz w:val="13"/>
                <w:szCs w:val="13"/>
              </w:rPr>
            </w:pPr>
            <w:r>
              <w:rPr>
                <w:rFonts w:ascii="Times New Roman"/>
                <w:w w:val="95"/>
                <w:sz w:val="13"/>
              </w:rPr>
              <w:t>49.00</w:t>
            </w:r>
            <w:r>
              <w:rPr>
                <w:rFonts w:ascii="Times New Roman"/>
                <w:sz w:val="13"/>
              </w:rPr>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left="68" w:right="0"/>
              <w:jc w:val="left"/>
              <w:rPr>
                <w:rFonts w:ascii="宋体" w:hAnsi="宋体" w:cs="宋体" w:eastAsia="宋体" w:hint="default"/>
                <w:sz w:val="13"/>
                <w:szCs w:val="13"/>
              </w:rPr>
            </w:pPr>
            <w:r>
              <w:rPr>
                <w:rFonts w:ascii="宋体" w:hAnsi="宋体" w:cs="宋体" w:eastAsia="宋体" w:hint="default"/>
                <w:sz w:val="13"/>
                <w:szCs w:val="13"/>
              </w:rPr>
              <w:t>联营公司</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right="0"/>
              <w:jc w:val="center"/>
              <w:rPr>
                <w:rFonts w:ascii="Times New Roman" w:hAnsi="Times New Roman" w:cs="Times New Roman" w:eastAsia="Times New Roman" w:hint="default"/>
                <w:sz w:val="13"/>
                <w:szCs w:val="13"/>
              </w:rPr>
            </w:pPr>
            <w:r>
              <w:rPr>
                <w:rFonts w:ascii="Times New Roman"/>
                <w:sz w:val="13"/>
              </w:rPr>
              <w:t>69651276-7</w:t>
            </w:r>
          </w:p>
        </w:tc>
      </w:tr>
      <w:tr>
        <w:trPr>
          <w:trHeight w:val="297" w:hRule="exact"/>
        </w:trPr>
        <w:tc>
          <w:tcPr>
            <w:tcW w:w="3497" w:type="dxa"/>
            <w:tcBorders>
              <w:top w:val="nil" w:sz="6" w:space="0" w:color="auto"/>
              <w:left w:val="nil" w:sz="6" w:space="0" w:color="auto"/>
              <w:bottom w:val="nil" w:sz="6" w:space="0" w:color="auto"/>
              <w:right w:val="nil" w:sz="6" w:space="0" w:color="auto"/>
            </w:tcBorders>
          </w:tcPr>
          <w:p>
            <w:pPr/>
          </w:p>
        </w:tc>
        <w:tc>
          <w:tcPr>
            <w:tcW w:w="1147" w:type="dxa"/>
            <w:tcBorders>
              <w:top w:val="nil" w:sz="6" w:space="0" w:color="auto"/>
              <w:left w:val="nil" w:sz="6" w:space="0" w:color="auto"/>
              <w:bottom w:val="nil" w:sz="6" w:space="0" w:color="auto"/>
              <w:right w:val="nil" w:sz="6" w:space="0" w:color="auto"/>
            </w:tcBorders>
          </w:tcPr>
          <w:p>
            <w:pPr/>
          </w:p>
        </w:tc>
        <w:tc>
          <w:tcPr>
            <w:tcW w:w="697" w:type="dxa"/>
            <w:tcBorders>
              <w:top w:val="nil" w:sz="6" w:space="0" w:color="auto"/>
              <w:left w:val="nil" w:sz="6" w:space="0" w:color="auto"/>
              <w:bottom w:val="nil" w:sz="6" w:space="0" w:color="auto"/>
              <w:right w:val="nil" w:sz="6" w:space="0" w:color="auto"/>
            </w:tcBorders>
          </w:tcPr>
          <w:p>
            <w:pPr/>
          </w:p>
        </w:tc>
        <w:tc>
          <w:tcPr>
            <w:tcW w:w="956" w:type="dxa"/>
            <w:tcBorders>
              <w:top w:val="nil" w:sz="6" w:space="0" w:color="auto"/>
              <w:left w:val="nil" w:sz="6" w:space="0" w:color="auto"/>
              <w:bottom w:val="nil" w:sz="6" w:space="0" w:color="auto"/>
              <w:right w:val="nil" w:sz="6" w:space="0" w:color="auto"/>
            </w:tcBorders>
          </w:tcPr>
          <w:p>
            <w:pPr/>
          </w:p>
        </w:tc>
        <w:tc>
          <w:tcPr>
            <w:tcW w:w="2399" w:type="dxa"/>
            <w:tcBorders>
              <w:top w:val="nil" w:sz="6" w:space="0" w:color="auto"/>
              <w:left w:val="nil" w:sz="6" w:space="0" w:color="auto"/>
              <w:bottom w:val="nil" w:sz="6" w:space="0" w:color="auto"/>
              <w:right w:val="nil" w:sz="6" w:space="0" w:color="auto"/>
            </w:tcBorders>
          </w:tcPr>
          <w:p>
            <w:pPr/>
          </w:p>
        </w:tc>
        <w:tc>
          <w:tcPr>
            <w:tcW w:w="1215" w:type="dxa"/>
            <w:tcBorders>
              <w:top w:val="nil" w:sz="6" w:space="0" w:color="auto"/>
              <w:left w:val="nil" w:sz="6" w:space="0" w:color="auto"/>
              <w:bottom w:val="nil" w:sz="6" w:space="0" w:color="auto"/>
              <w:right w:val="nil" w:sz="6" w:space="0" w:color="auto"/>
            </w:tcBorders>
          </w:tcPr>
          <w:p>
            <w:pPr>
              <w:pStyle w:val="TableParagraph"/>
              <w:spacing w:line="157" w:lineRule="exact"/>
              <w:ind w:left="128" w:right="0"/>
              <w:jc w:val="left"/>
              <w:rPr>
                <w:rFonts w:ascii="宋体" w:hAnsi="宋体" w:cs="宋体" w:eastAsia="宋体" w:hint="default"/>
                <w:sz w:val="13"/>
                <w:szCs w:val="13"/>
              </w:rPr>
            </w:pPr>
            <w:r>
              <w:rPr>
                <w:rFonts w:ascii="宋体" w:hAnsi="宋体" w:cs="宋体" w:eastAsia="宋体" w:hint="default"/>
                <w:sz w:val="13"/>
                <w:szCs w:val="13"/>
              </w:rPr>
              <w:t>人民币</w:t>
            </w:r>
          </w:p>
        </w:tc>
        <w:tc>
          <w:tcPr>
            <w:tcW w:w="998" w:type="dxa"/>
            <w:tcBorders>
              <w:top w:val="nil" w:sz="6" w:space="0" w:color="auto"/>
              <w:left w:val="nil" w:sz="6" w:space="0" w:color="auto"/>
              <w:bottom w:val="nil" w:sz="6" w:space="0" w:color="auto"/>
              <w:right w:val="nil" w:sz="6" w:space="0" w:color="auto"/>
            </w:tcBorders>
          </w:tcPr>
          <w:p>
            <w:pPr/>
          </w:p>
        </w:tc>
        <w:tc>
          <w:tcPr>
            <w:tcW w:w="760" w:type="dxa"/>
            <w:tcBorders>
              <w:top w:val="nil" w:sz="6" w:space="0" w:color="auto"/>
              <w:left w:val="nil" w:sz="6" w:space="0" w:color="auto"/>
              <w:bottom w:val="nil" w:sz="6" w:space="0" w:color="auto"/>
              <w:right w:val="nil" w:sz="6" w:space="0" w:color="auto"/>
            </w:tcBorders>
          </w:tcPr>
          <w:p>
            <w:pPr/>
          </w:p>
        </w:tc>
        <w:tc>
          <w:tcPr>
            <w:tcW w:w="761"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513" w:hRule="exact"/>
        </w:trPr>
        <w:tc>
          <w:tcPr>
            <w:tcW w:w="34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91" w:right="0"/>
              <w:jc w:val="left"/>
              <w:rPr>
                <w:rFonts w:ascii="宋体" w:hAnsi="宋体" w:cs="宋体" w:eastAsia="宋体" w:hint="default"/>
                <w:sz w:val="13"/>
                <w:szCs w:val="13"/>
              </w:rPr>
            </w:pPr>
            <w:r>
              <w:rPr>
                <w:rFonts w:ascii="宋体" w:hAnsi="宋体" w:cs="宋体" w:eastAsia="宋体" w:hint="default"/>
                <w:w w:val="99"/>
                <w:sz w:val="13"/>
                <w:szCs w:val="13"/>
              </w:rPr>
              <w:t>重庆国</w:t>
            </w:r>
            <w:r>
              <w:rPr>
                <w:rFonts w:ascii="宋体" w:hAnsi="宋体" w:cs="宋体" w:eastAsia="宋体" w:hint="default"/>
                <w:spacing w:val="1"/>
                <w:w w:val="99"/>
                <w:sz w:val="13"/>
                <w:szCs w:val="13"/>
              </w:rPr>
              <w:t>奥</w:t>
            </w:r>
            <w:r>
              <w:rPr>
                <w:rFonts w:ascii="宋体" w:hAnsi="宋体" w:cs="宋体" w:eastAsia="宋体" w:hint="default"/>
                <w:w w:val="99"/>
                <w:sz w:val="13"/>
                <w:szCs w:val="13"/>
              </w:rPr>
              <w:t>百年</w:t>
            </w:r>
            <w:r>
              <w:rPr>
                <w:rFonts w:ascii="宋体" w:hAnsi="宋体" w:cs="宋体" w:eastAsia="宋体" w:hint="default"/>
                <w:spacing w:val="1"/>
                <w:w w:val="99"/>
                <w:sz w:val="13"/>
                <w:szCs w:val="13"/>
              </w:rPr>
              <w:t>熙</w:t>
            </w:r>
            <w:r>
              <w:rPr>
                <w:rFonts w:ascii="宋体" w:hAnsi="宋体" w:cs="宋体" w:eastAsia="宋体" w:hint="default"/>
                <w:w w:val="99"/>
                <w:sz w:val="13"/>
                <w:szCs w:val="13"/>
              </w:rPr>
              <w:t>康</w:t>
            </w:r>
            <w:r>
              <w:rPr>
                <w:rFonts w:ascii="宋体" w:hAnsi="宋体" w:cs="宋体" w:eastAsia="宋体" w:hint="default"/>
                <w:spacing w:val="1"/>
                <w:w w:val="99"/>
                <w:sz w:val="13"/>
                <w:szCs w:val="13"/>
              </w:rPr>
              <w:t>健</w:t>
            </w:r>
            <w:r>
              <w:rPr>
                <w:rFonts w:ascii="宋体" w:hAnsi="宋体" w:cs="宋体" w:eastAsia="宋体" w:hint="default"/>
                <w:w w:val="99"/>
                <w:sz w:val="13"/>
                <w:szCs w:val="13"/>
              </w:rPr>
              <w:t>康管理</w:t>
            </w:r>
            <w:r>
              <w:rPr>
                <w:rFonts w:ascii="宋体" w:hAnsi="宋体" w:cs="宋体" w:eastAsia="宋体" w:hint="default"/>
                <w:spacing w:val="1"/>
                <w:w w:val="99"/>
                <w:sz w:val="13"/>
                <w:szCs w:val="13"/>
              </w:rPr>
              <w:t>有</w:t>
            </w:r>
            <w:r>
              <w:rPr>
                <w:rFonts w:ascii="宋体" w:hAnsi="宋体" w:cs="宋体" w:eastAsia="宋体" w:hint="default"/>
                <w:w w:val="99"/>
                <w:sz w:val="13"/>
                <w:szCs w:val="13"/>
              </w:rPr>
              <w:t>限公</w:t>
            </w:r>
            <w:r>
              <w:rPr>
                <w:rFonts w:ascii="宋体" w:hAnsi="宋体" w:cs="宋体" w:eastAsia="宋体" w:hint="default"/>
                <w:spacing w:val="1"/>
                <w:w w:val="99"/>
                <w:sz w:val="13"/>
                <w:szCs w:val="13"/>
              </w:rPr>
              <w:t>司</w:t>
            </w:r>
            <w:r>
              <w:rPr>
                <w:rFonts w:ascii="宋体" w:hAnsi="宋体" w:cs="宋体" w:eastAsia="宋体" w:hint="default"/>
                <w:spacing w:val="-65"/>
                <w:w w:val="99"/>
                <w:sz w:val="13"/>
                <w:szCs w:val="13"/>
              </w:rPr>
              <w:t>（</w:t>
            </w:r>
            <w:r>
              <w:rPr>
                <w:rFonts w:ascii="宋体" w:hAnsi="宋体" w:cs="宋体" w:eastAsia="宋体" w:hint="default"/>
                <w:spacing w:val="1"/>
                <w:w w:val="99"/>
                <w:sz w:val="13"/>
                <w:szCs w:val="13"/>
              </w:rPr>
              <w:t>“</w:t>
            </w:r>
            <w:r>
              <w:rPr>
                <w:rFonts w:ascii="宋体" w:hAnsi="宋体" w:cs="宋体" w:eastAsia="宋体" w:hint="default"/>
                <w:w w:val="99"/>
                <w:sz w:val="13"/>
                <w:szCs w:val="13"/>
              </w:rPr>
              <w:t>重庆国</w:t>
            </w:r>
            <w:r>
              <w:rPr>
                <w:rFonts w:ascii="宋体" w:hAnsi="宋体" w:cs="宋体" w:eastAsia="宋体" w:hint="default"/>
                <w:spacing w:val="1"/>
                <w:w w:val="99"/>
                <w:sz w:val="13"/>
                <w:szCs w:val="13"/>
              </w:rPr>
              <w:t>奥</w:t>
            </w:r>
            <w:r>
              <w:rPr>
                <w:rFonts w:ascii="宋体" w:hAnsi="宋体" w:cs="宋体" w:eastAsia="宋体" w:hint="default"/>
                <w:w w:val="99"/>
                <w:sz w:val="13"/>
                <w:szCs w:val="13"/>
              </w:rPr>
              <w:t>百年</w:t>
            </w:r>
            <w:r>
              <w:rPr>
                <w:rFonts w:ascii="宋体" w:hAnsi="宋体" w:cs="宋体" w:eastAsia="宋体" w:hint="default"/>
                <w:spacing w:val="-65"/>
                <w:w w:val="99"/>
                <w:sz w:val="13"/>
                <w:szCs w:val="13"/>
              </w:rPr>
              <w:t>”</w:t>
            </w:r>
            <w:r>
              <w:rPr>
                <w:rFonts w:ascii="宋体" w:hAnsi="宋体" w:cs="宋体" w:eastAsia="宋体" w:hint="default"/>
                <w:w w:val="99"/>
                <w:sz w:val="13"/>
                <w:szCs w:val="13"/>
              </w:rPr>
              <w:t>）</w:t>
            </w:r>
            <w:r>
              <w:rPr>
                <w:rFonts w:ascii="宋体" w:hAnsi="宋体" w:cs="宋体" w:eastAsia="宋体" w:hint="default"/>
                <w:sz w:val="13"/>
                <w:szCs w:val="13"/>
              </w:rPr>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right="51"/>
              <w:jc w:val="center"/>
              <w:rPr>
                <w:rFonts w:ascii="宋体" w:hAnsi="宋体" w:cs="宋体" w:eastAsia="宋体" w:hint="default"/>
                <w:sz w:val="13"/>
                <w:szCs w:val="13"/>
              </w:rPr>
            </w:pPr>
            <w:r>
              <w:rPr>
                <w:rFonts w:ascii="宋体" w:hAnsi="宋体" w:cs="宋体" w:eastAsia="宋体" w:hint="default"/>
                <w:sz w:val="13"/>
                <w:szCs w:val="13"/>
              </w:rPr>
              <w:t>有限责任公司</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right="161"/>
              <w:jc w:val="right"/>
              <w:rPr>
                <w:rFonts w:ascii="宋体" w:hAnsi="宋体" w:cs="宋体" w:eastAsia="宋体" w:hint="default"/>
                <w:sz w:val="13"/>
                <w:szCs w:val="13"/>
              </w:rPr>
            </w:pPr>
            <w:r>
              <w:rPr>
                <w:rFonts w:ascii="宋体" w:hAnsi="宋体" w:cs="宋体" w:eastAsia="宋体" w:hint="default"/>
                <w:w w:val="95"/>
                <w:sz w:val="13"/>
                <w:szCs w:val="13"/>
              </w:rPr>
              <w:t>重庆</w:t>
            </w:r>
            <w:r>
              <w:rPr>
                <w:rFonts w:ascii="宋体" w:hAnsi="宋体" w:cs="宋体" w:eastAsia="宋体" w:hint="default"/>
                <w:sz w:val="13"/>
                <w:szCs w:val="13"/>
              </w:rPr>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97" w:right="0"/>
              <w:jc w:val="left"/>
              <w:rPr>
                <w:rFonts w:ascii="宋体" w:hAnsi="宋体" w:cs="宋体" w:eastAsia="宋体" w:hint="default"/>
                <w:sz w:val="13"/>
                <w:szCs w:val="13"/>
              </w:rPr>
            </w:pPr>
            <w:r>
              <w:rPr>
                <w:rFonts w:ascii="宋体" w:hAnsi="宋体" w:cs="宋体" w:eastAsia="宋体" w:hint="default"/>
                <w:sz w:val="13"/>
                <w:szCs w:val="13"/>
              </w:rPr>
              <w:t>张敬东</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191" w:right="0"/>
              <w:jc w:val="left"/>
              <w:rPr>
                <w:rFonts w:ascii="宋体" w:hAnsi="宋体" w:cs="宋体" w:eastAsia="宋体" w:hint="default"/>
                <w:sz w:val="13"/>
                <w:szCs w:val="13"/>
              </w:rPr>
            </w:pPr>
            <w:r>
              <w:rPr>
                <w:rFonts w:ascii="宋体" w:hAnsi="宋体" w:cs="宋体" w:eastAsia="宋体" w:hint="default"/>
                <w:sz w:val="13"/>
                <w:szCs w:val="13"/>
              </w:rPr>
              <w:t>健康科技项目开发；健康管理服务等</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9"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200</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万元</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307" w:right="0"/>
              <w:jc w:val="left"/>
              <w:rPr>
                <w:rFonts w:ascii="Times New Roman" w:hAnsi="Times New Roman" w:cs="Times New Roman" w:eastAsia="Times New Roman" w:hint="default"/>
                <w:sz w:val="13"/>
                <w:szCs w:val="13"/>
              </w:rPr>
            </w:pPr>
            <w:r>
              <w:rPr>
                <w:rFonts w:ascii="Times New Roman"/>
                <w:sz w:val="13"/>
              </w:rPr>
              <w:t>20.00</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66"/>
              <w:jc w:val="right"/>
              <w:rPr>
                <w:rFonts w:ascii="Times New Roman" w:hAnsi="Times New Roman" w:cs="Times New Roman" w:eastAsia="Times New Roman" w:hint="default"/>
                <w:sz w:val="13"/>
                <w:szCs w:val="13"/>
              </w:rPr>
            </w:pPr>
            <w:r>
              <w:rPr>
                <w:rFonts w:ascii="Times New Roman"/>
                <w:w w:val="95"/>
                <w:sz w:val="13"/>
              </w:rPr>
              <w:t>20.00</w:t>
            </w:r>
            <w:r>
              <w:rPr>
                <w:rFonts w:ascii="Times New Roman"/>
                <w:sz w:val="13"/>
              </w:rPr>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69" w:right="0"/>
              <w:jc w:val="left"/>
              <w:rPr>
                <w:rFonts w:ascii="宋体" w:hAnsi="宋体" w:cs="宋体" w:eastAsia="宋体" w:hint="default"/>
                <w:sz w:val="13"/>
                <w:szCs w:val="13"/>
              </w:rPr>
            </w:pPr>
            <w:r>
              <w:rPr>
                <w:rFonts w:ascii="宋体" w:hAnsi="宋体" w:cs="宋体" w:eastAsia="宋体" w:hint="default"/>
                <w:sz w:val="13"/>
                <w:szCs w:val="13"/>
              </w:rPr>
              <w:t>联营公司</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Times New Roman" w:hAnsi="Times New Roman" w:cs="Times New Roman" w:eastAsia="Times New Roman" w:hint="default"/>
                <w:sz w:val="13"/>
                <w:szCs w:val="13"/>
              </w:rPr>
            </w:pPr>
            <w:r>
              <w:rPr>
                <w:rFonts w:ascii="Times New Roman"/>
                <w:sz w:val="13"/>
              </w:rPr>
              <w:t>57342964-8</w:t>
            </w:r>
          </w:p>
        </w:tc>
      </w:tr>
      <w:tr>
        <w:trPr>
          <w:trHeight w:val="297" w:hRule="exact"/>
        </w:trPr>
        <w:tc>
          <w:tcPr>
            <w:tcW w:w="3497" w:type="dxa"/>
            <w:tcBorders>
              <w:top w:val="nil" w:sz="6" w:space="0" w:color="auto"/>
              <w:left w:val="nil" w:sz="6" w:space="0" w:color="auto"/>
              <w:bottom w:val="nil" w:sz="6" w:space="0" w:color="auto"/>
              <w:right w:val="nil" w:sz="6" w:space="0" w:color="auto"/>
            </w:tcBorders>
          </w:tcPr>
          <w:p>
            <w:pPr/>
          </w:p>
        </w:tc>
        <w:tc>
          <w:tcPr>
            <w:tcW w:w="1147" w:type="dxa"/>
            <w:tcBorders>
              <w:top w:val="nil" w:sz="6" w:space="0" w:color="auto"/>
              <w:left w:val="nil" w:sz="6" w:space="0" w:color="auto"/>
              <w:bottom w:val="nil" w:sz="6" w:space="0" w:color="auto"/>
              <w:right w:val="nil" w:sz="6" w:space="0" w:color="auto"/>
            </w:tcBorders>
          </w:tcPr>
          <w:p>
            <w:pPr/>
          </w:p>
        </w:tc>
        <w:tc>
          <w:tcPr>
            <w:tcW w:w="697" w:type="dxa"/>
            <w:tcBorders>
              <w:top w:val="nil" w:sz="6" w:space="0" w:color="auto"/>
              <w:left w:val="nil" w:sz="6" w:space="0" w:color="auto"/>
              <w:bottom w:val="nil" w:sz="6" w:space="0" w:color="auto"/>
              <w:right w:val="nil" w:sz="6" w:space="0" w:color="auto"/>
            </w:tcBorders>
          </w:tcPr>
          <w:p>
            <w:pPr/>
          </w:p>
        </w:tc>
        <w:tc>
          <w:tcPr>
            <w:tcW w:w="956" w:type="dxa"/>
            <w:tcBorders>
              <w:top w:val="nil" w:sz="6" w:space="0" w:color="auto"/>
              <w:left w:val="nil" w:sz="6" w:space="0" w:color="auto"/>
              <w:bottom w:val="nil" w:sz="6" w:space="0" w:color="auto"/>
              <w:right w:val="nil" w:sz="6" w:space="0" w:color="auto"/>
            </w:tcBorders>
          </w:tcPr>
          <w:p>
            <w:pPr/>
          </w:p>
        </w:tc>
        <w:tc>
          <w:tcPr>
            <w:tcW w:w="2399" w:type="dxa"/>
            <w:tcBorders>
              <w:top w:val="nil" w:sz="6" w:space="0" w:color="auto"/>
              <w:left w:val="nil" w:sz="6" w:space="0" w:color="auto"/>
              <w:bottom w:val="nil" w:sz="6" w:space="0" w:color="auto"/>
              <w:right w:val="nil" w:sz="6" w:space="0" w:color="auto"/>
            </w:tcBorders>
          </w:tcPr>
          <w:p>
            <w:pPr/>
          </w:p>
        </w:tc>
        <w:tc>
          <w:tcPr>
            <w:tcW w:w="1215" w:type="dxa"/>
            <w:tcBorders>
              <w:top w:val="nil" w:sz="6" w:space="0" w:color="auto"/>
              <w:left w:val="nil" w:sz="6" w:space="0" w:color="auto"/>
              <w:bottom w:val="nil" w:sz="6" w:space="0" w:color="auto"/>
              <w:right w:val="nil" w:sz="6" w:space="0" w:color="auto"/>
            </w:tcBorders>
          </w:tcPr>
          <w:p>
            <w:pPr>
              <w:pStyle w:val="TableParagraph"/>
              <w:spacing w:line="157" w:lineRule="exact"/>
              <w:ind w:left="129" w:right="0"/>
              <w:jc w:val="left"/>
              <w:rPr>
                <w:rFonts w:ascii="宋体" w:hAnsi="宋体" w:cs="宋体" w:eastAsia="宋体" w:hint="default"/>
                <w:sz w:val="13"/>
                <w:szCs w:val="13"/>
              </w:rPr>
            </w:pPr>
            <w:r>
              <w:rPr>
                <w:rFonts w:ascii="宋体" w:hAnsi="宋体" w:cs="宋体" w:eastAsia="宋体" w:hint="default"/>
                <w:sz w:val="13"/>
                <w:szCs w:val="13"/>
              </w:rPr>
              <w:t>人民币</w:t>
            </w:r>
          </w:p>
        </w:tc>
        <w:tc>
          <w:tcPr>
            <w:tcW w:w="998" w:type="dxa"/>
            <w:tcBorders>
              <w:top w:val="nil" w:sz="6" w:space="0" w:color="auto"/>
              <w:left w:val="nil" w:sz="6" w:space="0" w:color="auto"/>
              <w:bottom w:val="nil" w:sz="6" w:space="0" w:color="auto"/>
              <w:right w:val="nil" w:sz="6" w:space="0" w:color="auto"/>
            </w:tcBorders>
          </w:tcPr>
          <w:p>
            <w:pPr/>
          </w:p>
        </w:tc>
        <w:tc>
          <w:tcPr>
            <w:tcW w:w="760" w:type="dxa"/>
            <w:tcBorders>
              <w:top w:val="nil" w:sz="6" w:space="0" w:color="auto"/>
              <w:left w:val="nil" w:sz="6" w:space="0" w:color="auto"/>
              <w:bottom w:val="nil" w:sz="6" w:space="0" w:color="auto"/>
              <w:right w:val="nil" w:sz="6" w:space="0" w:color="auto"/>
            </w:tcBorders>
          </w:tcPr>
          <w:p>
            <w:pPr/>
          </w:p>
        </w:tc>
        <w:tc>
          <w:tcPr>
            <w:tcW w:w="761"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513" w:hRule="exact"/>
        </w:trPr>
        <w:tc>
          <w:tcPr>
            <w:tcW w:w="34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91" w:right="0"/>
              <w:jc w:val="left"/>
              <w:rPr>
                <w:rFonts w:ascii="宋体" w:hAnsi="宋体" w:cs="宋体" w:eastAsia="宋体" w:hint="default"/>
                <w:sz w:val="13"/>
                <w:szCs w:val="13"/>
              </w:rPr>
            </w:pPr>
            <w:r>
              <w:rPr>
                <w:rFonts w:ascii="宋体" w:hAnsi="宋体" w:cs="宋体" w:eastAsia="宋体" w:hint="default"/>
                <w:sz w:val="13"/>
                <w:szCs w:val="13"/>
              </w:rPr>
              <w:t>日电东软信息技术有限公司</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right="53"/>
              <w:jc w:val="center"/>
              <w:rPr>
                <w:rFonts w:ascii="宋体" w:hAnsi="宋体" w:cs="宋体" w:eastAsia="宋体" w:hint="default"/>
                <w:sz w:val="13"/>
                <w:szCs w:val="13"/>
              </w:rPr>
            </w:pPr>
            <w:r>
              <w:rPr>
                <w:rFonts w:ascii="宋体" w:hAnsi="宋体" w:cs="宋体" w:eastAsia="宋体" w:hint="default"/>
                <w:sz w:val="13"/>
                <w:szCs w:val="13"/>
              </w:rPr>
              <w:t>有限责任公司</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right="161"/>
              <w:jc w:val="right"/>
              <w:rPr>
                <w:rFonts w:ascii="宋体" w:hAnsi="宋体" w:cs="宋体" w:eastAsia="宋体" w:hint="default"/>
                <w:sz w:val="13"/>
                <w:szCs w:val="13"/>
              </w:rPr>
            </w:pPr>
            <w:r>
              <w:rPr>
                <w:rFonts w:ascii="宋体" w:hAnsi="宋体" w:cs="宋体" w:eastAsia="宋体" w:hint="default"/>
                <w:w w:val="95"/>
                <w:sz w:val="13"/>
                <w:szCs w:val="13"/>
              </w:rPr>
              <w:t>大连</w:t>
            </w:r>
            <w:r>
              <w:rPr>
                <w:rFonts w:ascii="宋体" w:hAnsi="宋体" w:cs="宋体" w:eastAsia="宋体" w:hint="default"/>
                <w:sz w:val="13"/>
                <w:szCs w:val="13"/>
              </w:rPr>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97" w:right="0"/>
              <w:jc w:val="left"/>
              <w:rPr>
                <w:rFonts w:ascii="宋体" w:hAnsi="宋体" w:cs="宋体" w:eastAsia="宋体" w:hint="default"/>
                <w:sz w:val="13"/>
                <w:szCs w:val="13"/>
              </w:rPr>
            </w:pPr>
            <w:r>
              <w:rPr>
                <w:rFonts w:ascii="宋体" w:hAnsi="宋体" w:cs="宋体" w:eastAsia="宋体" w:hint="default"/>
                <w:sz w:val="13"/>
                <w:szCs w:val="13"/>
              </w:rPr>
              <w:t>三轮徹</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191" w:right="0"/>
              <w:jc w:val="left"/>
              <w:rPr>
                <w:rFonts w:ascii="宋体" w:hAnsi="宋体" w:cs="宋体" w:eastAsia="宋体" w:hint="default"/>
                <w:sz w:val="13"/>
                <w:szCs w:val="13"/>
              </w:rPr>
            </w:pPr>
            <w:r>
              <w:rPr>
                <w:rFonts w:ascii="宋体" w:hAnsi="宋体" w:cs="宋体" w:eastAsia="宋体" w:hint="default"/>
                <w:sz w:val="13"/>
                <w:szCs w:val="13"/>
              </w:rPr>
              <w:t>计算机软件开发及销售等</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5000</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万元</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307" w:right="0"/>
              <w:jc w:val="left"/>
              <w:rPr>
                <w:rFonts w:ascii="Times New Roman" w:hAnsi="Times New Roman" w:cs="Times New Roman" w:eastAsia="Times New Roman" w:hint="default"/>
                <w:sz w:val="13"/>
                <w:szCs w:val="13"/>
              </w:rPr>
            </w:pPr>
            <w:r>
              <w:rPr>
                <w:rFonts w:ascii="Times New Roman"/>
                <w:sz w:val="13"/>
              </w:rPr>
              <w:t>30.00</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67"/>
              <w:jc w:val="right"/>
              <w:rPr>
                <w:rFonts w:ascii="Times New Roman" w:hAnsi="Times New Roman" w:cs="Times New Roman" w:eastAsia="Times New Roman" w:hint="default"/>
                <w:sz w:val="13"/>
                <w:szCs w:val="13"/>
              </w:rPr>
            </w:pPr>
            <w:r>
              <w:rPr>
                <w:rFonts w:ascii="Times New Roman"/>
                <w:w w:val="95"/>
                <w:sz w:val="13"/>
              </w:rPr>
              <w:t>30.00</w:t>
            </w:r>
            <w:r>
              <w:rPr>
                <w:rFonts w:ascii="Times New Roman"/>
                <w:sz w:val="13"/>
              </w:rPr>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68" w:right="0"/>
              <w:jc w:val="left"/>
              <w:rPr>
                <w:rFonts w:ascii="宋体" w:hAnsi="宋体" w:cs="宋体" w:eastAsia="宋体" w:hint="default"/>
                <w:sz w:val="13"/>
                <w:szCs w:val="13"/>
              </w:rPr>
            </w:pPr>
            <w:r>
              <w:rPr>
                <w:rFonts w:ascii="宋体" w:hAnsi="宋体" w:cs="宋体" w:eastAsia="宋体" w:hint="default"/>
                <w:sz w:val="13"/>
                <w:szCs w:val="13"/>
              </w:rPr>
              <w:t>联营公司</w:t>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Times New Roman" w:hAnsi="Times New Roman" w:cs="Times New Roman" w:eastAsia="Times New Roman" w:hint="default"/>
                <w:sz w:val="13"/>
                <w:szCs w:val="13"/>
              </w:rPr>
            </w:pPr>
            <w:r>
              <w:rPr>
                <w:rFonts w:ascii="Times New Roman"/>
                <w:sz w:val="13"/>
              </w:rPr>
              <w:t>57088436-2</w:t>
            </w:r>
          </w:p>
        </w:tc>
      </w:tr>
      <w:tr>
        <w:trPr>
          <w:trHeight w:val="297" w:hRule="exact"/>
        </w:trPr>
        <w:tc>
          <w:tcPr>
            <w:tcW w:w="3497" w:type="dxa"/>
            <w:tcBorders>
              <w:top w:val="nil" w:sz="6" w:space="0" w:color="auto"/>
              <w:left w:val="nil" w:sz="6" w:space="0" w:color="auto"/>
              <w:bottom w:val="nil" w:sz="6" w:space="0" w:color="auto"/>
              <w:right w:val="nil" w:sz="6" w:space="0" w:color="auto"/>
            </w:tcBorders>
          </w:tcPr>
          <w:p>
            <w:pPr/>
          </w:p>
        </w:tc>
        <w:tc>
          <w:tcPr>
            <w:tcW w:w="1147" w:type="dxa"/>
            <w:tcBorders>
              <w:top w:val="nil" w:sz="6" w:space="0" w:color="auto"/>
              <w:left w:val="nil" w:sz="6" w:space="0" w:color="auto"/>
              <w:bottom w:val="nil" w:sz="6" w:space="0" w:color="auto"/>
              <w:right w:val="nil" w:sz="6" w:space="0" w:color="auto"/>
            </w:tcBorders>
          </w:tcPr>
          <w:p>
            <w:pPr/>
          </w:p>
        </w:tc>
        <w:tc>
          <w:tcPr>
            <w:tcW w:w="697" w:type="dxa"/>
            <w:tcBorders>
              <w:top w:val="nil" w:sz="6" w:space="0" w:color="auto"/>
              <w:left w:val="nil" w:sz="6" w:space="0" w:color="auto"/>
              <w:bottom w:val="nil" w:sz="6" w:space="0" w:color="auto"/>
              <w:right w:val="nil" w:sz="6" w:space="0" w:color="auto"/>
            </w:tcBorders>
          </w:tcPr>
          <w:p>
            <w:pPr/>
          </w:p>
        </w:tc>
        <w:tc>
          <w:tcPr>
            <w:tcW w:w="956" w:type="dxa"/>
            <w:tcBorders>
              <w:top w:val="nil" w:sz="6" w:space="0" w:color="auto"/>
              <w:left w:val="nil" w:sz="6" w:space="0" w:color="auto"/>
              <w:bottom w:val="nil" w:sz="6" w:space="0" w:color="auto"/>
              <w:right w:val="nil" w:sz="6" w:space="0" w:color="auto"/>
            </w:tcBorders>
          </w:tcPr>
          <w:p>
            <w:pPr/>
          </w:p>
        </w:tc>
        <w:tc>
          <w:tcPr>
            <w:tcW w:w="2399" w:type="dxa"/>
            <w:tcBorders>
              <w:top w:val="nil" w:sz="6" w:space="0" w:color="auto"/>
              <w:left w:val="nil" w:sz="6" w:space="0" w:color="auto"/>
              <w:bottom w:val="nil" w:sz="6" w:space="0" w:color="auto"/>
              <w:right w:val="nil" w:sz="6" w:space="0" w:color="auto"/>
            </w:tcBorders>
          </w:tcPr>
          <w:p>
            <w:pPr/>
          </w:p>
        </w:tc>
        <w:tc>
          <w:tcPr>
            <w:tcW w:w="1215" w:type="dxa"/>
            <w:tcBorders>
              <w:top w:val="nil" w:sz="6" w:space="0" w:color="auto"/>
              <w:left w:val="nil" w:sz="6" w:space="0" w:color="auto"/>
              <w:bottom w:val="nil" w:sz="6" w:space="0" w:color="auto"/>
              <w:right w:val="nil" w:sz="6" w:space="0" w:color="auto"/>
            </w:tcBorders>
          </w:tcPr>
          <w:p>
            <w:pPr>
              <w:pStyle w:val="TableParagraph"/>
              <w:spacing w:line="157" w:lineRule="exact"/>
              <w:ind w:left="128" w:right="0"/>
              <w:jc w:val="left"/>
              <w:rPr>
                <w:rFonts w:ascii="宋体" w:hAnsi="宋体" w:cs="宋体" w:eastAsia="宋体" w:hint="default"/>
                <w:sz w:val="13"/>
                <w:szCs w:val="13"/>
              </w:rPr>
            </w:pPr>
            <w:r>
              <w:rPr>
                <w:rFonts w:ascii="宋体" w:hAnsi="宋体" w:cs="宋体" w:eastAsia="宋体" w:hint="default"/>
                <w:sz w:val="13"/>
                <w:szCs w:val="13"/>
              </w:rPr>
              <w:t>人民币</w:t>
            </w:r>
          </w:p>
        </w:tc>
        <w:tc>
          <w:tcPr>
            <w:tcW w:w="998" w:type="dxa"/>
            <w:tcBorders>
              <w:top w:val="nil" w:sz="6" w:space="0" w:color="auto"/>
              <w:left w:val="nil" w:sz="6" w:space="0" w:color="auto"/>
              <w:bottom w:val="nil" w:sz="6" w:space="0" w:color="auto"/>
              <w:right w:val="nil" w:sz="6" w:space="0" w:color="auto"/>
            </w:tcBorders>
          </w:tcPr>
          <w:p>
            <w:pPr/>
          </w:p>
        </w:tc>
        <w:tc>
          <w:tcPr>
            <w:tcW w:w="760" w:type="dxa"/>
            <w:tcBorders>
              <w:top w:val="nil" w:sz="6" w:space="0" w:color="auto"/>
              <w:left w:val="nil" w:sz="6" w:space="0" w:color="auto"/>
              <w:bottom w:val="nil" w:sz="6" w:space="0" w:color="auto"/>
              <w:right w:val="nil" w:sz="6" w:space="0" w:color="auto"/>
            </w:tcBorders>
          </w:tcPr>
          <w:p>
            <w:pPr/>
          </w:p>
        </w:tc>
        <w:tc>
          <w:tcPr>
            <w:tcW w:w="761"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513" w:hRule="exact"/>
        </w:trPr>
        <w:tc>
          <w:tcPr>
            <w:tcW w:w="34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91" w:right="0"/>
              <w:jc w:val="left"/>
              <w:rPr>
                <w:rFonts w:ascii="Times New Roman" w:hAnsi="Times New Roman" w:cs="Times New Roman" w:eastAsia="Times New Roman" w:hint="default"/>
                <w:sz w:val="13"/>
                <w:szCs w:val="13"/>
              </w:rPr>
            </w:pPr>
            <w:r>
              <w:rPr>
                <w:rFonts w:ascii="Times New Roman"/>
                <w:sz w:val="13"/>
              </w:rPr>
              <w:t>Aerotel Medical</w:t>
            </w:r>
            <w:r>
              <w:rPr>
                <w:rFonts w:ascii="Times New Roman"/>
                <w:spacing w:val="-5"/>
                <w:sz w:val="13"/>
              </w:rPr>
              <w:t> </w:t>
            </w:r>
            <w:r>
              <w:rPr>
                <w:rFonts w:ascii="Times New Roman"/>
                <w:sz w:val="13"/>
              </w:rPr>
              <w:t>Systems(1998)Ltd.</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right="53"/>
              <w:jc w:val="center"/>
              <w:rPr>
                <w:rFonts w:ascii="宋体" w:hAnsi="宋体" w:cs="宋体" w:eastAsia="宋体" w:hint="default"/>
                <w:sz w:val="13"/>
                <w:szCs w:val="13"/>
              </w:rPr>
            </w:pPr>
            <w:r>
              <w:rPr>
                <w:rFonts w:ascii="宋体" w:hAnsi="宋体" w:cs="宋体" w:eastAsia="宋体" w:hint="default"/>
                <w:sz w:val="13"/>
                <w:szCs w:val="13"/>
              </w:rPr>
              <w:t>有限责任公司</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right="95"/>
              <w:jc w:val="right"/>
              <w:rPr>
                <w:rFonts w:ascii="宋体" w:hAnsi="宋体" w:cs="宋体" w:eastAsia="宋体" w:hint="default"/>
                <w:sz w:val="13"/>
                <w:szCs w:val="13"/>
              </w:rPr>
            </w:pPr>
            <w:r>
              <w:rPr>
                <w:rFonts w:ascii="宋体" w:hAnsi="宋体" w:cs="宋体" w:eastAsia="宋体" w:hint="default"/>
                <w:w w:val="95"/>
                <w:sz w:val="13"/>
                <w:szCs w:val="13"/>
              </w:rPr>
              <w:t>以色列</w:t>
            </w:r>
            <w:r>
              <w:rPr>
                <w:rFonts w:ascii="宋体" w:hAnsi="宋体" w:cs="宋体" w:eastAsia="宋体" w:hint="default"/>
                <w:sz w:val="13"/>
                <w:szCs w:val="13"/>
              </w:rPr>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97" w:right="0"/>
              <w:jc w:val="left"/>
              <w:rPr>
                <w:rFonts w:ascii="Times New Roman" w:hAnsi="Times New Roman" w:cs="Times New Roman" w:eastAsia="Times New Roman" w:hint="default"/>
                <w:sz w:val="13"/>
                <w:szCs w:val="13"/>
              </w:rPr>
            </w:pPr>
            <w:r>
              <w:rPr>
                <w:rFonts w:ascii="Times New Roman"/>
                <w:sz w:val="13"/>
              </w:rPr>
              <w:t>David</w:t>
            </w:r>
            <w:r>
              <w:rPr>
                <w:rFonts w:ascii="Times New Roman"/>
                <w:spacing w:val="-2"/>
                <w:sz w:val="13"/>
              </w:rPr>
              <w:t> </w:t>
            </w:r>
            <w:r>
              <w:rPr>
                <w:rFonts w:ascii="Times New Roman"/>
                <w:sz w:val="13"/>
              </w:rPr>
              <w:t>Rubin</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91" w:right="0"/>
              <w:jc w:val="left"/>
              <w:rPr>
                <w:rFonts w:ascii="宋体" w:hAnsi="宋体" w:cs="宋体" w:eastAsia="宋体" w:hint="default"/>
                <w:sz w:val="13"/>
                <w:szCs w:val="13"/>
              </w:rPr>
            </w:pPr>
            <w:r>
              <w:rPr>
                <w:rFonts w:ascii="宋体" w:hAnsi="宋体" w:cs="宋体" w:eastAsia="宋体" w:hint="default"/>
                <w:sz w:val="13"/>
                <w:szCs w:val="13"/>
              </w:rPr>
              <w:t>远程医疗诊断、保健、护</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2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3.5 </w:t>
            </w:r>
            <w:r>
              <w:rPr>
                <w:rFonts w:ascii="宋体" w:hAnsi="宋体" w:cs="宋体" w:eastAsia="宋体" w:hint="default"/>
                <w:sz w:val="13"/>
                <w:szCs w:val="13"/>
              </w:rPr>
              <w:t>万</w:t>
            </w:r>
            <w:r>
              <w:rPr>
                <w:rFonts w:ascii="宋体" w:hAnsi="宋体" w:cs="宋体" w:eastAsia="宋体" w:hint="default"/>
                <w:spacing w:val="-4"/>
                <w:sz w:val="13"/>
                <w:szCs w:val="13"/>
              </w:rPr>
              <w:t> </w:t>
            </w:r>
            <w:r>
              <w:rPr>
                <w:rFonts w:ascii="宋体" w:hAnsi="宋体" w:cs="宋体" w:eastAsia="宋体" w:hint="default"/>
                <w:sz w:val="13"/>
                <w:szCs w:val="13"/>
              </w:rPr>
              <w:t>以色列</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307" w:right="0"/>
              <w:jc w:val="left"/>
              <w:rPr>
                <w:rFonts w:ascii="Times New Roman" w:hAnsi="Times New Roman" w:cs="Times New Roman" w:eastAsia="Times New Roman" w:hint="default"/>
                <w:sz w:val="13"/>
                <w:szCs w:val="13"/>
              </w:rPr>
            </w:pPr>
            <w:r>
              <w:rPr>
                <w:rFonts w:ascii="Times New Roman"/>
                <w:sz w:val="13"/>
              </w:rPr>
              <w:t>30.77</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67"/>
              <w:jc w:val="right"/>
              <w:rPr>
                <w:rFonts w:ascii="Times New Roman" w:hAnsi="Times New Roman" w:cs="Times New Roman" w:eastAsia="Times New Roman" w:hint="default"/>
                <w:sz w:val="13"/>
                <w:szCs w:val="13"/>
              </w:rPr>
            </w:pPr>
            <w:r>
              <w:rPr>
                <w:rFonts w:ascii="Times New Roman"/>
                <w:w w:val="95"/>
                <w:sz w:val="13"/>
              </w:rPr>
              <w:t>30.77</w:t>
            </w:r>
            <w:r>
              <w:rPr>
                <w:rFonts w:ascii="Times New Roman"/>
                <w:sz w:val="13"/>
              </w:rPr>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left="68" w:right="0"/>
              <w:jc w:val="left"/>
              <w:rPr>
                <w:rFonts w:ascii="宋体" w:hAnsi="宋体" w:cs="宋体" w:eastAsia="宋体" w:hint="default"/>
                <w:sz w:val="13"/>
                <w:szCs w:val="13"/>
              </w:rPr>
            </w:pPr>
            <w:r>
              <w:rPr>
                <w:rFonts w:ascii="宋体" w:hAnsi="宋体" w:cs="宋体" w:eastAsia="宋体" w:hint="default"/>
                <w:sz w:val="13"/>
                <w:szCs w:val="13"/>
              </w:rPr>
              <w:t>联营公司</w:t>
            </w:r>
          </w:p>
        </w:tc>
        <w:tc>
          <w:tcPr>
            <w:tcW w:w="974" w:type="dxa"/>
            <w:tcBorders>
              <w:top w:val="nil" w:sz="6" w:space="0" w:color="auto"/>
              <w:left w:val="nil" w:sz="6" w:space="0" w:color="auto"/>
              <w:bottom w:val="nil" w:sz="6" w:space="0" w:color="auto"/>
              <w:right w:val="nil" w:sz="6" w:space="0" w:color="auto"/>
            </w:tcBorders>
          </w:tcPr>
          <w:p>
            <w:pPr/>
          </w:p>
        </w:tc>
      </w:tr>
      <w:tr>
        <w:trPr>
          <w:trHeight w:val="297" w:hRule="exact"/>
        </w:trPr>
        <w:tc>
          <w:tcPr>
            <w:tcW w:w="3497" w:type="dxa"/>
            <w:tcBorders>
              <w:top w:val="nil" w:sz="6" w:space="0" w:color="auto"/>
              <w:left w:val="nil" w:sz="6" w:space="0" w:color="auto"/>
              <w:bottom w:val="nil" w:sz="6" w:space="0" w:color="auto"/>
              <w:right w:val="nil" w:sz="6" w:space="0" w:color="auto"/>
            </w:tcBorders>
          </w:tcPr>
          <w:p>
            <w:pPr/>
          </w:p>
        </w:tc>
        <w:tc>
          <w:tcPr>
            <w:tcW w:w="1147" w:type="dxa"/>
            <w:tcBorders>
              <w:top w:val="nil" w:sz="6" w:space="0" w:color="auto"/>
              <w:left w:val="nil" w:sz="6" w:space="0" w:color="auto"/>
              <w:bottom w:val="nil" w:sz="6" w:space="0" w:color="auto"/>
              <w:right w:val="nil" w:sz="6" w:space="0" w:color="auto"/>
            </w:tcBorders>
          </w:tcPr>
          <w:p>
            <w:pPr/>
          </w:p>
        </w:tc>
        <w:tc>
          <w:tcPr>
            <w:tcW w:w="697" w:type="dxa"/>
            <w:tcBorders>
              <w:top w:val="nil" w:sz="6" w:space="0" w:color="auto"/>
              <w:left w:val="nil" w:sz="6" w:space="0" w:color="auto"/>
              <w:bottom w:val="nil" w:sz="6" w:space="0" w:color="auto"/>
              <w:right w:val="nil" w:sz="6" w:space="0" w:color="auto"/>
            </w:tcBorders>
          </w:tcPr>
          <w:p>
            <w:pPr/>
          </w:p>
        </w:tc>
        <w:tc>
          <w:tcPr>
            <w:tcW w:w="956" w:type="dxa"/>
            <w:tcBorders>
              <w:top w:val="nil" w:sz="6" w:space="0" w:color="auto"/>
              <w:left w:val="nil" w:sz="6" w:space="0" w:color="auto"/>
              <w:bottom w:val="nil" w:sz="6" w:space="0" w:color="auto"/>
              <w:right w:val="nil" w:sz="6" w:space="0" w:color="auto"/>
            </w:tcBorders>
          </w:tcPr>
          <w:p>
            <w:pPr/>
          </w:p>
        </w:tc>
        <w:tc>
          <w:tcPr>
            <w:tcW w:w="2399" w:type="dxa"/>
            <w:tcBorders>
              <w:top w:val="nil" w:sz="6" w:space="0" w:color="auto"/>
              <w:left w:val="nil" w:sz="6" w:space="0" w:color="auto"/>
              <w:bottom w:val="nil" w:sz="6" w:space="0" w:color="auto"/>
              <w:right w:val="nil" w:sz="6" w:space="0" w:color="auto"/>
            </w:tcBorders>
          </w:tcPr>
          <w:p>
            <w:pPr>
              <w:pStyle w:val="TableParagraph"/>
              <w:spacing w:line="157" w:lineRule="exact"/>
              <w:ind w:left="191" w:right="0"/>
              <w:jc w:val="left"/>
              <w:rPr>
                <w:rFonts w:ascii="宋体" w:hAnsi="宋体" w:cs="宋体" w:eastAsia="宋体" w:hint="default"/>
                <w:sz w:val="13"/>
                <w:szCs w:val="13"/>
              </w:rPr>
            </w:pPr>
            <w:r>
              <w:rPr>
                <w:rFonts w:ascii="宋体" w:hAnsi="宋体" w:cs="宋体" w:eastAsia="宋体" w:hint="default"/>
                <w:sz w:val="13"/>
                <w:szCs w:val="13"/>
              </w:rPr>
              <w:t>理等解决方案</w:t>
            </w:r>
          </w:p>
        </w:tc>
        <w:tc>
          <w:tcPr>
            <w:tcW w:w="1215" w:type="dxa"/>
            <w:tcBorders>
              <w:top w:val="nil" w:sz="6" w:space="0" w:color="auto"/>
              <w:left w:val="nil" w:sz="6" w:space="0" w:color="auto"/>
              <w:bottom w:val="nil" w:sz="6" w:space="0" w:color="auto"/>
              <w:right w:val="nil" w:sz="6" w:space="0" w:color="auto"/>
            </w:tcBorders>
          </w:tcPr>
          <w:p>
            <w:pPr>
              <w:pStyle w:val="TableParagraph"/>
              <w:spacing w:line="157" w:lineRule="exact"/>
              <w:ind w:left="128" w:right="0"/>
              <w:jc w:val="left"/>
              <w:rPr>
                <w:rFonts w:ascii="宋体" w:hAnsi="宋体" w:cs="宋体" w:eastAsia="宋体" w:hint="default"/>
                <w:sz w:val="13"/>
                <w:szCs w:val="13"/>
              </w:rPr>
            </w:pPr>
            <w:r>
              <w:rPr>
                <w:rFonts w:ascii="宋体" w:hAnsi="宋体" w:cs="宋体" w:eastAsia="宋体" w:hint="default"/>
                <w:sz w:val="13"/>
                <w:szCs w:val="13"/>
              </w:rPr>
              <w:t>谢克</w:t>
            </w:r>
          </w:p>
        </w:tc>
        <w:tc>
          <w:tcPr>
            <w:tcW w:w="998" w:type="dxa"/>
            <w:tcBorders>
              <w:top w:val="nil" w:sz="6" w:space="0" w:color="auto"/>
              <w:left w:val="nil" w:sz="6" w:space="0" w:color="auto"/>
              <w:bottom w:val="nil" w:sz="6" w:space="0" w:color="auto"/>
              <w:right w:val="nil" w:sz="6" w:space="0" w:color="auto"/>
            </w:tcBorders>
          </w:tcPr>
          <w:p>
            <w:pPr/>
          </w:p>
        </w:tc>
        <w:tc>
          <w:tcPr>
            <w:tcW w:w="760" w:type="dxa"/>
            <w:tcBorders>
              <w:top w:val="nil" w:sz="6" w:space="0" w:color="auto"/>
              <w:left w:val="nil" w:sz="6" w:space="0" w:color="auto"/>
              <w:bottom w:val="nil" w:sz="6" w:space="0" w:color="auto"/>
              <w:right w:val="nil" w:sz="6" w:space="0" w:color="auto"/>
            </w:tcBorders>
          </w:tcPr>
          <w:p>
            <w:pPr/>
          </w:p>
        </w:tc>
        <w:tc>
          <w:tcPr>
            <w:tcW w:w="761" w:type="dxa"/>
            <w:tcBorders>
              <w:top w:val="nil" w:sz="6" w:space="0" w:color="auto"/>
              <w:left w:val="nil" w:sz="6" w:space="0" w:color="auto"/>
              <w:bottom w:val="nil" w:sz="6" w:space="0" w:color="auto"/>
              <w:right w:val="nil" w:sz="6" w:space="0" w:color="auto"/>
            </w:tcBorders>
          </w:tcPr>
          <w:p>
            <w:pPr/>
          </w:p>
        </w:tc>
        <w:tc>
          <w:tcPr>
            <w:tcW w:w="974" w:type="dxa"/>
            <w:tcBorders>
              <w:top w:val="nil" w:sz="6" w:space="0" w:color="auto"/>
              <w:left w:val="nil" w:sz="6" w:space="0" w:color="auto"/>
              <w:bottom w:val="nil" w:sz="6" w:space="0" w:color="auto"/>
              <w:right w:val="nil" w:sz="6" w:space="0" w:color="auto"/>
            </w:tcBorders>
          </w:tcPr>
          <w:p>
            <w:pPr/>
          </w:p>
        </w:tc>
      </w:tr>
      <w:tr>
        <w:trPr>
          <w:trHeight w:val="307" w:hRule="exact"/>
        </w:trPr>
        <w:tc>
          <w:tcPr>
            <w:tcW w:w="3497"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91" w:right="0"/>
              <w:jc w:val="left"/>
              <w:rPr>
                <w:rFonts w:ascii="Times New Roman" w:hAnsi="Times New Roman" w:cs="Times New Roman" w:eastAsia="Times New Roman" w:hint="default"/>
                <w:sz w:val="13"/>
                <w:szCs w:val="13"/>
              </w:rPr>
            </w:pPr>
            <w:r>
              <w:rPr>
                <w:rFonts w:ascii="宋体" w:hAnsi="宋体" w:cs="宋体" w:eastAsia="宋体" w:hint="default"/>
                <w:sz w:val="13"/>
                <w:szCs w:val="13"/>
              </w:rPr>
              <w:t>沈阳东芝东软信息系统有限公司</w:t>
            </w:r>
            <w:r>
              <w:rPr>
                <w:rFonts w:ascii="Times New Roman" w:hAnsi="Times New Roman" w:cs="Times New Roman" w:eastAsia="Times New Roman" w:hint="default"/>
                <w:sz w:val="13"/>
                <w:szCs w:val="13"/>
              </w:rPr>
              <w:t>(“</w:t>
            </w:r>
            <w:r>
              <w:rPr>
                <w:rFonts w:ascii="宋体" w:hAnsi="宋体" w:cs="宋体" w:eastAsia="宋体" w:hint="default"/>
                <w:sz w:val="13"/>
                <w:szCs w:val="13"/>
              </w:rPr>
              <w:t>东芝东软</w:t>
            </w:r>
            <w:r>
              <w:rPr>
                <w:rFonts w:ascii="Times New Roman" w:hAnsi="Times New Roman" w:cs="Times New Roman" w:eastAsia="Times New Roman" w:hint="default"/>
                <w:sz w:val="13"/>
                <w:szCs w:val="13"/>
              </w:rPr>
              <w:t>”)</w:t>
            </w:r>
          </w:p>
        </w:tc>
        <w:tc>
          <w:tcPr>
            <w:tcW w:w="1147"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53"/>
              <w:jc w:val="center"/>
              <w:rPr>
                <w:rFonts w:ascii="宋体" w:hAnsi="宋体" w:cs="宋体" w:eastAsia="宋体" w:hint="default"/>
                <w:sz w:val="13"/>
                <w:szCs w:val="13"/>
              </w:rPr>
            </w:pPr>
            <w:r>
              <w:rPr>
                <w:rFonts w:ascii="宋体" w:hAnsi="宋体" w:cs="宋体" w:eastAsia="宋体" w:hint="default"/>
                <w:sz w:val="13"/>
                <w:szCs w:val="13"/>
              </w:rPr>
              <w:t>有限责任公司</w:t>
            </w:r>
          </w:p>
        </w:tc>
        <w:tc>
          <w:tcPr>
            <w:tcW w:w="697"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right="161"/>
              <w:jc w:val="right"/>
              <w:rPr>
                <w:rFonts w:ascii="宋体" w:hAnsi="宋体" w:cs="宋体" w:eastAsia="宋体" w:hint="default"/>
                <w:sz w:val="13"/>
                <w:szCs w:val="13"/>
              </w:rPr>
            </w:pPr>
            <w:r>
              <w:rPr>
                <w:rFonts w:ascii="宋体" w:hAnsi="宋体" w:cs="宋体" w:eastAsia="宋体" w:hint="default"/>
                <w:w w:val="95"/>
                <w:sz w:val="13"/>
                <w:szCs w:val="13"/>
              </w:rPr>
              <w:t>沈阳</w:t>
            </w:r>
            <w:r>
              <w:rPr>
                <w:rFonts w:ascii="宋体" w:hAnsi="宋体" w:cs="宋体" w:eastAsia="宋体" w:hint="default"/>
                <w:sz w:val="13"/>
                <w:szCs w:val="13"/>
              </w:rPr>
            </w:r>
          </w:p>
        </w:tc>
        <w:tc>
          <w:tcPr>
            <w:tcW w:w="956"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97" w:right="0"/>
              <w:jc w:val="left"/>
              <w:rPr>
                <w:rFonts w:ascii="宋体" w:hAnsi="宋体" w:cs="宋体" w:eastAsia="宋体" w:hint="default"/>
                <w:sz w:val="13"/>
                <w:szCs w:val="13"/>
              </w:rPr>
            </w:pPr>
            <w:r>
              <w:rPr>
                <w:rFonts w:ascii="宋体" w:hAnsi="宋体" w:cs="宋体" w:eastAsia="宋体" w:hint="default"/>
                <w:sz w:val="13"/>
                <w:szCs w:val="13"/>
              </w:rPr>
              <w:t>薮内正彦</w:t>
            </w:r>
          </w:p>
        </w:tc>
        <w:tc>
          <w:tcPr>
            <w:tcW w:w="2399"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191" w:right="0"/>
              <w:jc w:val="left"/>
              <w:rPr>
                <w:rFonts w:ascii="宋体" w:hAnsi="宋体" w:cs="宋体" w:eastAsia="宋体" w:hint="default"/>
                <w:sz w:val="13"/>
                <w:szCs w:val="13"/>
              </w:rPr>
            </w:pPr>
            <w:r>
              <w:rPr>
                <w:rFonts w:ascii="宋体" w:hAnsi="宋体" w:cs="宋体" w:eastAsia="宋体" w:hint="default"/>
                <w:sz w:val="13"/>
                <w:szCs w:val="13"/>
              </w:rPr>
              <w:t>计算机软件开发及销售等</w:t>
            </w:r>
          </w:p>
        </w:tc>
        <w:tc>
          <w:tcPr>
            <w:tcW w:w="1215"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12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350</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万美元</w:t>
            </w:r>
          </w:p>
        </w:tc>
        <w:tc>
          <w:tcPr>
            <w:tcW w:w="998"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b/>
                <w:bCs/>
                <w:sz w:val="10"/>
                <w:szCs w:val="10"/>
              </w:rPr>
            </w:pPr>
          </w:p>
          <w:p>
            <w:pPr>
              <w:pStyle w:val="TableParagraph"/>
              <w:spacing w:line="240" w:lineRule="auto"/>
              <w:ind w:left="307" w:right="0"/>
              <w:jc w:val="left"/>
              <w:rPr>
                <w:rFonts w:ascii="Times New Roman" w:hAnsi="Times New Roman" w:cs="Times New Roman" w:eastAsia="Times New Roman" w:hint="default"/>
                <w:sz w:val="13"/>
                <w:szCs w:val="13"/>
              </w:rPr>
            </w:pPr>
            <w:r>
              <w:rPr>
                <w:rFonts w:ascii="Times New Roman"/>
                <w:sz w:val="13"/>
              </w:rPr>
              <w:t>40.00</w:t>
            </w:r>
          </w:p>
        </w:tc>
        <w:tc>
          <w:tcPr>
            <w:tcW w:w="760"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b/>
                <w:bCs/>
                <w:sz w:val="10"/>
                <w:szCs w:val="10"/>
              </w:rPr>
            </w:pPr>
          </w:p>
          <w:p>
            <w:pPr>
              <w:pStyle w:val="TableParagraph"/>
              <w:spacing w:line="240" w:lineRule="auto"/>
              <w:ind w:right="67"/>
              <w:jc w:val="right"/>
              <w:rPr>
                <w:rFonts w:ascii="Times New Roman" w:hAnsi="Times New Roman" w:cs="Times New Roman" w:eastAsia="Times New Roman" w:hint="default"/>
                <w:sz w:val="13"/>
                <w:szCs w:val="13"/>
              </w:rPr>
            </w:pPr>
            <w:r>
              <w:rPr>
                <w:rFonts w:ascii="Times New Roman"/>
                <w:w w:val="95"/>
                <w:sz w:val="13"/>
              </w:rPr>
              <w:t>40.00</w:t>
            </w:r>
            <w:r>
              <w:rPr>
                <w:rFonts w:ascii="Times New Roman"/>
                <w:sz w:val="13"/>
              </w:rPr>
            </w:r>
          </w:p>
        </w:tc>
        <w:tc>
          <w:tcPr>
            <w:tcW w:w="761" w:type="dxa"/>
            <w:tcBorders>
              <w:top w:val="nil" w:sz="6" w:space="0" w:color="auto"/>
              <w:left w:val="nil" w:sz="6" w:space="0" w:color="auto"/>
              <w:bottom w:val="single" w:sz="12" w:space="0" w:color="000000"/>
              <w:right w:val="nil" w:sz="6" w:space="0" w:color="auto"/>
            </w:tcBorders>
          </w:tcPr>
          <w:p>
            <w:pPr>
              <w:pStyle w:val="TableParagraph"/>
              <w:spacing w:line="240" w:lineRule="auto" w:before="99"/>
              <w:ind w:left="68" w:right="0"/>
              <w:jc w:val="left"/>
              <w:rPr>
                <w:rFonts w:ascii="宋体" w:hAnsi="宋体" w:cs="宋体" w:eastAsia="宋体" w:hint="default"/>
                <w:sz w:val="13"/>
                <w:szCs w:val="13"/>
              </w:rPr>
            </w:pPr>
            <w:r>
              <w:rPr>
                <w:rFonts w:ascii="宋体" w:hAnsi="宋体" w:cs="宋体" w:eastAsia="宋体" w:hint="default"/>
                <w:sz w:val="13"/>
                <w:szCs w:val="13"/>
              </w:rPr>
              <w:t>联营公司</w:t>
            </w:r>
          </w:p>
        </w:tc>
        <w:tc>
          <w:tcPr>
            <w:tcW w:w="974"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b/>
                <w:bCs/>
                <w:sz w:val="10"/>
                <w:szCs w:val="10"/>
              </w:rPr>
            </w:pPr>
          </w:p>
          <w:p>
            <w:pPr>
              <w:pStyle w:val="TableParagraph"/>
              <w:spacing w:line="240" w:lineRule="auto"/>
              <w:ind w:right="0"/>
              <w:jc w:val="center"/>
              <w:rPr>
                <w:rFonts w:ascii="Times New Roman" w:hAnsi="Times New Roman" w:cs="Times New Roman" w:eastAsia="Times New Roman" w:hint="default"/>
                <w:sz w:val="13"/>
                <w:szCs w:val="13"/>
              </w:rPr>
            </w:pPr>
            <w:r>
              <w:rPr>
                <w:rFonts w:ascii="Times New Roman"/>
                <w:sz w:val="13"/>
              </w:rPr>
              <w:t>57349218-8</w:t>
            </w:r>
          </w:p>
        </w:tc>
      </w:tr>
    </w:tbl>
    <w:p>
      <w:pPr>
        <w:spacing w:after="0" w:line="240" w:lineRule="auto"/>
        <w:jc w:val="center"/>
        <w:rPr>
          <w:rFonts w:ascii="Times New Roman" w:hAnsi="Times New Roman" w:cs="Times New Roman" w:eastAsia="Times New Roman" w:hint="default"/>
          <w:sz w:val="13"/>
          <w:szCs w:val="13"/>
        </w:rPr>
        <w:sectPr>
          <w:pgSz w:w="16840" w:h="11910" w:orient="landscape"/>
          <w:pgMar w:header="883" w:footer="999" w:top="1600" w:bottom="1180" w:left="1300" w:right="1260"/>
        </w:sectPr>
      </w:pPr>
    </w:p>
    <w:p>
      <w:pPr>
        <w:spacing w:line="240" w:lineRule="auto" w:before="2"/>
        <w:rPr>
          <w:rFonts w:ascii="Times New Roman" w:hAnsi="Times New Roman" w:cs="Times New Roman" w:eastAsia="Times New Roman" w:hint="default"/>
          <w:sz w:val="22"/>
          <w:szCs w:val="22"/>
        </w:rPr>
      </w:pPr>
      <w:r>
        <w:rPr/>
        <w:pict>
          <v:group style="position:absolute;margin-left:101.030998pt;margin-top:110.190002pt;width:674pt;height:267.150pt;mso-position-horizontal-relative:page;mso-position-vertical-relative:page;z-index:-1109488" coordorigin="2021,2204" coordsize="13480,5343">
            <v:shape style="position:absolute;left:7589;top:2204;width:5788;height:446" type="#_x0000_t75" stroked="false">
              <v:imagedata r:id="rId343" o:title=""/>
            </v:shape>
            <v:shape style="position:absolute;left:2021;top:2602;width:13480;height:4945" type="#_x0000_t75" stroked="false">
              <v:imagedata r:id="rId344" o:title=""/>
            </v:shape>
            <w10:wrap type="none"/>
          </v:group>
        </w:pict>
      </w:r>
    </w:p>
    <w:tbl>
      <w:tblPr>
        <w:tblW w:w="0" w:type="auto"/>
        <w:jc w:val="left"/>
        <w:tblInd w:w="110" w:type="dxa"/>
        <w:tblLayout w:type="fixed"/>
        <w:tblCellMar>
          <w:top w:w="0" w:type="dxa"/>
          <w:left w:w="0" w:type="dxa"/>
          <w:bottom w:w="0" w:type="dxa"/>
          <w:right w:w="0" w:type="dxa"/>
        </w:tblCellMar>
        <w:tblLook w:val="01E0"/>
      </w:tblPr>
      <w:tblGrid>
        <w:gridCol w:w="659"/>
        <w:gridCol w:w="5241"/>
        <w:gridCol w:w="6180"/>
        <w:gridCol w:w="2002"/>
      </w:tblGrid>
      <w:tr>
        <w:trPr>
          <w:trHeight w:val="357"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sz w:val="21"/>
                <w:szCs w:val="21"/>
              </w:rPr>
            </w:r>
          </w:p>
        </w:tc>
        <w:tc>
          <w:tcPr>
            <w:tcW w:w="5241"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46" w:right="0"/>
              <w:jc w:val="left"/>
              <w:rPr>
                <w:rFonts w:ascii="宋体" w:hAnsi="宋体" w:cs="宋体" w:eastAsia="宋体" w:hint="default"/>
                <w:sz w:val="21"/>
                <w:szCs w:val="21"/>
              </w:rPr>
            </w:pPr>
            <w:r>
              <w:rPr>
                <w:rFonts w:ascii="宋体" w:hAnsi="宋体" w:cs="宋体" w:eastAsia="宋体" w:hint="default"/>
                <w:b/>
                <w:bCs/>
                <w:sz w:val="21"/>
                <w:szCs w:val="21"/>
              </w:rPr>
              <w:t>本集团的其他关联方情况</w:t>
            </w:r>
            <w:r>
              <w:rPr>
                <w:rFonts w:ascii="宋体" w:hAnsi="宋体" w:cs="宋体" w:eastAsia="宋体" w:hint="default"/>
                <w:sz w:val="21"/>
                <w:szCs w:val="21"/>
              </w:rPr>
            </w:r>
          </w:p>
        </w:tc>
        <w:tc>
          <w:tcPr>
            <w:tcW w:w="8182" w:type="dxa"/>
            <w:gridSpan w:val="2"/>
            <w:tcBorders>
              <w:top w:val="nil" w:sz="6" w:space="0" w:color="auto"/>
              <w:left w:val="nil" w:sz="6" w:space="0" w:color="auto"/>
              <w:bottom w:val="single" w:sz="12" w:space="0" w:color="000000"/>
              <w:right w:val="nil" w:sz="6" w:space="0" w:color="auto"/>
            </w:tcBorders>
          </w:tcPr>
          <w:p>
            <w:pPr/>
          </w:p>
        </w:tc>
      </w:tr>
      <w:tr>
        <w:trPr>
          <w:trHeight w:val="521" w:hRule="exact"/>
        </w:trPr>
        <w:tc>
          <w:tcPr>
            <w:tcW w:w="659" w:type="dxa"/>
            <w:tcBorders>
              <w:top w:val="nil" w:sz="6" w:space="0" w:color="auto"/>
              <w:left w:val="nil" w:sz="6" w:space="0" w:color="auto"/>
              <w:bottom w:val="nil" w:sz="6" w:space="0" w:color="auto"/>
              <w:right w:val="nil" w:sz="6" w:space="0" w:color="auto"/>
            </w:tcBorders>
          </w:tcPr>
          <w:p>
            <w:pPr/>
          </w:p>
        </w:tc>
        <w:tc>
          <w:tcPr>
            <w:tcW w:w="5241"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left="326" w:right="0"/>
              <w:jc w:val="center"/>
              <w:rPr>
                <w:rFonts w:ascii="宋体" w:hAnsi="宋体" w:cs="宋体" w:eastAsia="宋体" w:hint="default"/>
                <w:sz w:val="15"/>
                <w:szCs w:val="15"/>
              </w:rPr>
            </w:pPr>
            <w:r>
              <w:rPr>
                <w:rFonts w:ascii="宋体" w:hAnsi="宋体" w:cs="宋体" w:eastAsia="宋体" w:hint="default"/>
                <w:sz w:val="15"/>
                <w:szCs w:val="15"/>
              </w:rPr>
              <w:t>其他关联方名称</w:t>
            </w:r>
          </w:p>
        </w:tc>
        <w:tc>
          <w:tcPr>
            <w:tcW w:w="6180"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left="205" w:right="0"/>
              <w:jc w:val="center"/>
              <w:rPr>
                <w:rFonts w:ascii="宋体" w:hAnsi="宋体" w:cs="宋体" w:eastAsia="宋体" w:hint="default"/>
                <w:sz w:val="15"/>
                <w:szCs w:val="15"/>
              </w:rPr>
            </w:pPr>
            <w:r>
              <w:rPr>
                <w:rFonts w:ascii="宋体" w:hAnsi="宋体" w:cs="宋体" w:eastAsia="宋体" w:hint="default"/>
                <w:sz w:val="15"/>
                <w:szCs w:val="15"/>
              </w:rPr>
              <w:t>其他关联方与本公司的关系</w:t>
            </w:r>
          </w:p>
        </w:tc>
        <w:tc>
          <w:tcPr>
            <w:tcW w:w="2002"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right="148"/>
              <w:jc w:val="center"/>
              <w:rPr>
                <w:rFonts w:ascii="宋体" w:hAnsi="宋体" w:cs="宋体" w:eastAsia="宋体" w:hint="default"/>
                <w:sz w:val="15"/>
                <w:szCs w:val="15"/>
              </w:rPr>
            </w:pPr>
            <w:r>
              <w:rPr>
                <w:rFonts w:ascii="宋体" w:hAnsi="宋体" w:cs="宋体" w:eastAsia="宋体" w:hint="default"/>
                <w:sz w:val="15"/>
                <w:szCs w:val="15"/>
              </w:rPr>
              <w:t>组织机构代码</w:t>
            </w:r>
          </w:p>
        </w:tc>
      </w:tr>
      <w:tr>
        <w:trPr>
          <w:trHeight w:val="824" w:hRule="exact"/>
        </w:trPr>
        <w:tc>
          <w:tcPr>
            <w:tcW w:w="659" w:type="dxa"/>
            <w:tcBorders>
              <w:top w:val="nil" w:sz="6" w:space="0" w:color="auto"/>
              <w:left w:val="nil" w:sz="6" w:space="0" w:color="auto"/>
              <w:bottom w:val="nil" w:sz="6" w:space="0" w:color="auto"/>
              <w:right w:val="nil" w:sz="6" w:space="0" w:color="auto"/>
            </w:tcBorders>
          </w:tcPr>
          <w:p>
            <w:pPr/>
          </w:p>
        </w:tc>
        <w:tc>
          <w:tcPr>
            <w:tcW w:w="5241"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07" w:right="0"/>
              <w:jc w:val="left"/>
              <w:rPr>
                <w:rFonts w:ascii="宋体" w:hAnsi="宋体" w:cs="宋体" w:eastAsia="宋体" w:hint="default"/>
                <w:sz w:val="15"/>
                <w:szCs w:val="15"/>
              </w:rPr>
            </w:pPr>
            <w:r>
              <w:rPr>
                <w:rFonts w:ascii="宋体" w:hAnsi="宋体" w:cs="宋体" w:eastAsia="宋体" w:hint="default"/>
                <w:sz w:val="15"/>
                <w:szCs w:val="15"/>
              </w:rPr>
              <w:t>东北大学科技产业集团有限公司（</w:t>
            </w:r>
            <w:r>
              <w:rPr>
                <w:rFonts w:ascii="Times New Roman" w:hAnsi="Times New Roman" w:cs="Times New Roman" w:eastAsia="Times New Roman" w:hint="default"/>
                <w:sz w:val="15"/>
                <w:szCs w:val="15"/>
              </w:rPr>
              <w:t>“</w:t>
            </w:r>
            <w:r>
              <w:rPr>
                <w:rFonts w:ascii="宋体" w:hAnsi="宋体" w:cs="宋体" w:eastAsia="宋体" w:hint="default"/>
                <w:sz w:val="15"/>
                <w:szCs w:val="15"/>
              </w:rPr>
              <w:t>东北大学</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left="107" w:right="0"/>
              <w:jc w:val="left"/>
              <w:rPr>
                <w:rFonts w:ascii="宋体" w:hAnsi="宋体" w:cs="宋体" w:eastAsia="宋体" w:hint="default"/>
                <w:sz w:val="15"/>
                <w:szCs w:val="15"/>
              </w:rPr>
            </w:pPr>
            <w:r>
              <w:rPr>
                <w:rFonts w:ascii="宋体" w:hAnsi="宋体" w:cs="宋体" w:eastAsia="宋体" w:hint="default"/>
                <w:sz w:val="15"/>
                <w:szCs w:val="15"/>
              </w:rPr>
              <w:t>阿尔派株式会社、阿尔派电子（中国）有限公司（</w:t>
            </w:r>
            <w:r>
              <w:rPr>
                <w:rFonts w:ascii="Times New Roman" w:hAnsi="Times New Roman" w:cs="Times New Roman" w:eastAsia="Times New Roman" w:hint="default"/>
                <w:sz w:val="15"/>
                <w:szCs w:val="15"/>
              </w:rPr>
              <w:t>“</w:t>
            </w:r>
            <w:r>
              <w:rPr>
                <w:rFonts w:ascii="宋体" w:hAnsi="宋体" w:cs="宋体" w:eastAsia="宋体" w:hint="default"/>
                <w:sz w:val="15"/>
                <w:szCs w:val="15"/>
              </w:rPr>
              <w:t>阿尔派</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6180" w:type="dxa"/>
            <w:tcBorders>
              <w:top w:val="nil" w:sz="6" w:space="0" w:color="auto"/>
              <w:left w:val="nil" w:sz="6" w:space="0" w:color="auto"/>
              <w:bottom w:val="nil" w:sz="6" w:space="0" w:color="auto"/>
              <w:right w:val="nil" w:sz="6" w:space="0" w:color="auto"/>
            </w:tcBorders>
          </w:tcPr>
          <w:p>
            <w:pPr>
              <w:pStyle w:val="TableParagraph"/>
              <w:spacing w:line="240" w:lineRule="auto" w:before="84"/>
              <w:ind w:left="435" w:right="0"/>
              <w:jc w:val="left"/>
              <w:rPr>
                <w:rFonts w:ascii="宋体" w:hAnsi="宋体" w:cs="宋体" w:eastAsia="宋体" w:hint="default"/>
                <w:sz w:val="15"/>
                <w:szCs w:val="15"/>
              </w:rPr>
            </w:pPr>
            <w:r>
              <w:rPr>
                <w:rFonts w:ascii="宋体" w:hAnsi="宋体" w:cs="宋体" w:eastAsia="宋体" w:hint="default"/>
                <w:sz w:val="15"/>
                <w:szCs w:val="15"/>
              </w:rPr>
              <w:t>持本公司</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5%</w:t>
            </w:r>
            <w:r>
              <w:rPr>
                <w:rFonts w:ascii="宋体" w:hAnsi="宋体" w:cs="宋体" w:eastAsia="宋体" w:hint="default"/>
                <w:sz w:val="15"/>
                <w:szCs w:val="15"/>
              </w:rPr>
              <w:t>以上股权之股东</w:t>
            </w: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left="435" w:right="0"/>
              <w:jc w:val="left"/>
              <w:rPr>
                <w:rFonts w:ascii="宋体" w:hAnsi="宋体" w:cs="宋体" w:eastAsia="宋体" w:hint="default"/>
                <w:sz w:val="15"/>
                <w:szCs w:val="15"/>
              </w:rPr>
            </w:pPr>
            <w:r>
              <w:rPr>
                <w:rFonts w:ascii="宋体" w:hAnsi="宋体" w:cs="宋体" w:eastAsia="宋体" w:hint="default"/>
                <w:sz w:val="15"/>
                <w:szCs w:val="15"/>
              </w:rPr>
              <w:t>持本公司</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5%</w:t>
            </w:r>
            <w:r>
              <w:rPr>
                <w:rFonts w:ascii="宋体" w:hAnsi="宋体" w:cs="宋体" w:eastAsia="宋体" w:hint="default"/>
                <w:sz w:val="15"/>
                <w:szCs w:val="15"/>
              </w:rPr>
              <w:t>以上股权之股东，且本公司董事任重要职务</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Times New Roman" w:hAnsi="Times New Roman" w:cs="Times New Roman" w:eastAsia="Times New Roman" w:hint="default"/>
                <w:sz w:val="11"/>
                <w:szCs w:val="11"/>
              </w:rPr>
            </w:pPr>
          </w:p>
          <w:p>
            <w:pPr>
              <w:pStyle w:val="TableParagraph"/>
              <w:spacing w:line="240" w:lineRule="auto"/>
              <w:ind w:right="119"/>
              <w:jc w:val="center"/>
              <w:rPr>
                <w:rFonts w:ascii="Times New Roman" w:hAnsi="Times New Roman" w:cs="Times New Roman" w:eastAsia="Times New Roman" w:hint="default"/>
                <w:sz w:val="15"/>
                <w:szCs w:val="15"/>
              </w:rPr>
            </w:pPr>
            <w:r>
              <w:rPr>
                <w:rFonts w:ascii="Times New Roman"/>
                <w:sz w:val="15"/>
              </w:rPr>
              <w:t>11772782-8</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5241"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07" w:right="0"/>
              <w:jc w:val="left"/>
              <w:rPr>
                <w:rFonts w:ascii="宋体" w:hAnsi="宋体" w:cs="宋体" w:eastAsia="宋体" w:hint="default"/>
                <w:sz w:val="15"/>
                <w:szCs w:val="15"/>
              </w:rPr>
            </w:pPr>
            <w:r>
              <w:rPr>
                <w:rFonts w:ascii="宋体" w:hAnsi="宋体" w:cs="宋体" w:eastAsia="宋体" w:hint="default"/>
                <w:sz w:val="15"/>
                <w:szCs w:val="15"/>
              </w:rPr>
              <w:t>东芝解决方案株式会社、株式会社东芝（</w:t>
            </w:r>
            <w:r>
              <w:rPr>
                <w:rFonts w:ascii="Times New Roman" w:hAnsi="Times New Roman" w:cs="Times New Roman" w:eastAsia="Times New Roman" w:hint="default"/>
                <w:sz w:val="15"/>
                <w:szCs w:val="15"/>
              </w:rPr>
              <w:t>“</w:t>
            </w:r>
            <w:r>
              <w:rPr>
                <w:rFonts w:ascii="宋体" w:hAnsi="宋体" w:cs="宋体" w:eastAsia="宋体" w:hint="default"/>
                <w:sz w:val="15"/>
                <w:szCs w:val="15"/>
              </w:rPr>
              <w:t>东芝公司</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6180" w:type="dxa"/>
            <w:tcBorders>
              <w:top w:val="nil" w:sz="6" w:space="0" w:color="auto"/>
              <w:left w:val="nil" w:sz="6" w:space="0" w:color="auto"/>
              <w:bottom w:val="nil" w:sz="6" w:space="0" w:color="auto"/>
              <w:right w:val="nil" w:sz="6" w:space="0" w:color="auto"/>
            </w:tcBorders>
          </w:tcPr>
          <w:p>
            <w:pPr>
              <w:pStyle w:val="TableParagraph"/>
              <w:spacing w:line="240" w:lineRule="auto" w:before="80"/>
              <w:ind w:left="435" w:right="0"/>
              <w:jc w:val="left"/>
              <w:rPr>
                <w:rFonts w:ascii="宋体" w:hAnsi="宋体" w:cs="宋体" w:eastAsia="宋体" w:hint="default"/>
                <w:sz w:val="15"/>
                <w:szCs w:val="15"/>
              </w:rPr>
            </w:pPr>
            <w:r>
              <w:rPr>
                <w:rFonts w:ascii="宋体" w:hAnsi="宋体" w:cs="宋体" w:eastAsia="宋体" w:hint="default"/>
                <w:sz w:val="15"/>
                <w:szCs w:val="15"/>
              </w:rPr>
              <w:t>持本公司</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5%</w:t>
            </w:r>
            <w:r>
              <w:rPr>
                <w:rFonts w:ascii="宋体" w:hAnsi="宋体" w:cs="宋体" w:eastAsia="宋体" w:hint="default"/>
                <w:sz w:val="15"/>
                <w:szCs w:val="15"/>
              </w:rPr>
              <w:t>以上股权之股东</w:t>
            </w:r>
          </w:p>
        </w:tc>
        <w:tc>
          <w:tcPr>
            <w:tcW w:w="2002" w:type="dxa"/>
            <w:tcBorders>
              <w:top w:val="nil" w:sz="6" w:space="0" w:color="auto"/>
              <w:left w:val="nil" w:sz="6" w:space="0" w:color="auto"/>
              <w:bottom w:val="nil" w:sz="6" w:space="0" w:color="auto"/>
              <w:right w:val="nil" w:sz="6" w:space="0" w:color="auto"/>
            </w:tcBorders>
          </w:tcPr>
          <w:p>
            <w:pPr/>
          </w:p>
        </w:tc>
      </w:tr>
      <w:tr>
        <w:trPr>
          <w:trHeight w:val="414" w:hRule="exact"/>
        </w:trPr>
        <w:tc>
          <w:tcPr>
            <w:tcW w:w="659" w:type="dxa"/>
            <w:tcBorders>
              <w:top w:val="nil" w:sz="6" w:space="0" w:color="auto"/>
              <w:left w:val="nil" w:sz="6" w:space="0" w:color="auto"/>
              <w:bottom w:val="nil" w:sz="6" w:space="0" w:color="auto"/>
              <w:right w:val="nil" w:sz="6" w:space="0" w:color="auto"/>
            </w:tcBorders>
          </w:tcPr>
          <w:p>
            <w:pPr/>
          </w:p>
        </w:tc>
        <w:tc>
          <w:tcPr>
            <w:tcW w:w="5241"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07" w:right="0"/>
              <w:jc w:val="left"/>
              <w:rPr>
                <w:rFonts w:ascii="宋体" w:hAnsi="宋体" w:cs="宋体" w:eastAsia="宋体" w:hint="default"/>
                <w:sz w:val="15"/>
                <w:szCs w:val="15"/>
              </w:rPr>
            </w:pPr>
            <w:r>
              <w:rPr>
                <w:rFonts w:ascii="宋体" w:hAnsi="宋体" w:cs="宋体" w:eastAsia="宋体" w:hint="default"/>
                <w:sz w:val="15"/>
                <w:szCs w:val="15"/>
              </w:rPr>
              <w:t>宝钢集团有限公司</w:t>
            </w:r>
          </w:p>
        </w:tc>
        <w:tc>
          <w:tcPr>
            <w:tcW w:w="6180" w:type="dxa"/>
            <w:tcBorders>
              <w:top w:val="nil" w:sz="6" w:space="0" w:color="auto"/>
              <w:left w:val="nil" w:sz="6" w:space="0" w:color="auto"/>
              <w:bottom w:val="nil" w:sz="6" w:space="0" w:color="auto"/>
              <w:right w:val="nil" w:sz="6" w:space="0" w:color="auto"/>
            </w:tcBorders>
          </w:tcPr>
          <w:p>
            <w:pPr>
              <w:pStyle w:val="TableParagraph"/>
              <w:spacing w:line="240" w:lineRule="auto" w:before="80"/>
              <w:ind w:left="435" w:right="0"/>
              <w:jc w:val="left"/>
              <w:rPr>
                <w:rFonts w:ascii="宋体" w:hAnsi="宋体" w:cs="宋体" w:eastAsia="宋体" w:hint="default"/>
                <w:sz w:val="15"/>
                <w:szCs w:val="15"/>
              </w:rPr>
            </w:pPr>
            <w:r>
              <w:rPr>
                <w:rFonts w:ascii="宋体" w:hAnsi="宋体" w:cs="宋体" w:eastAsia="宋体" w:hint="default"/>
                <w:sz w:val="15"/>
                <w:szCs w:val="15"/>
              </w:rPr>
              <w:t>持本公司</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5%</w:t>
            </w:r>
            <w:r>
              <w:rPr>
                <w:rFonts w:ascii="宋体" w:hAnsi="宋体" w:cs="宋体" w:eastAsia="宋体" w:hint="default"/>
                <w:sz w:val="15"/>
                <w:szCs w:val="15"/>
              </w:rPr>
              <w:t>以上股权之股东</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19"/>
              <w:jc w:val="center"/>
              <w:rPr>
                <w:rFonts w:ascii="Times New Roman" w:hAnsi="Times New Roman" w:cs="Times New Roman" w:eastAsia="Times New Roman" w:hint="default"/>
                <w:sz w:val="15"/>
                <w:szCs w:val="15"/>
              </w:rPr>
            </w:pPr>
            <w:r>
              <w:rPr>
                <w:rFonts w:ascii="Times New Roman"/>
                <w:sz w:val="15"/>
              </w:rPr>
              <w:t>13220082-1</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524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7" w:right="0"/>
              <w:jc w:val="left"/>
              <w:rPr>
                <w:rFonts w:ascii="宋体" w:hAnsi="宋体" w:cs="宋体" w:eastAsia="宋体" w:hint="default"/>
                <w:sz w:val="15"/>
                <w:szCs w:val="15"/>
              </w:rPr>
            </w:pPr>
            <w:r>
              <w:rPr>
                <w:rFonts w:ascii="宋体" w:hAnsi="宋体" w:cs="宋体" w:eastAsia="宋体" w:hint="default"/>
                <w:sz w:val="15"/>
                <w:szCs w:val="15"/>
              </w:rPr>
              <w:t>南海东软信息技术职业学院（</w:t>
            </w:r>
            <w:r>
              <w:rPr>
                <w:rFonts w:ascii="Times New Roman" w:hAnsi="Times New Roman" w:cs="Times New Roman" w:eastAsia="Times New Roman" w:hint="default"/>
                <w:sz w:val="15"/>
                <w:szCs w:val="15"/>
              </w:rPr>
              <w:t>“</w:t>
            </w:r>
            <w:r>
              <w:rPr>
                <w:rFonts w:ascii="宋体" w:hAnsi="宋体" w:cs="宋体" w:eastAsia="宋体" w:hint="default"/>
                <w:sz w:val="15"/>
                <w:szCs w:val="15"/>
              </w:rPr>
              <w:t>南海职业学院</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6180" w:type="dxa"/>
            <w:tcBorders>
              <w:top w:val="nil" w:sz="6" w:space="0" w:color="auto"/>
              <w:left w:val="nil" w:sz="6" w:space="0" w:color="auto"/>
              <w:bottom w:val="nil" w:sz="6" w:space="0" w:color="auto"/>
              <w:right w:val="nil" w:sz="6" w:space="0" w:color="auto"/>
            </w:tcBorders>
          </w:tcPr>
          <w:p>
            <w:pPr>
              <w:pStyle w:val="TableParagraph"/>
              <w:spacing w:line="240" w:lineRule="auto" w:before="75"/>
              <w:ind w:left="435" w:right="0"/>
              <w:jc w:val="left"/>
              <w:rPr>
                <w:rFonts w:ascii="宋体" w:hAnsi="宋体" w:cs="宋体" w:eastAsia="宋体" w:hint="default"/>
                <w:sz w:val="15"/>
                <w:szCs w:val="15"/>
              </w:rPr>
            </w:pPr>
            <w:r>
              <w:rPr>
                <w:rFonts w:ascii="宋体" w:hAnsi="宋体" w:cs="宋体" w:eastAsia="宋体" w:hint="default"/>
                <w:sz w:val="15"/>
                <w:szCs w:val="15"/>
              </w:rPr>
              <w:t>本公司与子公司共同举办之教育机构</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19"/>
              <w:jc w:val="center"/>
              <w:rPr>
                <w:rFonts w:ascii="Times New Roman" w:hAnsi="Times New Roman" w:cs="Times New Roman" w:eastAsia="Times New Roman" w:hint="default"/>
                <w:sz w:val="15"/>
                <w:szCs w:val="15"/>
              </w:rPr>
            </w:pPr>
            <w:r>
              <w:rPr>
                <w:rFonts w:ascii="Times New Roman"/>
                <w:sz w:val="15"/>
              </w:rPr>
              <w:t>74919300-0</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524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7" w:right="0"/>
              <w:jc w:val="left"/>
              <w:rPr>
                <w:rFonts w:ascii="宋体" w:hAnsi="宋体" w:cs="宋体" w:eastAsia="宋体" w:hint="default"/>
                <w:sz w:val="15"/>
                <w:szCs w:val="15"/>
              </w:rPr>
            </w:pPr>
            <w:r>
              <w:rPr>
                <w:rFonts w:ascii="宋体" w:hAnsi="宋体" w:cs="宋体" w:eastAsia="宋体" w:hint="default"/>
                <w:sz w:val="15"/>
                <w:szCs w:val="15"/>
              </w:rPr>
              <w:t>成都东软信息技术职业学院（</w:t>
            </w:r>
            <w:r>
              <w:rPr>
                <w:rFonts w:ascii="Times New Roman" w:hAnsi="Times New Roman" w:cs="Times New Roman" w:eastAsia="Times New Roman" w:hint="default"/>
                <w:sz w:val="15"/>
                <w:szCs w:val="15"/>
              </w:rPr>
              <w:t>“</w:t>
            </w:r>
            <w:r>
              <w:rPr>
                <w:rFonts w:ascii="宋体" w:hAnsi="宋体" w:cs="宋体" w:eastAsia="宋体" w:hint="default"/>
                <w:sz w:val="15"/>
                <w:szCs w:val="15"/>
              </w:rPr>
              <w:t>成都职业学院</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6180" w:type="dxa"/>
            <w:tcBorders>
              <w:top w:val="nil" w:sz="6" w:space="0" w:color="auto"/>
              <w:left w:val="nil" w:sz="6" w:space="0" w:color="auto"/>
              <w:bottom w:val="nil" w:sz="6" w:space="0" w:color="auto"/>
              <w:right w:val="nil" w:sz="6" w:space="0" w:color="auto"/>
            </w:tcBorders>
          </w:tcPr>
          <w:p>
            <w:pPr>
              <w:pStyle w:val="TableParagraph"/>
              <w:spacing w:line="240" w:lineRule="auto" w:before="75"/>
              <w:ind w:left="435" w:right="0"/>
              <w:jc w:val="left"/>
              <w:rPr>
                <w:rFonts w:ascii="宋体" w:hAnsi="宋体" w:cs="宋体" w:eastAsia="宋体" w:hint="default"/>
                <w:sz w:val="15"/>
                <w:szCs w:val="15"/>
              </w:rPr>
            </w:pPr>
            <w:r>
              <w:rPr>
                <w:rFonts w:ascii="宋体" w:hAnsi="宋体" w:cs="宋体" w:eastAsia="宋体" w:hint="default"/>
                <w:sz w:val="15"/>
                <w:szCs w:val="15"/>
              </w:rPr>
              <w:t>本公司与子公司共同举办之教育机构</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19"/>
              <w:jc w:val="center"/>
              <w:rPr>
                <w:rFonts w:ascii="Times New Roman" w:hAnsi="Times New Roman" w:cs="Times New Roman" w:eastAsia="Times New Roman" w:hint="default"/>
                <w:sz w:val="15"/>
                <w:szCs w:val="15"/>
              </w:rPr>
            </w:pPr>
            <w:r>
              <w:rPr>
                <w:rFonts w:ascii="Times New Roman"/>
                <w:sz w:val="15"/>
              </w:rPr>
              <w:t>74963918-0</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524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7" w:right="0"/>
              <w:jc w:val="left"/>
              <w:rPr>
                <w:rFonts w:ascii="宋体" w:hAnsi="宋体" w:cs="宋体" w:eastAsia="宋体" w:hint="default"/>
                <w:sz w:val="15"/>
                <w:szCs w:val="15"/>
              </w:rPr>
            </w:pPr>
            <w:r>
              <w:rPr>
                <w:rFonts w:ascii="宋体" w:hAnsi="宋体" w:cs="宋体" w:eastAsia="宋体" w:hint="default"/>
                <w:sz w:val="15"/>
                <w:szCs w:val="15"/>
              </w:rPr>
              <w:t>大连东软信息学院（</w:t>
            </w:r>
            <w:r>
              <w:rPr>
                <w:rFonts w:ascii="Times New Roman" w:hAnsi="Times New Roman" w:cs="Times New Roman" w:eastAsia="Times New Roman" w:hint="default"/>
                <w:sz w:val="15"/>
                <w:szCs w:val="15"/>
              </w:rPr>
              <w:t>“</w:t>
            </w:r>
            <w:r>
              <w:rPr>
                <w:rFonts w:ascii="宋体" w:hAnsi="宋体" w:cs="宋体" w:eastAsia="宋体" w:hint="default"/>
                <w:sz w:val="15"/>
                <w:szCs w:val="15"/>
              </w:rPr>
              <w:t>东软信息学院</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6180" w:type="dxa"/>
            <w:tcBorders>
              <w:top w:val="nil" w:sz="6" w:space="0" w:color="auto"/>
              <w:left w:val="nil" w:sz="6" w:space="0" w:color="auto"/>
              <w:bottom w:val="nil" w:sz="6" w:space="0" w:color="auto"/>
              <w:right w:val="nil" w:sz="6" w:space="0" w:color="auto"/>
            </w:tcBorders>
          </w:tcPr>
          <w:p>
            <w:pPr>
              <w:pStyle w:val="TableParagraph"/>
              <w:spacing w:line="240" w:lineRule="auto" w:before="75"/>
              <w:ind w:left="435" w:right="0"/>
              <w:jc w:val="left"/>
              <w:rPr>
                <w:rFonts w:ascii="宋体" w:hAnsi="宋体" w:cs="宋体" w:eastAsia="宋体" w:hint="default"/>
                <w:sz w:val="15"/>
                <w:szCs w:val="15"/>
              </w:rPr>
            </w:pPr>
            <w:r>
              <w:rPr>
                <w:rFonts w:ascii="宋体" w:hAnsi="宋体" w:cs="宋体" w:eastAsia="宋体" w:hint="default"/>
                <w:sz w:val="15"/>
                <w:szCs w:val="15"/>
              </w:rPr>
              <w:t>本公司与子公司共同举办之教育机构</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19"/>
              <w:jc w:val="center"/>
              <w:rPr>
                <w:rFonts w:ascii="Times New Roman" w:hAnsi="Times New Roman" w:cs="Times New Roman" w:eastAsia="Times New Roman" w:hint="default"/>
                <w:sz w:val="15"/>
                <w:szCs w:val="15"/>
              </w:rPr>
            </w:pPr>
            <w:r>
              <w:rPr>
                <w:rFonts w:ascii="Times New Roman"/>
                <w:sz w:val="15"/>
              </w:rPr>
              <w:t>76544538-6</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524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7" w:right="0"/>
              <w:jc w:val="left"/>
              <w:rPr>
                <w:rFonts w:ascii="宋体" w:hAnsi="宋体" w:cs="宋体" w:eastAsia="宋体" w:hint="default"/>
                <w:sz w:val="15"/>
                <w:szCs w:val="15"/>
              </w:rPr>
            </w:pPr>
            <w:r>
              <w:rPr>
                <w:rFonts w:ascii="宋体" w:hAnsi="宋体" w:cs="宋体" w:eastAsia="宋体" w:hint="default"/>
                <w:sz w:val="15"/>
                <w:szCs w:val="15"/>
              </w:rPr>
              <w:t>大连东软信息技术职业学院（</w:t>
            </w:r>
            <w:r>
              <w:rPr>
                <w:rFonts w:ascii="Times New Roman" w:hAnsi="Times New Roman" w:cs="Times New Roman" w:eastAsia="Times New Roman" w:hint="default"/>
                <w:sz w:val="15"/>
                <w:szCs w:val="15"/>
              </w:rPr>
              <w:t>“</w:t>
            </w:r>
            <w:r>
              <w:rPr>
                <w:rFonts w:ascii="宋体" w:hAnsi="宋体" w:cs="宋体" w:eastAsia="宋体" w:hint="default"/>
                <w:sz w:val="15"/>
                <w:szCs w:val="15"/>
              </w:rPr>
              <w:t>大连职业学院</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6180" w:type="dxa"/>
            <w:tcBorders>
              <w:top w:val="nil" w:sz="6" w:space="0" w:color="auto"/>
              <w:left w:val="nil" w:sz="6" w:space="0" w:color="auto"/>
              <w:bottom w:val="nil" w:sz="6" w:space="0" w:color="auto"/>
              <w:right w:val="nil" w:sz="6" w:space="0" w:color="auto"/>
            </w:tcBorders>
          </w:tcPr>
          <w:p>
            <w:pPr>
              <w:pStyle w:val="TableParagraph"/>
              <w:spacing w:line="240" w:lineRule="auto" w:before="75"/>
              <w:ind w:left="435" w:right="0"/>
              <w:jc w:val="left"/>
              <w:rPr>
                <w:rFonts w:ascii="宋体" w:hAnsi="宋体" w:cs="宋体" w:eastAsia="宋体" w:hint="default"/>
                <w:sz w:val="15"/>
                <w:szCs w:val="15"/>
              </w:rPr>
            </w:pPr>
            <w:r>
              <w:rPr>
                <w:rFonts w:ascii="宋体" w:hAnsi="宋体" w:cs="宋体" w:eastAsia="宋体" w:hint="default"/>
                <w:sz w:val="15"/>
                <w:szCs w:val="15"/>
              </w:rPr>
              <w:t>本公司举办的教育机构</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19"/>
              <w:jc w:val="center"/>
              <w:rPr>
                <w:rFonts w:ascii="Times New Roman" w:hAnsi="Times New Roman" w:cs="Times New Roman" w:eastAsia="Times New Roman" w:hint="default"/>
                <w:sz w:val="15"/>
                <w:szCs w:val="15"/>
              </w:rPr>
            </w:pPr>
            <w:r>
              <w:rPr>
                <w:rFonts w:ascii="Times New Roman"/>
                <w:sz w:val="15"/>
              </w:rPr>
              <w:t>42244491-2</w:t>
            </w:r>
          </w:p>
        </w:tc>
      </w:tr>
      <w:tr>
        <w:trPr>
          <w:trHeight w:val="816" w:hRule="exact"/>
        </w:trPr>
        <w:tc>
          <w:tcPr>
            <w:tcW w:w="659" w:type="dxa"/>
            <w:tcBorders>
              <w:top w:val="nil" w:sz="6" w:space="0" w:color="auto"/>
              <w:left w:val="nil" w:sz="6" w:space="0" w:color="auto"/>
              <w:bottom w:val="nil" w:sz="6" w:space="0" w:color="auto"/>
              <w:right w:val="nil" w:sz="6" w:space="0" w:color="auto"/>
            </w:tcBorders>
          </w:tcPr>
          <w:p>
            <w:pPr/>
          </w:p>
        </w:tc>
        <w:tc>
          <w:tcPr>
            <w:tcW w:w="524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7" w:right="0"/>
              <w:jc w:val="left"/>
              <w:rPr>
                <w:rFonts w:ascii="宋体" w:hAnsi="宋体" w:cs="宋体" w:eastAsia="宋体" w:hint="default"/>
                <w:sz w:val="15"/>
                <w:szCs w:val="15"/>
              </w:rPr>
            </w:pPr>
            <w:r>
              <w:rPr>
                <w:rFonts w:ascii="宋体" w:hAnsi="宋体" w:cs="宋体" w:eastAsia="宋体" w:hint="default"/>
                <w:sz w:val="15"/>
                <w:szCs w:val="15"/>
              </w:rPr>
              <w:t>大连东软教育服务有限公司（</w:t>
            </w:r>
            <w:r>
              <w:rPr>
                <w:rFonts w:ascii="Times New Roman" w:hAnsi="Times New Roman" w:cs="Times New Roman" w:eastAsia="Times New Roman" w:hint="default"/>
                <w:sz w:val="15"/>
                <w:szCs w:val="15"/>
              </w:rPr>
              <w:t>“</w:t>
            </w:r>
            <w:r>
              <w:rPr>
                <w:rFonts w:ascii="宋体" w:hAnsi="宋体" w:cs="宋体" w:eastAsia="宋体" w:hint="default"/>
                <w:sz w:val="15"/>
                <w:szCs w:val="15"/>
              </w:rPr>
              <w:t>大连东软教育</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7"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Harman International Industries, Incorporated</w:t>
            </w:r>
            <w:r>
              <w:rPr>
                <w:rFonts w:ascii="Times New Roman" w:hAnsi="Times New Roman" w:cs="Times New Roman" w:eastAsia="Times New Roman" w:hint="default"/>
                <w:spacing w:val="13"/>
                <w:sz w:val="15"/>
                <w:szCs w:val="15"/>
              </w:rPr>
              <w:t> </w:t>
            </w:r>
            <w:r>
              <w:rPr>
                <w:rFonts w:ascii="宋体" w:hAnsi="宋体" w:cs="宋体" w:eastAsia="宋体" w:hint="default"/>
                <w:sz w:val="15"/>
                <w:szCs w:val="15"/>
              </w:rPr>
              <w:t>及其子公司（合称</w:t>
            </w:r>
            <w:r>
              <w:rPr>
                <w:rFonts w:ascii="Times New Roman" w:hAnsi="Times New Roman" w:cs="Times New Roman" w:eastAsia="Times New Roman" w:hint="default"/>
                <w:sz w:val="15"/>
                <w:szCs w:val="15"/>
              </w:rPr>
              <w:t>“Harman”)</w:t>
            </w:r>
          </w:p>
        </w:tc>
        <w:tc>
          <w:tcPr>
            <w:tcW w:w="6180" w:type="dxa"/>
            <w:tcBorders>
              <w:top w:val="nil" w:sz="6" w:space="0" w:color="auto"/>
              <w:left w:val="nil" w:sz="6" w:space="0" w:color="auto"/>
              <w:bottom w:val="nil" w:sz="6" w:space="0" w:color="auto"/>
              <w:right w:val="nil" w:sz="6" w:space="0" w:color="auto"/>
            </w:tcBorders>
          </w:tcPr>
          <w:p>
            <w:pPr>
              <w:pStyle w:val="TableParagraph"/>
              <w:spacing w:line="240" w:lineRule="auto" w:before="75"/>
              <w:ind w:left="435" w:right="0"/>
              <w:jc w:val="left"/>
              <w:rPr>
                <w:rFonts w:ascii="宋体" w:hAnsi="宋体" w:cs="宋体" w:eastAsia="宋体" w:hint="default"/>
                <w:sz w:val="15"/>
                <w:szCs w:val="15"/>
              </w:rPr>
            </w:pPr>
            <w:r>
              <w:rPr>
                <w:rFonts w:ascii="宋体" w:hAnsi="宋体" w:cs="宋体" w:eastAsia="宋体" w:hint="default"/>
                <w:sz w:val="15"/>
                <w:szCs w:val="15"/>
              </w:rPr>
              <w:t>本公司举办的教育机构之控股子公司</w:t>
            </w: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435" w:right="0"/>
              <w:jc w:val="left"/>
              <w:rPr>
                <w:rFonts w:ascii="宋体" w:hAnsi="宋体" w:cs="宋体" w:eastAsia="宋体" w:hint="default"/>
                <w:sz w:val="15"/>
                <w:szCs w:val="15"/>
              </w:rPr>
            </w:pPr>
            <w:r>
              <w:rPr>
                <w:rFonts w:ascii="宋体" w:hAnsi="宋体" w:cs="宋体" w:eastAsia="宋体" w:hint="default"/>
                <w:sz w:val="15"/>
                <w:szCs w:val="15"/>
              </w:rPr>
              <w:t>本公司董事长兼首席执行官担任</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Harman</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sz w:val="15"/>
                <w:szCs w:val="15"/>
              </w:rPr>
              <w:t>International</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sz w:val="15"/>
                <w:szCs w:val="15"/>
              </w:rPr>
              <w:t>Industries,</w:t>
            </w:r>
            <w:r>
              <w:rPr>
                <w:rFonts w:ascii="Times New Roman" w:hAnsi="Times New Roman" w:cs="Times New Roman" w:eastAsia="Times New Roman" w:hint="default"/>
                <w:spacing w:val="-3"/>
                <w:sz w:val="15"/>
                <w:szCs w:val="15"/>
              </w:rPr>
              <w:t> </w:t>
            </w:r>
            <w:r>
              <w:rPr>
                <w:rFonts w:ascii="Times New Roman" w:hAnsi="Times New Roman" w:cs="Times New Roman" w:eastAsia="Times New Roman" w:hint="default"/>
                <w:sz w:val="15"/>
                <w:szCs w:val="15"/>
              </w:rPr>
              <w:t>Incorporated</w:t>
            </w:r>
            <w:r>
              <w:rPr>
                <w:rFonts w:ascii="Times New Roman" w:hAnsi="Times New Roman" w:cs="Times New Roman" w:eastAsia="Times New Roman" w:hint="default"/>
                <w:spacing w:val="32"/>
                <w:sz w:val="15"/>
                <w:szCs w:val="15"/>
              </w:rPr>
              <w:t> </w:t>
            </w:r>
            <w:r>
              <w:rPr>
                <w:rFonts w:ascii="宋体" w:hAnsi="宋体" w:cs="宋体" w:eastAsia="宋体" w:hint="default"/>
                <w:sz w:val="15"/>
                <w:szCs w:val="15"/>
              </w:rPr>
              <w:t>董事</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19"/>
              <w:jc w:val="center"/>
              <w:rPr>
                <w:rFonts w:ascii="Times New Roman" w:hAnsi="Times New Roman" w:cs="Times New Roman" w:eastAsia="Times New Roman" w:hint="default"/>
                <w:sz w:val="15"/>
                <w:szCs w:val="15"/>
              </w:rPr>
            </w:pPr>
            <w:r>
              <w:rPr>
                <w:rFonts w:ascii="Times New Roman"/>
                <w:sz w:val="15"/>
              </w:rPr>
              <w:t>75155503-1</w:t>
            </w:r>
          </w:p>
        </w:tc>
      </w:tr>
      <w:tr>
        <w:trPr>
          <w:trHeight w:val="414" w:hRule="exact"/>
        </w:trPr>
        <w:tc>
          <w:tcPr>
            <w:tcW w:w="659" w:type="dxa"/>
            <w:tcBorders>
              <w:top w:val="nil" w:sz="6" w:space="0" w:color="auto"/>
              <w:left w:val="nil" w:sz="6" w:space="0" w:color="auto"/>
              <w:bottom w:val="nil" w:sz="6" w:space="0" w:color="auto"/>
              <w:right w:val="nil" w:sz="6" w:space="0" w:color="auto"/>
            </w:tcBorders>
          </w:tcPr>
          <w:p>
            <w:pPr/>
          </w:p>
        </w:tc>
        <w:tc>
          <w:tcPr>
            <w:tcW w:w="5241"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7" w:right="0"/>
              <w:jc w:val="left"/>
              <w:rPr>
                <w:rFonts w:ascii="宋体" w:hAnsi="宋体" w:cs="宋体" w:eastAsia="宋体" w:hint="default"/>
                <w:sz w:val="15"/>
                <w:szCs w:val="15"/>
              </w:rPr>
            </w:pPr>
            <w:r>
              <w:rPr>
                <w:rFonts w:ascii="宋体" w:hAnsi="宋体" w:cs="宋体" w:eastAsia="宋体" w:hint="default"/>
                <w:sz w:val="15"/>
                <w:szCs w:val="15"/>
              </w:rPr>
              <w:t>大连东软控股有限公司</w:t>
            </w:r>
          </w:p>
        </w:tc>
        <w:tc>
          <w:tcPr>
            <w:tcW w:w="618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35" w:right="0"/>
              <w:jc w:val="left"/>
              <w:rPr>
                <w:rFonts w:ascii="宋体" w:hAnsi="宋体" w:cs="宋体" w:eastAsia="宋体" w:hint="default"/>
                <w:sz w:val="15"/>
                <w:szCs w:val="15"/>
              </w:rPr>
            </w:pPr>
            <w:r>
              <w:rPr>
                <w:rFonts w:ascii="宋体" w:hAnsi="宋体" w:cs="宋体" w:eastAsia="宋体" w:hint="default"/>
                <w:sz w:val="15"/>
                <w:szCs w:val="15"/>
              </w:rPr>
              <w:t>本公司董事长兼首席执行官担任大连东软控股有限公司董事长</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22"/>
              <w:ind w:right="119"/>
              <w:jc w:val="center"/>
              <w:rPr>
                <w:rFonts w:ascii="Times New Roman" w:hAnsi="Times New Roman" w:cs="Times New Roman" w:eastAsia="Times New Roman" w:hint="default"/>
                <w:sz w:val="15"/>
                <w:szCs w:val="15"/>
              </w:rPr>
            </w:pPr>
            <w:r>
              <w:rPr>
                <w:rFonts w:ascii="Times New Roman"/>
                <w:sz w:val="15"/>
              </w:rPr>
              <w:t>58203862-2</w:t>
            </w:r>
          </w:p>
        </w:tc>
      </w:tr>
      <w:tr>
        <w:trPr>
          <w:trHeight w:val="310" w:hRule="exact"/>
        </w:trPr>
        <w:tc>
          <w:tcPr>
            <w:tcW w:w="659" w:type="dxa"/>
            <w:tcBorders>
              <w:top w:val="nil" w:sz="6" w:space="0" w:color="auto"/>
              <w:left w:val="nil" w:sz="6" w:space="0" w:color="auto"/>
              <w:bottom w:val="nil" w:sz="6" w:space="0" w:color="auto"/>
              <w:right w:val="nil" w:sz="6" w:space="0" w:color="auto"/>
            </w:tcBorders>
          </w:tcPr>
          <w:p>
            <w:pPr/>
          </w:p>
        </w:tc>
        <w:tc>
          <w:tcPr>
            <w:tcW w:w="5241" w:type="dxa"/>
            <w:tcBorders>
              <w:top w:val="nil" w:sz="6" w:space="0" w:color="auto"/>
              <w:left w:val="nil" w:sz="6" w:space="0" w:color="auto"/>
              <w:bottom w:val="single" w:sz="12" w:space="0" w:color="000000"/>
              <w:right w:val="nil" w:sz="6" w:space="0" w:color="auto"/>
            </w:tcBorders>
          </w:tcPr>
          <w:p>
            <w:pPr>
              <w:pStyle w:val="TableParagraph"/>
              <w:spacing w:line="240" w:lineRule="auto" w:before="75"/>
              <w:ind w:left="107" w:right="0"/>
              <w:jc w:val="left"/>
              <w:rPr>
                <w:rFonts w:ascii="宋体" w:hAnsi="宋体" w:cs="宋体" w:eastAsia="宋体" w:hint="default"/>
                <w:sz w:val="15"/>
                <w:szCs w:val="15"/>
              </w:rPr>
            </w:pPr>
            <w:r>
              <w:rPr>
                <w:rFonts w:ascii="宋体" w:hAnsi="宋体" w:cs="宋体" w:eastAsia="宋体" w:hint="default"/>
                <w:sz w:val="15"/>
                <w:szCs w:val="15"/>
              </w:rPr>
              <w:t>成都东软软件有限公司（</w:t>
            </w:r>
            <w:r>
              <w:rPr>
                <w:rFonts w:ascii="Times New Roman" w:hAnsi="Times New Roman" w:cs="Times New Roman" w:eastAsia="Times New Roman" w:hint="default"/>
                <w:sz w:val="15"/>
                <w:szCs w:val="15"/>
              </w:rPr>
              <w:t>”</w:t>
            </w:r>
            <w:r>
              <w:rPr>
                <w:rFonts w:ascii="宋体" w:hAnsi="宋体" w:cs="宋体" w:eastAsia="宋体" w:hint="default"/>
                <w:sz w:val="15"/>
                <w:szCs w:val="15"/>
              </w:rPr>
              <w:t>成都软件公司</w:t>
            </w:r>
            <w:r>
              <w:rPr>
                <w:rFonts w:ascii="Times New Roman" w:hAnsi="Times New Roman" w:cs="Times New Roman" w:eastAsia="Times New Roman" w:hint="default"/>
                <w:sz w:val="15"/>
                <w:szCs w:val="15"/>
              </w:rPr>
              <w:t>”</w:t>
            </w:r>
            <w:r>
              <w:rPr>
                <w:rFonts w:ascii="宋体" w:hAnsi="宋体" w:cs="宋体" w:eastAsia="宋体" w:hint="default"/>
                <w:sz w:val="15"/>
                <w:szCs w:val="15"/>
              </w:rPr>
              <w:t>）</w:t>
            </w:r>
          </w:p>
        </w:tc>
        <w:tc>
          <w:tcPr>
            <w:tcW w:w="6180" w:type="dxa"/>
            <w:tcBorders>
              <w:top w:val="nil" w:sz="6" w:space="0" w:color="auto"/>
              <w:left w:val="nil" w:sz="6" w:space="0" w:color="auto"/>
              <w:bottom w:val="single" w:sz="12" w:space="0" w:color="000000"/>
              <w:right w:val="nil" w:sz="6" w:space="0" w:color="auto"/>
            </w:tcBorders>
          </w:tcPr>
          <w:p>
            <w:pPr>
              <w:pStyle w:val="TableParagraph"/>
              <w:spacing w:line="240" w:lineRule="auto" w:before="75"/>
              <w:ind w:left="435" w:right="0"/>
              <w:jc w:val="left"/>
              <w:rPr>
                <w:rFonts w:ascii="宋体" w:hAnsi="宋体" w:cs="宋体" w:eastAsia="宋体" w:hint="default"/>
                <w:sz w:val="15"/>
                <w:szCs w:val="15"/>
              </w:rPr>
            </w:pPr>
            <w:r>
              <w:rPr>
                <w:rFonts w:ascii="宋体" w:hAnsi="宋体" w:cs="宋体" w:eastAsia="宋体" w:hint="default"/>
                <w:sz w:val="15"/>
                <w:szCs w:val="15"/>
              </w:rPr>
              <w:t>本公司与子公司共同举办的教育机构之全资子公司</w:t>
            </w:r>
          </w:p>
        </w:tc>
        <w:tc>
          <w:tcPr>
            <w:tcW w:w="2002"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119"/>
              <w:jc w:val="center"/>
              <w:rPr>
                <w:rFonts w:ascii="Times New Roman" w:hAnsi="Times New Roman" w:cs="Times New Roman" w:eastAsia="Times New Roman" w:hint="default"/>
                <w:sz w:val="15"/>
                <w:szCs w:val="15"/>
              </w:rPr>
            </w:pPr>
            <w:r>
              <w:rPr>
                <w:rFonts w:ascii="Times New Roman"/>
                <w:sz w:val="15"/>
              </w:rPr>
              <w:t>55643276-5</w:t>
            </w:r>
          </w:p>
        </w:tc>
      </w:tr>
    </w:tbl>
    <w:p>
      <w:pPr>
        <w:spacing w:after="0" w:line="240" w:lineRule="auto"/>
        <w:jc w:val="center"/>
        <w:rPr>
          <w:rFonts w:ascii="Times New Roman" w:hAnsi="Times New Roman" w:cs="Times New Roman" w:eastAsia="Times New Roman" w:hint="default"/>
          <w:sz w:val="15"/>
          <w:szCs w:val="15"/>
        </w:rPr>
        <w:sectPr>
          <w:pgSz w:w="16840" w:h="11910" w:orient="landscape"/>
          <w:pgMar w:header="883" w:footer="999" w:top="1600" w:bottom="1180" w:left="1280" w:right="1220"/>
        </w:sectPr>
      </w:pPr>
    </w:p>
    <w:p>
      <w:pPr>
        <w:spacing w:line="240" w:lineRule="auto" w:before="1"/>
        <w:rPr>
          <w:rFonts w:ascii="Times New Roman" w:hAnsi="Times New Roman" w:cs="Times New Roman" w:eastAsia="Times New Roman" w:hint="default"/>
          <w:sz w:val="4"/>
          <w:szCs w:val="4"/>
        </w:rPr>
      </w:pPr>
    </w:p>
    <w:p>
      <w:pPr>
        <w:spacing w:line="20" w:lineRule="exact"/>
        <w:ind w:left="105"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68.5pt;height:.5pt;mso-position-horizontal-relative:char;mso-position-vertical-relative:line" coordorigin="0,0" coordsize="9370,10">
            <v:group style="position:absolute;left:5;top:5;width:9360;height:2" coordorigin="5,5" coordsize="9360,2">
              <v:shape style="position:absolute;left:5;top:5;width:9360;height:2" coordorigin="5,5" coordsize="9360,0" path="m5,5l9365,5e" filled="false" stroked="true" strokeweight=".47998pt" strokecolor="#000000">
                <v:path arrowok="t"/>
              </v:shape>
            </v:group>
          </v:group>
        </w:pict>
      </w:r>
      <w:r>
        <w:rPr>
          <w:rFonts w:ascii="Times New Roman" w:hAnsi="Times New Roman" w:cs="Times New Roman" w:eastAsia="Times New Roman" w:hint="default"/>
          <w:sz w:val="2"/>
          <w:szCs w:val="2"/>
        </w:rPr>
      </w:r>
    </w:p>
    <w:p>
      <w:pPr>
        <w:pStyle w:val="Heading6"/>
        <w:tabs>
          <w:tab w:pos="853" w:val="left" w:leader="none"/>
        </w:tabs>
        <w:spacing w:line="240" w:lineRule="auto" w:before="82"/>
        <w:ind w:left="125" w:right="0"/>
        <w:jc w:val="left"/>
        <w:rPr>
          <w:b w:val="0"/>
          <w:bCs w:val="0"/>
        </w:rPr>
      </w:pPr>
      <w:r>
        <w:rPr>
          <w:w w:val="95"/>
        </w:rPr>
        <w:t>(四)</w:t>
        <w:tab/>
      </w:r>
      <w:r>
        <w:rPr/>
        <w:t>关联方交易</w:t>
      </w:r>
      <w:r>
        <w:rPr>
          <w:b w:val="0"/>
          <w:bCs w:val="0"/>
        </w:rPr>
      </w:r>
    </w:p>
    <w:p>
      <w:pPr>
        <w:tabs>
          <w:tab w:pos="1395" w:val="left" w:leader="none"/>
        </w:tabs>
        <w:spacing w:line="348" w:lineRule="auto" w:before="126"/>
        <w:ind w:left="1396" w:right="162" w:hanging="539"/>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存在控制关系且已纳入本公司合并会计报表范围的子公司，其相互间交易及母子公司交</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b/>
          <w:bCs/>
          <w:sz w:val="21"/>
          <w:szCs w:val="21"/>
        </w:rPr>
        <w:t>易已作抵销。</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1395" w:val="left" w:leader="none"/>
        </w:tabs>
        <w:spacing w:before="169"/>
        <w:ind w:left="857" w:right="0"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购买商品、接受劳务的关联交易</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4959" w:lineRule="exact"/>
        <w:ind w:left="720" w:right="0" w:firstLine="0"/>
        <w:rPr>
          <w:rFonts w:ascii="宋体" w:hAnsi="宋体" w:cs="宋体" w:eastAsia="宋体" w:hint="default"/>
          <w:sz w:val="20"/>
          <w:szCs w:val="20"/>
        </w:rPr>
      </w:pPr>
      <w:r>
        <w:rPr>
          <w:rFonts w:ascii="宋体" w:hAnsi="宋体" w:cs="宋体" w:eastAsia="宋体" w:hint="default"/>
          <w:position w:val="-98"/>
          <w:sz w:val="20"/>
          <w:szCs w:val="20"/>
        </w:rPr>
        <w:pict>
          <v:group style="width:438.3pt;height:248pt;mso-position-horizontal-relative:char;mso-position-vertical-relative:line" coordorigin="0,0" coordsize="8766,4960">
            <v:group style="position:absolute;left:29;top:15;width:8711;height:2" coordorigin="29,15" coordsize="8711,2">
              <v:shape style="position:absolute;left:29;top:15;width:8711;height:2" coordorigin="29,15" coordsize="8711,0" path="m29,15l8740,15e" filled="false" stroked="true" strokeweight="1.5pt" strokecolor="#000000">
                <v:path arrowok="t"/>
              </v:shape>
              <v:shape style="position:absolute;left:1157;top:7;width:5779;height:446" type="#_x0000_t75" stroked="false">
                <v:imagedata r:id="rId347" o:title=""/>
              </v:shape>
              <v:shape style="position:absolute;left:1160;top:410;width:7600;height:850" type="#_x0000_t75" stroked="false">
                <v:imagedata r:id="rId348" o:title=""/>
              </v:shape>
            </v:group>
            <v:group style="position:absolute;left:15;top:4945;width:1166;height:2" coordorigin="15,4945" coordsize="1166,2">
              <v:shape style="position:absolute;left:15;top:4945;width:1166;height:2" coordorigin="15,4945" coordsize="1166,0" path="m15,4945l1180,4945e" filled="false" stroked="true" strokeweight="1.5pt" strokecolor="#000000">
                <v:path arrowok="t"/>
              </v:shape>
            </v:group>
            <v:group style="position:absolute;left:1180;top:4945;width:945;height:2" coordorigin="1180,4945" coordsize="945,2">
              <v:shape style="position:absolute;left:1180;top:4945;width:945;height:2" coordorigin="1180,4945" coordsize="945,0" path="m1180,4945l2125,4945e" filled="false" stroked="true" strokeweight="1.5pt" strokecolor="#000000">
                <v:path arrowok="t"/>
              </v:shape>
            </v:group>
            <v:group style="position:absolute;left:2125;top:4945;width:1366;height:2" coordorigin="2125,4945" coordsize="1366,2">
              <v:shape style="position:absolute;left:2125;top:4945;width:1366;height:2" coordorigin="2125,4945" coordsize="1366,0" path="m2125,4945l3490,4945e" filled="false" stroked="true" strokeweight="1.5pt" strokecolor="#000000">
                <v:path arrowok="t"/>
              </v:shape>
            </v:group>
            <v:group style="position:absolute;left:3490;top:4945;width:1713;height:2" coordorigin="3490,4945" coordsize="1713,2">
              <v:shape style="position:absolute;left:3490;top:4945;width:1713;height:2" coordorigin="3490,4945" coordsize="1713,0" path="m3490,4945l5203,4945e" filled="false" stroked="true" strokeweight="1.5pt" strokecolor="#000000">
                <v:path arrowok="t"/>
              </v:shape>
            </v:group>
            <v:group style="position:absolute;left:5203;top:4945;width:992;height:2" coordorigin="5203,4945" coordsize="992,2">
              <v:shape style="position:absolute;left:5203;top:4945;width:992;height:2" coordorigin="5203,4945" coordsize="992,0" path="m5203,4945l6194,4945e" filled="false" stroked="true" strokeweight="1.5pt" strokecolor="#000000">
                <v:path arrowok="t"/>
              </v:shape>
            </v:group>
            <v:group style="position:absolute;left:6194;top:4945;width:710;height:2" coordorigin="6194,4945" coordsize="710,2">
              <v:shape style="position:absolute;left:6194;top:4945;width:710;height:2" coordorigin="6194,4945" coordsize="710,0" path="m6194,4945l6903,4945e" filled="false" stroked="true" strokeweight="1.5pt" strokecolor="#000000">
                <v:path arrowok="t"/>
              </v:shape>
            </v:group>
            <v:group style="position:absolute;left:6903;top:4945;width:993;height:2" coordorigin="6903,4945" coordsize="993,2">
              <v:shape style="position:absolute;left:6903;top:4945;width:993;height:2" coordorigin="6903,4945" coordsize="993,0" path="m6903,4945l7895,4945e" filled="false" stroked="true" strokeweight="1.5pt" strokecolor="#000000">
                <v:path arrowok="t"/>
              </v:shape>
              <v:shape style="position:absolute;left:1;top:1214;width:8765;height:3715" type="#_x0000_t75" stroked="false">
                <v:imagedata r:id="rId349" o:title=""/>
              </v:shape>
            </v:group>
            <v:group style="position:absolute;left:7895;top:4945;width:845;height:2" coordorigin="7895,4945" coordsize="845,2">
              <v:shape style="position:absolute;left:7895;top:4945;width:845;height:2" coordorigin="7895,4945" coordsize="845,0" path="m7895,4945l8740,4945e" filled="false" stroked="true" strokeweight="1.5pt" strokecolor="#000000">
                <v:path arrowok="t"/>
              </v:shape>
              <v:shape style="position:absolute;left:5732;top:25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本期金额</w:t>
                      </w:r>
                    </w:p>
                  </w:txbxContent>
                </v:textbox>
                <w10:wrap type="none"/>
              </v:shape>
              <v:shape style="position:absolute;left:7497;top:25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上期金额</w:t>
                      </w:r>
                    </w:p>
                  </w:txbxContent>
                </v:textbox>
                <w10:wrap type="none"/>
              </v:shape>
              <v:shape style="position:absolute;left:3548;top:461;width:15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关联交易定价方式及决</w:t>
                      </w:r>
                    </w:p>
                  </w:txbxContent>
                </v:textbox>
                <w10:wrap type="none"/>
              </v:shape>
              <v:shape style="position:absolute;left:231;top:661;width:2978;height:150" type="#_x0000_t202" filled="false" stroked="false">
                <v:textbox inset="0,0,0,0">
                  <w:txbxContent>
                    <w:p>
                      <w:pPr>
                        <w:tabs>
                          <w:tab w:pos="976" w:val="left" w:leader="none"/>
                          <w:tab w:pos="2077"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关联方名称</w:t>
                        <w:tab/>
                        <w:t>关联交易类型</w:t>
                        <w:tab/>
                        <w:t>关联交易内容</w:t>
                      </w:r>
                    </w:p>
                  </w:txbxContent>
                </v:textbox>
                <w10:wrap type="none"/>
              </v:shape>
              <v:shape style="position:absolute;left:6254;top:66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占同类交</w:t>
                      </w:r>
                    </w:p>
                  </w:txbxContent>
                </v:textbox>
                <w10:wrap type="none"/>
              </v:shape>
              <v:shape style="position:absolute;left:7918;top:667;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占同类交易</w:t>
                      </w:r>
                    </w:p>
                  </w:txbxContent>
                </v:textbox>
                <w10:wrap type="none"/>
              </v:shape>
              <v:shape style="position:absolute;left:4073;top:861;width:4483;height:364" type="#_x0000_t202" filled="false" stroked="false">
                <v:textbox inset="0,0,0,0">
                  <w:txbxContent>
                    <w:p>
                      <w:pPr>
                        <w:tabs>
                          <w:tab w:pos="1378" w:val="left" w:leader="none"/>
                          <w:tab w:pos="3079" w:val="left" w:leader="none"/>
                        </w:tabs>
                        <w:spacing w:line="155"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策程序</w:t>
                        <w:tab/>
                        <w:t>金  额</w:t>
                        <w:tab/>
                        <w:t>金  额</w:t>
                      </w:r>
                    </w:p>
                    <w:p>
                      <w:pPr>
                        <w:tabs>
                          <w:tab w:pos="3957" w:val="left" w:leader="none"/>
                        </w:tabs>
                        <w:spacing w:line="204" w:lineRule="exact" w:before="4"/>
                        <w:ind w:left="2143"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易比例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xbxContent>
                </v:textbox>
                <w10:wrap type="none"/>
              </v:shape>
              <v:shape style="position:absolute;left:232;top:1477;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东软飞利浦</w:t>
                      </w:r>
                    </w:p>
                  </w:txbxContent>
                </v:textbox>
                <w10:wrap type="none"/>
              </v:shape>
              <v:shape style="position:absolute;left:1339;top:147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购买商品</w:t>
                      </w:r>
                    </w:p>
                  </w:txbxContent>
                </v:textbox>
                <w10:wrap type="none"/>
              </v:shape>
              <v:shape style="position:absolute;left:2288;top:1477;width:3851;height:167" type="#_x0000_t202" filled="false" stroked="false">
                <v:textbox inset="0,0,0,0">
                  <w:txbxContent>
                    <w:p>
                      <w:pPr>
                        <w:tabs>
                          <w:tab w:pos="3099" w:val="left" w:leader="none"/>
                        </w:tabs>
                        <w:spacing w:line="167"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原材料或产成品 </w:t>
                      </w:r>
                      <w:r>
                        <w:rPr>
                          <w:rFonts w:ascii="宋体" w:hAnsi="宋体" w:cs="宋体" w:eastAsia="宋体" w:hint="default"/>
                          <w:spacing w:val="9"/>
                          <w:position w:val="1"/>
                          <w:sz w:val="15"/>
                          <w:szCs w:val="15"/>
                        </w:rPr>
                        <w:t> </w:t>
                      </w:r>
                      <w:r>
                        <w:rPr>
                          <w:rFonts w:ascii="宋体" w:hAnsi="宋体" w:cs="宋体" w:eastAsia="宋体" w:hint="default"/>
                          <w:position w:val="1"/>
                          <w:sz w:val="15"/>
                          <w:szCs w:val="15"/>
                        </w:rPr>
                        <w:t>根据市场价格经协商确定</w:t>
                        <w:tab/>
                      </w:r>
                      <w:r>
                        <w:rPr>
                          <w:rFonts w:ascii="Times New Roman" w:hAnsi="Times New Roman" w:cs="Times New Roman" w:eastAsia="Times New Roman" w:hint="default"/>
                          <w:spacing w:val="-1"/>
                          <w:sz w:val="15"/>
                          <w:szCs w:val="15"/>
                        </w:rPr>
                        <w:t>363,490,009</w:t>
                      </w:r>
                    </w:p>
                  </w:txbxContent>
                </v:textbox>
                <w10:wrap type="none"/>
              </v:shape>
              <v:shape style="position:absolute;left:6508;top:1493;width:1331;height:150" type="#_x0000_t202" filled="false" stroked="false">
                <v:textbox inset="0,0,0,0">
                  <w:txbxContent>
                    <w:p>
                      <w:pPr>
                        <w:tabs>
                          <w:tab w:pos="579"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67.39</w:t>
                        <w:tab/>
                        <w:t>446,580,509</w:t>
                      </w:r>
                    </w:p>
                  </w:txbxContent>
                </v:textbox>
                <w10:wrap type="none"/>
              </v:shape>
              <v:shape style="position:absolute;left:8341;top:1493;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78.14</w:t>
                      </w:r>
                    </w:p>
                  </w:txbxContent>
                </v:textbox>
                <w10:wrap type="none"/>
              </v:shape>
              <v:shape style="position:absolute;left:308;top:188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诺西东软</w:t>
                      </w:r>
                    </w:p>
                  </w:txbxContent>
                </v:textbox>
                <w10:wrap type="none"/>
              </v:shape>
              <v:shape style="position:absolute;left:1339;top:188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购买商品</w:t>
                      </w:r>
                    </w:p>
                  </w:txbxContent>
                </v:textbox>
                <w10:wrap type="none"/>
              </v:shape>
              <v:shape style="position:absolute;left:2288;top:1886;width:286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原材料或产成品 </w:t>
                      </w:r>
                      <w:r>
                        <w:rPr>
                          <w:rFonts w:ascii="宋体" w:hAnsi="宋体" w:cs="宋体" w:eastAsia="宋体" w:hint="default"/>
                          <w:spacing w:val="9"/>
                          <w:sz w:val="15"/>
                          <w:szCs w:val="15"/>
                        </w:rPr>
                        <w:t> </w:t>
                      </w:r>
                      <w:r>
                        <w:rPr>
                          <w:rFonts w:ascii="宋体" w:hAnsi="宋体" w:cs="宋体" w:eastAsia="宋体" w:hint="default"/>
                          <w:sz w:val="15"/>
                          <w:szCs w:val="15"/>
                        </w:rPr>
                        <w:t>根据市场价格经协商确定</w:t>
                      </w:r>
                    </w:p>
                  </w:txbxContent>
                </v:textbox>
                <w10:wrap type="none"/>
              </v:shape>
              <v:shape style="position:absolute;left:5537;top:1902;width:6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7,906,916</w:t>
                      </w:r>
                    </w:p>
                  </w:txbxContent>
                </v:textbox>
                <w10:wrap type="none"/>
              </v:shape>
              <v:shape style="position:absolute;left:6583;top:1902;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0.69</w:t>
                      </w:r>
                    </w:p>
                  </w:txbxContent>
                </v:textbox>
                <w10:wrap type="none"/>
              </v:shape>
              <v:shape style="position:absolute;left:308;top:229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东北大学</w:t>
                      </w:r>
                    </w:p>
                  </w:txbxContent>
                </v:textbox>
                <w10:wrap type="none"/>
              </v:shape>
              <v:shape style="position:absolute;left:1339;top:229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购买商品</w:t>
                      </w:r>
                    </w:p>
                  </w:txbxContent>
                </v:textbox>
                <w10:wrap type="none"/>
              </v:shape>
              <v:shape style="position:absolute;left:2212;top:2296;width:2936;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培训及技术服务费</w:t>
                      </w:r>
                      <w:r>
                        <w:rPr>
                          <w:rFonts w:ascii="宋体" w:hAnsi="宋体" w:cs="宋体" w:eastAsia="宋体" w:hint="default"/>
                          <w:spacing w:val="10"/>
                          <w:sz w:val="15"/>
                          <w:szCs w:val="15"/>
                        </w:rPr>
                        <w:t> </w:t>
                      </w:r>
                      <w:r>
                        <w:rPr>
                          <w:rFonts w:ascii="宋体" w:hAnsi="宋体" w:cs="宋体" w:eastAsia="宋体" w:hint="default"/>
                          <w:sz w:val="15"/>
                          <w:szCs w:val="15"/>
                        </w:rPr>
                        <w:t>根据市场价格经协商确定</w:t>
                      </w:r>
                    </w:p>
                  </w:txbxContent>
                </v:textbox>
                <w10:wrap type="none"/>
              </v:shape>
              <v:shape style="position:absolute;left:5725;top:2313;width:41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54,000</w:t>
                      </w:r>
                    </w:p>
                  </w:txbxContent>
                </v:textbox>
                <w10:wrap type="none"/>
              </v:shape>
              <v:shape style="position:absolute;left:6583;top:2313;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0.03</w:t>
                      </w:r>
                    </w:p>
                  </w:txbxContent>
                </v:textbox>
                <w10:wrap type="none"/>
              </v:shape>
              <v:shape style="position:absolute;left:158;top:2707;width:1737;height:150" type="#_x0000_t202" filled="false" stroked="false">
                <v:textbox inset="0,0,0,0">
                  <w:txbxContent>
                    <w:p>
                      <w:pPr>
                        <w:tabs>
                          <w:tab w:pos="1136"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成都软件公司</w:t>
                        <w:tab/>
                        <w:t>接受劳务</w:t>
                      </w:r>
                    </w:p>
                  </w:txbxContent>
                </v:textbox>
                <w10:wrap type="none"/>
              </v:shape>
              <v:shape style="position:absolute;left:2288;top:2707;width:286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支付劳务服务费 </w:t>
                      </w:r>
                      <w:r>
                        <w:rPr>
                          <w:rFonts w:ascii="宋体" w:hAnsi="宋体" w:cs="宋体" w:eastAsia="宋体" w:hint="default"/>
                          <w:spacing w:val="9"/>
                          <w:sz w:val="15"/>
                          <w:szCs w:val="15"/>
                        </w:rPr>
                        <w:t> </w:t>
                      </w:r>
                      <w:r>
                        <w:rPr>
                          <w:rFonts w:ascii="宋体" w:hAnsi="宋体" w:cs="宋体" w:eastAsia="宋体" w:hint="default"/>
                          <w:sz w:val="15"/>
                          <w:szCs w:val="15"/>
                        </w:rPr>
                        <w:t>根据市场价格经协商确定</w:t>
                      </w:r>
                    </w:p>
                  </w:txbxContent>
                </v:textbox>
                <w10:wrap type="none"/>
              </v:shape>
              <v:shape style="position:absolute;left:5537;top:2723;width:6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5,090,855</w:t>
                      </w:r>
                    </w:p>
                  </w:txbxContent>
                </v:textbox>
                <w10:wrap type="none"/>
              </v:shape>
              <v:shape style="position:absolute;left:6583;top:2723;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0.69</w:t>
                      </w:r>
                    </w:p>
                  </w:txbxContent>
                </v:textbox>
                <w10:wrap type="none"/>
              </v:shape>
              <v:shape style="position:absolute;left:7238;top:2723;width:6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1,464,496</w:t>
                      </w:r>
                    </w:p>
                  </w:txbxContent>
                </v:textbox>
                <w10:wrap type="none"/>
              </v:shape>
              <v:shape style="position:absolute;left:8415;top:2723;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0.46</w:t>
                      </w:r>
                    </w:p>
                  </w:txbxContent>
                </v:textbox>
                <w10:wrap type="none"/>
              </v:shape>
              <v:shape style="position:absolute;left:308;top:311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东北大学</w:t>
                      </w:r>
                    </w:p>
                  </w:txbxContent>
                </v:textbox>
                <w10:wrap type="none"/>
              </v:shape>
              <v:shape style="position:absolute;left:1294;top:311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接受劳务</w:t>
                      </w:r>
                    </w:p>
                  </w:txbxContent>
                </v:textbox>
                <w10:wrap type="none"/>
              </v:shape>
              <v:shape style="position:absolute;left:2288;top:3116;width:286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支付劳务服务费 </w:t>
                      </w:r>
                      <w:r>
                        <w:rPr>
                          <w:rFonts w:ascii="宋体" w:hAnsi="宋体" w:cs="宋体" w:eastAsia="宋体" w:hint="default"/>
                          <w:spacing w:val="9"/>
                          <w:sz w:val="15"/>
                          <w:szCs w:val="15"/>
                        </w:rPr>
                        <w:t> </w:t>
                      </w:r>
                      <w:r>
                        <w:rPr>
                          <w:rFonts w:ascii="宋体" w:hAnsi="宋体" w:cs="宋体" w:eastAsia="宋体" w:hint="default"/>
                          <w:sz w:val="15"/>
                          <w:szCs w:val="15"/>
                        </w:rPr>
                        <w:t>根据市场价格经协商确定</w:t>
                      </w:r>
                    </w:p>
                  </w:txbxContent>
                </v:textbox>
                <w10:wrap type="none"/>
              </v:shape>
              <v:shape style="position:absolute;left:5650;top:3132;width:4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108,000</w:t>
                      </w:r>
                    </w:p>
                  </w:txbxContent>
                </v:textbox>
                <w10:wrap type="none"/>
              </v:shape>
              <v:shape style="position:absolute;left:6583;top:3132;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0.01</w:t>
                      </w:r>
                    </w:p>
                  </w:txbxContent>
                </v:textbox>
                <w10:wrap type="none"/>
              </v:shape>
              <v:shape style="position:absolute;left:158;top:3526;width:1737;height:150" type="#_x0000_t202" filled="false" stroked="false">
                <v:textbox inset="0,0,0,0">
                  <w:txbxContent>
                    <w:p>
                      <w:pPr>
                        <w:tabs>
                          <w:tab w:pos="1136"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大连职业学院</w:t>
                        <w:tab/>
                        <w:t>接受劳务</w:t>
                      </w:r>
                    </w:p>
                  </w:txbxContent>
                </v:textbox>
                <w10:wrap type="none"/>
              </v:shape>
              <v:shape style="position:absolute;left:2438;top:352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支付培训费</w:t>
                      </w:r>
                    </w:p>
                  </w:txbxContent>
                </v:textbox>
                <w10:wrap type="none"/>
              </v:shape>
              <v:shape style="position:absolute;left:3497;top:3526;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xbxContent>
                </v:textbox>
                <w10:wrap type="none"/>
              </v:shape>
              <v:shape style="position:absolute;left:5725;top:3543;width:41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12,000</w:t>
                      </w:r>
                    </w:p>
                  </w:txbxContent>
                </v:textbox>
                <w10:wrap type="none"/>
              </v:shape>
              <v:shape style="position:absolute;left:6508;top:3543;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0.002</w:t>
                      </w:r>
                    </w:p>
                  </w:txbxContent>
                </v:textbox>
                <w10:wrap type="none"/>
              </v:shape>
              <v:shape style="position:absolute;left:7351;top:3543;width:4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380,000</w:t>
                      </w:r>
                    </w:p>
                  </w:txbxContent>
                </v:textbox>
                <w10:wrap type="none"/>
              </v:shape>
              <v:shape style="position:absolute;left:8415;top:3543;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0.12</w:t>
                      </w:r>
                    </w:p>
                  </w:txbxContent>
                </v:textbox>
                <w10:wrap type="none"/>
              </v:shape>
              <v:shape style="position:absolute;left:158;top:3937;width:1737;height:150" type="#_x0000_t202" filled="false" stroked="false">
                <v:textbox inset="0,0,0,0">
                  <w:txbxContent>
                    <w:p>
                      <w:pPr>
                        <w:tabs>
                          <w:tab w:pos="1136"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成都职业学院</w:t>
                        <w:tab/>
                        <w:t>接受劳务</w:t>
                      </w:r>
                    </w:p>
                  </w:txbxContent>
                </v:textbox>
                <w10:wrap type="none"/>
              </v:shape>
              <v:shape style="position:absolute;left:2438;top:3937;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支付培训费</w:t>
                      </w:r>
                    </w:p>
                  </w:txbxContent>
                </v:textbox>
                <w10:wrap type="none"/>
              </v:shape>
              <v:shape style="position:absolute;left:3497;top:3937;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xbxContent>
                </v:textbox>
                <w10:wrap type="none"/>
              </v:shape>
              <v:shape style="position:absolute;left:7351;top:3953;width:4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620,000</w:t>
                      </w:r>
                    </w:p>
                  </w:txbxContent>
                </v:textbox>
                <w10:wrap type="none"/>
              </v:shape>
              <v:shape style="position:absolute;left:8415;top:3953;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0.19</w:t>
                      </w:r>
                    </w:p>
                  </w:txbxContent>
                </v:textbox>
                <w10:wrap type="none"/>
              </v:shape>
              <v:shape style="position:absolute;left:158;top:4346;width:1737;height:150" type="#_x0000_t202" filled="false" stroked="false">
                <v:textbox inset="0,0,0,0">
                  <w:txbxContent>
                    <w:p>
                      <w:pPr>
                        <w:tabs>
                          <w:tab w:pos="1136"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盛京熙康公司</w:t>
                        <w:tab/>
                        <w:t>接受劳务</w:t>
                      </w:r>
                    </w:p>
                  </w:txbxContent>
                </v:textbox>
                <w10:wrap type="none"/>
              </v:shape>
              <v:shape style="position:absolute;left:2384;top:434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支付服务费</w:t>
                      </w:r>
                    </w:p>
                  </w:txbxContent>
                </v:textbox>
                <w10:wrap type="none"/>
              </v:shape>
              <v:shape style="position:absolute;left:3497;top:4346;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xbxContent>
                </v:textbox>
                <w10:wrap type="none"/>
              </v:shape>
              <v:shape style="position:absolute;left:7238;top:4362;width:60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1,718,800</w:t>
                      </w:r>
                    </w:p>
                  </w:txbxContent>
                </v:textbox>
                <w10:wrap type="none"/>
              </v:shape>
              <v:shape style="position:absolute;left:8415;top:4362;width:2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0.54</w:t>
                      </w:r>
                    </w:p>
                  </w:txbxContent>
                </v:textbox>
                <w10:wrap type="none"/>
              </v:shape>
              <v:shape style="position:absolute;left:458;top:475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shape style="position:absolute;left:5387;top:4773;width:75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376,661,780</w:t>
                      </w:r>
                    </w:p>
                  </w:txbxContent>
                </v:textbox>
                <w10:wrap type="none"/>
              </v:shape>
              <v:shape style="position:absolute;left:7088;top:4773;width:75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450,763,805</w:t>
                      </w:r>
                    </w:p>
                  </w:txbxContent>
                </v:textbox>
                <w10:wrap type="none"/>
              </v:shape>
            </v:group>
          </v:group>
        </w:pict>
      </w:r>
      <w:r>
        <w:rPr>
          <w:rFonts w:ascii="宋体" w:hAnsi="宋体" w:cs="宋体" w:eastAsia="宋体" w:hint="default"/>
          <w:position w:val="-98"/>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tabs>
          <w:tab w:pos="1395" w:val="left" w:leader="none"/>
        </w:tabs>
        <w:spacing w:before="35"/>
        <w:ind w:left="857" w:right="0" w:firstLine="0"/>
        <w:jc w:val="left"/>
        <w:rPr>
          <w:rFonts w:ascii="宋体" w:hAnsi="宋体" w:cs="宋体" w:eastAsia="宋体" w:hint="default"/>
          <w:sz w:val="21"/>
          <w:szCs w:val="21"/>
        </w:rPr>
      </w:pPr>
      <w:r>
        <w:rPr/>
        <w:pict>
          <v:group style="position:absolute;margin-left:110.519997pt;margin-top:17.073671pt;width:437.1pt;height:287.55pt;mso-position-horizontal-relative:page;mso-position-vertical-relative:paragraph;z-index:-1107976" coordorigin="2210,341" coordsize="8742,5751">
            <v:group style="position:absolute;left:2230;top:356;width:5288;height:2" coordorigin="2230,356" coordsize="5288,2">
              <v:shape style="position:absolute;left:2230;top:356;width:5288;height:2" coordorigin="2230,356" coordsize="5288,0" path="m2230,356l7517,356e" filled="false" stroked="true" strokeweight="1.5pt" strokecolor="#000000">
                <v:path arrowok="t"/>
              </v:shape>
            </v:group>
            <v:group style="position:absolute;left:7517;top:356;width:1716;height:2" coordorigin="7517,356" coordsize="1716,2">
              <v:shape style="position:absolute;left:7517;top:356;width:1716;height:2" coordorigin="7517,356" coordsize="1716,0" path="m7517,356l9233,356e" filled="false" stroked="true" strokeweight="1.5pt" strokecolor="#000000">
                <v:path arrowok="t"/>
              </v:shape>
            </v:group>
            <v:group style="position:absolute;left:9233;top:356;width:1697;height:2" coordorigin="9233,356" coordsize="1697,2">
              <v:shape style="position:absolute;left:9233;top:356;width:1697;height:2" coordorigin="9233,356" coordsize="1697,0" path="m9233,356l10930,356e" filled="false" stroked="true" strokeweight="1.5pt" strokecolor="#000000">
                <v:path arrowok="t"/>
              </v:shape>
              <v:shape style="position:absolute;left:3578;top:348;width:5688;height:446" type="#_x0000_t75" stroked="false">
                <v:imagedata r:id="rId350" o:title=""/>
              </v:shape>
              <v:shape style="position:absolute;left:3582;top:752;width:7370;height:848" type="#_x0000_t75" stroked="false">
                <v:imagedata r:id="rId351" o:title=""/>
              </v:shape>
              <v:shape style="position:absolute;left:2210;top:1562;width:8742;height:4530" type="#_x0000_t75" stroked="false">
                <v:imagedata r:id="rId352" o:title=""/>
              </v:shape>
              <v:shape style="position:absolute;left:8090;top:59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本期金额</w:t>
                      </w:r>
                    </w:p>
                  </w:txbxContent>
                </v:textbox>
                <w10:wrap type="none"/>
              </v:shape>
              <v:shape style="position:absolute;left:9785;top:59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上期金额</w:t>
                      </w:r>
                    </w:p>
                  </w:txbxContent>
                </v:textbox>
                <w10:wrap type="none"/>
              </v:shape>
              <v:shape style="position:absolute;left:3674;top:80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关联交易</w:t>
                      </w:r>
                    </w:p>
                  </w:txbxContent>
                </v:textbox>
                <w10:wrap type="none"/>
              </v:shape>
              <v:shape style="position:absolute;left:5759;top:803;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关联交易定价方式及决策</w:t>
                      </w:r>
                    </w:p>
                  </w:txbxContent>
                </v:textbox>
                <w10:wrap type="none"/>
              </v:shape>
              <v:shape style="position:absolute;left:2570;top:1002;width:6646;height:156" type="#_x0000_t202" filled="false" stroked="false">
                <v:textbox inset="0,0,0,0">
                  <w:txbxContent>
                    <w:p>
                      <w:pPr>
                        <w:tabs>
                          <w:tab w:pos="2005" w:val="left" w:leader="none"/>
                          <w:tab w:pos="6045" w:val="left" w:leader="none"/>
                        </w:tabs>
                        <w:spacing w:line="156" w:lineRule="exact" w:before="0"/>
                        <w:ind w:left="0" w:right="0" w:firstLine="0"/>
                        <w:jc w:val="left"/>
                        <w:rPr>
                          <w:rFonts w:ascii="宋体" w:hAnsi="宋体" w:cs="宋体" w:eastAsia="宋体" w:hint="default"/>
                          <w:sz w:val="15"/>
                          <w:szCs w:val="15"/>
                        </w:rPr>
                      </w:pPr>
                      <w:r>
                        <w:rPr>
                          <w:rFonts w:ascii="宋体" w:hAnsi="宋体" w:cs="宋体" w:eastAsia="宋体" w:hint="default"/>
                          <w:position w:val="1"/>
                          <w:sz w:val="15"/>
                          <w:szCs w:val="15"/>
                        </w:rPr>
                        <w:t>关联方名称</w:t>
                        <w:tab/>
                        <w:t>关联交易内容</w:t>
                        <w:tab/>
                      </w:r>
                      <w:r>
                        <w:rPr>
                          <w:rFonts w:ascii="宋体" w:hAnsi="宋体" w:cs="宋体" w:eastAsia="宋体" w:hint="default"/>
                          <w:sz w:val="15"/>
                          <w:szCs w:val="15"/>
                        </w:rPr>
                        <w:t>占同类交</w:t>
                      </w:r>
                    </w:p>
                  </w:txbxContent>
                </v:textbox>
                <w10:wrap type="none"/>
              </v:shape>
              <v:shape style="position:absolute;left:10231;top:1008;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占同类交</w:t>
                      </w:r>
                    </w:p>
                  </w:txbxContent>
                </v:textbox>
                <w10:wrap type="none"/>
              </v:shape>
              <v:shape style="position:absolute;left:3824;top:1203;width:6011;height:155" type="#_x0000_t202" filled="false" stroked="false">
                <v:textbox inset="0,0,0,0">
                  <w:txbxContent>
                    <w:p>
                      <w:pPr>
                        <w:tabs>
                          <w:tab w:pos="2662" w:val="left" w:leader="none"/>
                          <w:tab w:pos="4069" w:val="left" w:leader="none"/>
                          <w:tab w:pos="5710" w:val="left" w:leader="none"/>
                        </w:tabs>
                        <w:spacing w:line="155"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类型</w:t>
                        <w:tab/>
                        <w:t>程序</w:t>
                        <w:tab/>
                        <w:t>金额</w:t>
                        <w:tab/>
                        <w:t>金额</w:t>
                      </w:r>
                    </w:p>
                  </w:txbxContent>
                </v:textbox>
                <w10:wrap type="none"/>
              </v:shape>
            </v:group>
            <w10:wrap type="none"/>
          </v:group>
        </w:pict>
      </w:r>
      <w:r>
        <w:rPr>
          <w:rFonts w:ascii="宋体" w:hAnsi="宋体" w:cs="宋体" w:eastAsia="宋体" w:hint="default"/>
          <w:b/>
          <w:bCs/>
          <w:w w:val="95"/>
          <w:sz w:val="21"/>
          <w:szCs w:val="21"/>
        </w:rPr>
        <w:t>3、</w:t>
        <w:tab/>
      </w:r>
      <w:r>
        <w:rPr>
          <w:rFonts w:ascii="宋体" w:hAnsi="宋体" w:cs="宋体" w:eastAsia="宋体" w:hint="default"/>
          <w:b/>
          <w:bCs/>
          <w:sz w:val="21"/>
          <w:szCs w:val="21"/>
        </w:rPr>
        <w:t>销售商品、提供劳务的关联交易</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2"/>
          <w:szCs w:val="22"/>
        </w:rPr>
      </w:pPr>
    </w:p>
    <w:tbl>
      <w:tblPr>
        <w:tblW w:w="0" w:type="auto"/>
        <w:jc w:val="left"/>
        <w:tblInd w:w="735" w:type="dxa"/>
        <w:tblLayout w:type="fixed"/>
        <w:tblCellMar>
          <w:top w:w="0" w:type="dxa"/>
          <w:left w:w="0" w:type="dxa"/>
          <w:bottom w:w="0" w:type="dxa"/>
          <w:right w:w="0" w:type="dxa"/>
        </w:tblCellMar>
        <w:tblLook w:val="01E0"/>
      </w:tblPr>
      <w:tblGrid>
        <w:gridCol w:w="1241"/>
        <w:gridCol w:w="932"/>
        <w:gridCol w:w="1268"/>
        <w:gridCol w:w="1976"/>
        <w:gridCol w:w="887"/>
        <w:gridCol w:w="808"/>
        <w:gridCol w:w="810"/>
        <w:gridCol w:w="793"/>
      </w:tblGrid>
      <w:tr>
        <w:trPr>
          <w:trHeight w:val="722" w:hRule="exact"/>
        </w:trPr>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22" w:right="0"/>
              <w:jc w:val="left"/>
              <w:rPr>
                <w:rFonts w:ascii="Times New Roman" w:hAnsi="Times New Roman" w:cs="Times New Roman" w:eastAsia="Times New Roman" w:hint="default"/>
                <w:sz w:val="15"/>
                <w:szCs w:val="15"/>
              </w:rPr>
            </w:pPr>
            <w:r>
              <w:rPr>
                <w:rFonts w:ascii="Times New Roman"/>
                <w:sz w:val="15"/>
              </w:rPr>
              <w:t>Harman</w:t>
            </w:r>
          </w:p>
        </w:tc>
        <w:tc>
          <w:tcPr>
            <w:tcW w:w="93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11"/>
              <w:jc w:val="right"/>
              <w:rPr>
                <w:rFonts w:ascii="宋体" w:hAnsi="宋体" w:cs="宋体" w:eastAsia="宋体" w:hint="default"/>
                <w:sz w:val="15"/>
                <w:szCs w:val="15"/>
              </w:rPr>
            </w:pPr>
            <w:r>
              <w:rPr>
                <w:rFonts w:ascii="宋体" w:hAnsi="宋体" w:cs="宋体" w:eastAsia="宋体" w:hint="default"/>
                <w:sz w:val="15"/>
                <w:szCs w:val="15"/>
              </w:rPr>
              <w:t>销售商品</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13" w:right="0"/>
              <w:jc w:val="left"/>
              <w:rPr>
                <w:rFonts w:ascii="宋体" w:hAnsi="宋体" w:cs="宋体" w:eastAsia="宋体" w:hint="default"/>
                <w:sz w:val="15"/>
                <w:szCs w:val="15"/>
              </w:rPr>
            </w:pPr>
            <w:r>
              <w:rPr>
                <w:rFonts w:ascii="宋体" w:hAnsi="宋体" w:cs="宋体" w:eastAsia="宋体" w:hint="default"/>
                <w:sz w:val="15"/>
                <w:szCs w:val="15"/>
              </w:rPr>
              <w:t>系统集成或软件</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right="29"/>
              <w:jc w:val="right"/>
              <w:rPr>
                <w:rFonts w:ascii="Times New Roman" w:hAnsi="Times New Roman" w:cs="Times New Roman" w:eastAsia="Times New Roman" w:hint="default"/>
                <w:sz w:val="13"/>
                <w:szCs w:val="13"/>
              </w:rPr>
            </w:pPr>
            <w:r>
              <w:rPr>
                <w:rFonts w:ascii="Times New Roman"/>
                <w:w w:val="95"/>
                <w:sz w:val="13"/>
              </w:rPr>
              <w:t>206,724,653</w:t>
            </w:r>
            <w:r>
              <w:rPr>
                <w:rFonts w:ascii="Times New Roman"/>
                <w:sz w:val="13"/>
              </w:rPr>
            </w:r>
          </w:p>
        </w:tc>
        <w:tc>
          <w:tcPr>
            <w:tcW w:w="808" w:type="dxa"/>
            <w:tcBorders>
              <w:top w:val="nil" w:sz="6" w:space="0" w:color="auto"/>
              <w:left w:val="nil" w:sz="6" w:space="0" w:color="auto"/>
              <w:bottom w:val="nil" w:sz="6" w:space="0" w:color="auto"/>
              <w:right w:val="nil" w:sz="6" w:space="0" w:color="auto"/>
            </w:tcBorders>
          </w:tcPr>
          <w:p>
            <w:pPr>
              <w:pStyle w:val="TableParagraph"/>
              <w:spacing w:line="185" w:lineRule="exact"/>
              <w:ind w:left="29"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易比例</w:t>
            </w:r>
            <w:r>
              <w:rPr>
                <w:rFonts w:ascii="Times New Roman" w:hAnsi="Times New Roman" w:cs="Times New Roman" w:eastAsia="Times New Roman" w:hint="default"/>
                <w:sz w:val="15"/>
                <w:szCs w:val="15"/>
              </w:rPr>
              <w:t>(%)</w:t>
            </w:r>
          </w:p>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left="436" w:right="0"/>
              <w:jc w:val="left"/>
              <w:rPr>
                <w:rFonts w:ascii="Times New Roman" w:hAnsi="Times New Roman" w:cs="Times New Roman" w:eastAsia="Times New Roman" w:hint="default"/>
                <w:sz w:val="13"/>
                <w:szCs w:val="13"/>
              </w:rPr>
            </w:pPr>
            <w:r>
              <w:rPr>
                <w:rFonts w:ascii="Times New Roman"/>
                <w:sz w:val="13"/>
              </w:rPr>
              <w:t>4.28</w:t>
            </w:r>
          </w:p>
        </w:tc>
        <w:tc>
          <w:tcPr>
            <w:tcW w:w="8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
              <w:ind w:right="0"/>
              <w:jc w:val="left"/>
              <w:rPr>
                <w:rFonts w:ascii="宋体" w:hAnsi="宋体" w:cs="宋体" w:eastAsia="宋体" w:hint="default"/>
                <w:b/>
                <w:bCs/>
                <w:sz w:val="10"/>
                <w:szCs w:val="10"/>
              </w:rPr>
            </w:pPr>
          </w:p>
          <w:p>
            <w:pPr>
              <w:pStyle w:val="TableParagraph"/>
              <w:spacing w:line="240" w:lineRule="auto"/>
              <w:ind w:left="108" w:right="0"/>
              <w:jc w:val="center"/>
              <w:rPr>
                <w:rFonts w:ascii="Times New Roman" w:hAnsi="Times New Roman" w:cs="Times New Roman" w:eastAsia="Times New Roman" w:hint="default"/>
                <w:sz w:val="13"/>
                <w:szCs w:val="13"/>
              </w:rPr>
            </w:pPr>
            <w:r>
              <w:rPr>
                <w:rFonts w:ascii="Times New Roman"/>
                <w:sz w:val="13"/>
              </w:rPr>
              <w:t>95,361,624</w:t>
            </w:r>
          </w:p>
        </w:tc>
        <w:tc>
          <w:tcPr>
            <w:tcW w:w="793" w:type="dxa"/>
            <w:tcBorders>
              <w:top w:val="nil" w:sz="6" w:space="0" w:color="auto"/>
              <w:left w:val="nil" w:sz="6" w:space="0" w:color="auto"/>
              <w:bottom w:val="nil" w:sz="6" w:space="0" w:color="auto"/>
              <w:right w:val="nil" w:sz="6" w:space="0" w:color="auto"/>
            </w:tcBorders>
          </w:tcPr>
          <w:p>
            <w:pPr>
              <w:pStyle w:val="TableParagraph"/>
              <w:spacing w:line="185" w:lineRule="exact"/>
              <w:ind w:left="57"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易比例</w:t>
            </w:r>
            <w:r>
              <w:rPr>
                <w:rFonts w:ascii="Times New Roman" w:hAnsi="Times New Roman" w:cs="Times New Roman" w:eastAsia="Times New Roman" w:hint="default"/>
                <w:sz w:val="15"/>
                <w:szCs w:val="15"/>
              </w:rPr>
              <w:t>(%)</w:t>
            </w:r>
          </w:p>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left="512" w:right="0"/>
              <w:jc w:val="left"/>
              <w:rPr>
                <w:rFonts w:ascii="Times New Roman" w:hAnsi="Times New Roman" w:cs="Times New Roman" w:eastAsia="Times New Roman" w:hint="default"/>
                <w:sz w:val="13"/>
                <w:szCs w:val="13"/>
              </w:rPr>
            </w:pPr>
            <w:r>
              <w:rPr>
                <w:rFonts w:ascii="Times New Roman"/>
                <w:sz w:val="13"/>
              </w:rPr>
              <w:t>2.46</w:t>
            </w:r>
          </w:p>
        </w:tc>
      </w:tr>
      <w:tr>
        <w:trPr>
          <w:trHeight w:val="410" w:hRule="exact"/>
        </w:trPr>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22" w:right="0"/>
              <w:jc w:val="left"/>
              <w:rPr>
                <w:rFonts w:ascii="宋体" w:hAnsi="宋体" w:cs="宋体" w:eastAsia="宋体" w:hint="default"/>
                <w:sz w:val="15"/>
                <w:szCs w:val="15"/>
              </w:rPr>
            </w:pPr>
            <w:r>
              <w:rPr>
                <w:rFonts w:ascii="宋体" w:hAnsi="宋体" w:cs="宋体" w:eastAsia="宋体" w:hint="default"/>
                <w:sz w:val="15"/>
                <w:szCs w:val="15"/>
              </w:rPr>
              <w:t>东芝公司</w:t>
            </w:r>
          </w:p>
        </w:tc>
        <w:tc>
          <w:tcPr>
            <w:tcW w:w="932"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11"/>
              <w:jc w:val="right"/>
              <w:rPr>
                <w:rFonts w:ascii="宋体" w:hAnsi="宋体" w:cs="宋体" w:eastAsia="宋体" w:hint="default"/>
                <w:sz w:val="15"/>
                <w:szCs w:val="15"/>
              </w:rPr>
            </w:pPr>
            <w:r>
              <w:rPr>
                <w:rFonts w:ascii="宋体" w:hAnsi="宋体" w:cs="宋体" w:eastAsia="宋体" w:hint="default"/>
                <w:sz w:val="15"/>
                <w:szCs w:val="15"/>
              </w:rPr>
              <w:t>销售商品</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13" w:right="0"/>
              <w:jc w:val="left"/>
              <w:rPr>
                <w:rFonts w:ascii="宋体" w:hAnsi="宋体" w:cs="宋体" w:eastAsia="宋体" w:hint="default"/>
                <w:sz w:val="15"/>
                <w:szCs w:val="15"/>
              </w:rPr>
            </w:pPr>
            <w:r>
              <w:rPr>
                <w:rFonts w:ascii="宋体" w:hAnsi="宋体" w:cs="宋体" w:eastAsia="宋体" w:hint="default"/>
                <w:sz w:val="15"/>
                <w:szCs w:val="15"/>
              </w:rPr>
              <w:t>系统集成或软件</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03" w:right="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29"/>
              <w:jc w:val="right"/>
              <w:rPr>
                <w:rFonts w:ascii="Times New Roman" w:hAnsi="Times New Roman" w:cs="Times New Roman" w:eastAsia="Times New Roman" w:hint="default"/>
                <w:sz w:val="13"/>
                <w:szCs w:val="13"/>
              </w:rPr>
            </w:pPr>
            <w:r>
              <w:rPr>
                <w:rFonts w:ascii="Times New Roman"/>
                <w:w w:val="95"/>
                <w:sz w:val="13"/>
              </w:rPr>
              <w:t>164,878,360</w:t>
            </w:r>
            <w:r>
              <w:rPr>
                <w:rFonts w:ascii="Times New Roman"/>
                <w:sz w:val="13"/>
              </w:rPr>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42"/>
              <w:jc w:val="right"/>
              <w:rPr>
                <w:rFonts w:ascii="Times New Roman" w:hAnsi="Times New Roman" w:cs="Times New Roman" w:eastAsia="Times New Roman" w:hint="default"/>
                <w:sz w:val="13"/>
                <w:szCs w:val="13"/>
              </w:rPr>
            </w:pPr>
            <w:r>
              <w:rPr>
                <w:rFonts w:ascii="Times New Roman"/>
                <w:w w:val="95"/>
                <w:sz w:val="13"/>
              </w:rPr>
              <w:t>3.41</w:t>
            </w:r>
            <w:r>
              <w:rPr>
                <w:rFonts w:ascii="Times New Roman"/>
                <w:sz w:val="13"/>
              </w:rPr>
            </w:r>
          </w:p>
        </w:tc>
        <w:tc>
          <w:tcPr>
            <w:tcW w:w="81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left="45" w:right="0"/>
              <w:jc w:val="center"/>
              <w:rPr>
                <w:rFonts w:ascii="Times New Roman" w:hAnsi="Times New Roman" w:cs="Times New Roman" w:eastAsia="Times New Roman" w:hint="default"/>
                <w:sz w:val="13"/>
                <w:szCs w:val="13"/>
              </w:rPr>
            </w:pPr>
            <w:r>
              <w:rPr>
                <w:rFonts w:ascii="Times New Roman"/>
                <w:sz w:val="13"/>
              </w:rPr>
              <w:t>156,733,219</w:t>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53"/>
              <w:jc w:val="right"/>
              <w:rPr>
                <w:rFonts w:ascii="Times New Roman" w:hAnsi="Times New Roman" w:cs="Times New Roman" w:eastAsia="Times New Roman" w:hint="default"/>
                <w:sz w:val="13"/>
                <w:szCs w:val="13"/>
              </w:rPr>
            </w:pPr>
            <w:r>
              <w:rPr>
                <w:rFonts w:ascii="Times New Roman"/>
                <w:w w:val="95"/>
                <w:sz w:val="13"/>
              </w:rPr>
              <w:t>4.04</w:t>
            </w:r>
            <w:r>
              <w:rPr>
                <w:rFonts w:ascii="Times New Roman"/>
                <w:sz w:val="13"/>
              </w:rPr>
            </w:r>
          </w:p>
        </w:tc>
      </w:tr>
      <w:tr>
        <w:trPr>
          <w:trHeight w:val="410" w:hRule="exact"/>
        </w:trPr>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22" w:right="0"/>
              <w:jc w:val="left"/>
              <w:rPr>
                <w:rFonts w:ascii="宋体" w:hAnsi="宋体" w:cs="宋体" w:eastAsia="宋体" w:hint="default"/>
                <w:sz w:val="15"/>
                <w:szCs w:val="15"/>
              </w:rPr>
            </w:pPr>
            <w:r>
              <w:rPr>
                <w:rFonts w:ascii="宋体" w:hAnsi="宋体" w:cs="宋体" w:eastAsia="宋体" w:hint="default"/>
                <w:sz w:val="15"/>
                <w:szCs w:val="15"/>
              </w:rPr>
              <w:t>诺西东软</w:t>
            </w:r>
          </w:p>
        </w:tc>
        <w:tc>
          <w:tcPr>
            <w:tcW w:w="93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11"/>
              <w:jc w:val="right"/>
              <w:rPr>
                <w:rFonts w:ascii="宋体" w:hAnsi="宋体" w:cs="宋体" w:eastAsia="宋体" w:hint="default"/>
                <w:sz w:val="15"/>
                <w:szCs w:val="15"/>
              </w:rPr>
            </w:pPr>
            <w:r>
              <w:rPr>
                <w:rFonts w:ascii="宋体" w:hAnsi="宋体" w:cs="宋体" w:eastAsia="宋体" w:hint="default"/>
                <w:sz w:val="15"/>
                <w:szCs w:val="15"/>
              </w:rPr>
              <w:t>销售商品</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13" w:right="0"/>
              <w:jc w:val="left"/>
              <w:rPr>
                <w:rFonts w:ascii="宋体" w:hAnsi="宋体" w:cs="宋体" w:eastAsia="宋体" w:hint="default"/>
                <w:sz w:val="15"/>
                <w:szCs w:val="15"/>
              </w:rPr>
            </w:pPr>
            <w:r>
              <w:rPr>
                <w:rFonts w:ascii="宋体" w:hAnsi="宋体" w:cs="宋体" w:eastAsia="宋体" w:hint="default"/>
                <w:sz w:val="15"/>
                <w:szCs w:val="15"/>
              </w:rPr>
              <w:t>系统集成或软件</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3" w:right="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29"/>
              <w:jc w:val="right"/>
              <w:rPr>
                <w:rFonts w:ascii="Times New Roman" w:hAnsi="Times New Roman" w:cs="Times New Roman" w:eastAsia="Times New Roman" w:hint="default"/>
                <w:sz w:val="13"/>
                <w:szCs w:val="13"/>
              </w:rPr>
            </w:pPr>
            <w:r>
              <w:rPr>
                <w:rFonts w:ascii="Times New Roman"/>
                <w:w w:val="95"/>
                <w:sz w:val="13"/>
              </w:rPr>
              <w:t>132,531,471</w:t>
            </w:r>
            <w:r>
              <w:rPr>
                <w:rFonts w:ascii="Times New Roman"/>
                <w:sz w:val="13"/>
              </w:rPr>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42"/>
              <w:jc w:val="right"/>
              <w:rPr>
                <w:rFonts w:ascii="Times New Roman" w:hAnsi="Times New Roman" w:cs="Times New Roman" w:eastAsia="Times New Roman" w:hint="default"/>
                <w:sz w:val="13"/>
                <w:szCs w:val="13"/>
              </w:rPr>
            </w:pPr>
            <w:r>
              <w:rPr>
                <w:rFonts w:ascii="Times New Roman"/>
                <w:w w:val="95"/>
                <w:sz w:val="13"/>
              </w:rPr>
              <w:t>2.74</w:t>
            </w:r>
            <w:r>
              <w:rPr>
                <w:rFonts w:ascii="Times New Roman"/>
                <w:sz w:val="13"/>
              </w:rPr>
            </w:r>
          </w:p>
        </w:tc>
        <w:tc>
          <w:tcPr>
            <w:tcW w:w="81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left="45" w:right="0"/>
              <w:jc w:val="center"/>
              <w:rPr>
                <w:rFonts w:ascii="Times New Roman" w:hAnsi="Times New Roman" w:cs="Times New Roman" w:eastAsia="Times New Roman" w:hint="default"/>
                <w:sz w:val="13"/>
                <w:szCs w:val="13"/>
              </w:rPr>
            </w:pPr>
            <w:r>
              <w:rPr>
                <w:rFonts w:ascii="Times New Roman"/>
                <w:sz w:val="13"/>
              </w:rPr>
              <w:t>117,083,320</w:t>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53"/>
              <w:jc w:val="right"/>
              <w:rPr>
                <w:rFonts w:ascii="Times New Roman" w:hAnsi="Times New Roman" w:cs="Times New Roman" w:eastAsia="Times New Roman" w:hint="default"/>
                <w:sz w:val="13"/>
                <w:szCs w:val="13"/>
              </w:rPr>
            </w:pPr>
            <w:r>
              <w:rPr>
                <w:rFonts w:ascii="Times New Roman"/>
                <w:w w:val="95"/>
                <w:sz w:val="13"/>
              </w:rPr>
              <w:t>3.02</w:t>
            </w:r>
            <w:r>
              <w:rPr>
                <w:rFonts w:ascii="Times New Roman"/>
                <w:sz w:val="13"/>
              </w:rPr>
            </w:r>
          </w:p>
        </w:tc>
      </w:tr>
      <w:tr>
        <w:trPr>
          <w:trHeight w:val="410" w:hRule="exact"/>
        </w:trPr>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22" w:right="0"/>
              <w:jc w:val="left"/>
              <w:rPr>
                <w:rFonts w:ascii="宋体" w:hAnsi="宋体" w:cs="宋体" w:eastAsia="宋体" w:hint="default"/>
                <w:sz w:val="15"/>
                <w:szCs w:val="15"/>
              </w:rPr>
            </w:pPr>
            <w:r>
              <w:rPr>
                <w:rFonts w:ascii="宋体" w:hAnsi="宋体" w:cs="宋体" w:eastAsia="宋体" w:hint="default"/>
                <w:sz w:val="15"/>
                <w:szCs w:val="15"/>
              </w:rPr>
              <w:t>阿尔派</w:t>
            </w:r>
          </w:p>
        </w:tc>
        <w:tc>
          <w:tcPr>
            <w:tcW w:w="93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11"/>
              <w:jc w:val="right"/>
              <w:rPr>
                <w:rFonts w:ascii="宋体" w:hAnsi="宋体" w:cs="宋体" w:eastAsia="宋体" w:hint="default"/>
                <w:sz w:val="15"/>
                <w:szCs w:val="15"/>
              </w:rPr>
            </w:pPr>
            <w:r>
              <w:rPr>
                <w:rFonts w:ascii="宋体" w:hAnsi="宋体" w:cs="宋体" w:eastAsia="宋体" w:hint="default"/>
                <w:sz w:val="15"/>
                <w:szCs w:val="15"/>
              </w:rPr>
              <w:t>销售商品</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13" w:right="0"/>
              <w:jc w:val="left"/>
              <w:rPr>
                <w:rFonts w:ascii="宋体" w:hAnsi="宋体" w:cs="宋体" w:eastAsia="宋体" w:hint="default"/>
                <w:sz w:val="15"/>
                <w:szCs w:val="15"/>
              </w:rPr>
            </w:pPr>
            <w:r>
              <w:rPr>
                <w:rFonts w:ascii="宋体" w:hAnsi="宋体" w:cs="宋体" w:eastAsia="宋体" w:hint="default"/>
                <w:sz w:val="15"/>
                <w:szCs w:val="15"/>
              </w:rPr>
              <w:t>系统集成或软件</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3" w:right="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29"/>
              <w:jc w:val="right"/>
              <w:rPr>
                <w:rFonts w:ascii="Times New Roman" w:hAnsi="Times New Roman" w:cs="Times New Roman" w:eastAsia="Times New Roman" w:hint="default"/>
                <w:sz w:val="13"/>
                <w:szCs w:val="13"/>
              </w:rPr>
            </w:pPr>
            <w:r>
              <w:rPr>
                <w:rFonts w:ascii="Times New Roman"/>
                <w:w w:val="95"/>
                <w:sz w:val="13"/>
              </w:rPr>
              <w:t>109,640,721</w:t>
            </w:r>
            <w:r>
              <w:rPr>
                <w:rFonts w:ascii="Times New Roman"/>
                <w:sz w:val="13"/>
              </w:rPr>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42"/>
              <w:jc w:val="right"/>
              <w:rPr>
                <w:rFonts w:ascii="Times New Roman" w:hAnsi="Times New Roman" w:cs="Times New Roman" w:eastAsia="Times New Roman" w:hint="default"/>
                <w:sz w:val="13"/>
                <w:szCs w:val="13"/>
              </w:rPr>
            </w:pPr>
            <w:r>
              <w:rPr>
                <w:rFonts w:ascii="Times New Roman"/>
                <w:w w:val="95"/>
                <w:sz w:val="13"/>
              </w:rPr>
              <w:t>2.27</w:t>
            </w:r>
            <w:r>
              <w:rPr>
                <w:rFonts w:ascii="Times New Roman"/>
                <w:sz w:val="13"/>
              </w:rPr>
            </w:r>
          </w:p>
        </w:tc>
        <w:tc>
          <w:tcPr>
            <w:tcW w:w="81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left="45" w:right="0"/>
              <w:jc w:val="center"/>
              <w:rPr>
                <w:rFonts w:ascii="Times New Roman" w:hAnsi="Times New Roman" w:cs="Times New Roman" w:eastAsia="Times New Roman" w:hint="default"/>
                <w:sz w:val="13"/>
                <w:szCs w:val="13"/>
              </w:rPr>
            </w:pPr>
            <w:r>
              <w:rPr>
                <w:rFonts w:ascii="Times New Roman"/>
                <w:sz w:val="13"/>
              </w:rPr>
              <w:t>100,441,334</w:t>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53"/>
              <w:jc w:val="right"/>
              <w:rPr>
                <w:rFonts w:ascii="Times New Roman" w:hAnsi="Times New Roman" w:cs="Times New Roman" w:eastAsia="Times New Roman" w:hint="default"/>
                <w:sz w:val="13"/>
                <w:szCs w:val="13"/>
              </w:rPr>
            </w:pPr>
            <w:r>
              <w:rPr>
                <w:rFonts w:ascii="Times New Roman"/>
                <w:w w:val="95"/>
                <w:sz w:val="13"/>
              </w:rPr>
              <w:t>2.59</w:t>
            </w:r>
            <w:r>
              <w:rPr>
                <w:rFonts w:ascii="Times New Roman"/>
                <w:sz w:val="13"/>
              </w:rPr>
            </w:r>
          </w:p>
        </w:tc>
      </w:tr>
      <w:tr>
        <w:trPr>
          <w:trHeight w:val="410" w:hRule="exact"/>
        </w:trPr>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22" w:right="0"/>
              <w:jc w:val="left"/>
              <w:rPr>
                <w:rFonts w:ascii="宋体" w:hAnsi="宋体" w:cs="宋体" w:eastAsia="宋体" w:hint="default"/>
                <w:sz w:val="15"/>
                <w:szCs w:val="15"/>
              </w:rPr>
            </w:pPr>
            <w:r>
              <w:rPr>
                <w:rFonts w:ascii="宋体" w:hAnsi="宋体" w:cs="宋体" w:eastAsia="宋体" w:hint="default"/>
                <w:sz w:val="15"/>
                <w:szCs w:val="15"/>
              </w:rPr>
              <w:t>东软信息学院</w:t>
            </w:r>
          </w:p>
        </w:tc>
        <w:tc>
          <w:tcPr>
            <w:tcW w:w="932"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11"/>
              <w:jc w:val="right"/>
              <w:rPr>
                <w:rFonts w:ascii="宋体" w:hAnsi="宋体" w:cs="宋体" w:eastAsia="宋体" w:hint="default"/>
                <w:sz w:val="15"/>
                <w:szCs w:val="15"/>
              </w:rPr>
            </w:pPr>
            <w:r>
              <w:rPr>
                <w:rFonts w:ascii="宋体" w:hAnsi="宋体" w:cs="宋体" w:eastAsia="宋体" w:hint="default"/>
                <w:sz w:val="15"/>
                <w:szCs w:val="15"/>
              </w:rPr>
              <w:t>销售商品</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13" w:right="0"/>
              <w:jc w:val="left"/>
              <w:rPr>
                <w:rFonts w:ascii="宋体" w:hAnsi="宋体" w:cs="宋体" w:eastAsia="宋体" w:hint="default"/>
                <w:sz w:val="15"/>
                <w:szCs w:val="15"/>
              </w:rPr>
            </w:pPr>
            <w:r>
              <w:rPr>
                <w:rFonts w:ascii="宋体" w:hAnsi="宋体" w:cs="宋体" w:eastAsia="宋体" w:hint="default"/>
                <w:sz w:val="15"/>
                <w:szCs w:val="15"/>
              </w:rPr>
              <w:t>系统集成或软件</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03" w:right="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28"/>
              <w:jc w:val="right"/>
              <w:rPr>
                <w:rFonts w:ascii="Times New Roman" w:hAnsi="Times New Roman" w:cs="Times New Roman" w:eastAsia="Times New Roman" w:hint="default"/>
                <w:sz w:val="13"/>
                <w:szCs w:val="13"/>
              </w:rPr>
            </w:pPr>
            <w:r>
              <w:rPr>
                <w:rFonts w:ascii="Times New Roman"/>
                <w:w w:val="95"/>
                <w:sz w:val="13"/>
              </w:rPr>
              <w:t>10,967,200</w:t>
            </w:r>
            <w:r>
              <w:rPr>
                <w:rFonts w:ascii="Times New Roman"/>
                <w:sz w:val="13"/>
              </w:rPr>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42"/>
              <w:jc w:val="right"/>
              <w:rPr>
                <w:rFonts w:ascii="Times New Roman" w:hAnsi="Times New Roman" w:cs="Times New Roman" w:eastAsia="Times New Roman" w:hint="default"/>
                <w:sz w:val="13"/>
                <w:szCs w:val="13"/>
              </w:rPr>
            </w:pPr>
            <w:r>
              <w:rPr>
                <w:rFonts w:ascii="Times New Roman"/>
                <w:w w:val="95"/>
                <w:sz w:val="13"/>
              </w:rPr>
              <w:t>0.23</w:t>
            </w:r>
            <w:r>
              <w:rPr>
                <w:rFonts w:ascii="Times New Roman"/>
                <w:sz w:val="13"/>
              </w:rPr>
            </w:r>
          </w:p>
        </w:tc>
        <w:tc>
          <w:tcPr>
            <w:tcW w:w="81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left="108" w:right="0"/>
              <w:jc w:val="center"/>
              <w:rPr>
                <w:rFonts w:ascii="Times New Roman" w:hAnsi="Times New Roman" w:cs="Times New Roman" w:eastAsia="Times New Roman" w:hint="default"/>
                <w:sz w:val="13"/>
                <w:szCs w:val="13"/>
              </w:rPr>
            </w:pPr>
            <w:r>
              <w:rPr>
                <w:rFonts w:ascii="Times New Roman"/>
                <w:sz w:val="13"/>
              </w:rPr>
              <w:t>11,467,200</w:t>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53"/>
              <w:jc w:val="right"/>
              <w:rPr>
                <w:rFonts w:ascii="Times New Roman" w:hAnsi="Times New Roman" w:cs="Times New Roman" w:eastAsia="Times New Roman" w:hint="default"/>
                <w:sz w:val="13"/>
                <w:szCs w:val="13"/>
              </w:rPr>
            </w:pPr>
            <w:r>
              <w:rPr>
                <w:rFonts w:ascii="Times New Roman"/>
                <w:w w:val="95"/>
                <w:sz w:val="13"/>
              </w:rPr>
              <w:t>0.30</w:t>
            </w:r>
            <w:r>
              <w:rPr>
                <w:rFonts w:ascii="Times New Roman"/>
                <w:sz w:val="13"/>
              </w:rPr>
            </w:r>
          </w:p>
        </w:tc>
      </w:tr>
      <w:tr>
        <w:trPr>
          <w:trHeight w:val="410" w:hRule="exact"/>
        </w:trPr>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22" w:right="0"/>
              <w:jc w:val="left"/>
              <w:rPr>
                <w:rFonts w:ascii="宋体" w:hAnsi="宋体" w:cs="宋体" w:eastAsia="宋体" w:hint="default"/>
                <w:sz w:val="15"/>
                <w:szCs w:val="15"/>
              </w:rPr>
            </w:pPr>
            <w:r>
              <w:rPr>
                <w:rFonts w:ascii="宋体" w:hAnsi="宋体" w:cs="宋体" w:eastAsia="宋体" w:hint="default"/>
                <w:sz w:val="15"/>
                <w:szCs w:val="15"/>
              </w:rPr>
              <w:t>大连职业学院</w:t>
            </w:r>
          </w:p>
        </w:tc>
        <w:tc>
          <w:tcPr>
            <w:tcW w:w="93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11"/>
              <w:jc w:val="right"/>
              <w:rPr>
                <w:rFonts w:ascii="宋体" w:hAnsi="宋体" w:cs="宋体" w:eastAsia="宋体" w:hint="default"/>
                <w:sz w:val="15"/>
                <w:szCs w:val="15"/>
              </w:rPr>
            </w:pPr>
            <w:r>
              <w:rPr>
                <w:rFonts w:ascii="宋体" w:hAnsi="宋体" w:cs="宋体" w:eastAsia="宋体" w:hint="default"/>
                <w:sz w:val="15"/>
                <w:szCs w:val="15"/>
              </w:rPr>
              <w:t>销售商品</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13" w:right="0"/>
              <w:jc w:val="left"/>
              <w:rPr>
                <w:rFonts w:ascii="宋体" w:hAnsi="宋体" w:cs="宋体" w:eastAsia="宋体" w:hint="default"/>
                <w:sz w:val="15"/>
                <w:szCs w:val="15"/>
              </w:rPr>
            </w:pPr>
            <w:r>
              <w:rPr>
                <w:rFonts w:ascii="宋体" w:hAnsi="宋体" w:cs="宋体" w:eastAsia="宋体" w:hint="default"/>
                <w:sz w:val="15"/>
                <w:szCs w:val="15"/>
              </w:rPr>
              <w:t>系统集成或软件</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3" w:right="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28"/>
              <w:jc w:val="right"/>
              <w:rPr>
                <w:rFonts w:ascii="Times New Roman" w:hAnsi="Times New Roman" w:cs="Times New Roman" w:eastAsia="Times New Roman" w:hint="default"/>
                <w:sz w:val="13"/>
                <w:szCs w:val="13"/>
              </w:rPr>
            </w:pPr>
            <w:r>
              <w:rPr>
                <w:rFonts w:ascii="Times New Roman"/>
                <w:w w:val="95"/>
                <w:sz w:val="13"/>
              </w:rPr>
              <w:t>5,000,000</w:t>
            </w:r>
            <w:r>
              <w:rPr>
                <w:rFonts w:ascii="Times New Roman"/>
                <w:sz w:val="13"/>
              </w:rPr>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42"/>
              <w:jc w:val="right"/>
              <w:rPr>
                <w:rFonts w:ascii="Times New Roman" w:hAnsi="Times New Roman" w:cs="Times New Roman" w:eastAsia="Times New Roman" w:hint="default"/>
                <w:sz w:val="13"/>
                <w:szCs w:val="13"/>
              </w:rPr>
            </w:pPr>
            <w:r>
              <w:rPr>
                <w:rFonts w:ascii="Times New Roman"/>
                <w:w w:val="95"/>
                <w:sz w:val="13"/>
              </w:rPr>
              <w:t>0.10</w:t>
            </w:r>
            <w:r>
              <w:rPr>
                <w:rFonts w:ascii="Times New Roman"/>
                <w:sz w:val="13"/>
              </w:rPr>
            </w:r>
          </w:p>
        </w:tc>
        <w:tc>
          <w:tcPr>
            <w:tcW w:w="81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left="175" w:right="0"/>
              <w:jc w:val="center"/>
              <w:rPr>
                <w:rFonts w:ascii="Times New Roman" w:hAnsi="Times New Roman" w:cs="Times New Roman" w:eastAsia="Times New Roman" w:hint="default"/>
                <w:sz w:val="13"/>
                <w:szCs w:val="13"/>
              </w:rPr>
            </w:pPr>
            <w:r>
              <w:rPr>
                <w:rFonts w:ascii="Times New Roman"/>
                <w:sz w:val="13"/>
              </w:rPr>
              <w:t>5,345,000</w:t>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53"/>
              <w:jc w:val="right"/>
              <w:rPr>
                <w:rFonts w:ascii="Times New Roman" w:hAnsi="Times New Roman" w:cs="Times New Roman" w:eastAsia="Times New Roman" w:hint="default"/>
                <w:sz w:val="13"/>
                <w:szCs w:val="13"/>
              </w:rPr>
            </w:pPr>
            <w:r>
              <w:rPr>
                <w:rFonts w:ascii="Times New Roman"/>
                <w:w w:val="95"/>
                <w:sz w:val="13"/>
              </w:rPr>
              <w:t>0.14</w:t>
            </w:r>
            <w:r>
              <w:rPr>
                <w:rFonts w:ascii="Times New Roman"/>
                <w:sz w:val="13"/>
              </w:rPr>
            </w:r>
          </w:p>
        </w:tc>
      </w:tr>
      <w:tr>
        <w:trPr>
          <w:trHeight w:val="410" w:hRule="exact"/>
        </w:trPr>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22" w:right="0"/>
              <w:jc w:val="left"/>
              <w:rPr>
                <w:rFonts w:ascii="宋体" w:hAnsi="宋体" w:cs="宋体" w:eastAsia="宋体" w:hint="default"/>
                <w:sz w:val="15"/>
                <w:szCs w:val="15"/>
              </w:rPr>
            </w:pPr>
            <w:r>
              <w:rPr>
                <w:rFonts w:ascii="宋体" w:hAnsi="宋体" w:cs="宋体" w:eastAsia="宋体" w:hint="default"/>
                <w:sz w:val="15"/>
                <w:szCs w:val="15"/>
              </w:rPr>
              <w:t>成都职业学院</w:t>
            </w:r>
          </w:p>
        </w:tc>
        <w:tc>
          <w:tcPr>
            <w:tcW w:w="93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11"/>
              <w:jc w:val="right"/>
              <w:rPr>
                <w:rFonts w:ascii="宋体" w:hAnsi="宋体" w:cs="宋体" w:eastAsia="宋体" w:hint="default"/>
                <w:sz w:val="15"/>
                <w:szCs w:val="15"/>
              </w:rPr>
            </w:pPr>
            <w:r>
              <w:rPr>
                <w:rFonts w:ascii="宋体" w:hAnsi="宋体" w:cs="宋体" w:eastAsia="宋体" w:hint="default"/>
                <w:sz w:val="15"/>
                <w:szCs w:val="15"/>
              </w:rPr>
              <w:t>销售商品</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13" w:right="0"/>
              <w:jc w:val="left"/>
              <w:rPr>
                <w:rFonts w:ascii="宋体" w:hAnsi="宋体" w:cs="宋体" w:eastAsia="宋体" w:hint="default"/>
                <w:sz w:val="15"/>
                <w:szCs w:val="15"/>
              </w:rPr>
            </w:pPr>
            <w:r>
              <w:rPr>
                <w:rFonts w:ascii="宋体" w:hAnsi="宋体" w:cs="宋体" w:eastAsia="宋体" w:hint="default"/>
                <w:sz w:val="15"/>
                <w:szCs w:val="15"/>
              </w:rPr>
              <w:t>系统集成或软件</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3" w:right="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28"/>
              <w:jc w:val="right"/>
              <w:rPr>
                <w:rFonts w:ascii="Times New Roman" w:hAnsi="Times New Roman" w:cs="Times New Roman" w:eastAsia="Times New Roman" w:hint="default"/>
                <w:sz w:val="13"/>
                <w:szCs w:val="13"/>
              </w:rPr>
            </w:pPr>
            <w:r>
              <w:rPr>
                <w:rFonts w:ascii="Times New Roman"/>
                <w:w w:val="95"/>
                <w:sz w:val="13"/>
              </w:rPr>
              <w:t>3,933,333</w:t>
            </w:r>
            <w:r>
              <w:rPr>
                <w:rFonts w:ascii="Times New Roman"/>
                <w:sz w:val="13"/>
              </w:rPr>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42"/>
              <w:jc w:val="right"/>
              <w:rPr>
                <w:rFonts w:ascii="Times New Roman" w:hAnsi="Times New Roman" w:cs="Times New Roman" w:eastAsia="Times New Roman" w:hint="default"/>
                <w:sz w:val="13"/>
                <w:szCs w:val="13"/>
              </w:rPr>
            </w:pPr>
            <w:r>
              <w:rPr>
                <w:rFonts w:ascii="Times New Roman"/>
                <w:w w:val="95"/>
                <w:sz w:val="13"/>
              </w:rPr>
              <w:t>0.08</w:t>
            </w:r>
            <w:r>
              <w:rPr>
                <w:rFonts w:ascii="Times New Roman"/>
                <w:sz w:val="13"/>
              </w:rPr>
            </w:r>
          </w:p>
        </w:tc>
        <w:tc>
          <w:tcPr>
            <w:tcW w:w="81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left="175" w:right="0"/>
              <w:jc w:val="center"/>
              <w:rPr>
                <w:rFonts w:ascii="Times New Roman" w:hAnsi="Times New Roman" w:cs="Times New Roman" w:eastAsia="Times New Roman" w:hint="default"/>
                <w:sz w:val="13"/>
                <w:szCs w:val="13"/>
              </w:rPr>
            </w:pPr>
            <w:r>
              <w:rPr>
                <w:rFonts w:ascii="Times New Roman"/>
                <w:sz w:val="13"/>
              </w:rPr>
              <w:t>5,150,000</w:t>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53"/>
              <w:jc w:val="right"/>
              <w:rPr>
                <w:rFonts w:ascii="Times New Roman" w:hAnsi="Times New Roman" w:cs="Times New Roman" w:eastAsia="Times New Roman" w:hint="default"/>
                <w:sz w:val="13"/>
                <w:szCs w:val="13"/>
              </w:rPr>
            </w:pPr>
            <w:r>
              <w:rPr>
                <w:rFonts w:ascii="Times New Roman"/>
                <w:w w:val="95"/>
                <w:sz w:val="13"/>
              </w:rPr>
              <w:t>0.13</w:t>
            </w:r>
            <w:r>
              <w:rPr>
                <w:rFonts w:ascii="Times New Roman"/>
                <w:sz w:val="13"/>
              </w:rPr>
            </w:r>
          </w:p>
        </w:tc>
      </w:tr>
      <w:tr>
        <w:trPr>
          <w:trHeight w:val="410" w:hRule="exact"/>
        </w:trPr>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22" w:right="0"/>
              <w:jc w:val="left"/>
              <w:rPr>
                <w:rFonts w:ascii="宋体" w:hAnsi="宋体" w:cs="宋体" w:eastAsia="宋体" w:hint="default"/>
                <w:sz w:val="15"/>
                <w:szCs w:val="15"/>
              </w:rPr>
            </w:pPr>
            <w:r>
              <w:rPr>
                <w:rFonts w:ascii="宋体" w:hAnsi="宋体" w:cs="宋体" w:eastAsia="宋体" w:hint="default"/>
                <w:sz w:val="15"/>
                <w:szCs w:val="15"/>
              </w:rPr>
              <w:t>重庆国奥百年</w:t>
            </w:r>
          </w:p>
        </w:tc>
        <w:tc>
          <w:tcPr>
            <w:tcW w:w="932"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11"/>
              <w:jc w:val="right"/>
              <w:rPr>
                <w:rFonts w:ascii="宋体" w:hAnsi="宋体" w:cs="宋体" w:eastAsia="宋体" w:hint="default"/>
                <w:sz w:val="15"/>
                <w:szCs w:val="15"/>
              </w:rPr>
            </w:pPr>
            <w:r>
              <w:rPr>
                <w:rFonts w:ascii="宋体" w:hAnsi="宋体" w:cs="宋体" w:eastAsia="宋体" w:hint="default"/>
                <w:sz w:val="15"/>
                <w:szCs w:val="15"/>
              </w:rPr>
              <w:t>销售商品</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14" w:right="0"/>
              <w:jc w:val="left"/>
              <w:rPr>
                <w:rFonts w:ascii="宋体" w:hAnsi="宋体" w:cs="宋体" w:eastAsia="宋体" w:hint="default"/>
                <w:sz w:val="15"/>
                <w:szCs w:val="15"/>
              </w:rPr>
            </w:pPr>
            <w:r>
              <w:rPr>
                <w:rFonts w:ascii="宋体" w:hAnsi="宋体" w:cs="宋体" w:eastAsia="宋体" w:hint="default"/>
                <w:sz w:val="15"/>
                <w:szCs w:val="15"/>
              </w:rPr>
              <w:t>系统集成或软件</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18" w:right="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28"/>
              <w:jc w:val="right"/>
              <w:rPr>
                <w:rFonts w:ascii="Times New Roman" w:hAnsi="Times New Roman" w:cs="Times New Roman" w:eastAsia="Times New Roman" w:hint="default"/>
                <w:sz w:val="13"/>
                <w:szCs w:val="13"/>
              </w:rPr>
            </w:pPr>
            <w:r>
              <w:rPr>
                <w:rFonts w:ascii="Times New Roman"/>
                <w:w w:val="95"/>
                <w:sz w:val="13"/>
              </w:rPr>
              <w:t>3,522,802</w:t>
            </w:r>
            <w:r>
              <w:rPr>
                <w:rFonts w:ascii="Times New Roman"/>
                <w:sz w:val="13"/>
              </w:rPr>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42"/>
              <w:jc w:val="right"/>
              <w:rPr>
                <w:rFonts w:ascii="Times New Roman" w:hAnsi="Times New Roman" w:cs="Times New Roman" w:eastAsia="Times New Roman" w:hint="default"/>
                <w:sz w:val="13"/>
                <w:szCs w:val="13"/>
              </w:rPr>
            </w:pPr>
            <w:r>
              <w:rPr>
                <w:rFonts w:ascii="Times New Roman"/>
                <w:w w:val="95"/>
                <w:sz w:val="13"/>
              </w:rPr>
              <w:t>0.07</w:t>
            </w:r>
            <w:r>
              <w:rPr>
                <w:rFonts w:ascii="Times New Roman"/>
                <w:sz w:val="13"/>
              </w:rPr>
            </w:r>
          </w:p>
        </w:tc>
        <w:tc>
          <w:tcPr>
            <w:tcW w:w="810" w:type="dxa"/>
            <w:tcBorders>
              <w:top w:val="nil" w:sz="6" w:space="0" w:color="auto"/>
              <w:left w:val="nil" w:sz="6" w:space="0" w:color="auto"/>
              <w:bottom w:val="nil" w:sz="6" w:space="0" w:color="auto"/>
              <w:right w:val="nil" w:sz="6" w:space="0" w:color="auto"/>
            </w:tcBorders>
          </w:tcPr>
          <w:p>
            <w:pPr/>
          </w:p>
        </w:tc>
        <w:tc>
          <w:tcPr>
            <w:tcW w:w="793" w:type="dxa"/>
            <w:tcBorders>
              <w:top w:val="nil" w:sz="6" w:space="0" w:color="auto"/>
              <w:left w:val="nil" w:sz="6" w:space="0" w:color="auto"/>
              <w:bottom w:val="nil" w:sz="6" w:space="0" w:color="auto"/>
              <w:right w:val="nil" w:sz="6" w:space="0" w:color="auto"/>
            </w:tcBorders>
          </w:tcPr>
          <w:p>
            <w:pPr/>
          </w:p>
        </w:tc>
      </w:tr>
      <w:tr>
        <w:trPr>
          <w:trHeight w:val="410" w:hRule="exact"/>
        </w:trPr>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22" w:right="0"/>
              <w:jc w:val="left"/>
              <w:rPr>
                <w:rFonts w:ascii="宋体" w:hAnsi="宋体" w:cs="宋体" w:eastAsia="宋体" w:hint="default"/>
                <w:sz w:val="15"/>
                <w:szCs w:val="15"/>
              </w:rPr>
            </w:pPr>
            <w:r>
              <w:rPr>
                <w:rFonts w:ascii="宋体" w:hAnsi="宋体" w:cs="宋体" w:eastAsia="宋体" w:hint="default"/>
                <w:sz w:val="15"/>
                <w:szCs w:val="15"/>
              </w:rPr>
              <w:t>南海职业学院</w:t>
            </w:r>
          </w:p>
        </w:tc>
        <w:tc>
          <w:tcPr>
            <w:tcW w:w="93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11"/>
              <w:jc w:val="right"/>
              <w:rPr>
                <w:rFonts w:ascii="宋体" w:hAnsi="宋体" w:cs="宋体" w:eastAsia="宋体" w:hint="default"/>
                <w:sz w:val="15"/>
                <w:szCs w:val="15"/>
              </w:rPr>
            </w:pPr>
            <w:r>
              <w:rPr>
                <w:rFonts w:ascii="宋体" w:hAnsi="宋体" w:cs="宋体" w:eastAsia="宋体" w:hint="default"/>
                <w:sz w:val="15"/>
                <w:szCs w:val="15"/>
              </w:rPr>
              <w:t>销售商品</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13" w:right="0"/>
              <w:jc w:val="left"/>
              <w:rPr>
                <w:rFonts w:ascii="宋体" w:hAnsi="宋体" w:cs="宋体" w:eastAsia="宋体" w:hint="default"/>
                <w:sz w:val="15"/>
                <w:szCs w:val="15"/>
              </w:rPr>
            </w:pPr>
            <w:r>
              <w:rPr>
                <w:rFonts w:ascii="宋体" w:hAnsi="宋体" w:cs="宋体" w:eastAsia="宋体" w:hint="default"/>
                <w:sz w:val="15"/>
                <w:szCs w:val="15"/>
              </w:rPr>
              <w:t>系统集成或软件</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3" w:right="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28"/>
              <w:jc w:val="right"/>
              <w:rPr>
                <w:rFonts w:ascii="Times New Roman" w:hAnsi="Times New Roman" w:cs="Times New Roman" w:eastAsia="Times New Roman" w:hint="default"/>
                <w:sz w:val="13"/>
                <w:szCs w:val="13"/>
              </w:rPr>
            </w:pPr>
            <w:r>
              <w:rPr>
                <w:rFonts w:ascii="Times New Roman"/>
                <w:w w:val="95"/>
                <w:sz w:val="13"/>
              </w:rPr>
              <w:t>1,500,000</w:t>
            </w:r>
            <w:r>
              <w:rPr>
                <w:rFonts w:ascii="Times New Roman"/>
                <w:sz w:val="13"/>
              </w:rPr>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42"/>
              <w:jc w:val="right"/>
              <w:rPr>
                <w:rFonts w:ascii="Times New Roman" w:hAnsi="Times New Roman" w:cs="Times New Roman" w:eastAsia="Times New Roman" w:hint="default"/>
                <w:sz w:val="13"/>
                <w:szCs w:val="13"/>
              </w:rPr>
            </w:pPr>
            <w:r>
              <w:rPr>
                <w:rFonts w:ascii="Times New Roman"/>
                <w:w w:val="95"/>
                <w:sz w:val="13"/>
              </w:rPr>
              <w:t>0.03</w:t>
            </w:r>
            <w:r>
              <w:rPr>
                <w:rFonts w:ascii="Times New Roman"/>
                <w:sz w:val="13"/>
              </w:rPr>
            </w:r>
          </w:p>
        </w:tc>
        <w:tc>
          <w:tcPr>
            <w:tcW w:w="81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left="175" w:right="0"/>
              <w:jc w:val="center"/>
              <w:rPr>
                <w:rFonts w:ascii="Times New Roman" w:hAnsi="Times New Roman" w:cs="Times New Roman" w:eastAsia="Times New Roman" w:hint="default"/>
                <w:sz w:val="13"/>
                <w:szCs w:val="13"/>
              </w:rPr>
            </w:pPr>
            <w:r>
              <w:rPr>
                <w:rFonts w:ascii="Times New Roman"/>
                <w:sz w:val="13"/>
              </w:rPr>
              <w:t>3,774,466</w:t>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53"/>
              <w:jc w:val="right"/>
              <w:rPr>
                <w:rFonts w:ascii="Times New Roman" w:hAnsi="Times New Roman" w:cs="Times New Roman" w:eastAsia="Times New Roman" w:hint="default"/>
                <w:sz w:val="13"/>
                <w:szCs w:val="13"/>
              </w:rPr>
            </w:pPr>
            <w:r>
              <w:rPr>
                <w:rFonts w:ascii="Times New Roman"/>
                <w:w w:val="95"/>
                <w:sz w:val="13"/>
              </w:rPr>
              <w:t>0.10</w:t>
            </w:r>
            <w:r>
              <w:rPr>
                <w:rFonts w:ascii="Times New Roman"/>
                <w:sz w:val="13"/>
              </w:rPr>
            </w:r>
          </w:p>
        </w:tc>
      </w:tr>
      <w:tr>
        <w:trPr>
          <w:trHeight w:val="410" w:hRule="exact"/>
        </w:trPr>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22" w:right="0"/>
              <w:jc w:val="left"/>
              <w:rPr>
                <w:rFonts w:ascii="宋体" w:hAnsi="宋体" w:cs="宋体" w:eastAsia="宋体" w:hint="default"/>
                <w:sz w:val="15"/>
                <w:szCs w:val="15"/>
              </w:rPr>
            </w:pPr>
            <w:r>
              <w:rPr>
                <w:rFonts w:ascii="宋体" w:hAnsi="宋体" w:cs="宋体" w:eastAsia="宋体" w:hint="default"/>
                <w:sz w:val="15"/>
                <w:szCs w:val="15"/>
              </w:rPr>
              <w:t>宝钢</w:t>
            </w:r>
          </w:p>
        </w:tc>
        <w:tc>
          <w:tcPr>
            <w:tcW w:w="93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11"/>
              <w:jc w:val="right"/>
              <w:rPr>
                <w:rFonts w:ascii="宋体" w:hAnsi="宋体" w:cs="宋体" w:eastAsia="宋体" w:hint="default"/>
                <w:sz w:val="15"/>
                <w:szCs w:val="15"/>
              </w:rPr>
            </w:pPr>
            <w:r>
              <w:rPr>
                <w:rFonts w:ascii="宋体" w:hAnsi="宋体" w:cs="宋体" w:eastAsia="宋体" w:hint="default"/>
                <w:sz w:val="15"/>
                <w:szCs w:val="15"/>
              </w:rPr>
              <w:t>销售商品</w:t>
            </w:r>
          </w:p>
        </w:tc>
        <w:tc>
          <w:tcPr>
            <w:tcW w:w="126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13" w:right="0"/>
              <w:jc w:val="left"/>
              <w:rPr>
                <w:rFonts w:ascii="宋体" w:hAnsi="宋体" w:cs="宋体" w:eastAsia="宋体" w:hint="default"/>
                <w:sz w:val="15"/>
                <w:szCs w:val="15"/>
              </w:rPr>
            </w:pPr>
            <w:r>
              <w:rPr>
                <w:rFonts w:ascii="宋体" w:hAnsi="宋体" w:cs="宋体" w:eastAsia="宋体" w:hint="default"/>
                <w:sz w:val="15"/>
                <w:szCs w:val="15"/>
              </w:rPr>
              <w:t>系统集成或软件</w:t>
            </w:r>
          </w:p>
        </w:tc>
        <w:tc>
          <w:tcPr>
            <w:tcW w:w="197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3" w:right="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c>
        <w:tc>
          <w:tcPr>
            <w:tcW w:w="8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28"/>
              <w:jc w:val="right"/>
              <w:rPr>
                <w:rFonts w:ascii="Times New Roman" w:hAnsi="Times New Roman" w:cs="Times New Roman" w:eastAsia="Times New Roman" w:hint="default"/>
                <w:sz w:val="13"/>
                <w:szCs w:val="13"/>
              </w:rPr>
            </w:pPr>
            <w:r>
              <w:rPr>
                <w:rFonts w:ascii="Times New Roman"/>
                <w:w w:val="95"/>
                <w:sz w:val="13"/>
              </w:rPr>
              <w:t>291,000</w:t>
            </w:r>
            <w:r>
              <w:rPr>
                <w:rFonts w:ascii="Times New Roman"/>
                <w:sz w:val="13"/>
              </w:rPr>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42"/>
              <w:jc w:val="right"/>
              <w:rPr>
                <w:rFonts w:ascii="Times New Roman" w:hAnsi="Times New Roman" w:cs="Times New Roman" w:eastAsia="Times New Roman" w:hint="default"/>
                <w:sz w:val="13"/>
                <w:szCs w:val="13"/>
              </w:rPr>
            </w:pPr>
            <w:r>
              <w:rPr>
                <w:rFonts w:ascii="Times New Roman"/>
                <w:w w:val="95"/>
                <w:sz w:val="13"/>
              </w:rPr>
              <w:t>0.04</w:t>
            </w:r>
            <w:r>
              <w:rPr>
                <w:rFonts w:ascii="Times New Roman"/>
                <w:sz w:val="13"/>
              </w:rPr>
            </w:r>
          </w:p>
        </w:tc>
        <w:tc>
          <w:tcPr>
            <w:tcW w:w="81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left="175" w:right="0"/>
              <w:jc w:val="center"/>
              <w:rPr>
                <w:rFonts w:ascii="Times New Roman" w:hAnsi="Times New Roman" w:cs="Times New Roman" w:eastAsia="Times New Roman" w:hint="default"/>
                <w:sz w:val="13"/>
                <w:szCs w:val="13"/>
              </w:rPr>
            </w:pPr>
            <w:r>
              <w:rPr>
                <w:rFonts w:ascii="Times New Roman"/>
                <w:sz w:val="13"/>
              </w:rPr>
              <w:t>3,282,653</w:t>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53"/>
              <w:jc w:val="right"/>
              <w:rPr>
                <w:rFonts w:ascii="Times New Roman" w:hAnsi="Times New Roman" w:cs="Times New Roman" w:eastAsia="Times New Roman" w:hint="default"/>
                <w:sz w:val="13"/>
                <w:szCs w:val="13"/>
              </w:rPr>
            </w:pPr>
            <w:r>
              <w:rPr>
                <w:rFonts w:ascii="Times New Roman"/>
                <w:w w:val="95"/>
                <w:sz w:val="13"/>
              </w:rPr>
              <w:t>0.08</w:t>
            </w:r>
            <w:r>
              <w:rPr>
                <w:rFonts w:ascii="Times New Roman"/>
                <w:sz w:val="13"/>
              </w:rPr>
            </w:r>
          </w:p>
        </w:tc>
      </w:tr>
      <w:tr>
        <w:trPr>
          <w:trHeight w:val="310" w:hRule="exact"/>
        </w:trPr>
        <w:tc>
          <w:tcPr>
            <w:tcW w:w="1241" w:type="dxa"/>
            <w:tcBorders>
              <w:top w:val="nil" w:sz="6" w:space="0" w:color="auto"/>
              <w:left w:val="nil" w:sz="6" w:space="0" w:color="auto"/>
              <w:bottom w:val="single" w:sz="12" w:space="0" w:color="000000"/>
              <w:right w:val="nil" w:sz="6" w:space="0" w:color="auto"/>
            </w:tcBorders>
          </w:tcPr>
          <w:p>
            <w:pPr>
              <w:pStyle w:val="TableParagraph"/>
              <w:spacing w:line="240" w:lineRule="auto" w:before="74"/>
              <w:ind w:left="122" w:right="0"/>
              <w:jc w:val="left"/>
              <w:rPr>
                <w:rFonts w:ascii="宋体" w:hAnsi="宋体" w:cs="宋体" w:eastAsia="宋体" w:hint="default"/>
                <w:sz w:val="15"/>
                <w:szCs w:val="15"/>
              </w:rPr>
            </w:pPr>
            <w:r>
              <w:rPr>
                <w:rFonts w:ascii="宋体" w:hAnsi="宋体" w:cs="宋体" w:eastAsia="宋体" w:hint="default"/>
                <w:sz w:val="15"/>
                <w:szCs w:val="15"/>
              </w:rPr>
              <w:t>东芝东软</w:t>
            </w:r>
          </w:p>
        </w:tc>
        <w:tc>
          <w:tcPr>
            <w:tcW w:w="932" w:type="dxa"/>
            <w:tcBorders>
              <w:top w:val="nil" w:sz="6" w:space="0" w:color="auto"/>
              <w:left w:val="nil" w:sz="6" w:space="0" w:color="auto"/>
              <w:bottom w:val="single" w:sz="12" w:space="0" w:color="000000"/>
              <w:right w:val="nil" w:sz="6" w:space="0" w:color="auto"/>
            </w:tcBorders>
          </w:tcPr>
          <w:p>
            <w:pPr>
              <w:pStyle w:val="TableParagraph"/>
              <w:spacing w:line="240" w:lineRule="auto" w:before="74"/>
              <w:ind w:right="111"/>
              <w:jc w:val="right"/>
              <w:rPr>
                <w:rFonts w:ascii="宋体" w:hAnsi="宋体" w:cs="宋体" w:eastAsia="宋体" w:hint="default"/>
                <w:sz w:val="15"/>
                <w:szCs w:val="15"/>
              </w:rPr>
            </w:pPr>
            <w:r>
              <w:rPr>
                <w:rFonts w:ascii="宋体" w:hAnsi="宋体" w:cs="宋体" w:eastAsia="宋体" w:hint="default"/>
                <w:sz w:val="15"/>
                <w:szCs w:val="15"/>
              </w:rPr>
              <w:t>销售商品</w:t>
            </w:r>
          </w:p>
        </w:tc>
        <w:tc>
          <w:tcPr>
            <w:tcW w:w="1268" w:type="dxa"/>
            <w:tcBorders>
              <w:top w:val="nil" w:sz="6" w:space="0" w:color="auto"/>
              <w:left w:val="nil" w:sz="6" w:space="0" w:color="auto"/>
              <w:bottom w:val="single" w:sz="12" w:space="0" w:color="000000"/>
              <w:right w:val="nil" w:sz="6" w:space="0" w:color="auto"/>
            </w:tcBorders>
          </w:tcPr>
          <w:p>
            <w:pPr>
              <w:pStyle w:val="TableParagraph"/>
              <w:spacing w:line="240" w:lineRule="auto" w:before="74"/>
              <w:ind w:left="113" w:right="0"/>
              <w:jc w:val="left"/>
              <w:rPr>
                <w:rFonts w:ascii="宋体" w:hAnsi="宋体" w:cs="宋体" w:eastAsia="宋体" w:hint="default"/>
                <w:sz w:val="15"/>
                <w:szCs w:val="15"/>
              </w:rPr>
            </w:pPr>
            <w:r>
              <w:rPr>
                <w:rFonts w:ascii="宋体" w:hAnsi="宋体" w:cs="宋体" w:eastAsia="宋体" w:hint="default"/>
                <w:sz w:val="15"/>
                <w:szCs w:val="15"/>
              </w:rPr>
              <w:t>系统集成或软件</w:t>
            </w:r>
          </w:p>
        </w:tc>
        <w:tc>
          <w:tcPr>
            <w:tcW w:w="1976" w:type="dxa"/>
            <w:tcBorders>
              <w:top w:val="nil" w:sz="6" w:space="0" w:color="auto"/>
              <w:left w:val="nil" w:sz="6" w:space="0" w:color="auto"/>
              <w:bottom w:val="single" w:sz="12" w:space="0" w:color="000000"/>
              <w:right w:val="nil" w:sz="6" w:space="0" w:color="auto"/>
            </w:tcBorders>
          </w:tcPr>
          <w:p>
            <w:pPr>
              <w:pStyle w:val="TableParagraph"/>
              <w:spacing w:line="240" w:lineRule="auto" w:before="74"/>
              <w:ind w:left="103" w:right="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c>
        <w:tc>
          <w:tcPr>
            <w:tcW w:w="887"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28"/>
              <w:jc w:val="right"/>
              <w:rPr>
                <w:rFonts w:ascii="Times New Roman" w:hAnsi="Times New Roman" w:cs="Times New Roman" w:eastAsia="Times New Roman" w:hint="default"/>
                <w:sz w:val="13"/>
                <w:szCs w:val="13"/>
              </w:rPr>
            </w:pPr>
            <w:r>
              <w:rPr>
                <w:rFonts w:ascii="Times New Roman"/>
                <w:w w:val="95"/>
                <w:sz w:val="13"/>
              </w:rPr>
              <w:t>265,364</w:t>
            </w:r>
            <w:r>
              <w:rPr>
                <w:rFonts w:ascii="Times New Roman"/>
                <w:sz w:val="13"/>
              </w:rPr>
            </w:r>
          </w:p>
        </w:tc>
        <w:tc>
          <w:tcPr>
            <w:tcW w:w="808"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0"/>
                <w:szCs w:val="10"/>
              </w:rPr>
            </w:pPr>
          </w:p>
          <w:p>
            <w:pPr>
              <w:pStyle w:val="TableParagraph"/>
              <w:spacing w:line="240" w:lineRule="auto"/>
              <w:ind w:right="142"/>
              <w:jc w:val="right"/>
              <w:rPr>
                <w:rFonts w:ascii="Times New Roman" w:hAnsi="Times New Roman" w:cs="Times New Roman" w:eastAsia="Times New Roman" w:hint="default"/>
                <w:sz w:val="13"/>
                <w:szCs w:val="13"/>
              </w:rPr>
            </w:pPr>
            <w:r>
              <w:rPr>
                <w:rFonts w:ascii="Times New Roman"/>
                <w:w w:val="95"/>
                <w:sz w:val="13"/>
              </w:rPr>
              <w:t>0.01</w:t>
            </w:r>
            <w:r>
              <w:rPr>
                <w:rFonts w:ascii="Times New Roman"/>
                <w:sz w:val="13"/>
              </w:rPr>
            </w:r>
          </w:p>
        </w:tc>
        <w:tc>
          <w:tcPr>
            <w:tcW w:w="810" w:type="dxa"/>
            <w:tcBorders>
              <w:top w:val="nil" w:sz="6" w:space="0" w:color="auto"/>
              <w:left w:val="nil" w:sz="6" w:space="0" w:color="auto"/>
              <w:bottom w:val="single" w:sz="12" w:space="0" w:color="000000"/>
              <w:right w:val="nil" w:sz="6" w:space="0" w:color="auto"/>
            </w:tcBorders>
          </w:tcPr>
          <w:p>
            <w:pPr/>
          </w:p>
        </w:tc>
        <w:tc>
          <w:tcPr>
            <w:tcW w:w="793" w:type="dxa"/>
            <w:tcBorders>
              <w:top w:val="nil" w:sz="6" w:space="0" w:color="auto"/>
              <w:left w:val="nil" w:sz="6" w:space="0" w:color="auto"/>
              <w:bottom w:val="single" w:sz="12" w:space="0" w:color="000000"/>
              <w:right w:val="nil" w:sz="6" w:space="0" w:color="auto"/>
            </w:tcBorders>
          </w:tcPr>
          <w:p>
            <w:pPr/>
          </w:p>
        </w:tc>
      </w:tr>
    </w:tbl>
    <w:p>
      <w:pPr>
        <w:spacing w:after="0"/>
        <w:sectPr>
          <w:headerReference w:type="default" r:id="rId345"/>
          <w:footerReference w:type="default" r:id="rId346"/>
          <w:pgSz w:w="11910" w:h="16840"/>
          <w:pgMar w:header="883" w:footer="1003" w:top="1540" w:bottom="1200" w:left="1480" w:right="820"/>
          <w:pgNumType w:start="89"/>
        </w:sectPr>
      </w:pPr>
    </w:p>
    <w:p>
      <w:pPr>
        <w:spacing w:line="240" w:lineRule="auto" w:before="7"/>
        <w:rPr>
          <w:rFonts w:ascii="宋体" w:hAnsi="宋体" w:cs="宋体" w:eastAsia="宋体" w:hint="default"/>
          <w:b/>
          <w:bCs/>
          <w:sz w:val="3"/>
          <w:szCs w:val="3"/>
        </w:rPr>
      </w:pPr>
    </w:p>
    <w:p>
      <w:pPr>
        <w:spacing w:line="4560" w:lineRule="exact"/>
        <w:ind w:left="105" w:right="0" w:firstLine="0"/>
        <w:rPr>
          <w:rFonts w:ascii="宋体" w:hAnsi="宋体" w:cs="宋体" w:eastAsia="宋体" w:hint="default"/>
          <w:sz w:val="20"/>
          <w:szCs w:val="20"/>
        </w:rPr>
      </w:pPr>
      <w:r>
        <w:rPr>
          <w:rFonts w:ascii="宋体" w:hAnsi="宋体" w:cs="宋体" w:eastAsia="宋体" w:hint="default"/>
          <w:position w:val="-90"/>
          <w:sz w:val="20"/>
          <w:szCs w:val="20"/>
        </w:rPr>
        <w:pict>
          <v:group style="width:468.5pt;height:228pt;mso-position-horizontal-relative:char;mso-position-vertical-relative:line" coordorigin="0,0" coordsize="9370,4560">
            <v:group style="position:absolute;left:5;top:5;width:9360;height:2" coordorigin="5,5" coordsize="9360,2">
              <v:shape style="position:absolute;left:5;top:5;width:9360;height:2" coordorigin="5,5" coordsize="9360,0" path="m5,5l9365,5e" filled="false" stroked="true" strokeweight=".47998pt" strokecolor="#000000">
                <v:path arrowok="t"/>
              </v:shape>
            </v:group>
            <v:group style="position:absolute;left:644;top:25;width:5288;height:2" coordorigin="644,25" coordsize="5288,2">
              <v:shape style="position:absolute;left:644;top:25;width:5288;height:2" coordorigin="644,25" coordsize="5288,0" path="m644,25l5932,25e" filled="false" stroked="true" strokeweight="1.5pt" strokecolor="#000000">
                <v:path arrowok="t"/>
              </v:shape>
            </v:group>
            <v:group style="position:absolute;left:5932;top:25;width:1716;height:2" coordorigin="5932,25" coordsize="1716,2">
              <v:shape style="position:absolute;left:5932;top:25;width:1716;height:2" coordorigin="5932,25" coordsize="1716,0" path="m5932,25l7648,25e" filled="false" stroked="true" strokeweight="1.5pt" strokecolor="#000000">
                <v:path arrowok="t"/>
              </v:shape>
            </v:group>
            <v:group style="position:absolute;left:7648;top:25;width:1697;height:2" coordorigin="7648,25" coordsize="1697,2">
              <v:shape style="position:absolute;left:7648;top:25;width:1697;height:2" coordorigin="7648,25" coordsize="1697,0" path="m7648,25l9344,25e" filled="false" stroked="true" strokeweight="1.5pt" strokecolor="#000000">
                <v:path arrowok="t"/>
              </v:shape>
              <v:shape style="position:absolute;left:1991;top:14;width:5692;height:451" type="#_x0000_t75" stroked="false">
                <v:imagedata r:id="rId353" o:title=""/>
              </v:shape>
              <v:shape style="position:absolute;left:1997;top:421;width:7370;height:848" type="#_x0000_t75" stroked="false">
                <v:imagedata r:id="rId354" o:title=""/>
              </v:shape>
            </v:group>
            <v:group style="position:absolute;left:630;top:4545;width:1386;height:2" coordorigin="630,4545" coordsize="1386,2">
              <v:shape style="position:absolute;left:630;top:4545;width:1386;height:2" coordorigin="630,4545" coordsize="1386,0" path="m630,4545l2016,4545e" filled="false" stroked="true" strokeweight="1.5pt" strokecolor="#000000">
                <v:path arrowok="t"/>
              </v:shape>
            </v:group>
            <v:group style="position:absolute;left:2016;top:4545;width:741;height:2" coordorigin="2016,4545" coordsize="741,2">
              <v:shape style="position:absolute;left:2016;top:4545;width:741;height:2" coordorigin="2016,4545" coordsize="741,0" path="m2016,4545l2756,4545e" filled="false" stroked="true" strokeweight="1.5pt" strokecolor="#000000">
                <v:path arrowok="t"/>
              </v:shape>
            </v:group>
            <v:group style="position:absolute;left:2756;top:4545;width:1364;height:2" coordorigin="2756,4545" coordsize="1364,2">
              <v:shape style="position:absolute;left:2756;top:4545;width:1364;height:2" coordorigin="2756,4545" coordsize="1364,0" path="m2756,4545l4120,4545e" filled="false" stroked="true" strokeweight="1.5pt" strokecolor="#000000">
                <v:path arrowok="t"/>
              </v:shape>
            </v:group>
            <v:group style="position:absolute;left:4120;top:4545;width:1782;height:2" coordorigin="4120,4545" coordsize="1782,2">
              <v:shape style="position:absolute;left:4120;top:4545;width:1782;height:2" coordorigin="4120,4545" coordsize="1782,0" path="m4120,4545l5902,4545e" filled="false" stroked="true" strokeweight="1.5pt" strokecolor="#000000">
                <v:path arrowok="t"/>
              </v:shape>
            </v:group>
            <v:group style="position:absolute;left:5902;top:4545;width:1052;height:2" coordorigin="5902,4545" coordsize="1052,2">
              <v:shape style="position:absolute;left:5902;top:4545;width:1052;height:2" coordorigin="5902,4545" coordsize="1052,0" path="m5902,4545l6953,4545e" filled="false" stroked="true" strokeweight="1.5pt" strokecolor="#000000">
                <v:path arrowok="t"/>
              </v:shape>
            </v:group>
            <v:group style="position:absolute;left:6953;top:4545;width:695;height:2" coordorigin="6953,4545" coordsize="695,2">
              <v:shape style="position:absolute;left:6953;top:4545;width:695;height:2" coordorigin="6953,4545" coordsize="695,0" path="m6953,4545l7648,4545e" filled="false" stroked="true" strokeweight="1.5pt" strokecolor="#000000">
                <v:path arrowok="t"/>
              </v:shape>
            </v:group>
            <v:group style="position:absolute;left:7648;top:4545;width:894;height:2" coordorigin="7648,4545" coordsize="894,2">
              <v:shape style="position:absolute;left:7648;top:4545;width:894;height:2" coordorigin="7648,4545" coordsize="894,0" path="m7648,4545l8542,4545e" filled="false" stroked="true" strokeweight="1.5pt" strokecolor="#000000">
                <v:path arrowok="t"/>
              </v:shape>
              <v:shape style="position:absolute;left:625;top:1231;width:8742;height:3299" type="#_x0000_t75" stroked="false">
                <v:imagedata r:id="rId355" o:title=""/>
              </v:shape>
            </v:group>
            <v:group style="position:absolute;left:8542;top:4545;width:803;height:2" coordorigin="8542,4545" coordsize="803,2">
              <v:shape style="position:absolute;left:8542;top:4545;width:803;height:2" coordorigin="8542,4545" coordsize="803,0" path="m8542,4545l9344,4545e" filled="false" stroked="true" strokeweight="1.5pt" strokecolor="#000000">
                <v:path arrowok="t"/>
              </v:shape>
              <v:shape style="position:absolute;left:6505;top:26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本期金额</w:t>
                      </w:r>
                    </w:p>
                  </w:txbxContent>
                </v:textbox>
                <w10:wrap type="none"/>
              </v:shape>
              <v:shape style="position:absolute;left:8200;top:26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上期金额</w:t>
                      </w:r>
                    </w:p>
                  </w:txbxContent>
                </v:textbox>
                <w10:wrap type="none"/>
              </v:shape>
              <v:shape style="position:absolute;left:2089;top:47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关联交易</w:t>
                      </w:r>
                    </w:p>
                  </w:txbxContent>
                </v:textbox>
                <w10:wrap type="none"/>
              </v:shape>
              <v:shape style="position:absolute;left:4174;top:471;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关联交易定价方式及决策</w:t>
                      </w:r>
                    </w:p>
                  </w:txbxContent>
                </v:textbox>
                <w10:wrap type="none"/>
              </v:shape>
              <v:shape style="position:absolute;left:985;top:671;width:6646;height:155" type="#_x0000_t202" filled="false" stroked="false">
                <v:textbox inset="0,0,0,0">
                  <w:txbxContent>
                    <w:p>
                      <w:pPr>
                        <w:tabs>
                          <w:tab w:pos="2005" w:val="left" w:leader="none"/>
                          <w:tab w:pos="6045" w:val="left" w:leader="none"/>
                        </w:tabs>
                        <w:spacing w:line="155"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关联方名称</w:t>
                        <w:tab/>
                        <w:t>关联交易内容</w:t>
                        <w:tab/>
                        <w:t>占同类交</w:t>
                      </w:r>
                    </w:p>
                  </w:txbxContent>
                </v:textbox>
                <w10:wrap type="none"/>
              </v:shape>
              <v:shape style="position:absolute;left:8646;top:67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占同类交</w:t>
                      </w:r>
                    </w:p>
                  </w:txbxContent>
                </v:textbox>
                <w10:wrap type="none"/>
              </v:shape>
              <v:shape style="position:absolute;left:2239;top:871;width:7045;height:364" type="#_x0000_t202" filled="false" stroked="false">
                <v:textbox inset="0,0,0,0">
                  <w:txbxContent>
                    <w:p>
                      <w:pPr>
                        <w:tabs>
                          <w:tab w:pos="2662" w:val="left" w:leader="none"/>
                          <w:tab w:pos="4069" w:val="left" w:leader="none"/>
                          <w:tab w:pos="5710" w:val="left" w:leader="none"/>
                        </w:tabs>
                        <w:spacing w:line="156" w:lineRule="exact" w:before="0"/>
                        <w:ind w:left="0" w:right="0" w:firstLine="0"/>
                        <w:jc w:val="left"/>
                        <w:rPr>
                          <w:rFonts w:ascii="宋体" w:hAnsi="宋体" w:cs="宋体" w:eastAsia="宋体" w:hint="default"/>
                          <w:sz w:val="15"/>
                          <w:szCs w:val="15"/>
                        </w:rPr>
                      </w:pPr>
                      <w:r>
                        <w:rPr>
                          <w:rFonts w:ascii="宋体" w:hAnsi="宋体" w:cs="宋体" w:eastAsia="宋体" w:hint="default"/>
                          <w:position w:val="1"/>
                          <w:sz w:val="15"/>
                          <w:szCs w:val="15"/>
                        </w:rPr>
                        <w:t>类型</w:t>
                        <w:tab/>
                        <w:t>程序</w:t>
                        <w:tab/>
                      </w:r>
                      <w:r>
                        <w:rPr>
                          <w:rFonts w:ascii="宋体" w:hAnsi="宋体" w:cs="宋体" w:eastAsia="宋体" w:hint="default"/>
                          <w:sz w:val="15"/>
                          <w:szCs w:val="15"/>
                        </w:rPr>
                        <w:t>金额</w:t>
                        <w:tab/>
                        <w:t>金额</w:t>
                      </w:r>
                    </w:p>
                    <w:p>
                      <w:pPr>
                        <w:tabs>
                          <w:tab w:pos="1645" w:val="left" w:leader="none"/>
                        </w:tabs>
                        <w:spacing w:line="204" w:lineRule="exact" w:before="3"/>
                        <w:ind w:left="0" w:right="0" w:firstLine="0"/>
                        <w:jc w:val="right"/>
                        <w:rPr>
                          <w:rFonts w:ascii="Times New Roman" w:hAnsi="Times New Roman" w:cs="Times New Roman" w:eastAsia="Times New Roman" w:hint="default"/>
                          <w:sz w:val="15"/>
                          <w:szCs w:val="15"/>
                        </w:rPr>
                      </w:pPr>
                      <w:r>
                        <w:rPr>
                          <w:rFonts w:ascii="宋体" w:hAnsi="宋体" w:cs="宋体" w:eastAsia="宋体" w:hint="default"/>
                          <w:sz w:val="15"/>
                          <w:szCs w:val="15"/>
                        </w:rPr>
                        <w:t>易比例</w:t>
                      </w:r>
                      <w:r>
                        <w:rPr>
                          <w:rFonts w:ascii="Times New Roman" w:hAnsi="Times New Roman" w:cs="Times New Roman" w:eastAsia="Times New Roman" w:hint="default"/>
                          <w:sz w:val="15"/>
                          <w:szCs w:val="15"/>
                        </w:rPr>
                        <w:t>(%)</w:t>
                        <w:tab/>
                      </w:r>
                      <w:r>
                        <w:rPr>
                          <w:rFonts w:ascii="宋体" w:hAnsi="宋体" w:cs="宋体" w:eastAsia="宋体" w:hint="default"/>
                          <w:sz w:val="15"/>
                          <w:szCs w:val="15"/>
                        </w:rPr>
                        <w:t>易比例</w:t>
                      </w:r>
                      <w:r>
                        <w:rPr>
                          <w:rFonts w:ascii="Times New Roman" w:hAnsi="Times New Roman" w:cs="Times New Roman" w:eastAsia="Times New Roman" w:hint="default"/>
                          <w:sz w:val="15"/>
                          <w:szCs w:val="15"/>
                        </w:rPr>
                        <w:t>(%)</w:t>
                      </w:r>
                    </w:p>
                  </w:txbxContent>
                </v:textbox>
                <w10:wrap type="none"/>
              </v:shape>
              <v:shape style="position:absolute;left:752;top:148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东软飞利浦</w:t>
                      </w:r>
                    </w:p>
                  </w:txbxContent>
                </v:textbox>
                <w10:wrap type="none"/>
              </v:shape>
              <v:shape style="position:absolute;left:2089;top:148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销售商品</w:t>
                      </w:r>
                    </w:p>
                  </w:txbxContent>
                </v:textbox>
                <w10:wrap type="none"/>
              </v:shape>
              <v:shape style="position:absolute;left:3066;top:148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材料及配件</w:t>
                      </w:r>
                    </w:p>
                  </w:txbxContent>
                </v:textbox>
                <w10:wrap type="none"/>
              </v:shape>
              <v:shape style="position:absolute;left:4174;top:1486;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xbxContent>
                </v:textbox>
                <w10:wrap type="none"/>
              </v:shape>
              <v:shape style="position:absolute;left:6320;top:1524;width:584;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27,736,915</w:t>
                      </w:r>
                      <w:r>
                        <w:rPr>
                          <w:rFonts w:ascii="Times New Roman"/>
                          <w:sz w:val="13"/>
                        </w:rPr>
                      </w:r>
                    </w:p>
                  </w:txbxContent>
                </v:textbox>
                <w10:wrap type="none"/>
              </v:shape>
              <v:shape style="position:absolute;left:7370;top:1524;width:22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3.38</w:t>
                      </w:r>
                      <w:r>
                        <w:rPr>
                          <w:rFonts w:ascii="Times New Roman"/>
                          <w:sz w:val="13"/>
                        </w:rPr>
                      </w:r>
                    </w:p>
                  </w:txbxContent>
                </v:textbox>
                <w10:wrap type="none"/>
              </v:shape>
              <v:shape style="position:absolute;left:7909;top:1524;width:584;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33,577,350</w:t>
                      </w:r>
                      <w:r>
                        <w:rPr>
                          <w:rFonts w:ascii="Times New Roman"/>
                          <w:sz w:val="13"/>
                        </w:rPr>
                      </w:r>
                    </w:p>
                  </w:txbxContent>
                </v:textbox>
                <w10:wrap type="none"/>
              </v:shape>
              <v:shape style="position:absolute;left:9064;top:1524;width:22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4.14</w:t>
                      </w:r>
                      <w:r>
                        <w:rPr>
                          <w:rFonts w:ascii="Times New Roman"/>
                          <w:sz w:val="13"/>
                        </w:rPr>
                      </w:r>
                    </w:p>
                  </w:txbxContent>
                </v:textbox>
                <w10:wrap type="none"/>
              </v:shape>
              <v:shape style="position:absolute;left:752;top:1897;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东软信息学院</w:t>
                      </w:r>
                    </w:p>
                  </w:txbxContent>
                </v:textbox>
                <w10:wrap type="none"/>
              </v:shape>
              <v:shape style="position:absolute;left:2106;top:1897;width:166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提供劳务 </w:t>
                      </w:r>
                      <w:r>
                        <w:rPr>
                          <w:rFonts w:ascii="宋体" w:hAnsi="宋体" w:cs="宋体" w:eastAsia="宋体" w:hint="default"/>
                          <w:spacing w:val="13"/>
                          <w:sz w:val="15"/>
                          <w:szCs w:val="15"/>
                        </w:rPr>
                        <w:t> </w:t>
                      </w:r>
                      <w:r>
                        <w:rPr>
                          <w:rFonts w:ascii="宋体" w:hAnsi="宋体" w:cs="宋体" w:eastAsia="宋体" w:hint="default"/>
                          <w:sz w:val="15"/>
                          <w:szCs w:val="15"/>
                        </w:rPr>
                        <w:t>培训服务收入</w:t>
                      </w:r>
                    </w:p>
                  </w:txbxContent>
                </v:textbox>
                <w10:wrap type="none"/>
              </v:shape>
              <v:shape style="position:absolute;left:4126;top:1897;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xbxContent>
                </v:textbox>
                <w10:wrap type="none"/>
              </v:shape>
              <v:shape style="position:absolute;left:6320;top:1935;width:584;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13,697,000</w:t>
                      </w:r>
                      <w:r>
                        <w:rPr>
                          <w:rFonts w:ascii="Times New Roman"/>
                          <w:sz w:val="13"/>
                        </w:rPr>
                      </w:r>
                    </w:p>
                  </w:txbxContent>
                </v:textbox>
                <w10:wrap type="none"/>
              </v:shape>
              <v:shape style="position:absolute;left:7370;top:1935;width:22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0.28</w:t>
                      </w:r>
                      <w:r>
                        <w:rPr>
                          <w:rFonts w:ascii="Times New Roman"/>
                          <w:sz w:val="13"/>
                        </w:rPr>
                      </w:r>
                    </w:p>
                  </w:txbxContent>
                </v:textbox>
                <w10:wrap type="none"/>
              </v:shape>
              <v:shape style="position:absolute;left:7909;top:1935;width:584;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12,536,000</w:t>
                      </w:r>
                      <w:r>
                        <w:rPr>
                          <w:rFonts w:ascii="Times New Roman"/>
                          <w:sz w:val="13"/>
                        </w:rPr>
                      </w:r>
                    </w:p>
                  </w:txbxContent>
                </v:textbox>
                <w10:wrap type="none"/>
              </v:shape>
              <v:shape style="position:absolute;left:9064;top:1935;width:22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0.32</w:t>
                      </w:r>
                      <w:r>
                        <w:rPr>
                          <w:rFonts w:ascii="Times New Roman"/>
                          <w:sz w:val="13"/>
                        </w:rPr>
                      </w:r>
                    </w:p>
                  </w:txbxContent>
                </v:textbox>
                <w10:wrap type="none"/>
              </v:shape>
              <v:shape style="position:absolute;left:752;top:2306;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大连职业学院</w:t>
                      </w:r>
                    </w:p>
                  </w:txbxContent>
                </v:textbox>
                <w10:wrap type="none"/>
              </v:shape>
              <v:shape style="position:absolute;left:2106;top:2306;width:166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提供劳务 </w:t>
                      </w:r>
                      <w:r>
                        <w:rPr>
                          <w:rFonts w:ascii="宋体" w:hAnsi="宋体" w:cs="宋体" w:eastAsia="宋体" w:hint="default"/>
                          <w:spacing w:val="13"/>
                          <w:sz w:val="15"/>
                          <w:szCs w:val="15"/>
                        </w:rPr>
                        <w:t> </w:t>
                      </w:r>
                      <w:r>
                        <w:rPr>
                          <w:rFonts w:ascii="宋体" w:hAnsi="宋体" w:cs="宋体" w:eastAsia="宋体" w:hint="default"/>
                          <w:sz w:val="15"/>
                          <w:szCs w:val="15"/>
                        </w:rPr>
                        <w:t>培训服务收入</w:t>
                      </w:r>
                    </w:p>
                  </w:txbxContent>
                </v:textbox>
                <w10:wrap type="none"/>
              </v:shape>
              <v:shape style="position:absolute;left:4126;top:2306;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xbxContent>
                </v:textbox>
                <w10:wrap type="none"/>
              </v:shape>
              <v:shape style="position:absolute;left:6385;top:2344;width:519;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7,200,000</w:t>
                      </w:r>
                      <w:r>
                        <w:rPr>
                          <w:rFonts w:ascii="Times New Roman"/>
                          <w:sz w:val="13"/>
                        </w:rPr>
                      </w:r>
                    </w:p>
                  </w:txbxContent>
                </v:textbox>
                <w10:wrap type="none"/>
              </v:shape>
              <v:shape style="position:absolute;left:7370;top:2344;width:22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0.15</w:t>
                      </w:r>
                      <w:r>
                        <w:rPr>
                          <w:rFonts w:ascii="Times New Roman"/>
                          <w:sz w:val="13"/>
                        </w:rPr>
                      </w:r>
                    </w:p>
                  </w:txbxContent>
                </v:textbox>
                <w10:wrap type="none"/>
              </v:shape>
              <v:shape style="position:absolute;left:7975;top:2344;width:519;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7,482,000</w:t>
                      </w:r>
                      <w:r>
                        <w:rPr>
                          <w:rFonts w:ascii="Times New Roman"/>
                          <w:sz w:val="13"/>
                        </w:rPr>
                      </w:r>
                    </w:p>
                  </w:txbxContent>
                </v:textbox>
                <w10:wrap type="none"/>
              </v:shape>
              <v:shape style="position:absolute;left:9064;top:2344;width:22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0.19</w:t>
                      </w:r>
                      <w:r>
                        <w:rPr>
                          <w:rFonts w:ascii="Times New Roman"/>
                          <w:sz w:val="13"/>
                        </w:rPr>
                      </w:r>
                    </w:p>
                  </w:txbxContent>
                </v:textbox>
                <w10:wrap type="none"/>
              </v:shape>
              <v:shape style="position:absolute;left:752;top:271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东软飞利浦</w:t>
                      </w:r>
                    </w:p>
                  </w:txbxContent>
                </v:textbox>
                <w10:wrap type="none"/>
              </v:shape>
              <v:shape style="position:absolute;left:2089;top:2716;width:373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提供劳务 房租及物业管理收入</w:t>
                      </w:r>
                      <w:r>
                        <w:rPr>
                          <w:rFonts w:ascii="宋体" w:hAnsi="宋体" w:cs="宋体" w:eastAsia="宋体" w:hint="default"/>
                          <w:spacing w:val="-17"/>
                          <w:sz w:val="15"/>
                          <w:szCs w:val="15"/>
                        </w:rPr>
                        <w:t> </w:t>
                      </w:r>
                      <w:r>
                        <w:rPr>
                          <w:rFonts w:ascii="宋体" w:hAnsi="宋体" w:cs="宋体" w:eastAsia="宋体" w:hint="default"/>
                          <w:sz w:val="15"/>
                          <w:szCs w:val="15"/>
                        </w:rPr>
                        <w:t>根据市场价格经协商确定</w:t>
                      </w:r>
                    </w:p>
                  </w:txbxContent>
                </v:textbox>
                <w10:wrap type="none"/>
              </v:shape>
              <v:shape style="position:absolute;left:6320;top:2754;width:584;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10,935,815</w:t>
                      </w:r>
                      <w:r>
                        <w:rPr>
                          <w:rFonts w:ascii="Times New Roman"/>
                          <w:sz w:val="13"/>
                        </w:rPr>
                      </w:r>
                    </w:p>
                  </w:txbxContent>
                </v:textbox>
                <w10:wrap type="none"/>
              </v:shape>
              <v:shape style="position:absolute;left:7306;top:2754;width:29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10.05</w:t>
                      </w:r>
                      <w:r>
                        <w:rPr>
                          <w:rFonts w:ascii="Times New Roman"/>
                          <w:sz w:val="13"/>
                        </w:rPr>
                      </w:r>
                    </w:p>
                  </w:txbxContent>
                </v:textbox>
                <w10:wrap type="none"/>
              </v:shape>
              <v:shape style="position:absolute;left:7909;top:2754;width:584;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15,582,006</w:t>
                      </w:r>
                      <w:r>
                        <w:rPr>
                          <w:rFonts w:ascii="Times New Roman"/>
                          <w:sz w:val="13"/>
                        </w:rPr>
                      </w:r>
                    </w:p>
                  </w:txbxContent>
                </v:textbox>
                <w10:wrap type="none"/>
              </v:shape>
              <v:shape style="position:absolute;left:8999;top:2754;width:29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15.54</w:t>
                      </w:r>
                      <w:r>
                        <w:rPr>
                          <w:rFonts w:ascii="Times New Roman"/>
                          <w:sz w:val="13"/>
                        </w:rPr>
                      </w:r>
                    </w:p>
                  </w:txbxContent>
                </v:textbox>
                <w10:wrap type="none"/>
              </v:shape>
              <v:shape style="position:absolute;left:752;top:3127;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阿尔派</w:t>
                      </w:r>
                    </w:p>
                  </w:txbxContent>
                </v:textbox>
                <w10:wrap type="none"/>
              </v:shape>
              <v:shape style="position:absolute;left:2089;top:3127;width:373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提供劳务 房租及物业管理收入</w:t>
                      </w:r>
                      <w:r>
                        <w:rPr>
                          <w:rFonts w:ascii="宋体" w:hAnsi="宋体" w:cs="宋体" w:eastAsia="宋体" w:hint="default"/>
                          <w:spacing w:val="-17"/>
                          <w:sz w:val="15"/>
                          <w:szCs w:val="15"/>
                        </w:rPr>
                        <w:t> </w:t>
                      </w:r>
                      <w:r>
                        <w:rPr>
                          <w:rFonts w:ascii="宋体" w:hAnsi="宋体" w:cs="宋体" w:eastAsia="宋体" w:hint="default"/>
                          <w:sz w:val="15"/>
                          <w:szCs w:val="15"/>
                        </w:rPr>
                        <w:t>根据市场价格经协商确定</w:t>
                      </w:r>
                    </w:p>
                  </w:txbxContent>
                </v:textbox>
                <w10:wrap type="none"/>
              </v:shape>
              <v:shape style="position:absolute;left:6385;top:3165;width:519;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8,691,478</w:t>
                      </w:r>
                      <w:r>
                        <w:rPr>
                          <w:rFonts w:ascii="Times New Roman"/>
                          <w:sz w:val="13"/>
                        </w:rPr>
                      </w:r>
                    </w:p>
                  </w:txbxContent>
                </v:textbox>
                <w10:wrap type="none"/>
              </v:shape>
              <v:shape style="position:absolute;left:7370;top:3165;width:22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7.99</w:t>
                      </w:r>
                      <w:r>
                        <w:rPr>
                          <w:rFonts w:ascii="Times New Roman"/>
                          <w:sz w:val="13"/>
                        </w:rPr>
                      </w:r>
                    </w:p>
                  </w:txbxContent>
                </v:textbox>
                <w10:wrap type="none"/>
              </v:shape>
              <v:shape style="position:absolute;left:7975;top:3165;width:519;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8,391,259</w:t>
                      </w:r>
                      <w:r>
                        <w:rPr>
                          <w:rFonts w:ascii="Times New Roman"/>
                          <w:sz w:val="13"/>
                        </w:rPr>
                      </w:r>
                    </w:p>
                  </w:txbxContent>
                </v:textbox>
                <w10:wrap type="none"/>
              </v:shape>
              <v:shape style="position:absolute;left:9064;top:3165;width:22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8.37</w:t>
                      </w:r>
                      <w:r>
                        <w:rPr>
                          <w:rFonts w:ascii="Times New Roman"/>
                          <w:sz w:val="13"/>
                        </w:rPr>
                      </w:r>
                    </w:p>
                  </w:txbxContent>
                </v:textbox>
                <w10:wrap type="none"/>
              </v:shape>
              <v:shape style="position:absolute;left:752;top:353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东软飞利浦</w:t>
                      </w:r>
                    </w:p>
                  </w:txbxContent>
                </v:textbox>
                <w10:wrap type="none"/>
              </v:shape>
              <v:shape style="position:absolute;left:2089;top:353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提供劳务</w:t>
                      </w:r>
                    </w:p>
                  </w:txbxContent>
                </v:textbox>
                <w10:wrap type="none"/>
              </v:shape>
              <v:shape style="position:absolute;left:2990;top:3536;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管理服务收入</w:t>
                      </w:r>
                    </w:p>
                  </w:txbxContent>
                </v:textbox>
                <w10:wrap type="none"/>
              </v:shape>
              <v:shape style="position:absolute;left:4174;top:3536;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xbxContent>
                </v:textbox>
                <w10:wrap type="none"/>
              </v:shape>
              <v:shape style="position:absolute;left:6385;top:3574;width:519;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4,012,657</w:t>
                      </w:r>
                      <w:r>
                        <w:rPr>
                          <w:rFonts w:ascii="Times New Roman"/>
                          <w:sz w:val="13"/>
                        </w:rPr>
                      </w:r>
                    </w:p>
                  </w:txbxContent>
                </v:textbox>
                <w10:wrap type="none"/>
              </v:shape>
              <v:shape style="position:absolute;left:7370;top:3574;width:22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0.08</w:t>
                      </w:r>
                      <w:r>
                        <w:rPr>
                          <w:rFonts w:ascii="Times New Roman"/>
                          <w:sz w:val="13"/>
                        </w:rPr>
                      </w:r>
                    </w:p>
                  </w:txbxContent>
                </v:textbox>
                <w10:wrap type="none"/>
              </v:shape>
              <v:shape style="position:absolute;left:7975;top:3574;width:519;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3,200,956</w:t>
                      </w:r>
                      <w:r>
                        <w:rPr>
                          <w:rFonts w:ascii="Times New Roman"/>
                          <w:sz w:val="13"/>
                        </w:rPr>
                      </w:r>
                    </w:p>
                  </w:txbxContent>
                </v:textbox>
                <w10:wrap type="none"/>
              </v:shape>
              <v:shape style="position:absolute;left:9064;top:3574;width:22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0.08</w:t>
                      </w:r>
                      <w:r>
                        <w:rPr>
                          <w:rFonts w:ascii="Times New Roman"/>
                          <w:sz w:val="13"/>
                        </w:rPr>
                      </w:r>
                    </w:p>
                  </w:txbxContent>
                </v:textbox>
                <w10:wrap type="none"/>
              </v:shape>
              <v:shape style="position:absolute;left:752;top:3946;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东软信息学院</w:t>
                      </w:r>
                    </w:p>
                  </w:txbxContent>
                </v:textbox>
                <w10:wrap type="none"/>
              </v:shape>
              <v:shape style="position:absolute;left:2089;top:394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提供劳务</w:t>
                      </w:r>
                    </w:p>
                  </w:txbxContent>
                </v:textbox>
                <w10:wrap type="none"/>
              </v:shape>
              <v:shape style="position:absolute;left:3066;top:3946;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服务费收入</w:t>
                      </w:r>
                    </w:p>
                  </w:txbxContent>
                </v:textbox>
                <w10:wrap type="none"/>
              </v:shape>
              <v:shape style="position:absolute;left:4174;top:3946;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根据市场价格经协商确定</w:t>
                      </w:r>
                    </w:p>
                  </w:txbxContent>
                </v:textbox>
                <w10:wrap type="none"/>
              </v:shape>
              <v:shape style="position:absolute;left:6482;top:3984;width:42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600,000</w:t>
                      </w:r>
                      <w:r>
                        <w:rPr>
                          <w:rFonts w:ascii="Times New Roman"/>
                          <w:sz w:val="13"/>
                        </w:rPr>
                      </w:r>
                    </w:p>
                  </w:txbxContent>
                </v:textbox>
                <w10:wrap type="none"/>
              </v:shape>
              <v:shape style="position:absolute;left:7370;top:3984;width:22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0.01</w:t>
                      </w:r>
                      <w:r>
                        <w:rPr>
                          <w:rFonts w:ascii="Times New Roman"/>
                          <w:sz w:val="13"/>
                        </w:rPr>
                      </w:r>
                    </w:p>
                  </w:txbxContent>
                </v:textbox>
                <w10:wrap type="none"/>
              </v:shape>
              <v:shape style="position:absolute;left:8072;top:3984;width:42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600,000</w:t>
                      </w:r>
                      <w:r>
                        <w:rPr>
                          <w:rFonts w:ascii="Times New Roman"/>
                          <w:sz w:val="13"/>
                        </w:rPr>
                      </w:r>
                    </w:p>
                  </w:txbxContent>
                </v:textbox>
                <w10:wrap type="none"/>
              </v:shape>
              <v:shape style="position:absolute;left:9064;top:3984;width:227;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0.02</w:t>
                      </w:r>
                      <w:r>
                        <w:rPr>
                          <w:rFonts w:ascii="Times New Roman"/>
                          <w:sz w:val="13"/>
                        </w:rPr>
                      </w:r>
                    </w:p>
                  </w:txbxContent>
                </v:textbox>
                <w10:wrap type="none"/>
              </v:shape>
              <v:shape style="position:absolute;left:1210;top:4357;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shape style="position:absolute;left:6155;top:4373;width:75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712,128,769</w:t>
                      </w:r>
                    </w:p>
                  </w:txbxContent>
                </v:textbox>
                <w10:wrap type="none"/>
              </v:shape>
              <v:shape style="position:absolute;left:7744;top:4373;width:751;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580,008,387</w:t>
                      </w:r>
                    </w:p>
                  </w:txbxContent>
                </v:textbox>
                <w10:wrap type="none"/>
              </v:shape>
            </v:group>
          </v:group>
        </w:pict>
      </w:r>
      <w:r>
        <w:rPr>
          <w:rFonts w:ascii="宋体" w:hAnsi="宋体" w:cs="宋体" w:eastAsia="宋体" w:hint="default"/>
          <w:position w:val="-90"/>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5" w:val="left" w:leader="none"/>
        </w:tabs>
        <w:spacing w:before="35"/>
        <w:ind w:left="857" w:right="0"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本报告期无关联托管情况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395" w:val="left" w:leader="none"/>
        </w:tabs>
        <w:spacing w:before="0"/>
        <w:ind w:left="857" w:right="0" w:firstLine="0"/>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本报告期无关联承包情况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396" w:val="left" w:leader="none"/>
        </w:tabs>
        <w:spacing w:before="0"/>
        <w:ind w:left="857" w:right="0" w:firstLine="0"/>
        <w:jc w:val="left"/>
        <w:rPr>
          <w:rFonts w:ascii="宋体" w:hAnsi="宋体" w:cs="宋体" w:eastAsia="宋体" w:hint="default"/>
          <w:sz w:val="21"/>
          <w:szCs w:val="21"/>
        </w:rPr>
      </w:pPr>
      <w:r>
        <w:rPr/>
        <w:pict>
          <v:group style="position:absolute;margin-left:110.010002pt;margin-top:15.322024pt;width:437.75pt;height:165pt;mso-position-horizontal-relative:page;mso-position-vertical-relative:paragraph;z-index:-1106200" coordorigin="2200,306" coordsize="8755,3300">
            <v:group style="position:absolute;left:2230;top:321;width:4193;height:2" coordorigin="2230,321" coordsize="4193,2">
              <v:shape style="position:absolute;left:2230;top:321;width:4193;height:2" coordorigin="2230,321" coordsize="4193,0" path="m2230,321l6422,321e" filled="false" stroked="true" strokeweight="1.5pt" strokecolor="#000000">
                <v:path arrowok="t"/>
              </v:shape>
            </v:group>
            <v:group style="position:absolute;left:6422;top:321;width:819;height:2" coordorigin="6422,321" coordsize="819,2">
              <v:shape style="position:absolute;left:6422;top:321;width:819;height:2" coordorigin="6422,321" coordsize="819,0" path="m6422,321l7241,321e" filled="false" stroked="true" strokeweight="1.5pt" strokecolor="#000000">
                <v:path arrowok="t"/>
              </v:shape>
            </v:group>
            <v:group style="position:absolute;left:7241;top:321;width:3693;height:2" coordorigin="7241,321" coordsize="3693,2">
              <v:shape style="position:absolute;left:7241;top:321;width:3693;height:2" coordorigin="7241,321" coordsize="3693,0" path="m7241,321l10933,321e" filled="false" stroked="true" strokeweight="1.5pt" strokecolor="#000000">
                <v:path arrowok="t"/>
              </v:shape>
              <v:shape style="position:absolute;left:3908;top:317;width:5636;height:840" type="#_x0000_t75" stroked="false">
                <v:imagedata r:id="rId356" o:title=""/>
              </v:shape>
            </v:group>
            <v:group style="position:absolute;left:2215;top:3591;width:1713;height:2" coordorigin="2215,3591" coordsize="1713,2">
              <v:shape style="position:absolute;left:2215;top:3591;width:1713;height:2" coordorigin="2215,3591" coordsize="1713,0" path="m2215,3591l3928,3591e" filled="false" stroked="true" strokeweight="1.5pt" strokecolor="#000000">
                <v:path arrowok="t"/>
              </v:shape>
              <v:shape style="position:absolute;left:2210;top:1118;width:8744;height:2479" type="#_x0000_t75" stroked="false">
                <v:imagedata r:id="rId357" o:title=""/>
              </v:shape>
            </v:group>
            <v:group style="position:absolute;left:3928;top:3591;width:914;height:2" coordorigin="3928,3591" coordsize="914,2">
              <v:shape style="position:absolute;left:3928;top:3591;width:914;height:2" coordorigin="3928,3591" coordsize="914,0" path="m3928,3591l4841,3591e" filled="false" stroked="true" strokeweight="1.5pt" strokecolor="#000000">
                <v:path arrowok="t"/>
              </v:shape>
              <v:shape style="position:absolute;left:4821;top:2756;width:49;height:840" type="#_x0000_t75" stroked="false">
                <v:imagedata r:id="rId358" o:title=""/>
              </v:shape>
            </v:group>
            <v:group style="position:absolute;left:4841;top:3591;width:654;height:2" coordorigin="4841,3591" coordsize="654,2">
              <v:shape style="position:absolute;left:4841;top:3591;width:654;height:2" coordorigin="4841,3591" coordsize="654,0" path="m4841,3591l5495,3591e" filled="false" stroked="true" strokeweight="1.5pt" strokecolor="#000000">
                <v:path arrowok="t"/>
              </v:shape>
              <v:shape style="position:absolute;left:5475;top:2756;width:49;height:840" type="#_x0000_t75" stroked="false">
                <v:imagedata r:id="rId359" o:title=""/>
              </v:shape>
            </v:group>
            <v:group style="position:absolute;left:5495;top:3591;width:898;height:2" coordorigin="5495,3591" coordsize="898,2">
              <v:shape style="position:absolute;left:5495;top:3591;width:898;height:2" coordorigin="5495,3591" coordsize="898,0" path="m5495,3591l6392,3591e" filled="false" stroked="true" strokeweight="1.5pt" strokecolor="#000000">
                <v:path arrowok="t"/>
              </v:shape>
              <v:shape style="position:absolute;left:6373;top:2756;width:49;height:840" type="#_x0000_t75" stroked="false">
                <v:imagedata r:id="rId359" o:title=""/>
              </v:shape>
            </v:group>
            <v:group style="position:absolute;left:6392;top:3591;width:30;height:2" coordorigin="6392,3591" coordsize="30,2">
              <v:shape style="position:absolute;left:6392;top:3591;width:30;height:2" coordorigin="6392,3591" coordsize="30,0" path="m6392,3591l6422,3591e" filled="false" stroked="true" strokeweight="1.5pt" strokecolor="#000000">
                <v:path arrowok="t"/>
              </v:shape>
            </v:group>
            <v:group style="position:absolute;left:6422;top:3591;width:819;height:2" coordorigin="6422,3591" coordsize="819,2">
              <v:shape style="position:absolute;left:6422;top:3591;width:819;height:2" coordorigin="6422,3591" coordsize="819,0" path="m6422,3591l7241,3591e" filled="false" stroked="true" strokeweight="1.5pt" strokecolor="#000000">
                <v:path arrowok="t"/>
              </v:shape>
              <v:shape style="position:absolute;left:7221;top:2756;width:49;height:840" type="#_x0000_t75" stroked="false">
                <v:imagedata r:id="rId358" o:title=""/>
              </v:shape>
            </v:group>
            <v:group style="position:absolute;left:7241;top:3591;width:848;height:2" coordorigin="7241,3591" coordsize="848,2">
              <v:shape style="position:absolute;left:7241;top:3591;width:848;height:2" coordorigin="7241,3591" coordsize="848,0" path="m7241,3591l8088,3591e" filled="false" stroked="true" strokeweight="1.5pt" strokecolor="#000000">
                <v:path arrowok="t"/>
              </v:shape>
              <v:shape style="position:absolute;left:8068;top:2756;width:49;height:840" type="#_x0000_t75" stroked="false">
                <v:imagedata r:id="rId358" o:title=""/>
              </v:shape>
            </v:group>
            <v:group style="position:absolute;left:8088;top:3591;width:723;height:2" coordorigin="8088,3591" coordsize="723,2">
              <v:shape style="position:absolute;left:8088;top:3591;width:723;height:2" coordorigin="8088,3591" coordsize="723,0" path="m8088,3591l8810,3591e" filled="false" stroked="true" strokeweight="1.5pt" strokecolor="#000000">
                <v:path arrowok="t"/>
              </v:shape>
              <v:shape style="position:absolute;left:8782;top:2747;width:67;height:845" type="#_x0000_t75" stroked="false">
                <v:imagedata r:id="rId360" o:title=""/>
              </v:shape>
            </v:group>
            <v:group style="position:absolute;left:8810;top:3591;width:705;height:2" coordorigin="8810,3591" coordsize="705,2">
              <v:shape style="position:absolute;left:8810;top:3591;width:705;height:2" coordorigin="8810,3591" coordsize="705,0" path="m8810,3591l9515,3591e" filled="false" stroked="true" strokeweight="1.5pt" strokecolor="#000000">
                <v:path arrowok="t"/>
              </v:shape>
              <v:shape style="position:absolute;left:9495;top:2756;width:49;height:840" type="#_x0000_t75" stroked="false">
                <v:imagedata r:id="rId361" o:title=""/>
              </v:shape>
            </v:group>
            <v:group style="position:absolute;left:9515;top:3591;width:1419;height:2" coordorigin="9515,3591" coordsize="1419,2">
              <v:shape style="position:absolute;left:9515;top:3591;width:1419;height:2" coordorigin="9515,3591" coordsize="1419,0" path="m9515,3591l10933,3591e" filled="false" stroked="true" strokeweight="1.5pt" strokecolor="#000000">
                <v:path arrowok="t"/>
              </v:shape>
              <v:shape style="position:absolute;left:4946;top:563;width:3022;height:150" type="#_x0000_t202" filled="false" stroked="false">
                <v:textbox inset="0,0,0,0">
                  <w:txbxContent>
                    <w:p>
                      <w:pPr>
                        <w:tabs>
                          <w:tab w:pos="2421"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租赁资  租赁资产涉 </w:t>
                      </w:r>
                      <w:r>
                        <w:rPr>
                          <w:rFonts w:ascii="宋体" w:hAnsi="宋体" w:cs="宋体" w:eastAsia="宋体" w:hint="default"/>
                          <w:spacing w:val="74"/>
                          <w:sz w:val="15"/>
                          <w:szCs w:val="15"/>
                        </w:rPr>
                        <w:t> </w:t>
                      </w:r>
                      <w:r>
                        <w:rPr>
                          <w:rFonts w:ascii="宋体" w:hAnsi="宋体" w:cs="宋体" w:eastAsia="宋体" w:hint="default"/>
                          <w:sz w:val="15"/>
                          <w:szCs w:val="15"/>
                        </w:rPr>
                        <w:t>租赁起始</w:t>
                        <w:tab/>
                        <w:t>租赁终止</w:t>
                      </w:r>
                    </w:p>
                  </w:txbxContent>
                </v:textbox>
                <w10:wrap type="none"/>
              </v:shape>
              <v:shape style="position:absolute;left:8863;top:56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租赁收益</w:t>
                      </w:r>
                    </w:p>
                  </w:txbxContent>
                </v:textbox>
                <w10:wrap type="none"/>
              </v:shape>
              <v:shape style="position:absolute;left:2732;top:763;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出租方名称</w:t>
                      </w:r>
                    </w:p>
                  </w:txbxContent>
                </v:textbox>
                <w10:wrap type="none"/>
              </v:shape>
              <v:shape style="position:absolute;left:4060;top:763;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承租方名称</w:t>
                      </w:r>
                    </w:p>
                  </w:txbxContent>
                </v:textbox>
                <w10:wrap type="none"/>
              </v:shape>
              <v:shape style="position:absolute;left:8154;top:76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租赁收益</w:t>
                      </w:r>
                    </w:p>
                  </w:txbxContent>
                </v:textbox>
                <w10:wrap type="none"/>
              </v:shape>
              <v:shape style="position:absolute;left:9518;top:763;width:13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租赁收益对公司影响</w:t>
                      </w:r>
                    </w:p>
                  </w:txbxContent>
                </v:textbox>
                <w10:wrap type="none"/>
              </v:shape>
              <v:shape style="position:absolute;left:4946;top:962;width:4546;height:150" type="#_x0000_t202" filled="false" stroked="false">
                <v:textbox inset="0,0,0,0">
                  <w:txbxContent>
                    <w:p>
                      <w:pPr>
                        <w:tabs>
                          <w:tab w:pos="776" w:val="left" w:leader="none"/>
                          <w:tab w:pos="1799" w:val="left" w:leader="none"/>
                          <w:tab w:pos="2647" w:val="left" w:leader="none"/>
                          <w:tab w:pos="3945"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产情况</w:t>
                        <w:tab/>
                        <w:t>及金额</w:t>
                        <w:tab/>
                        <w:t>日</w:t>
                        <w:tab/>
                        <w:t>日</w:t>
                        <w:tab/>
                        <w:t>确认依据</w:t>
                      </w:r>
                    </w:p>
                  </w:txbxContent>
                </v:textbox>
                <w10:wrap type="none"/>
              </v:shape>
              <v:shape style="position:absolute;left:2338;top:1373;width:160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9"/>
                          <w:sz w:val="15"/>
                          <w:szCs w:val="15"/>
                        </w:rPr>
                        <w:t>大连东软软件园产业发</w:t>
                      </w:r>
                      <w:r>
                        <w:rPr>
                          <w:rFonts w:ascii="宋体" w:hAnsi="宋体" w:cs="宋体" w:eastAsia="宋体" w:hint="default"/>
                          <w:sz w:val="15"/>
                          <w:szCs w:val="15"/>
                        </w:rPr>
                      </w:r>
                    </w:p>
                  </w:txbxContent>
                </v:textbox>
                <w10:wrap type="none"/>
              </v:shape>
              <v:shape style="position:absolute;left:4040;top:1573;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阿尔派</w:t>
                      </w:r>
                    </w:p>
                  </w:txbxContent>
                </v:textbox>
                <w10:wrap type="none"/>
              </v:shape>
              <v:shape style="position:absolute;left:4952;top:157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房屋</w:t>
                      </w:r>
                    </w:p>
                  </w:txbxContent>
                </v:textbox>
                <w10:wrap type="none"/>
              </v:shape>
              <v:shape style="position:absolute;left:5735;top:1573;width:5184;height:167" type="#_x0000_t202" filled="false" stroked="false">
                <v:textbox inset="0,0,0,0">
                  <w:txbxContent>
                    <w:p>
                      <w:pPr>
                        <w:spacing w:line="167" w:lineRule="exact" w:before="0"/>
                        <w:ind w:left="0" w:right="0" w:firstLine="0"/>
                        <w:jc w:val="left"/>
                        <w:rPr>
                          <w:rFonts w:ascii="宋体" w:hAnsi="宋体" w:cs="宋体" w:eastAsia="宋体" w:hint="default"/>
                          <w:sz w:val="15"/>
                          <w:szCs w:val="15"/>
                        </w:rPr>
                      </w:pPr>
                      <w:r>
                        <w:rPr>
                          <w:rFonts w:ascii="Times New Roman" w:hAnsi="Times New Roman" w:cs="Times New Roman" w:eastAsia="Times New Roman" w:hint="default"/>
                          <w:sz w:val="15"/>
                          <w:szCs w:val="15"/>
                        </w:rPr>
                        <w:t>26,174,59    2011.01.01    2011.12.31   8,691,478   </w:t>
                      </w:r>
                      <w:r>
                        <w:rPr>
                          <w:rFonts w:ascii="宋体" w:hAnsi="宋体" w:cs="宋体" w:eastAsia="宋体" w:hint="default"/>
                          <w:position w:val="1"/>
                          <w:sz w:val="15"/>
                          <w:szCs w:val="15"/>
                        </w:rPr>
                        <w:t>租赁合同</w:t>
                      </w:r>
                      <w:r>
                        <w:rPr>
                          <w:rFonts w:ascii="宋体" w:hAnsi="宋体" w:cs="宋体" w:eastAsia="宋体" w:hint="default"/>
                          <w:spacing w:val="9"/>
                          <w:position w:val="1"/>
                          <w:sz w:val="15"/>
                          <w:szCs w:val="15"/>
                        </w:rPr>
                        <w:t> </w:t>
                      </w:r>
                      <w:r>
                        <w:rPr>
                          <w:rFonts w:ascii="Times New Roman" w:hAnsi="Times New Roman" w:cs="Times New Roman" w:eastAsia="Times New Roman" w:hint="default"/>
                          <w:position w:val="1"/>
                          <w:sz w:val="15"/>
                          <w:szCs w:val="15"/>
                        </w:rPr>
                        <w:t>100%</w:t>
                      </w:r>
                      <w:r>
                        <w:rPr>
                          <w:rFonts w:ascii="宋体" w:hAnsi="宋体" w:cs="宋体" w:eastAsia="宋体" w:hint="default"/>
                          <w:position w:val="1"/>
                          <w:sz w:val="15"/>
                          <w:szCs w:val="15"/>
                        </w:rPr>
                        <w:t>确认为租赁收入</w:t>
                      </w:r>
                      <w:r>
                        <w:rPr>
                          <w:rFonts w:ascii="宋体" w:hAnsi="宋体" w:cs="宋体" w:eastAsia="宋体" w:hint="default"/>
                          <w:sz w:val="15"/>
                          <w:szCs w:val="15"/>
                        </w:rPr>
                      </w:r>
                    </w:p>
                  </w:txbxContent>
                </v:textbox>
                <w10:wrap type="none"/>
              </v:shape>
              <v:shape style="position:absolute;left:2338;top:1772;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展有限公司</w:t>
                      </w:r>
                    </w:p>
                  </w:txbxContent>
                </v:textbox>
                <w10:wrap type="none"/>
              </v:shape>
            </v:group>
            <w10:wrap type="none"/>
          </v:group>
        </w:pict>
      </w:r>
      <w:r>
        <w:rPr>
          <w:rFonts w:ascii="宋体" w:hAnsi="宋体" w:cs="宋体" w:eastAsia="宋体" w:hint="default"/>
          <w:b/>
          <w:bCs/>
          <w:w w:val="95"/>
          <w:sz w:val="21"/>
          <w:szCs w:val="21"/>
        </w:rPr>
        <w:t>6、</w:t>
        <w:tab/>
      </w:r>
      <w:r>
        <w:rPr>
          <w:rFonts w:ascii="宋体" w:hAnsi="宋体" w:cs="宋体" w:eastAsia="宋体" w:hint="default"/>
          <w:b/>
          <w:bCs/>
          <w:sz w:val="21"/>
          <w:szCs w:val="21"/>
        </w:rPr>
        <w:t>关联租赁情况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8"/>
          <w:szCs w:val="18"/>
        </w:rPr>
      </w:pPr>
    </w:p>
    <w:tbl>
      <w:tblPr>
        <w:tblW w:w="0" w:type="auto"/>
        <w:jc w:val="left"/>
        <w:tblInd w:w="749" w:type="dxa"/>
        <w:tblLayout w:type="fixed"/>
        <w:tblCellMar>
          <w:top w:w="0" w:type="dxa"/>
          <w:left w:w="0" w:type="dxa"/>
          <w:bottom w:w="0" w:type="dxa"/>
          <w:right w:w="0" w:type="dxa"/>
        </w:tblCellMar>
        <w:tblLook w:val="01E0"/>
      </w:tblPr>
      <w:tblGrid>
        <w:gridCol w:w="2045"/>
        <w:gridCol w:w="1360"/>
        <w:gridCol w:w="786"/>
        <w:gridCol w:w="736"/>
        <w:gridCol w:w="934"/>
        <w:gridCol w:w="720"/>
        <w:gridCol w:w="351"/>
        <w:gridCol w:w="1792"/>
      </w:tblGrid>
      <w:tr>
        <w:trPr>
          <w:trHeight w:val="389" w:hRule="exact"/>
        </w:trPr>
        <w:tc>
          <w:tcPr>
            <w:tcW w:w="4191" w:type="dxa"/>
            <w:gridSpan w:val="3"/>
            <w:tcBorders>
              <w:top w:val="nil" w:sz="6" w:space="0" w:color="auto"/>
              <w:left w:val="nil" w:sz="6" w:space="0" w:color="auto"/>
              <w:bottom w:val="nil" w:sz="6" w:space="0" w:color="auto"/>
              <w:right w:val="nil" w:sz="6" w:space="0" w:color="auto"/>
            </w:tcBorders>
          </w:tcPr>
          <w:p>
            <w:pPr>
              <w:pStyle w:val="TableParagraph"/>
              <w:tabs>
                <w:tab w:pos="2722" w:val="left" w:leader="none"/>
              </w:tabs>
              <w:spacing w:line="240" w:lineRule="auto" w:before="53"/>
              <w:ind w:left="107" w:right="0"/>
              <w:jc w:val="left"/>
              <w:rPr>
                <w:rFonts w:ascii="宋体" w:hAnsi="宋体" w:cs="宋体" w:eastAsia="宋体" w:hint="default"/>
                <w:sz w:val="15"/>
                <w:szCs w:val="15"/>
              </w:rPr>
            </w:pPr>
            <w:r>
              <w:rPr>
                <w:rFonts w:ascii="宋体" w:hAnsi="宋体" w:cs="宋体" w:eastAsia="宋体" w:hint="default"/>
                <w:sz w:val="15"/>
                <w:szCs w:val="15"/>
              </w:rPr>
              <w:t>东软集团股份有限公司</w:t>
            </w:r>
            <w:r>
              <w:rPr>
                <w:rFonts w:ascii="宋体" w:hAnsi="宋体" w:cs="宋体" w:eastAsia="宋体" w:hint="default"/>
                <w:spacing w:val="61"/>
                <w:sz w:val="15"/>
                <w:szCs w:val="15"/>
              </w:rPr>
              <w:t> </w:t>
            </w:r>
            <w:r>
              <w:rPr>
                <w:rFonts w:ascii="宋体" w:hAnsi="宋体" w:cs="宋体" w:eastAsia="宋体" w:hint="default"/>
                <w:sz w:val="15"/>
                <w:szCs w:val="15"/>
              </w:rPr>
              <w:t>东软飞利浦</w:t>
              <w:tab/>
              <w:t>房屋</w:t>
            </w:r>
          </w:p>
        </w:tc>
        <w:tc>
          <w:tcPr>
            <w:tcW w:w="736" w:type="dxa"/>
            <w:tcBorders>
              <w:top w:val="nil" w:sz="6" w:space="0" w:color="auto"/>
              <w:left w:val="nil" w:sz="6" w:space="0" w:color="auto"/>
              <w:bottom w:val="nil" w:sz="6" w:space="0" w:color="auto"/>
              <w:right w:val="nil" w:sz="6" w:space="0" w:color="auto"/>
            </w:tcBorders>
          </w:tcPr>
          <w:p>
            <w:pPr>
              <w:pStyle w:val="TableParagraph"/>
              <w:spacing w:line="240" w:lineRule="auto" w:before="97"/>
              <w:ind w:left="64" w:right="0"/>
              <w:jc w:val="center"/>
              <w:rPr>
                <w:rFonts w:ascii="Times New Roman" w:hAnsi="Times New Roman" w:cs="Times New Roman" w:eastAsia="Times New Roman" w:hint="default"/>
                <w:sz w:val="15"/>
                <w:szCs w:val="15"/>
              </w:rPr>
            </w:pPr>
            <w:r>
              <w:rPr>
                <w:rFonts w:ascii="Times New Roman"/>
                <w:sz w:val="15"/>
              </w:rPr>
              <w:t>5,814,803</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75"/>
              <w:jc w:val="right"/>
              <w:rPr>
                <w:rFonts w:ascii="Times New Roman" w:hAnsi="Times New Roman" w:cs="Times New Roman" w:eastAsia="Times New Roman" w:hint="default"/>
                <w:sz w:val="15"/>
                <w:szCs w:val="15"/>
              </w:rPr>
            </w:pPr>
            <w:r>
              <w:rPr>
                <w:rFonts w:ascii="Times New Roman"/>
                <w:spacing w:val="-1"/>
                <w:w w:val="95"/>
                <w:sz w:val="15"/>
              </w:rPr>
              <w:t>2011.09.01</w:t>
            </w: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51"/>
              <w:jc w:val="right"/>
              <w:rPr>
                <w:rFonts w:ascii="Times New Roman" w:hAnsi="Times New Roman" w:cs="Times New Roman" w:eastAsia="Times New Roman" w:hint="default"/>
                <w:sz w:val="15"/>
                <w:szCs w:val="15"/>
              </w:rPr>
            </w:pPr>
            <w:r>
              <w:rPr>
                <w:rFonts w:ascii="Times New Roman"/>
                <w:spacing w:val="-1"/>
                <w:sz w:val="15"/>
              </w:rPr>
              <w:t>2012.08.31</w:t>
            </w:r>
          </w:p>
        </w:tc>
        <w:tc>
          <w:tcPr>
            <w:tcW w:w="351"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75" w:right="-313"/>
              <w:jc w:val="center"/>
              <w:rPr>
                <w:rFonts w:ascii="Times New Roman" w:hAnsi="Times New Roman" w:cs="Times New Roman" w:eastAsia="Times New Roman" w:hint="default"/>
                <w:sz w:val="15"/>
                <w:szCs w:val="15"/>
              </w:rPr>
            </w:pPr>
            <w:r>
              <w:rPr>
                <w:rFonts w:ascii="Times New Roman"/>
                <w:spacing w:val="-1"/>
                <w:sz w:val="15"/>
              </w:rPr>
              <w:t>343,077</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6" w:right="-316"/>
              <w:jc w:val="center"/>
              <w:rPr>
                <w:rFonts w:ascii="宋体" w:hAnsi="宋体" w:cs="宋体" w:eastAsia="宋体" w:hint="default"/>
                <w:sz w:val="15"/>
                <w:szCs w:val="15"/>
              </w:rPr>
            </w:pPr>
            <w:r>
              <w:rPr>
                <w:rFonts w:ascii="宋体" w:hAnsi="宋体" w:cs="宋体" w:eastAsia="宋体" w:hint="default"/>
                <w:sz w:val="15"/>
                <w:szCs w:val="15"/>
              </w:rPr>
              <w:t>租赁合同</w:t>
            </w:r>
            <w:r>
              <w:rPr>
                <w:rFonts w:ascii="宋体" w:hAnsi="宋体" w:cs="宋体" w:eastAsia="宋体" w:hint="default"/>
                <w:spacing w:val="-26"/>
                <w:sz w:val="15"/>
                <w:szCs w:val="15"/>
              </w:rPr>
              <w:t> </w:t>
            </w:r>
            <w:r>
              <w:rPr>
                <w:rFonts w:ascii="Times New Roman" w:hAnsi="Times New Roman" w:cs="Times New Roman" w:eastAsia="Times New Roman" w:hint="default"/>
                <w:sz w:val="15"/>
                <w:szCs w:val="15"/>
              </w:rPr>
              <w:t>100%</w:t>
            </w:r>
            <w:r>
              <w:rPr>
                <w:rFonts w:ascii="宋体" w:hAnsi="宋体" w:cs="宋体" w:eastAsia="宋体" w:hint="default"/>
                <w:sz w:val="15"/>
                <w:szCs w:val="15"/>
              </w:rPr>
              <w:t>确认为租赁收入</w:t>
            </w:r>
          </w:p>
        </w:tc>
      </w:tr>
      <w:tr>
        <w:trPr>
          <w:trHeight w:val="510" w:hRule="exact"/>
        </w:trPr>
        <w:tc>
          <w:tcPr>
            <w:tcW w:w="4191" w:type="dxa"/>
            <w:gridSpan w:val="3"/>
            <w:tcBorders>
              <w:top w:val="nil" w:sz="6" w:space="0" w:color="auto"/>
              <w:left w:val="nil" w:sz="6" w:space="0" w:color="auto"/>
              <w:bottom w:val="nil" w:sz="6" w:space="0" w:color="auto"/>
              <w:right w:val="nil" w:sz="6" w:space="0" w:color="auto"/>
            </w:tcBorders>
          </w:tcPr>
          <w:p>
            <w:pPr>
              <w:pStyle w:val="TableParagraph"/>
              <w:tabs>
                <w:tab w:pos="2722" w:val="left" w:leader="none"/>
              </w:tabs>
              <w:spacing w:line="240" w:lineRule="auto" w:before="75"/>
              <w:ind w:left="107" w:right="0"/>
              <w:jc w:val="left"/>
              <w:rPr>
                <w:rFonts w:ascii="宋体" w:hAnsi="宋体" w:cs="宋体" w:eastAsia="宋体" w:hint="default"/>
                <w:sz w:val="15"/>
                <w:szCs w:val="15"/>
              </w:rPr>
            </w:pPr>
            <w:r>
              <w:rPr>
                <w:rFonts w:ascii="宋体" w:hAnsi="宋体" w:cs="宋体" w:eastAsia="宋体" w:hint="default"/>
                <w:sz w:val="15"/>
                <w:szCs w:val="15"/>
              </w:rPr>
              <w:t>东软集团股份有限公司</w:t>
            </w:r>
            <w:r>
              <w:rPr>
                <w:rFonts w:ascii="宋体" w:hAnsi="宋体" w:cs="宋体" w:eastAsia="宋体" w:hint="default"/>
                <w:spacing w:val="61"/>
                <w:sz w:val="15"/>
                <w:szCs w:val="15"/>
              </w:rPr>
              <w:t> </w:t>
            </w:r>
            <w:r>
              <w:rPr>
                <w:rFonts w:ascii="宋体" w:hAnsi="宋体" w:cs="宋体" w:eastAsia="宋体" w:hint="default"/>
                <w:sz w:val="15"/>
                <w:szCs w:val="15"/>
              </w:rPr>
              <w:t>东软飞利浦</w:t>
              <w:tab/>
              <w:t>房屋</w:t>
            </w:r>
          </w:p>
        </w:tc>
        <w:tc>
          <w:tcPr>
            <w:tcW w:w="736"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7"/>
              <w:jc w:val="center"/>
              <w:rPr>
                <w:rFonts w:ascii="Times New Roman" w:hAnsi="Times New Roman" w:cs="Times New Roman" w:eastAsia="Times New Roman" w:hint="default"/>
                <w:sz w:val="15"/>
                <w:szCs w:val="15"/>
              </w:rPr>
            </w:pPr>
            <w:r>
              <w:rPr>
                <w:rFonts w:ascii="Times New Roman"/>
                <w:sz w:val="15"/>
              </w:rPr>
              <w:t>33,718,538</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71"/>
              <w:jc w:val="right"/>
              <w:rPr>
                <w:rFonts w:ascii="Times New Roman" w:hAnsi="Times New Roman" w:cs="Times New Roman" w:eastAsia="Times New Roman" w:hint="default"/>
                <w:sz w:val="15"/>
                <w:szCs w:val="15"/>
              </w:rPr>
            </w:pPr>
            <w:r>
              <w:rPr>
                <w:rFonts w:ascii="Times New Roman"/>
                <w:spacing w:val="-1"/>
                <w:sz w:val="15"/>
              </w:rPr>
              <w:t>2005.07.01</w:t>
            </w: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51"/>
              <w:jc w:val="right"/>
              <w:rPr>
                <w:rFonts w:ascii="Times New Roman" w:hAnsi="Times New Roman" w:cs="Times New Roman" w:eastAsia="Times New Roman" w:hint="default"/>
                <w:sz w:val="15"/>
                <w:szCs w:val="15"/>
              </w:rPr>
            </w:pPr>
            <w:r>
              <w:rPr>
                <w:rFonts w:ascii="Times New Roman"/>
                <w:spacing w:val="-1"/>
                <w:sz w:val="15"/>
              </w:rPr>
              <w:t>2012.08.31</w:t>
            </w:r>
          </w:p>
        </w:tc>
        <w:tc>
          <w:tcPr>
            <w:tcW w:w="351"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62" w:right="-313"/>
              <w:jc w:val="center"/>
              <w:rPr>
                <w:rFonts w:ascii="Times New Roman" w:hAnsi="Times New Roman" w:cs="Times New Roman" w:eastAsia="Times New Roman" w:hint="default"/>
                <w:sz w:val="15"/>
                <w:szCs w:val="15"/>
              </w:rPr>
            </w:pPr>
            <w:r>
              <w:rPr>
                <w:rFonts w:ascii="Times New Roman"/>
                <w:spacing w:val="-1"/>
                <w:sz w:val="15"/>
              </w:rPr>
              <w:t>7,562,184</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75"/>
              <w:ind w:left="56" w:right="-316"/>
              <w:jc w:val="center"/>
              <w:rPr>
                <w:rFonts w:ascii="宋体" w:hAnsi="宋体" w:cs="宋体" w:eastAsia="宋体" w:hint="default"/>
                <w:sz w:val="15"/>
                <w:szCs w:val="15"/>
              </w:rPr>
            </w:pPr>
            <w:r>
              <w:rPr>
                <w:rFonts w:ascii="宋体" w:hAnsi="宋体" w:cs="宋体" w:eastAsia="宋体" w:hint="default"/>
                <w:sz w:val="15"/>
                <w:szCs w:val="15"/>
              </w:rPr>
              <w:t>租赁合同</w:t>
            </w:r>
            <w:r>
              <w:rPr>
                <w:rFonts w:ascii="宋体" w:hAnsi="宋体" w:cs="宋体" w:eastAsia="宋体" w:hint="default"/>
                <w:spacing w:val="-26"/>
                <w:sz w:val="15"/>
                <w:szCs w:val="15"/>
              </w:rPr>
              <w:t> </w:t>
            </w:r>
            <w:r>
              <w:rPr>
                <w:rFonts w:ascii="Times New Roman" w:hAnsi="Times New Roman" w:cs="Times New Roman" w:eastAsia="Times New Roman" w:hint="default"/>
                <w:sz w:val="15"/>
                <w:szCs w:val="15"/>
              </w:rPr>
              <w:t>100%</w:t>
            </w:r>
            <w:r>
              <w:rPr>
                <w:rFonts w:ascii="宋体" w:hAnsi="宋体" w:cs="宋体" w:eastAsia="宋体" w:hint="default"/>
                <w:sz w:val="15"/>
                <w:szCs w:val="15"/>
              </w:rPr>
              <w:t>确认为租赁收入</w:t>
            </w:r>
          </w:p>
        </w:tc>
      </w:tr>
      <w:tr>
        <w:trPr>
          <w:trHeight w:val="388" w:hRule="exact"/>
        </w:trPr>
        <w:tc>
          <w:tcPr>
            <w:tcW w:w="4191" w:type="dxa"/>
            <w:gridSpan w:val="3"/>
            <w:tcBorders>
              <w:top w:val="nil" w:sz="6" w:space="0" w:color="auto"/>
              <w:left w:val="nil" w:sz="6" w:space="0" w:color="auto"/>
              <w:bottom w:val="nil" w:sz="6" w:space="0" w:color="auto"/>
              <w:right w:val="nil" w:sz="6" w:space="0" w:color="auto"/>
            </w:tcBorders>
          </w:tcPr>
          <w:p>
            <w:pPr>
              <w:pStyle w:val="TableParagraph"/>
              <w:spacing w:line="171" w:lineRule="exact"/>
              <w:ind w:left="107" w:right="0"/>
              <w:jc w:val="left"/>
              <w:rPr>
                <w:rFonts w:ascii="宋体" w:hAnsi="宋体" w:cs="宋体" w:eastAsia="宋体" w:hint="default"/>
                <w:sz w:val="15"/>
                <w:szCs w:val="15"/>
              </w:rPr>
            </w:pPr>
            <w:r>
              <w:rPr>
                <w:rFonts w:ascii="宋体" w:hAnsi="宋体" w:cs="宋体" w:eastAsia="宋体" w:hint="default"/>
                <w:spacing w:val="9"/>
                <w:sz w:val="15"/>
                <w:szCs w:val="15"/>
              </w:rPr>
              <w:t>沈阳东软医疗系统有限</w:t>
            </w:r>
            <w:r>
              <w:rPr>
                <w:rFonts w:ascii="宋体" w:hAnsi="宋体" w:cs="宋体" w:eastAsia="宋体" w:hint="default"/>
                <w:sz w:val="15"/>
                <w:szCs w:val="15"/>
              </w:rPr>
            </w:r>
          </w:p>
          <w:p>
            <w:pPr>
              <w:pStyle w:val="TableParagraph"/>
              <w:tabs>
                <w:tab w:pos="2722" w:val="left" w:leader="none"/>
              </w:tabs>
              <w:spacing w:line="240" w:lineRule="auto" w:before="4"/>
              <w:ind w:left="1744" w:right="0"/>
              <w:jc w:val="left"/>
              <w:rPr>
                <w:rFonts w:ascii="宋体" w:hAnsi="宋体" w:cs="宋体" w:eastAsia="宋体" w:hint="default"/>
                <w:sz w:val="15"/>
                <w:szCs w:val="15"/>
              </w:rPr>
            </w:pPr>
            <w:r>
              <w:rPr>
                <w:rFonts w:ascii="宋体" w:hAnsi="宋体" w:cs="宋体" w:eastAsia="宋体" w:hint="default"/>
                <w:sz w:val="15"/>
                <w:szCs w:val="15"/>
              </w:rPr>
              <w:t>东软飞利浦</w:t>
              <w:tab/>
              <w:t>房屋</w:t>
            </w:r>
          </w:p>
        </w:tc>
        <w:tc>
          <w:tcPr>
            <w:tcW w:w="73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7"/>
              <w:jc w:val="center"/>
              <w:rPr>
                <w:rFonts w:ascii="Times New Roman" w:hAnsi="Times New Roman" w:cs="Times New Roman" w:eastAsia="Times New Roman" w:hint="default"/>
                <w:sz w:val="15"/>
                <w:szCs w:val="15"/>
              </w:rPr>
            </w:pPr>
            <w:r>
              <w:rPr>
                <w:rFonts w:ascii="Times New Roman"/>
                <w:sz w:val="15"/>
              </w:rPr>
              <w:t>16,689,355</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175"/>
              <w:jc w:val="right"/>
              <w:rPr>
                <w:rFonts w:ascii="Times New Roman" w:hAnsi="Times New Roman" w:cs="Times New Roman" w:eastAsia="Times New Roman" w:hint="default"/>
                <w:sz w:val="15"/>
                <w:szCs w:val="15"/>
              </w:rPr>
            </w:pPr>
            <w:r>
              <w:rPr>
                <w:rFonts w:ascii="Times New Roman"/>
                <w:spacing w:val="-1"/>
                <w:w w:val="95"/>
                <w:sz w:val="15"/>
              </w:rPr>
              <w:t>2011.01.01</w:t>
            </w: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147"/>
              <w:jc w:val="right"/>
              <w:rPr>
                <w:rFonts w:ascii="Times New Roman" w:hAnsi="Times New Roman" w:cs="Times New Roman" w:eastAsia="Times New Roman" w:hint="default"/>
                <w:sz w:val="15"/>
                <w:szCs w:val="15"/>
              </w:rPr>
            </w:pPr>
            <w:r>
              <w:rPr>
                <w:rFonts w:ascii="Times New Roman"/>
                <w:spacing w:val="-1"/>
                <w:w w:val="95"/>
                <w:sz w:val="15"/>
              </w:rPr>
              <w:t>2011.12.31</w:t>
            </w:r>
          </w:p>
        </w:tc>
        <w:tc>
          <w:tcPr>
            <w:tcW w:w="3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62" w:right="-313"/>
              <w:jc w:val="center"/>
              <w:rPr>
                <w:rFonts w:ascii="Times New Roman" w:hAnsi="Times New Roman" w:cs="Times New Roman" w:eastAsia="Times New Roman" w:hint="default"/>
                <w:sz w:val="15"/>
                <w:szCs w:val="15"/>
              </w:rPr>
            </w:pPr>
            <w:r>
              <w:rPr>
                <w:rFonts w:ascii="Times New Roman"/>
                <w:spacing w:val="-1"/>
                <w:sz w:val="15"/>
              </w:rPr>
              <w:t>3,030,554</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56" w:right="-316"/>
              <w:jc w:val="center"/>
              <w:rPr>
                <w:rFonts w:ascii="宋体" w:hAnsi="宋体" w:cs="宋体" w:eastAsia="宋体" w:hint="default"/>
                <w:sz w:val="15"/>
                <w:szCs w:val="15"/>
              </w:rPr>
            </w:pPr>
            <w:r>
              <w:rPr>
                <w:rFonts w:ascii="宋体" w:hAnsi="宋体" w:cs="宋体" w:eastAsia="宋体" w:hint="default"/>
                <w:sz w:val="15"/>
                <w:szCs w:val="15"/>
              </w:rPr>
              <w:t>租赁合同</w:t>
            </w:r>
            <w:r>
              <w:rPr>
                <w:rFonts w:ascii="宋体" w:hAnsi="宋体" w:cs="宋体" w:eastAsia="宋体" w:hint="default"/>
                <w:spacing w:val="-26"/>
                <w:sz w:val="15"/>
                <w:szCs w:val="15"/>
              </w:rPr>
              <w:t> </w:t>
            </w:r>
            <w:r>
              <w:rPr>
                <w:rFonts w:ascii="Times New Roman" w:hAnsi="Times New Roman" w:cs="Times New Roman" w:eastAsia="Times New Roman" w:hint="default"/>
                <w:sz w:val="15"/>
                <w:szCs w:val="15"/>
              </w:rPr>
              <w:t>100%</w:t>
            </w:r>
            <w:r>
              <w:rPr>
                <w:rFonts w:ascii="宋体" w:hAnsi="宋体" w:cs="宋体" w:eastAsia="宋体" w:hint="default"/>
                <w:sz w:val="15"/>
                <w:szCs w:val="15"/>
              </w:rPr>
              <w:t>确认为租赁收入</w:t>
            </w:r>
          </w:p>
        </w:tc>
      </w:tr>
      <w:tr>
        <w:trPr>
          <w:trHeight w:val="489" w:hRule="exact"/>
        </w:trPr>
        <w:tc>
          <w:tcPr>
            <w:tcW w:w="4191" w:type="dxa"/>
            <w:gridSpan w:val="3"/>
            <w:tcBorders>
              <w:top w:val="nil" w:sz="6" w:space="0" w:color="auto"/>
              <w:left w:val="nil" w:sz="6" w:space="0" w:color="auto"/>
              <w:bottom w:val="nil" w:sz="6" w:space="0" w:color="auto"/>
              <w:right w:val="nil" w:sz="6" w:space="0" w:color="auto"/>
            </w:tcBorders>
          </w:tcPr>
          <w:p>
            <w:pPr>
              <w:pStyle w:val="TableParagraph"/>
              <w:spacing w:line="184" w:lineRule="exact"/>
              <w:ind w:left="107" w:right="0"/>
              <w:jc w:val="left"/>
              <w:rPr>
                <w:rFonts w:ascii="宋体" w:hAnsi="宋体" w:cs="宋体" w:eastAsia="宋体" w:hint="default"/>
                <w:sz w:val="15"/>
                <w:szCs w:val="15"/>
              </w:rPr>
            </w:pPr>
            <w:r>
              <w:rPr>
                <w:rFonts w:ascii="宋体" w:hAnsi="宋体" w:cs="宋体" w:eastAsia="宋体" w:hint="default"/>
                <w:sz w:val="15"/>
                <w:szCs w:val="15"/>
              </w:rPr>
              <w:t>公司</w:t>
            </w:r>
          </w:p>
        </w:tc>
        <w:tc>
          <w:tcPr>
            <w:tcW w:w="736" w:type="dxa"/>
            <w:tcBorders>
              <w:top w:val="nil" w:sz="6" w:space="0" w:color="auto"/>
              <w:left w:val="nil" w:sz="6" w:space="0" w:color="auto"/>
              <w:bottom w:val="nil" w:sz="6" w:space="0" w:color="auto"/>
              <w:right w:val="nil" w:sz="6" w:space="0" w:color="auto"/>
            </w:tcBorders>
          </w:tcPr>
          <w:p>
            <w:pPr/>
          </w:p>
        </w:tc>
        <w:tc>
          <w:tcPr>
            <w:tcW w:w="934" w:type="dxa"/>
            <w:tcBorders>
              <w:top w:val="nil" w:sz="6" w:space="0" w:color="auto"/>
              <w:left w:val="nil" w:sz="6" w:space="0" w:color="auto"/>
              <w:bottom w:val="nil" w:sz="6" w:space="0" w:color="auto"/>
              <w:right w:val="nil" w:sz="6" w:space="0" w:color="auto"/>
            </w:tcBorders>
          </w:tcPr>
          <w:p>
            <w:pPr/>
          </w:p>
        </w:tc>
        <w:tc>
          <w:tcPr>
            <w:tcW w:w="720" w:type="dxa"/>
            <w:tcBorders>
              <w:top w:val="nil" w:sz="6" w:space="0" w:color="auto"/>
              <w:left w:val="nil" w:sz="6" w:space="0" w:color="auto"/>
              <w:bottom w:val="nil" w:sz="6" w:space="0" w:color="auto"/>
              <w:right w:val="nil" w:sz="6" w:space="0" w:color="auto"/>
            </w:tcBorders>
          </w:tcPr>
          <w:p>
            <w:pPr/>
          </w:p>
        </w:tc>
        <w:tc>
          <w:tcPr>
            <w:tcW w:w="351" w:type="dxa"/>
            <w:tcBorders>
              <w:top w:val="nil" w:sz="6" w:space="0" w:color="auto"/>
              <w:left w:val="nil" w:sz="6" w:space="0" w:color="auto"/>
              <w:bottom w:val="nil" w:sz="6" w:space="0" w:color="auto"/>
              <w:right w:val="nil" w:sz="6" w:space="0" w:color="auto"/>
            </w:tcBorders>
          </w:tcPr>
          <w:p>
            <w:pPr/>
          </w:p>
        </w:tc>
        <w:tc>
          <w:tcPr>
            <w:tcW w:w="1792" w:type="dxa"/>
            <w:tcBorders>
              <w:top w:val="nil" w:sz="6" w:space="0" w:color="auto"/>
              <w:left w:val="nil" w:sz="6" w:space="0" w:color="auto"/>
              <w:bottom w:val="nil" w:sz="6" w:space="0" w:color="auto"/>
              <w:right w:val="nil" w:sz="6" w:space="0" w:color="auto"/>
            </w:tcBorders>
          </w:tcPr>
          <w:p>
            <w:pPr/>
          </w:p>
        </w:tc>
      </w:tr>
      <w:tr>
        <w:trPr>
          <w:trHeight w:val="563" w:hRule="exact"/>
        </w:trPr>
        <w:tc>
          <w:tcPr>
            <w:tcW w:w="204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8"/>
                <w:szCs w:val="18"/>
              </w:rPr>
            </w:pPr>
          </w:p>
          <w:p>
            <w:pPr>
              <w:pStyle w:val="TableParagraph"/>
              <w:tabs>
                <w:tab w:pos="646" w:val="left" w:leader="none"/>
              </w:tabs>
              <w:spacing w:line="240" w:lineRule="auto"/>
              <w:ind w:left="107" w:right="0"/>
              <w:jc w:val="left"/>
              <w:rPr>
                <w:rFonts w:ascii="宋体" w:hAnsi="宋体" w:cs="宋体" w:eastAsia="宋体" w:hint="default"/>
                <w:sz w:val="21"/>
                <w:szCs w:val="21"/>
              </w:rPr>
            </w:pPr>
            <w:r>
              <w:rPr>
                <w:rFonts w:ascii="宋体" w:hAnsi="宋体" w:cs="宋体" w:eastAsia="宋体" w:hint="default"/>
                <w:b/>
                <w:bCs/>
                <w:w w:val="95"/>
                <w:sz w:val="21"/>
                <w:szCs w:val="21"/>
              </w:rPr>
              <w:t>7、</w:t>
              <w:tab/>
            </w:r>
            <w:r>
              <w:rPr>
                <w:rFonts w:ascii="宋体" w:hAnsi="宋体" w:cs="宋体" w:eastAsia="宋体" w:hint="default"/>
                <w:b/>
                <w:bCs/>
                <w:sz w:val="21"/>
                <w:szCs w:val="21"/>
              </w:rPr>
              <w:t>关联担保情况</w:t>
            </w:r>
            <w:r>
              <w:rPr>
                <w:rFonts w:ascii="宋体" w:hAnsi="宋体" w:cs="宋体" w:eastAsia="宋体" w:hint="default"/>
                <w:sz w:val="21"/>
                <w:szCs w:val="21"/>
              </w:rPr>
            </w:r>
          </w:p>
        </w:tc>
        <w:tc>
          <w:tcPr>
            <w:tcW w:w="1360" w:type="dxa"/>
            <w:tcBorders>
              <w:top w:val="nil" w:sz="6" w:space="0" w:color="auto"/>
              <w:left w:val="nil" w:sz="6" w:space="0" w:color="auto"/>
              <w:bottom w:val="single" w:sz="12" w:space="0" w:color="000000"/>
              <w:right w:val="nil" w:sz="6" w:space="0" w:color="auto"/>
            </w:tcBorders>
          </w:tcPr>
          <w:p>
            <w:pPr/>
          </w:p>
        </w:tc>
        <w:tc>
          <w:tcPr>
            <w:tcW w:w="1522" w:type="dxa"/>
            <w:gridSpan w:val="2"/>
            <w:tcBorders>
              <w:top w:val="nil" w:sz="6" w:space="0" w:color="auto"/>
              <w:left w:val="nil" w:sz="6" w:space="0" w:color="auto"/>
              <w:bottom w:val="single" w:sz="12" w:space="0" w:color="000000"/>
              <w:right w:val="nil" w:sz="6" w:space="0" w:color="auto"/>
            </w:tcBorders>
          </w:tcPr>
          <w:p>
            <w:pPr/>
          </w:p>
        </w:tc>
        <w:tc>
          <w:tcPr>
            <w:tcW w:w="934" w:type="dxa"/>
            <w:tcBorders>
              <w:top w:val="nil" w:sz="6" w:space="0" w:color="auto"/>
              <w:left w:val="nil" w:sz="6" w:space="0" w:color="auto"/>
              <w:bottom w:val="single" w:sz="12" w:space="0" w:color="000000"/>
              <w:right w:val="nil" w:sz="6" w:space="0" w:color="auto"/>
            </w:tcBorders>
          </w:tcPr>
          <w:p>
            <w:pPr/>
          </w:p>
        </w:tc>
        <w:tc>
          <w:tcPr>
            <w:tcW w:w="1071" w:type="dxa"/>
            <w:gridSpan w:val="2"/>
            <w:tcBorders>
              <w:top w:val="nil" w:sz="6" w:space="0" w:color="auto"/>
              <w:left w:val="nil" w:sz="6" w:space="0" w:color="auto"/>
              <w:bottom w:val="single" w:sz="12" w:space="0" w:color="000000"/>
              <w:right w:val="nil" w:sz="6" w:space="0" w:color="auto"/>
            </w:tcBorders>
          </w:tcPr>
          <w:p>
            <w:pPr/>
          </w:p>
        </w:tc>
        <w:tc>
          <w:tcPr>
            <w:tcW w:w="1792" w:type="dxa"/>
            <w:tcBorders>
              <w:top w:val="nil" w:sz="6" w:space="0" w:color="auto"/>
              <w:left w:val="nil" w:sz="6" w:space="0" w:color="auto"/>
              <w:bottom w:val="single" w:sz="12" w:space="0" w:color="000000"/>
              <w:right w:val="nil" w:sz="6" w:space="0" w:color="auto"/>
            </w:tcBorders>
          </w:tcPr>
          <w:p>
            <w:pPr/>
          </w:p>
        </w:tc>
      </w:tr>
      <w:tr>
        <w:trPr>
          <w:trHeight w:val="521" w:hRule="exact"/>
        </w:trPr>
        <w:tc>
          <w:tcPr>
            <w:tcW w:w="2045"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25" w:right="0"/>
              <w:jc w:val="center"/>
              <w:rPr>
                <w:rFonts w:ascii="宋体" w:hAnsi="宋体" w:cs="宋体" w:eastAsia="宋体" w:hint="default"/>
                <w:sz w:val="15"/>
                <w:szCs w:val="15"/>
              </w:rPr>
            </w:pPr>
            <w:r>
              <w:rPr>
                <w:rFonts w:ascii="宋体" w:hAnsi="宋体" w:cs="宋体" w:eastAsia="宋体" w:hint="default"/>
                <w:sz w:val="15"/>
                <w:szCs w:val="15"/>
              </w:rPr>
              <w:t>担保方</w:t>
            </w:r>
          </w:p>
        </w:tc>
        <w:tc>
          <w:tcPr>
            <w:tcW w:w="1360"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576" w:right="0"/>
              <w:jc w:val="left"/>
              <w:rPr>
                <w:rFonts w:ascii="宋体" w:hAnsi="宋体" w:cs="宋体" w:eastAsia="宋体" w:hint="default"/>
                <w:sz w:val="15"/>
                <w:szCs w:val="15"/>
              </w:rPr>
            </w:pPr>
            <w:r>
              <w:rPr>
                <w:rFonts w:ascii="宋体" w:hAnsi="宋体" w:cs="宋体" w:eastAsia="宋体" w:hint="default"/>
                <w:sz w:val="15"/>
                <w:szCs w:val="15"/>
              </w:rPr>
              <w:t>被担保方</w:t>
            </w:r>
          </w:p>
        </w:tc>
        <w:tc>
          <w:tcPr>
            <w:tcW w:w="1522"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577" w:right="0"/>
              <w:jc w:val="left"/>
              <w:rPr>
                <w:rFonts w:ascii="宋体" w:hAnsi="宋体" w:cs="宋体" w:eastAsia="宋体" w:hint="default"/>
                <w:sz w:val="15"/>
                <w:szCs w:val="15"/>
              </w:rPr>
            </w:pPr>
            <w:r>
              <w:rPr>
                <w:rFonts w:ascii="宋体" w:hAnsi="宋体" w:cs="宋体" w:eastAsia="宋体" w:hint="default"/>
                <w:sz w:val="15"/>
                <w:szCs w:val="15"/>
              </w:rPr>
              <w:t>担保金额</w:t>
            </w:r>
          </w:p>
        </w:tc>
        <w:tc>
          <w:tcPr>
            <w:tcW w:w="934"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22"/>
              <w:jc w:val="right"/>
              <w:rPr>
                <w:rFonts w:ascii="宋体" w:hAnsi="宋体" w:cs="宋体" w:eastAsia="宋体" w:hint="default"/>
                <w:sz w:val="15"/>
                <w:szCs w:val="15"/>
              </w:rPr>
            </w:pPr>
            <w:r>
              <w:rPr>
                <w:rFonts w:ascii="宋体" w:hAnsi="宋体" w:cs="宋体" w:eastAsia="宋体" w:hint="default"/>
                <w:sz w:val="15"/>
                <w:szCs w:val="15"/>
              </w:rPr>
              <w:t>担保起始日</w:t>
            </w:r>
          </w:p>
        </w:tc>
        <w:tc>
          <w:tcPr>
            <w:tcW w:w="1071"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87" w:right="0"/>
              <w:jc w:val="left"/>
              <w:rPr>
                <w:rFonts w:ascii="宋体" w:hAnsi="宋体" w:cs="宋体" w:eastAsia="宋体" w:hint="default"/>
                <w:sz w:val="15"/>
                <w:szCs w:val="15"/>
              </w:rPr>
            </w:pPr>
            <w:r>
              <w:rPr>
                <w:rFonts w:ascii="宋体" w:hAnsi="宋体" w:cs="宋体" w:eastAsia="宋体" w:hint="default"/>
                <w:sz w:val="15"/>
                <w:szCs w:val="15"/>
              </w:rPr>
              <w:t>担保到期日</w:t>
            </w:r>
          </w:p>
        </w:tc>
        <w:tc>
          <w:tcPr>
            <w:tcW w:w="1792"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22"/>
              <w:jc w:val="center"/>
              <w:rPr>
                <w:rFonts w:ascii="宋体" w:hAnsi="宋体" w:cs="宋体" w:eastAsia="宋体" w:hint="default"/>
                <w:sz w:val="15"/>
                <w:szCs w:val="15"/>
              </w:rPr>
            </w:pPr>
            <w:r>
              <w:rPr>
                <w:rFonts w:ascii="宋体" w:hAnsi="宋体" w:cs="宋体" w:eastAsia="宋体" w:hint="default"/>
                <w:sz w:val="15"/>
                <w:szCs w:val="15"/>
              </w:rPr>
              <w:t>担保是否已经履行完毕</w:t>
            </w:r>
          </w:p>
        </w:tc>
      </w:tr>
      <w:tr>
        <w:trPr>
          <w:trHeight w:val="418" w:hRule="exact"/>
        </w:trPr>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7" w:right="0"/>
              <w:jc w:val="left"/>
              <w:rPr>
                <w:rFonts w:ascii="宋体" w:hAnsi="宋体" w:cs="宋体" w:eastAsia="宋体" w:hint="default"/>
                <w:sz w:val="15"/>
                <w:szCs w:val="15"/>
              </w:rPr>
            </w:pPr>
            <w:r>
              <w:rPr>
                <w:rFonts w:ascii="宋体" w:hAnsi="宋体" w:cs="宋体" w:eastAsia="宋体" w:hint="default"/>
                <w:sz w:val="15"/>
                <w:szCs w:val="15"/>
              </w:rPr>
              <w:t>东软集团股份有限公司</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
              <w:jc w:val="right"/>
              <w:rPr>
                <w:rFonts w:ascii="宋体" w:hAnsi="宋体" w:cs="宋体" w:eastAsia="宋体" w:hint="default"/>
                <w:sz w:val="15"/>
                <w:szCs w:val="15"/>
              </w:rPr>
            </w:pPr>
            <w:r>
              <w:rPr>
                <w:rFonts w:ascii="宋体" w:hAnsi="宋体" w:cs="宋体" w:eastAsia="宋体" w:hint="default"/>
                <w:sz w:val="15"/>
                <w:szCs w:val="15"/>
              </w:rPr>
              <w:t>大连东软信息学院</w:t>
            </w:r>
          </w:p>
        </w:tc>
        <w:tc>
          <w:tcPr>
            <w:tcW w:w="152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3"/>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万元</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left="-24" w:right="0"/>
              <w:jc w:val="left"/>
              <w:rPr>
                <w:rFonts w:ascii="Times New Roman" w:hAnsi="Times New Roman" w:cs="Times New Roman" w:eastAsia="Times New Roman" w:hint="default"/>
                <w:sz w:val="15"/>
                <w:szCs w:val="15"/>
              </w:rPr>
            </w:pPr>
            <w:r>
              <w:rPr>
                <w:rFonts w:ascii="Times New Roman"/>
                <w:sz w:val="15"/>
              </w:rPr>
              <w:t>2012.03.19</w:t>
            </w:r>
          </w:p>
        </w:tc>
        <w:tc>
          <w:tcPr>
            <w:tcW w:w="107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left="175" w:right="0"/>
              <w:jc w:val="left"/>
              <w:rPr>
                <w:rFonts w:ascii="Times New Roman" w:hAnsi="Times New Roman" w:cs="Times New Roman" w:eastAsia="Times New Roman" w:hint="default"/>
                <w:sz w:val="15"/>
                <w:szCs w:val="15"/>
              </w:rPr>
            </w:pPr>
            <w:r>
              <w:rPr>
                <w:rFonts w:ascii="Times New Roman"/>
                <w:sz w:val="15"/>
              </w:rPr>
              <w:t>2014.3.19</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410" w:hRule="exact"/>
        </w:trPr>
        <w:tc>
          <w:tcPr>
            <w:tcW w:w="204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7" w:right="0"/>
              <w:jc w:val="left"/>
              <w:rPr>
                <w:rFonts w:ascii="宋体" w:hAnsi="宋体" w:cs="宋体" w:eastAsia="宋体" w:hint="default"/>
                <w:sz w:val="15"/>
                <w:szCs w:val="15"/>
              </w:rPr>
            </w:pPr>
            <w:r>
              <w:rPr>
                <w:rFonts w:ascii="宋体" w:hAnsi="宋体" w:cs="宋体" w:eastAsia="宋体" w:hint="default"/>
                <w:sz w:val="15"/>
                <w:szCs w:val="15"/>
              </w:rPr>
              <w:t>东软集团股份有限公司</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3"/>
              <w:jc w:val="right"/>
              <w:rPr>
                <w:rFonts w:ascii="宋体" w:hAnsi="宋体" w:cs="宋体" w:eastAsia="宋体" w:hint="default"/>
                <w:sz w:val="15"/>
                <w:szCs w:val="15"/>
              </w:rPr>
            </w:pPr>
            <w:r>
              <w:rPr>
                <w:rFonts w:ascii="宋体" w:hAnsi="宋体" w:cs="宋体" w:eastAsia="宋体" w:hint="default"/>
                <w:sz w:val="15"/>
                <w:szCs w:val="15"/>
              </w:rPr>
              <w:t>大连东软信息学院</w:t>
            </w:r>
          </w:p>
        </w:tc>
        <w:tc>
          <w:tcPr>
            <w:tcW w:w="152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5"/>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万元</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24" w:right="0"/>
              <w:jc w:val="left"/>
              <w:rPr>
                <w:rFonts w:ascii="Times New Roman" w:hAnsi="Times New Roman" w:cs="Times New Roman" w:eastAsia="Times New Roman" w:hint="default"/>
                <w:sz w:val="15"/>
                <w:szCs w:val="15"/>
              </w:rPr>
            </w:pPr>
            <w:r>
              <w:rPr>
                <w:rFonts w:ascii="Times New Roman"/>
                <w:sz w:val="15"/>
              </w:rPr>
              <w:t>2012.11.07</w:t>
            </w:r>
          </w:p>
        </w:tc>
        <w:tc>
          <w:tcPr>
            <w:tcW w:w="107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9"/>
              <w:ind w:left="175" w:right="0"/>
              <w:jc w:val="left"/>
              <w:rPr>
                <w:rFonts w:ascii="Times New Roman" w:hAnsi="Times New Roman" w:cs="Times New Roman" w:eastAsia="Times New Roman" w:hint="default"/>
                <w:sz w:val="15"/>
                <w:szCs w:val="15"/>
              </w:rPr>
            </w:pPr>
            <w:r>
              <w:rPr>
                <w:rFonts w:ascii="Times New Roman"/>
                <w:sz w:val="15"/>
              </w:rPr>
              <w:t>2014.04.20</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4"/>
              <w:jc w:val="center"/>
              <w:rPr>
                <w:rFonts w:ascii="宋体" w:hAnsi="宋体" w:cs="宋体" w:eastAsia="宋体" w:hint="default"/>
                <w:sz w:val="15"/>
                <w:szCs w:val="15"/>
              </w:rPr>
            </w:pPr>
            <w:r>
              <w:rPr>
                <w:rFonts w:ascii="宋体" w:hAnsi="宋体" w:cs="宋体" w:eastAsia="宋体" w:hint="default"/>
                <w:sz w:val="15"/>
                <w:szCs w:val="15"/>
              </w:rPr>
              <w:t>否</w:t>
            </w:r>
          </w:p>
        </w:tc>
      </w:tr>
      <w:tr>
        <w:trPr>
          <w:trHeight w:val="310" w:hRule="exact"/>
        </w:trPr>
        <w:tc>
          <w:tcPr>
            <w:tcW w:w="2045" w:type="dxa"/>
            <w:tcBorders>
              <w:top w:val="nil" w:sz="6" w:space="0" w:color="auto"/>
              <w:left w:val="nil" w:sz="6" w:space="0" w:color="auto"/>
              <w:bottom w:val="single" w:sz="12" w:space="0" w:color="000000"/>
              <w:right w:val="nil" w:sz="6" w:space="0" w:color="auto"/>
            </w:tcBorders>
          </w:tcPr>
          <w:p>
            <w:pPr>
              <w:pStyle w:val="TableParagraph"/>
              <w:spacing w:line="240" w:lineRule="auto" w:before="75"/>
              <w:ind w:left="107" w:right="0"/>
              <w:jc w:val="left"/>
              <w:rPr>
                <w:rFonts w:ascii="宋体" w:hAnsi="宋体" w:cs="宋体" w:eastAsia="宋体" w:hint="default"/>
                <w:sz w:val="15"/>
                <w:szCs w:val="15"/>
              </w:rPr>
            </w:pPr>
            <w:r>
              <w:rPr>
                <w:rFonts w:ascii="宋体" w:hAnsi="宋体" w:cs="宋体" w:eastAsia="宋体" w:hint="default"/>
                <w:sz w:val="15"/>
                <w:szCs w:val="15"/>
              </w:rPr>
              <w:t>东软集团股份有限公司</w:t>
            </w:r>
          </w:p>
        </w:tc>
        <w:tc>
          <w:tcPr>
            <w:tcW w:w="1360" w:type="dxa"/>
            <w:tcBorders>
              <w:top w:val="nil" w:sz="6" w:space="0" w:color="auto"/>
              <w:left w:val="nil" w:sz="6" w:space="0" w:color="auto"/>
              <w:bottom w:val="single" w:sz="12" w:space="0" w:color="000000"/>
              <w:right w:val="nil" w:sz="6" w:space="0" w:color="auto"/>
            </w:tcBorders>
          </w:tcPr>
          <w:p>
            <w:pPr>
              <w:pStyle w:val="TableParagraph"/>
              <w:spacing w:line="240" w:lineRule="auto" w:before="75"/>
              <w:ind w:right="23"/>
              <w:jc w:val="right"/>
              <w:rPr>
                <w:rFonts w:ascii="宋体" w:hAnsi="宋体" w:cs="宋体" w:eastAsia="宋体" w:hint="default"/>
                <w:sz w:val="15"/>
                <w:szCs w:val="15"/>
              </w:rPr>
            </w:pPr>
            <w:r>
              <w:rPr>
                <w:rFonts w:ascii="宋体" w:hAnsi="宋体" w:cs="宋体" w:eastAsia="宋体" w:hint="default"/>
                <w:sz w:val="15"/>
                <w:szCs w:val="15"/>
              </w:rPr>
              <w:t>大连东软信息学院</w:t>
            </w:r>
          </w:p>
        </w:tc>
        <w:tc>
          <w:tcPr>
            <w:tcW w:w="1522"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75"/>
              <w:ind w:left="47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万元</w:t>
            </w:r>
          </w:p>
        </w:tc>
        <w:tc>
          <w:tcPr>
            <w:tcW w:w="934"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left="-24" w:right="0"/>
              <w:jc w:val="left"/>
              <w:rPr>
                <w:rFonts w:ascii="Times New Roman" w:hAnsi="Times New Roman" w:cs="Times New Roman" w:eastAsia="Times New Roman" w:hint="default"/>
                <w:sz w:val="15"/>
                <w:szCs w:val="15"/>
              </w:rPr>
            </w:pPr>
            <w:r>
              <w:rPr>
                <w:rFonts w:ascii="Times New Roman"/>
                <w:sz w:val="15"/>
              </w:rPr>
              <w:t>2012.12.14</w:t>
            </w:r>
          </w:p>
        </w:tc>
        <w:tc>
          <w:tcPr>
            <w:tcW w:w="1071"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19"/>
              <w:ind w:left="175" w:right="0"/>
              <w:jc w:val="left"/>
              <w:rPr>
                <w:rFonts w:ascii="Times New Roman" w:hAnsi="Times New Roman" w:cs="Times New Roman" w:eastAsia="Times New Roman" w:hint="default"/>
                <w:sz w:val="15"/>
                <w:szCs w:val="15"/>
              </w:rPr>
            </w:pPr>
            <w:r>
              <w:rPr>
                <w:rFonts w:ascii="Times New Roman"/>
                <w:sz w:val="15"/>
              </w:rPr>
              <w:t>2014.12.13</w:t>
            </w:r>
          </w:p>
        </w:tc>
        <w:tc>
          <w:tcPr>
            <w:tcW w:w="1792" w:type="dxa"/>
            <w:tcBorders>
              <w:top w:val="nil" w:sz="6" w:space="0" w:color="auto"/>
              <w:left w:val="nil" w:sz="6" w:space="0" w:color="auto"/>
              <w:bottom w:val="single" w:sz="12" w:space="0" w:color="000000"/>
              <w:right w:val="nil" w:sz="6" w:space="0" w:color="auto"/>
            </w:tcBorders>
          </w:tcPr>
          <w:p>
            <w:pPr>
              <w:pStyle w:val="TableParagraph"/>
              <w:spacing w:line="240" w:lineRule="auto" w:before="75"/>
              <w:ind w:right="24"/>
              <w:jc w:val="center"/>
              <w:rPr>
                <w:rFonts w:ascii="宋体" w:hAnsi="宋体" w:cs="宋体" w:eastAsia="宋体" w:hint="default"/>
                <w:sz w:val="15"/>
                <w:szCs w:val="15"/>
              </w:rPr>
            </w:pPr>
            <w:r>
              <w:rPr>
                <w:rFonts w:ascii="宋体" w:hAnsi="宋体" w:cs="宋体" w:eastAsia="宋体" w:hint="default"/>
                <w:sz w:val="15"/>
                <w:szCs w:val="15"/>
              </w:rPr>
              <w:t>否</w:t>
            </w:r>
          </w:p>
        </w:tc>
      </w:tr>
    </w:tbl>
    <w:p>
      <w:pPr>
        <w:pStyle w:val="BodyText"/>
        <w:spacing w:line="240" w:lineRule="auto" w:before="78"/>
        <w:ind w:left="857" w:right="0"/>
        <w:jc w:val="left"/>
      </w:pPr>
      <w:r>
        <w:rPr/>
        <w:pict>
          <v:group style="position:absolute;margin-left:110.519997pt;margin-top:-84.906029pt;width:437.85pt;height:82.65pt;mso-position-horizontal-relative:page;mso-position-vertical-relative:paragraph;z-index:-1106176" coordorigin="2210,-1698" coordsize="8757,1653">
            <v:shape style="position:absolute;left:4273;top:-1698;width:4903;height:446" type="#_x0000_t75" stroked="false">
              <v:imagedata r:id="rId362" o:title=""/>
            </v:shape>
            <v:shape style="position:absolute;left:2210;top:-1294;width:8756;height:1249" type="#_x0000_t75" stroked="false">
              <v:imagedata r:id="rId363" o:title=""/>
            </v:shape>
            <w10:wrap type="none"/>
          </v:group>
        </w:pict>
      </w:r>
      <w:r>
        <w:rPr/>
        <w:t>关联担保情况说明：本公司对关联方大连东软信息学院的上述银行借款担保为连带责任担保。</w:t>
      </w:r>
    </w:p>
    <w:p>
      <w:pPr>
        <w:spacing w:after="0" w:line="240" w:lineRule="auto"/>
        <w:jc w:val="left"/>
        <w:sectPr>
          <w:pgSz w:w="11910" w:h="16840"/>
          <w:pgMar w:header="883" w:footer="1003" w:top="1540" w:bottom="1200" w:left="1480" w:right="82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68.5pt;height:.5pt;mso-position-horizontal-relative:char;mso-position-vertical-relative:line" coordorigin="0,0" coordsize="9370,10">
            <v:group style="position:absolute;left:5;top:5;width:9360;height:2" coordorigin="5,5" coordsize="9360,2">
              <v:shape style="position:absolute;left:5;top:5;width:9360;height:2" coordorigin="5,5" coordsize="9360,0" path="m5,5l9365,5e" filled="false" stroked="true" strokeweight=".47998pt" strokecolor="#000000">
                <v:path arrowok="t"/>
              </v:shape>
            </v:group>
          </v:group>
        </w:pict>
      </w:r>
      <w:r>
        <w:rPr>
          <w:rFonts w:ascii="宋体" w:hAnsi="宋体" w:cs="宋体" w:eastAsia="宋体" w:hint="default"/>
          <w:sz w:val="2"/>
          <w:szCs w:val="2"/>
        </w:rPr>
      </w:r>
    </w:p>
    <w:p>
      <w:pPr>
        <w:pStyle w:val="Heading6"/>
        <w:tabs>
          <w:tab w:pos="1413" w:val="left" w:leader="none"/>
          <w:tab w:pos="7947" w:val="left" w:leader="none"/>
        </w:tabs>
        <w:spacing w:line="240" w:lineRule="auto" w:before="82"/>
        <w:ind w:right="194"/>
        <w:jc w:val="left"/>
        <w:rPr>
          <w:b w:val="0"/>
          <w:bCs w:val="0"/>
        </w:rPr>
      </w:pPr>
      <w:r>
        <w:rPr>
          <w:w w:val="95"/>
        </w:rPr>
        <w:t>8、</w:t>
        <w:tab/>
        <w:t>其他关联交易</w:t>
        <w:tab/>
      </w:r>
      <w:r>
        <w:rPr/>
        <w:t>单位：万元</w:t>
      </w:r>
      <w:r>
        <w:rPr>
          <w:b w:val="0"/>
          <w:bCs w:val="0"/>
        </w:rPr>
      </w:r>
    </w:p>
    <w:p>
      <w:pPr>
        <w:spacing w:line="240" w:lineRule="auto" w:before="7"/>
        <w:rPr>
          <w:rFonts w:ascii="宋体" w:hAnsi="宋体" w:cs="宋体" w:eastAsia="宋体" w:hint="default"/>
          <w:b/>
          <w:bCs/>
          <w:sz w:val="2"/>
          <w:szCs w:val="2"/>
        </w:rPr>
      </w:pPr>
    </w:p>
    <w:p>
      <w:pPr>
        <w:spacing w:line="870" w:lineRule="exact"/>
        <w:ind w:left="720"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39.6pt;height:43.5pt;mso-position-horizontal-relative:char;mso-position-vertical-relative:line" coordorigin="0,0" coordsize="8792,870">
            <v:group style="position:absolute;left:29;top:15;width:6220;height:2" coordorigin="29,15" coordsize="6220,2">
              <v:shape style="position:absolute;left:29;top:15;width:6220;height:2" coordorigin="29,15" coordsize="6220,0" path="m29,15l6249,15e" filled="false" stroked="true" strokeweight="1.5pt" strokecolor="#000000">
                <v:path arrowok="t"/>
              </v:shape>
            </v:group>
            <v:group style="position:absolute;left:6249;top:15;width:2523;height:2" coordorigin="6249,15" coordsize="2523,2">
              <v:shape style="position:absolute;left:6249;top:15;width:2523;height:2" coordorigin="6249,15" coordsize="2523,0" path="m6249,15l8771,15e" filled="false" stroked="true" strokeweight="1.5pt" strokecolor="#000000">
                <v:path arrowok="t"/>
              </v:shape>
            </v:group>
            <v:group style="position:absolute;left:15;top:855;width:3653;height:2" coordorigin="15,855" coordsize="3653,2">
              <v:shape style="position:absolute;left:15;top:855;width:3653;height:2" coordorigin="15,855" coordsize="3653,0" path="m15,855l3668,855e" filled="false" stroked="true" strokeweight="1.5pt" strokecolor="#000000">
                <v:path arrowok="t"/>
              </v:shape>
            </v:group>
            <v:group style="position:absolute;left:3668;top:855;width:2552;height:2" coordorigin="3668,855" coordsize="2552,2">
              <v:shape style="position:absolute;left:3668;top:855;width:2552;height:2" coordorigin="3668,855" coordsize="2552,0" path="m3668,855l6219,855e" filled="false" stroked="true" strokeweight="1.5pt" strokecolor="#000000">
                <v:path arrowok="t"/>
              </v:shape>
              <v:shape style="position:absolute;left:1;top:7;width:8791;height:833" type="#_x0000_t75" stroked="false">
                <v:imagedata r:id="rId364" o:title=""/>
              </v:shape>
            </v:group>
            <v:group style="position:absolute;left:6219;top:855;width:30;height:2" coordorigin="6219,855" coordsize="30,2">
              <v:shape style="position:absolute;left:6219;top:855;width:30;height:2" coordorigin="6219,855" coordsize="30,0" path="m6219,855l6249,855e" filled="false" stroked="true" strokeweight="1.5pt" strokecolor="#000000">
                <v:path arrowok="t"/>
              </v:shape>
            </v:group>
            <v:group style="position:absolute;left:6249;top:855;width:2523;height:2" coordorigin="6249,855" coordsize="2523,2">
              <v:shape style="position:absolute;left:6249;top:855;width:2523;height:2" coordorigin="6249,855" coordsize="2523,0" path="m6249,855l8771,855e" filled="false" stroked="true" strokeweight="1.5pt" strokecolor="#000000">
                <v:path arrowok="t"/>
              </v:shape>
              <v:shape style="position:absolute;left:544;top:188;width:2940;height:620" type="#_x0000_t202" filled="false" stroked="false">
                <v:textbox inset="0,0,0,0">
                  <w:txbxContent>
                    <w:p>
                      <w:pPr>
                        <w:spacing w:line="210" w:lineRule="exact" w:before="0"/>
                        <w:ind w:left="1243" w:right="0" w:firstLine="0"/>
                        <w:jc w:val="left"/>
                        <w:rPr>
                          <w:rFonts w:ascii="宋体" w:hAnsi="宋体" w:cs="宋体" w:eastAsia="宋体" w:hint="default"/>
                          <w:sz w:val="21"/>
                          <w:szCs w:val="21"/>
                        </w:rPr>
                      </w:pPr>
                      <w:r>
                        <w:rPr>
                          <w:rFonts w:ascii="宋体" w:hAnsi="宋体" w:cs="宋体" w:eastAsia="宋体" w:hint="default"/>
                          <w:sz w:val="21"/>
                          <w:szCs w:val="21"/>
                        </w:rPr>
                        <w:t>项目名称</w:t>
                      </w:r>
                    </w:p>
                    <w:p>
                      <w:pPr>
                        <w:spacing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董事、监事和高级管理人员报酬</w:t>
                      </w:r>
                    </w:p>
                  </w:txbxContent>
                </v:textbox>
                <w10:wrap type="none"/>
              </v:shape>
              <v:shape style="position:absolute;left:4096;top:188;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本期发生额</w:t>
                      </w:r>
                    </w:p>
                  </w:txbxContent>
                </v:textbox>
                <w10:wrap type="none"/>
              </v:shape>
              <v:shape style="position:absolute;left:6647;top:188;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上期发生额</w:t>
                      </w:r>
                    </w:p>
                  </w:txbxContent>
                </v:textbox>
                <w10:wrap type="none"/>
              </v:shape>
              <v:shape style="position:absolute;left:5381;top:623;width:73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1,551.34</w:t>
                      </w:r>
                      <w:r>
                        <w:rPr>
                          <w:rFonts w:ascii="Times New Roman"/>
                          <w:sz w:val="21"/>
                        </w:rPr>
                      </w:r>
                    </w:p>
                  </w:txbxContent>
                </v:textbox>
                <w10:wrap type="none"/>
              </v:shape>
              <v:shape style="position:absolute;left:7929;top:623;width:73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1,010.30</w:t>
                      </w:r>
                      <w:r>
                        <w:rPr>
                          <w:rFonts w:ascii="Times New Roman"/>
                          <w:sz w:val="21"/>
                        </w:rPr>
                      </w:r>
                    </w:p>
                  </w:txbxContent>
                </v:textbox>
                <w10:wrap type="none"/>
              </v:shape>
            </v:group>
          </v:group>
        </w:pict>
      </w:r>
      <w:r>
        <w:rPr>
          <w:rFonts w:ascii="宋体" w:hAnsi="宋体" w:cs="宋体" w:eastAsia="宋体" w:hint="default"/>
          <w:position w:val="-16"/>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6" w:val="left" w:leader="none"/>
        </w:tabs>
        <w:spacing w:line="348" w:lineRule="auto" w:before="35"/>
        <w:ind w:left="1400" w:right="4862" w:hanging="543"/>
        <w:jc w:val="left"/>
        <w:rPr>
          <w:rFonts w:ascii="宋体" w:hAnsi="宋体" w:cs="宋体" w:eastAsia="宋体" w:hint="default"/>
          <w:sz w:val="21"/>
          <w:szCs w:val="21"/>
        </w:rPr>
      </w:pPr>
      <w:r>
        <w:rPr>
          <w:rFonts w:ascii="宋体" w:hAnsi="宋体" w:cs="宋体" w:eastAsia="宋体" w:hint="default"/>
          <w:b/>
          <w:bCs/>
          <w:w w:val="95"/>
          <w:sz w:val="21"/>
          <w:szCs w:val="21"/>
        </w:rPr>
        <w:t>9、</w:t>
        <w:tab/>
      </w:r>
      <w:r>
        <w:rPr>
          <w:rFonts w:ascii="宋体" w:hAnsi="宋体" w:cs="宋体" w:eastAsia="宋体" w:hint="default"/>
          <w:b/>
          <w:bCs/>
          <w:sz w:val="21"/>
          <w:szCs w:val="21"/>
        </w:rPr>
        <w:t>关联方资金拆借</w:t>
      </w:r>
      <w:r>
        <w:rPr>
          <w:rFonts w:ascii="宋体" w:hAnsi="宋体" w:cs="宋体" w:eastAsia="宋体" w:hint="default"/>
          <w:b/>
          <w:bCs/>
          <w:w w:val="99"/>
          <w:sz w:val="21"/>
          <w:szCs w:val="21"/>
        </w:rPr>
        <w:t> </w:t>
      </w:r>
      <w:r>
        <w:rPr>
          <w:rFonts w:ascii="宋体" w:hAnsi="宋体" w:cs="宋体" w:eastAsia="宋体" w:hint="default"/>
          <w:sz w:val="21"/>
          <w:szCs w:val="21"/>
        </w:rPr>
        <w:t>报告期内无向关联方拆借资金情况。</w:t>
      </w:r>
    </w:p>
    <w:p>
      <w:pPr>
        <w:spacing w:line="240" w:lineRule="auto" w:before="0"/>
        <w:rPr>
          <w:rFonts w:ascii="宋体" w:hAnsi="宋体" w:cs="宋体" w:eastAsia="宋体" w:hint="default"/>
          <w:sz w:val="20"/>
          <w:szCs w:val="20"/>
        </w:rPr>
      </w:pPr>
    </w:p>
    <w:p>
      <w:pPr>
        <w:pStyle w:val="Heading6"/>
        <w:spacing w:line="240" w:lineRule="auto" w:before="169"/>
        <w:ind w:right="194"/>
        <w:jc w:val="left"/>
        <w:rPr>
          <w:b w:val="0"/>
          <w:bCs w:val="0"/>
        </w:rPr>
      </w:pPr>
      <w:r>
        <w:rPr/>
        <w:t>10、</w:t>
      </w:r>
      <w:r>
        <w:rPr>
          <w:spacing w:val="6"/>
        </w:rPr>
        <w:t> </w:t>
      </w:r>
      <w:r>
        <w:rPr/>
        <w:t>本报告期无关联方资产转让、债务重组情况</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spacing w:before="0"/>
        <w:ind w:left="857" w:right="194" w:firstLine="0"/>
        <w:jc w:val="left"/>
        <w:rPr>
          <w:rFonts w:ascii="宋体" w:hAnsi="宋体" w:cs="宋体" w:eastAsia="宋体" w:hint="default"/>
          <w:sz w:val="21"/>
          <w:szCs w:val="21"/>
        </w:rPr>
      </w:pPr>
      <w:r>
        <w:rPr>
          <w:rFonts w:ascii="宋体" w:hAnsi="宋体" w:cs="宋体" w:eastAsia="宋体" w:hint="default"/>
          <w:b/>
          <w:bCs/>
          <w:sz w:val="21"/>
          <w:szCs w:val="21"/>
        </w:rPr>
        <w:t>11、</w:t>
      </w:r>
      <w:r>
        <w:rPr>
          <w:rFonts w:ascii="宋体" w:hAnsi="宋体" w:cs="宋体" w:eastAsia="宋体" w:hint="default"/>
          <w:b/>
          <w:bCs/>
          <w:spacing w:val="23"/>
          <w:sz w:val="21"/>
          <w:szCs w:val="21"/>
        </w:rPr>
        <w:t> </w:t>
      </w:r>
      <w:r>
        <w:rPr>
          <w:rFonts w:ascii="宋体" w:hAnsi="宋体" w:cs="宋体" w:eastAsia="宋体" w:hint="default"/>
          <w:b/>
          <w:bCs/>
          <w:sz w:val="21"/>
          <w:szCs w:val="21"/>
        </w:rPr>
        <w:t>其他关联交易：</w:t>
      </w:r>
      <w:r>
        <w:rPr>
          <w:rFonts w:ascii="宋体" w:hAnsi="宋体" w:cs="宋体" w:eastAsia="宋体" w:hint="default"/>
          <w:sz w:val="21"/>
          <w:szCs w:val="21"/>
        </w:rPr>
      </w:r>
    </w:p>
    <w:p>
      <w:pPr>
        <w:pStyle w:val="BodyText"/>
        <w:spacing w:line="340" w:lineRule="auto" w:before="125"/>
        <w:ind w:left="1399" w:right="181"/>
        <w:jc w:val="both"/>
      </w:pPr>
      <w:r>
        <w:rPr/>
        <w:t>于</w:t>
      </w:r>
      <w:r>
        <w:rPr>
          <w:spacing w:val="-4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年，成都东软发展向成都职业学院转让资产，总价款</w:t>
      </w:r>
      <w:r>
        <w:rPr>
          <w:spacing w:val="-40"/>
        </w:rPr>
        <w:t> </w:t>
      </w:r>
      <w:r>
        <w:rPr>
          <w:rFonts w:ascii="Times New Roman" w:hAnsi="Times New Roman" w:cs="Times New Roman" w:eastAsia="Times New Roman" w:hint="default"/>
        </w:rPr>
        <w:t>213,493,174</w:t>
      </w:r>
      <w:r>
        <w:rPr>
          <w:rFonts w:ascii="Times New Roman" w:hAnsi="Times New Roman" w:cs="Times New Roman" w:eastAsia="Times New Roman" w:hint="default"/>
          <w:spacing w:val="13"/>
        </w:rPr>
        <w:t> </w:t>
      </w:r>
      <w:r>
        <w:rPr/>
        <w:t>元，采取分期 收款方式，并对未付款部分按中国人民银行同期贷款基准利率计息。报告期内，成都职</w:t>
      </w:r>
      <w:r>
        <w:rPr>
          <w:spacing w:val="-56"/>
        </w:rPr>
        <w:t> </w:t>
      </w:r>
      <w:r>
        <w:rPr>
          <w:spacing w:val="-56"/>
        </w:rPr>
      </w:r>
      <w:r>
        <w:rPr/>
        <w:t>业学院偿还</w:t>
      </w:r>
      <w:r>
        <w:rPr>
          <w:spacing w:val="-41"/>
        </w:rPr>
        <w:t> </w:t>
      </w:r>
      <w:r>
        <w:rPr>
          <w:rFonts w:ascii="Times New Roman" w:hAnsi="Times New Roman" w:cs="Times New Roman" w:eastAsia="Times New Roman" w:hint="default"/>
        </w:rPr>
        <w:t>107,748,127</w:t>
      </w:r>
      <w:r>
        <w:rPr>
          <w:rFonts w:ascii="Times New Roman" w:hAnsi="Times New Roman" w:cs="Times New Roman" w:eastAsia="Times New Roman" w:hint="default"/>
          <w:spacing w:val="12"/>
        </w:rPr>
        <w:t> </w:t>
      </w:r>
      <w:r>
        <w:rPr/>
        <w:t>元，余额为</w:t>
      </w:r>
      <w:r>
        <w:rPr>
          <w:spacing w:val="-41"/>
        </w:rPr>
        <w:t> </w:t>
      </w:r>
      <w:r>
        <w:rPr>
          <w:rFonts w:ascii="Times New Roman" w:hAnsi="Times New Roman" w:cs="Times New Roman" w:eastAsia="Times New Roman" w:hint="default"/>
        </w:rPr>
        <w:t>105,745,047</w:t>
      </w:r>
      <w:r>
        <w:rPr>
          <w:rFonts w:ascii="Times New Roman" w:hAnsi="Times New Roman" w:cs="Times New Roman" w:eastAsia="Times New Roman" w:hint="default"/>
          <w:spacing w:val="12"/>
        </w:rPr>
        <w:t> </w:t>
      </w:r>
      <w:r>
        <w:rPr/>
        <w:t>元，报告期内成都东软发展确认利息收</w:t>
      </w:r>
    </w:p>
    <w:p>
      <w:pPr>
        <w:pStyle w:val="BodyText"/>
        <w:spacing w:line="240" w:lineRule="auto" w:before="11"/>
        <w:ind w:left="1399" w:right="0"/>
        <w:jc w:val="both"/>
      </w:pPr>
      <w:r>
        <w:rPr/>
        <w:t>入</w:t>
      </w:r>
      <w:r>
        <w:rPr>
          <w:spacing w:val="-55"/>
        </w:rPr>
        <w:t> </w:t>
      </w:r>
      <w:r>
        <w:rPr>
          <w:rFonts w:ascii="Times New Roman" w:hAnsi="Times New Roman" w:cs="Times New Roman" w:eastAsia="Times New Roman" w:hint="default"/>
        </w:rPr>
        <w:t>9,946,738</w:t>
      </w:r>
      <w:r>
        <w:rPr>
          <w:rFonts w:ascii="Times New Roman" w:hAnsi="Times New Roman" w:cs="Times New Roman" w:eastAsia="Times New Roman" w:hint="default"/>
          <w:spacing w:val="-3"/>
        </w:rPr>
        <w:t> </w:t>
      </w:r>
      <w:r>
        <w:rPr/>
        <w:t>元。</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6"/>
        <w:spacing w:line="240" w:lineRule="auto" w:before="0"/>
        <w:ind w:right="194"/>
        <w:jc w:val="left"/>
        <w:rPr>
          <w:b w:val="0"/>
          <w:bCs w:val="0"/>
        </w:rPr>
      </w:pPr>
      <w:r>
        <w:rPr/>
        <w:pict>
          <v:group style="position:absolute;margin-left:114.419998pt;margin-top:15.319186pt;width:435.4pt;height:349.5pt;mso-position-horizontal-relative:page;mso-position-vertical-relative:paragraph;z-index:-1105984" coordorigin="2288,306" coordsize="8708,6990">
            <v:group style="position:absolute;left:2308;top:321;width:8668;height:2" coordorigin="2308,321" coordsize="8668,2">
              <v:shape style="position:absolute;left:2308;top:321;width:8668;height:2" coordorigin="2308,321" coordsize="8668,0" path="m2308,321l10975,321e" filled="false" stroked="true" strokeweight="1.5pt" strokecolor="#000000">
                <v:path arrowok="t"/>
              </v:shape>
              <v:shape style="position:absolute;left:3412;top:313;width:4584;height:446" type="#_x0000_t75" stroked="false">
                <v:imagedata r:id="rId365" o:title=""/>
              </v:shape>
              <v:shape style="position:absolute;left:3416;top:717;width:7579;height:449" type="#_x0000_t75" stroked="false">
                <v:imagedata r:id="rId366" o:title=""/>
              </v:shape>
              <v:shape style="position:absolute;left:2288;top:1127;width:8707;height:6169" type="#_x0000_t75" stroked="false">
                <v:imagedata r:id="rId367" o:title=""/>
              </v:shape>
            </v:group>
            <w10:wrap type="none"/>
          </v:group>
        </w:pict>
      </w:r>
      <w:r>
        <w:rPr/>
        <w:t>12、</w:t>
      </w:r>
      <w:r>
        <w:rPr>
          <w:spacing w:val="9"/>
        </w:rPr>
        <w:t> </w:t>
      </w:r>
      <w:r>
        <w:rPr/>
        <w:t>关联方应收应付款项</w:t>
      </w:r>
      <w:r>
        <w:rPr>
          <w:b w:val="0"/>
          <w:bCs w:val="0"/>
        </w:rPr>
      </w:r>
    </w:p>
    <w:p>
      <w:pPr>
        <w:spacing w:line="240" w:lineRule="auto" w:before="10"/>
        <w:rPr>
          <w:rFonts w:ascii="宋体" w:hAnsi="宋体" w:cs="宋体" w:eastAsia="宋体" w:hint="default"/>
          <w:b/>
          <w:bCs/>
          <w:sz w:val="11"/>
          <w:szCs w:val="11"/>
        </w:rPr>
      </w:pPr>
    </w:p>
    <w:tbl>
      <w:tblPr>
        <w:tblW w:w="0" w:type="auto"/>
        <w:jc w:val="left"/>
        <w:tblInd w:w="804" w:type="dxa"/>
        <w:tblLayout w:type="fixed"/>
        <w:tblCellMar>
          <w:top w:w="0" w:type="dxa"/>
          <w:left w:w="0" w:type="dxa"/>
          <w:bottom w:w="0" w:type="dxa"/>
          <w:right w:w="0" w:type="dxa"/>
        </w:tblCellMar>
        <w:tblLook w:val="01E0"/>
      </w:tblPr>
      <w:tblGrid>
        <w:gridCol w:w="1067"/>
        <w:gridCol w:w="1631"/>
        <w:gridCol w:w="1281"/>
        <w:gridCol w:w="1864"/>
        <w:gridCol w:w="1064"/>
        <w:gridCol w:w="1789"/>
      </w:tblGrid>
      <w:tr>
        <w:trPr>
          <w:trHeight w:val="305" w:hRule="exact"/>
        </w:trPr>
        <w:tc>
          <w:tcPr>
            <w:tcW w:w="8696" w:type="dxa"/>
            <w:gridSpan w:val="6"/>
            <w:tcBorders>
              <w:top w:val="nil" w:sz="6" w:space="0" w:color="auto"/>
              <w:left w:val="nil" w:sz="6" w:space="0" w:color="auto"/>
              <w:bottom w:val="nil" w:sz="6" w:space="0" w:color="auto"/>
              <w:right w:val="nil" w:sz="6" w:space="0" w:color="auto"/>
            </w:tcBorders>
          </w:tcPr>
          <w:p>
            <w:pPr>
              <w:pStyle w:val="TableParagraph"/>
              <w:tabs>
                <w:tab w:pos="6826" w:val="left" w:leader="none"/>
              </w:tabs>
              <w:spacing w:line="240" w:lineRule="auto" w:before="44"/>
              <w:ind w:left="3874" w:right="0"/>
              <w:jc w:val="left"/>
              <w:rPr>
                <w:rFonts w:ascii="宋体" w:hAnsi="宋体" w:cs="宋体" w:eastAsia="宋体" w:hint="default"/>
                <w:sz w:val="18"/>
                <w:szCs w:val="18"/>
              </w:rPr>
            </w:pPr>
            <w:r>
              <w:rPr>
                <w:rFonts w:ascii="宋体" w:hAnsi="宋体" w:cs="宋体" w:eastAsia="宋体" w:hint="default"/>
                <w:sz w:val="18"/>
                <w:szCs w:val="18"/>
              </w:rPr>
              <w:t>期末余额</w:t>
              <w:tab/>
              <w:t>年初余额</w:t>
            </w:r>
          </w:p>
        </w:tc>
      </w:tr>
      <w:tr>
        <w:trPr>
          <w:trHeight w:val="193" w:hRule="exact"/>
        </w:trPr>
        <w:tc>
          <w:tcPr>
            <w:tcW w:w="1067" w:type="dxa"/>
            <w:tcBorders>
              <w:top w:val="nil" w:sz="6" w:space="0" w:color="auto"/>
              <w:left w:val="nil" w:sz="6" w:space="0" w:color="auto"/>
              <w:bottom w:val="nil" w:sz="6" w:space="0" w:color="auto"/>
              <w:right w:val="nil" w:sz="6" w:space="0" w:color="auto"/>
            </w:tcBorders>
          </w:tcPr>
          <w:p>
            <w:pPr>
              <w:pStyle w:val="TableParagraph"/>
              <w:spacing w:line="180" w:lineRule="exact"/>
              <w:ind w:left="229"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631" w:type="dxa"/>
            <w:tcBorders>
              <w:top w:val="nil" w:sz="6" w:space="0" w:color="auto"/>
              <w:left w:val="nil" w:sz="6" w:space="0" w:color="auto"/>
              <w:bottom w:val="nil" w:sz="6" w:space="0" w:color="auto"/>
              <w:right w:val="nil" w:sz="6" w:space="0" w:color="auto"/>
            </w:tcBorders>
          </w:tcPr>
          <w:p>
            <w:pPr>
              <w:pStyle w:val="TableParagraph"/>
              <w:spacing w:line="180" w:lineRule="exact"/>
              <w:ind w:left="63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281" w:type="dxa"/>
            <w:tcBorders>
              <w:top w:val="nil" w:sz="6" w:space="0" w:color="auto"/>
              <w:left w:val="nil" w:sz="6" w:space="0" w:color="auto"/>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
        </w:tc>
      </w:tr>
      <w:tr>
        <w:trPr>
          <w:trHeight w:val="307" w:hRule="exact"/>
        </w:trPr>
        <w:tc>
          <w:tcPr>
            <w:tcW w:w="1067"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Style w:val="TableParagraph"/>
              <w:spacing w:line="193" w:lineRule="exact"/>
              <w:ind w:left="50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864" w:type="dxa"/>
            <w:tcBorders>
              <w:top w:val="nil" w:sz="6" w:space="0" w:color="auto"/>
              <w:left w:val="nil" w:sz="6" w:space="0" w:color="auto"/>
              <w:bottom w:val="nil" w:sz="6" w:space="0" w:color="auto"/>
              <w:right w:val="nil" w:sz="6" w:space="0" w:color="auto"/>
            </w:tcBorders>
          </w:tcPr>
          <w:p>
            <w:pPr>
              <w:pStyle w:val="TableParagraph"/>
              <w:spacing w:line="193" w:lineRule="exact"/>
              <w:ind w:right="203"/>
              <w:jc w:val="right"/>
              <w:rPr>
                <w:rFonts w:ascii="宋体" w:hAnsi="宋体" w:cs="宋体" w:eastAsia="宋体" w:hint="default"/>
                <w:sz w:val="18"/>
                <w:szCs w:val="18"/>
              </w:rPr>
            </w:pPr>
            <w:r>
              <w:rPr>
                <w:rFonts w:ascii="宋体" w:hAnsi="宋体" w:cs="宋体" w:eastAsia="宋体" w:hint="default"/>
                <w:sz w:val="18"/>
                <w:szCs w:val="18"/>
              </w:rPr>
              <w:t>其中：计提减值金额</w:t>
            </w:r>
          </w:p>
        </w:tc>
        <w:tc>
          <w:tcPr>
            <w:tcW w:w="1064" w:type="dxa"/>
            <w:tcBorders>
              <w:top w:val="nil" w:sz="6" w:space="0" w:color="auto"/>
              <w:left w:val="nil" w:sz="6" w:space="0" w:color="auto"/>
              <w:bottom w:val="nil" w:sz="6" w:space="0" w:color="auto"/>
              <w:right w:val="nil" w:sz="6" w:space="0" w:color="auto"/>
            </w:tcBorders>
          </w:tcPr>
          <w:p>
            <w:pPr>
              <w:pStyle w:val="TableParagraph"/>
              <w:spacing w:line="193" w:lineRule="exact"/>
              <w:ind w:left="25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789" w:type="dxa"/>
            <w:tcBorders>
              <w:top w:val="nil" w:sz="6" w:space="0" w:color="auto"/>
              <w:left w:val="nil" w:sz="6" w:space="0" w:color="auto"/>
              <w:bottom w:val="nil" w:sz="6" w:space="0" w:color="auto"/>
              <w:right w:val="nil" w:sz="6" w:space="0" w:color="auto"/>
            </w:tcBorders>
          </w:tcPr>
          <w:p>
            <w:pPr>
              <w:pStyle w:val="TableParagraph"/>
              <w:spacing w:line="193" w:lineRule="exact"/>
              <w:ind w:left="63" w:right="0"/>
              <w:jc w:val="left"/>
              <w:rPr>
                <w:rFonts w:ascii="宋体" w:hAnsi="宋体" w:cs="宋体" w:eastAsia="宋体" w:hint="default"/>
                <w:sz w:val="18"/>
                <w:szCs w:val="18"/>
              </w:rPr>
            </w:pPr>
            <w:r>
              <w:rPr>
                <w:rFonts w:ascii="宋体" w:hAnsi="宋体" w:cs="宋体" w:eastAsia="宋体" w:hint="default"/>
                <w:sz w:val="18"/>
                <w:szCs w:val="18"/>
              </w:rPr>
              <w:t>其中：计提减值金额</w:t>
            </w:r>
          </w:p>
        </w:tc>
      </w:tr>
      <w:tr>
        <w:trPr>
          <w:trHeight w:val="420" w:hRule="exact"/>
        </w:trPr>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59"/>
              <w:ind w:left="5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31"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
        </w:tc>
      </w:tr>
      <w:tr>
        <w:trPr>
          <w:trHeight w:val="410" w:hRule="exact"/>
        </w:trPr>
        <w:tc>
          <w:tcPr>
            <w:tcW w:w="1067"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18" w:right="0"/>
              <w:jc w:val="left"/>
              <w:rPr>
                <w:rFonts w:ascii="Times New Roman" w:hAnsi="Times New Roman" w:cs="Times New Roman" w:eastAsia="Times New Roman" w:hint="default"/>
                <w:sz w:val="18"/>
                <w:szCs w:val="18"/>
              </w:rPr>
            </w:pPr>
            <w:r>
              <w:rPr>
                <w:rFonts w:ascii="Times New Roman"/>
                <w:sz w:val="18"/>
              </w:rPr>
              <w:t>Harman</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
              <w:jc w:val="right"/>
              <w:rPr>
                <w:rFonts w:ascii="Times New Roman" w:hAnsi="Times New Roman" w:cs="Times New Roman" w:eastAsia="Times New Roman" w:hint="default"/>
                <w:sz w:val="18"/>
                <w:szCs w:val="18"/>
              </w:rPr>
            </w:pPr>
            <w:r>
              <w:rPr>
                <w:rFonts w:ascii="Times New Roman"/>
                <w:sz w:val="18"/>
              </w:rPr>
              <w:t>34,075,916</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6"/>
              <w:jc w:val="right"/>
              <w:rPr>
                <w:rFonts w:ascii="Times New Roman" w:hAnsi="Times New Roman" w:cs="Times New Roman" w:eastAsia="Times New Roman" w:hint="default"/>
                <w:sz w:val="18"/>
                <w:szCs w:val="18"/>
              </w:rPr>
            </w:pPr>
            <w:r>
              <w:rPr>
                <w:rFonts w:ascii="Times New Roman"/>
                <w:sz w:val="18"/>
              </w:rPr>
              <w:t>340,759</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61"/>
              <w:jc w:val="right"/>
              <w:rPr>
                <w:rFonts w:ascii="Times New Roman" w:hAnsi="Times New Roman" w:cs="Times New Roman" w:eastAsia="Times New Roman" w:hint="default"/>
                <w:sz w:val="18"/>
                <w:szCs w:val="18"/>
              </w:rPr>
            </w:pPr>
            <w:r>
              <w:rPr>
                <w:rFonts w:ascii="Times New Roman"/>
                <w:sz w:val="18"/>
              </w:rPr>
              <w:t>24,364,840</w:t>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3"/>
              <w:jc w:val="right"/>
              <w:rPr>
                <w:rFonts w:ascii="Times New Roman" w:hAnsi="Times New Roman" w:cs="Times New Roman" w:eastAsia="Times New Roman" w:hint="default"/>
                <w:sz w:val="18"/>
                <w:szCs w:val="18"/>
              </w:rPr>
            </w:pPr>
            <w:r>
              <w:rPr>
                <w:rFonts w:ascii="Times New Roman"/>
                <w:sz w:val="18"/>
              </w:rPr>
              <w:t>243,648</w:t>
            </w:r>
          </w:p>
        </w:tc>
      </w:tr>
      <w:tr>
        <w:trPr>
          <w:trHeight w:val="410" w:hRule="exact"/>
        </w:trPr>
        <w:tc>
          <w:tcPr>
            <w:tcW w:w="1067"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18" w:right="0"/>
              <w:jc w:val="left"/>
              <w:rPr>
                <w:rFonts w:ascii="宋体" w:hAnsi="宋体" w:cs="宋体" w:eastAsia="宋体" w:hint="default"/>
                <w:sz w:val="18"/>
                <w:szCs w:val="18"/>
              </w:rPr>
            </w:pPr>
            <w:r>
              <w:rPr>
                <w:rFonts w:ascii="宋体" w:hAnsi="宋体" w:cs="宋体" w:eastAsia="宋体" w:hint="default"/>
                <w:sz w:val="18"/>
                <w:szCs w:val="18"/>
              </w:rPr>
              <w:t>诺西东软</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7"/>
              <w:jc w:val="right"/>
              <w:rPr>
                <w:rFonts w:ascii="Times New Roman" w:hAnsi="Times New Roman" w:cs="Times New Roman" w:eastAsia="Times New Roman" w:hint="default"/>
                <w:sz w:val="18"/>
                <w:szCs w:val="18"/>
              </w:rPr>
            </w:pPr>
            <w:r>
              <w:rPr>
                <w:rFonts w:ascii="Times New Roman"/>
                <w:spacing w:val="-1"/>
                <w:sz w:val="18"/>
              </w:rPr>
              <w:t>33,113,689</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2,040,901</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61"/>
              <w:jc w:val="right"/>
              <w:rPr>
                <w:rFonts w:ascii="Times New Roman" w:hAnsi="Times New Roman" w:cs="Times New Roman" w:eastAsia="Times New Roman" w:hint="default"/>
                <w:sz w:val="18"/>
                <w:szCs w:val="18"/>
              </w:rPr>
            </w:pPr>
            <w:r>
              <w:rPr>
                <w:rFonts w:ascii="Times New Roman"/>
                <w:sz w:val="18"/>
              </w:rPr>
              <w:t>31,857,976</w:t>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3"/>
              <w:jc w:val="right"/>
              <w:rPr>
                <w:rFonts w:ascii="Times New Roman" w:hAnsi="Times New Roman" w:cs="Times New Roman" w:eastAsia="Times New Roman" w:hint="default"/>
                <w:sz w:val="18"/>
                <w:szCs w:val="18"/>
              </w:rPr>
            </w:pPr>
            <w:r>
              <w:rPr>
                <w:rFonts w:ascii="Times New Roman"/>
                <w:sz w:val="18"/>
              </w:rPr>
              <w:t>2,760,339</w:t>
            </w:r>
          </w:p>
        </w:tc>
      </w:tr>
      <w:tr>
        <w:trPr>
          <w:trHeight w:val="410" w:hRule="exact"/>
        </w:trPr>
        <w:tc>
          <w:tcPr>
            <w:tcW w:w="1067"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8" w:right="0"/>
              <w:jc w:val="left"/>
              <w:rPr>
                <w:rFonts w:ascii="宋体" w:hAnsi="宋体" w:cs="宋体" w:eastAsia="宋体" w:hint="default"/>
                <w:sz w:val="18"/>
                <w:szCs w:val="18"/>
              </w:rPr>
            </w:pPr>
            <w:r>
              <w:rPr>
                <w:rFonts w:ascii="宋体" w:hAnsi="宋体" w:cs="宋体" w:eastAsia="宋体" w:hint="default"/>
                <w:sz w:val="18"/>
                <w:szCs w:val="18"/>
              </w:rPr>
              <w:t>东芝公司</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
              <w:jc w:val="right"/>
              <w:rPr>
                <w:rFonts w:ascii="Times New Roman" w:hAnsi="Times New Roman" w:cs="Times New Roman" w:eastAsia="Times New Roman" w:hint="default"/>
                <w:sz w:val="18"/>
                <w:szCs w:val="18"/>
              </w:rPr>
            </w:pPr>
            <w:r>
              <w:rPr>
                <w:rFonts w:ascii="Times New Roman"/>
                <w:sz w:val="18"/>
              </w:rPr>
              <w:t>4,616,409</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46,164</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61"/>
              <w:jc w:val="right"/>
              <w:rPr>
                <w:rFonts w:ascii="Times New Roman" w:hAnsi="Times New Roman" w:cs="Times New Roman" w:eastAsia="Times New Roman" w:hint="default"/>
                <w:sz w:val="18"/>
                <w:szCs w:val="18"/>
              </w:rPr>
            </w:pPr>
            <w:r>
              <w:rPr>
                <w:rFonts w:ascii="Times New Roman"/>
                <w:sz w:val="18"/>
              </w:rPr>
              <w:t>6,825,586</w:t>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3"/>
              <w:jc w:val="right"/>
              <w:rPr>
                <w:rFonts w:ascii="Times New Roman" w:hAnsi="Times New Roman" w:cs="Times New Roman" w:eastAsia="Times New Roman" w:hint="default"/>
                <w:sz w:val="18"/>
                <w:szCs w:val="18"/>
              </w:rPr>
            </w:pPr>
            <w:r>
              <w:rPr>
                <w:rFonts w:ascii="Times New Roman"/>
                <w:sz w:val="18"/>
              </w:rPr>
              <w:t>68,256</w:t>
            </w:r>
          </w:p>
        </w:tc>
      </w:tr>
      <w:tr>
        <w:trPr>
          <w:trHeight w:val="410" w:hRule="exact"/>
        </w:trPr>
        <w:tc>
          <w:tcPr>
            <w:tcW w:w="1067"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18" w:right="0"/>
              <w:jc w:val="left"/>
              <w:rPr>
                <w:rFonts w:ascii="宋体" w:hAnsi="宋体" w:cs="宋体" w:eastAsia="宋体" w:hint="default"/>
                <w:sz w:val="18"/>
                <w:szCs w:val="18"/>
              </w:rPr>
            </w:pPr>
            <w:r>
              <w:rPr>
                <w:rFonts w:ascii="宋体" w:hAnsi="宋体" w:cs="宋体" w:eastAsia="宋体" w:hint="default"/>
                <w:sz w:val="18"/>
                <w:szCs w:val="18"/>
              </w:rPr>
              <w:t>阿尔派</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
              <w:jc w:val="right"/>
              <w:rPr>
                <w:rFonts w:ascii="Times New Roman" w:hAnsi="Times New Roman" w:cs="Times New Roman" w:eastAsia="Times New Roman" w:hint="default"/>
                <w:sz w:val="18"/>
                <w:szCs w:val="18"/>
              </w:rPr>
            </w:pPr>
            <w:r>
              <w:rPr>
                <w:rFonts w:ascii="Times New Roman"/>
                <w:sz w:val="18"/>
              </w:rPr>
              <w:t>3,982,428</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39,824</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61"/>
              <w:jc w:val="right"/>
              <w:rPr>
                <w:rFonts w:ascii="Times New Roman" w:hAnsi="Times New Roman" w:cs="Times New Roman" w:eastAsia="Times New Roman" w:hint="default"/>
                <w:sz w:val="18"/>
                <w:szCs w:val="18"/>
              </w:rPr>
            </w:pPr>
            <w:r>
              <w:rPr>
                <w:rFonts w:ascii="Times New Roman"/>
                <w:sz w:val="18"/>
              </w:rPr>
              <w:t>720,348</w:t>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3"/>
              <w:jc w:val="right"/>
              <w:rPr>
                <w:rFonts w:ascii="Times New Roman" w:hAnsi="Times New Roman" w:cs="Times New Roman" w:eastAsia="Times New Roman" w:hint="default"/>
                <w:sz w:val="18"/>
                <w:szCs w:val="18"/>
              </w:rPr>
            </w:pPr>
            <w:r>
              <w:rPr>
                <w:rFonts w:ascii="Times New Roman"/>
                <w:sz w:val="18"/>
              </w:rPr>
              <w:t>7,203</w:t>
            </w:r>
          </w:p>
        </w:tc>
      </w:tr>
      <w:tr>
        <w:trPr>
          <w:trHeight w:val="410" w:hRule="exact"/>
        </w:trPr>
        <w:tc>
          <w:tcPr>
            <w:tcW w:w="1067"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18" w:right="0"/>
              <w:jc w:val="left"/>
              <w:rPr>
                <w:rFonts w:ascii="宋体" w:hAnsi="宋体" w:cs="宋体" w:eastAsia="宋体" w:hint="default"/>
                <w:sz w:val="18"/>
                <w:szCs w:val="18"/>
              </w:rPr>
            </w:pPr>
            <w:r>
              <w:rPr>
                <w:rFonts w:ascii="宋体" w:hAnsi="宋体" w:cs="宋体" w:eastAsia="宋体" w:hint="default"/>
                <w:sz w:val="18"/>
                <w:szCs w:val="18"/>
              </w:rPr>
              <w:t>重庆国奥百年</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
              <w:jc w:val="right"/>
              <w:rPr>
                <w:rFonts w:ascii="Times New Roman" w:hAnsi="Times New Roman" w:cs="Times New Roman" w:eastAsia="Times New Roman" w:hint="default"/>
                <w:sz w:val="18"/>
                <w:szCs w:val="18"/>
              </w:rPr>
            </w:pPr>
            <w:r>
              <w:rPr>
                <w:rFonts w:ascii="Times New Roman"/>
                <w:sz w:val="18"/>
              </w:rPr>
              <w:t>320,400</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3,204</w:t>
            </w:r>
          </w:p>
        </w:tc>
        <w:tc>
          <w:tcPr>
            <w:tcW w:w="1064"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
        </w:tc>
      </w:tr>
      <w:tr>
        <w:trPr>
          <w:trHeight w:val="410" w:hRule="exact"/>
        </w:trPr>
        <w:tc>
          <w:tcPr>
            <w:tcW w:w="1067"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8" w:right="0"/>
              <w:jc w:val="left"/>
              <w:rPr>
                <w:rFonts w:ascii="宋体" w:hAnsi="宋体" w:cs="宋体" w:eastAsia="宋体" w:hint="default"/>
                <w:sz w:val="18"/>
                <w:szCs w:val="18"/>
              </w:rPr>
            </w:pPr>
            <w:r>
              <w:rPr>
                <w:rFonts w:ascii="宋体" w:hAnsi="宋体" w:cs="宋体" w:eastAsia="宋体" w:hint="default"/>
                <w:sz w:val="18"/>
                <w:szCs w:val="18"/>
              </w:rPr>
              <w:t>东芝东软</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
              <w:jc w:val="right"/>
              <w:rPr>
                <w:rFonts w:ascii="Times New Roman" w:hAnsi="Times New Roman" w:cs="Times New Roman" w:eastAsia="Times New Roman" w:hint="default"/>
                <w:sz w:val="18"/>
                <w:szCs w:val="18"/>
              </w:rPr>
            </w:pPr>
            <w:r>
              <w:rPr>
                <w:rFonts w:ascii="Times New Roman"/>
                <w:sz w:val="18"/>
              </w:rPr>
              <w:t>261,233</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2,612</w:t>
            </w:r>
          </w:p>
        </w:tc>
        <w:tc>
          <w:tcPr>
            <w:tcW w:w="1064"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
        </w:tc>
      </w:tr>
      <w:tr>
        <w:trPr>
          <w:trHeight w:val="410" w:hRule="exact"/>
        </w:trPr>
        <w:tc>
          <w:tcPr>
            <w:tcW w:w="1067"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18" w:right="0"/>
              <w:jc w:val="left"/>
              <w:rPr>
                <w:rFonts w:ascii="宋体" w:hAnsi="宋体" w:cs="宋体" w:eastAsia="宋体" w:hint="default"/>
                <w:sz w:val="18"/>
                <w:szCs w:val="18"/>
              </w:rPr>
            </w:pPr>
            <w:r>
              <w:rPr>
                <w:rFonts w:ascii="宋体" w:hAnsi="宋体" w:cs="宋体" w:eastAsia="宋体" w:hint="default"/>
                <w:sz w:val="18"/>
                <w:szCs w:val="18"/>
              </w:rPr>
              <w:t>宝钢</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
              <w:jc w:val="right"/>
              <w:rPr>
                <w:rFonts w:ascii="Times New Roman" w:hAnsi="Times New Roman" w:cs="Times New Roman" w:eastAsia="Times New Roman" w:hint="default"/>
                <w:sz w:val="18"/>
                <w:szCs w:val="18"/>
              </w:rPr>
            </w:pPr>
            <w:r>
              <w:rPr>
                <w:rFonts w:ascii="Times New Roman"/>
                <w:sz w:val="18"/>
              </w:rPr>
              <w:t>100,000</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50,000</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61"/>
              <w:jc w:val="right"/>
              <w:rPr>
                <w:rFonts w:ascii="Times New Roman" w:hAnsi="Times New Roman" w:cs="Times New Roman" w:eastAsia="Times New Roman" w:hint="default"/>
                <w:sz w:val="18"/>
                <w:szCs w:val="18"/>
              </w:rPr>
            </w:pPr>
            <w:r>
              <w:rPr>
                <w:rFonts w:ascii="Times New Roman"/>
                <w:sz w:val="18"/>
              </w:rPr>
              <w:t>1,398,500</w:t>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3"/>
              <w:jc w:val="right"/>
              <w:rPr>
                <w:rFonts w:ascii="Times New Roman" w:hAnsi="Times New Roman" w:cs="Times New Roman" w:eastAsia="Times New Roman" w:hint="default"/>
                <w:sz w:val="18"/>
                <w:szCs w:val="18"/>
              </w:rPr>
            </w:pPr>
            <w:r>
              <w:rPr>
                <w:rFonts w:ascii="Times New Roman"/>
                <w:sz w:val="18"/>
              </w:rPr>
              <w:t>13,985</w:t>
            </w:r>
          </w:p>
        </w:tc>
      </w:tr>
      <w:tr>
        <w:trPr>
          <w:trHeight w:val="305" w:hRule="exact"/>
        </w:trPr>
        <w:tc>
          <w:tcPr>
            <w:tcW w:w="1067"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18" w:right="0"/>
              <w:jc w:val="left"/>
              <w:rPr>
                <w:rFonts w:ascii="宋体" w:hAnsi="宋体" w:cs="宋体" w:eastAsia="宋体" w:hint="default"/>
                <w:sz w:val="18"/>
                <w:szCs w:val="18"/>
              </w:rPr>
            </w:pPr>
            <w:r>
              <w:rPr>
                <w:rFonts w:ascii="宋体" w:hAnsi="宋体" w:cs="宋体" w:eastAsia="宋体" w:hint="default"/>
                <w:sz w:val="18"/>
                <w:szCs w:val="18"/>
              </w:rPr>
              <w:t>东软飞利浦</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
              <w:jc w:val="right"/>
              <w:rPr>
                <w:rFonts w:ascii="Times New Roman" w:hAnsi="Times New Roman" w:cs="Times New Roman" w:eastAsia="Times New Roman" w:hint="default"/>
                <w:sz w:val="18"/>
                <w:szCs w:val="18"/>
              </w:rPr>
            </w:pPr>
            <w:r>
              <w:rPr>
                <w:rFonts w:ascii="Times New Roman"/>
                <w:sz w:val="18"/>
              </w:rPr>
              <w:t>1,215</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8"/>
              <w:jc w:val="right"/>
              <w:rPr>
                <w:rFonts w:ascii="Times New Roman" w:hAnsi="Times New Roman" w:cs="Times New Roman" w:eastAsia="Times New Roman" w:hint="default"/>
                <w:sz w:val="18"/>
                <w:szCs w:val="18"/>
              </w:rPr>
            </w:pPr>
            <w:r>
              <w:rPr>
                <w:rFonts w:ascii="Times New Roman"/>
                <w:sz w:val="18"/>
              </w:rPr>
              <w:t>12</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61"/>
              <w:jc w:val="right"/>
              <w:rPr>
                <w:rFonts w:ascii="Times New Roman" w:hAnsi="Times New Roman" w:cs="Times New Roman" w:eastAsia="Times New Roman" w:hint="default"/>
                <w:sz w:val="18"/>
                <w:szCs w:val="18"/>
              </w:rPr>
            </w:pPr>
            <w:r>
              <w:rPr>
                <w:rFonts w:ascii="Times New Roman"/>
                <w:sz w:val="18"/>
              </w:rPr>
              <w:t>9,967,920</w:t>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3"/>
              <w:jc w:val="right"/>
              <w:rPr>
                <w:rFonts w:ascii="Times New Roman" w:hAnsi="Times New Roman" w:cs="Times New Roman" w:eastAsia="Times New Roman" w:hint="default"/>
                <w:sz w:val="18"/>
                <w:szCs w:val="18"/>
              </w:rPr>
            </w:pPr>
            <w:r>
              <w:rPr>
                <w:rFonts w:ascii="Times New Roman"/>
                <w:sz w:val="18"/>
              </w:rPr>
              <w:t>99,726</w:t>
            </w:r>
          </w:p>
        </w:tc>
      </w:tr>
      <w:tr>
        <w:trPr>
          <w:trHeight w:val="515" w:hRule="exact"/>
        </w:trPr>
        <w:tc>
          <w:tcPr>
            <w:tcW w:w="8696" w:type="dxa"/>
            <w:gridSpan w:val="6"/>
            <w:tcBorders>
              <w:top w:val="nil" w:sz="6" w:space="0" w:color="auto"/>
              <w:left w:val="nil" w:sz="6" w:space="0" w:color="auto"/>
              <w:bottom w:val="nil" w:sz="6" w:space="0" w:color="auto"/>
              <w:right w:val="nil" w:sz="6" w:space="0" w:color="auto"/>
            </w:tcBorders>
          </w:tcPr>
          <w:p>
            <w:pPr>
              <w:pStyle w:val="TableParagraph"/>
              <w:tabs>
                <w:tab w:pos="1611" w:val="left" w:leader="none"/>
                <w:tab w:pos="2151" w:val="left" w:leader="none"/>
                <w:tab w:pos="3129" w:val="left" w:leader="none"/>
                <w:tab w:pos="4932" w:val="left" w:leader="none"/>
                <w:tab w:pos="6031" w:val="left" w:leader="none"/>
                <w:tab w:pos="7940" w:val="left" w:leader="none"/>
              </w:tabs>
              <w:spacing w:line="240" w:lineRule="auto" w:before="154"/>
              <w:ind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tab/>
            </w:r>
            <w:r>
              <w:rPr>
                <w:rFonts w:ascii="宋体" w:hAnsi="宋体" w:cs="宋体" w:eastAsia="宋体" w:hint="default"/>
                <w:position w:val="1"/>
                <w:sz w:val="18"/>
                <w:szCs w:val="18"/>
              </w:rPr>
              <w:t>合</w:t>
              <w:tab/>
              <w:t>计</w:t>
              <w:tab/>
            </w:r>
            <w:r>
              <w:rPr>
                <w:rFonts w:ascii="Times New Roman" w:hAnsi="Times New Roman" w:cs="Times New Roman" w:eastAsia="Times New Roman" w:hint="default"/>
                <w:sz w:val="18"/>
                <w:szCs w:val="18"/>
              </w:rPr>
              <w:t>76,471,290</w:t>
              <w:tab/>
              <w:t>2,523,476</w:t>
              <w:tab/>
              <w:t>75,135,170</w:t>
              <w:tab/>
              <w:t>3,193,157</w:t>
            </w:r>
          </w:p>
        </w:tc>
      </w:tr>
      <w:tr>
        <w:trPr>
          <w:trHeight w:val="401" w:hRule="exact"/>
        </w:trPr>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5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631"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
        </w:tc>
        <w:tc>
          <w:tcPr>
            <w:tcW w:w="4717" w:type="dxa"/>
            <w:gridSpan w:val="3"/>
            <w:tcBorders>
              <w:top w:val="nil" w:sz="6" w:space="0" w:color="auto"/>
              <w:left w:val="nil" w:sz="6" w:space="0" w:color="auto"/>
              <w:bottom w:val="nil" w:sz="6" w:space="0" w:color="auto"/>
              <w:right w:val="nil" w:sz="6" w:space="0" w:color="auto"/>
            </w:tcBorders>
          </w:tcPr>
          <w:p>
            <w:pPr/>
          </w:p>
        </w:tc>
      </w:tr>
      <w:tr>
        <w:trPr>
          <w:trHeight w:val="420" w:hRule="exact"/>
        </w:trPr>
        <w:tc>
          <w:tcPr>
            <w:tcW w:w="1067"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18" w:right="0"/>
              <w:jc w:val="left"/>
              <w:rPr>
                <w:rFonts w:ascii="宋体" w:hAnsi="宋体" w:cs="宋体" w:eastAsia="宋体" w:hint="default"/>
                <w:sz w:val="18"/>
                <w:szCs w:val="18"/>
              </w:rPr>
            </w:pPr>
            <w:r>
              <w:rPr>
                <w:rFonts w:ascii="宋体" w:hAnsi="宋体" w:cs="宋体" w:eastAsia="宋体" w:hint="default"/>
                <w:sz w:val="18"/>
                <w:szCs w:val="18"/>
              </w:rPr>
              <w:t>大连职业学院</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6"/>
              <w:jc w:val="right"/>
              <w:rPr>
                <w:rFonts w:ascii="Times New Roman" w:hAnsi="Times New Roman" w:cs="Times New Roman" w:eastAsia="Times New Roman" w:hint="default"/>
                <w:sz w:val="18"/>
                <w:szCs w:val="18"/>
              </w:rPr>
            </w:pPr>
            <w:r>
              <w:rPr>
                <w:rFonts w:ascii="Times New Roman"/>
                <w:sz w:val="18"/>
              </w:rPr>
              <w:t>1,333,333</w:t>
            </w:r>
          </w:p>
        </w:tc>
        <w:tc>
          <w:tcPr>
            <w:tcW w:w="471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11"/>
              <w:ind w:left="289" w:right="0"/>
              <w:jc w:val="center"/>
              <w:rPr>
                <w:rFonts w:ascii="Times New Roman" w:hAnsi="Times New Roman" w:cs="Times New Roman" w:eastAsia="Times New Roman" w:hint="default"/>
                <w:sz w:val="18"/>
                <w:szCs w:val="18"/>
              </w:rPr>
            </w:pPr>
            <w:r>
              <w:rPr>
                <w:rFonts w:ascii="Times New Roman"/>
                <w:sz w:val="18"/>
              </w:rPr>
              <w:t>1,333,333</w:t>
            </w:r>
          </w:p>
        </w:tc>
      </w:tr>
      <w:tr>
        <w:trPr>
          <w:trHeight w:val="410" w:hRule="exact"/>
        </w:trPr>
        <w:tc>
          <w:tcPr>
            <w:tcW w:w="1067"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8" w:right="0"/>
              <w:jc w:val="left"/>
              <w:rPr>
                <w:rFonts w:ascii="宋体" w:hAnsi="宋体" w:cs="宋体" w:eastAsia="宋体" w:hint="default"/>
                <w:sz w:val="18"/>
                <w:szCs w:val="18"/>
              </w:rPr>
            </w:pPr>
            <w:r>
              <w:rPr>
                <w:rFonts w:ascii="宋体" w:hAnsi="宋体" w:cs="宋体" w:eastAsia="宋体" w:hint="default"/>
                <w:sz w:val="18"/>
                <w:szCs w:val="18"/>
              </w:rPr>
              <w:t>成都职业学院</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
              <w:jc w:val="right"/>
              <w:rPr>
                <w:rFonts w:ascii="Times New Roman" w:hAnsi="Times New Roman" w:cs="Times New Roman" w:eastAsia="Times New Roman" w:hint="default"/>
                <w:sz w:val="18"/>
                <w:szCs w:val="18"/>
              </w:rPr>
            </w:pPr>
            <w:r>
              <w:rPr>
                <w:rFonts w:ascii="Times New Roman"/>
                <w:sz w:val="18"/>
              </w:rPr>
              <w:t>1,000,000</w:t>
            </w:r>
          </w:p>
        </w:tc>
        <w:tc>
          <w:tcPr>
            <w:tcW w:w="471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01"/>
              <w:ind w:left="289" w:right="0"/>
              <w:jc w:val="center"/>
              <w:rPr>
                <w:rFonts w:ascii="Times New Roman" w:hAnsi="Times New Roman" w:cs="Times New Roman" w:eastAsia="Times New Roman" w:hint="default"/>
                <w:sz w:val="18"/>
                <w:szCs w:val="18"/>
              </w:rPr>
            </w:pPr>
            <w:r>
              <w:rPr>
                <w:rFonts w:ascii="Times New Roman"/>
                <w:sz w:val="18"/>
              </w:rPr>
              <w:t>1,000,000</w:t>
            </w:r>
          </w:p>
        </w:tc>
      </w:tr>
      <w:tr>
        <w:trPr>
          <w:trHeight w:val="420" w:hRule="exact"/>
        </w:trPr>
        <w:tc>
          <w:tcPr>
            <w:tcW w:w="1067"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18" w:right="0"/>
              <w:jc w:val="left"/>
              <w:rPr>
                <w:rFonts w:ascii="宋体" w:hAnsi="宋体" w:cs="宋体" w:eastAsia="宋体" w:hint="default"/>
                <w:sz w:val="18"/>
                <w:szCs w:val="18"/>
              </w:rPr>
            </w:pPr>
            <w:r>
              <w:rPr>
                <w:rFonts w:ascii="宋体" w:hAnsi="宋体" w:cs="宋体" w:eastAsia="宋体" w:hint="default"/>
                <w:sz w:val="18"/>
                <w:szCs w:val="18"/>
              </w:rPr>
              <w:t>南海职业学院</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
              <w:jc w:val="right"/>
              <w:rPr>
                <w:rFonts w:ascii="Times New Roman" w:hAnsi="Times New Roman" w:cs="Times New Roman" w:eastAsia="Times New Roman" w:hint="default"/>
                <w:sz w:val="18"/>
                <w:szCs w:val="18"/>
              </w:rPr>
            </w:pPr>
            <w:r>
              <w:rPr>
                <w:rFonts w:ascii="Times New Roman"/>
                <w:sz w:val="18"/>
              </w:rPr>
              <w:t>1,000,000</w:t>
            </w:r>
          </w:p>
        </w:tc>
        <w:tc>
          <w:tcPr>
            <w:tcW w:w="471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01"/>
              <w:ind w:left="289" w:right="0"/>
              <w:jc w:val="center"/>
              <w:rPr>
                <w:rFonts w:ascii="Times New Roman" w:hAnsi="Times New Roman" w:cs="Times New Roman" w:eastAsia="Times New Roman" w:hint="default"/>
                <w:sz w:val="18"/>
                <w:szCs w:val="18"/>
              </w:rPr>
            </w:pPr>
            <w:r>
              <w:rPr>
                <w:rFonts w:ascii="Times New Roman"/>
                <w:sz w:val="18"/>
              </w:rPr>
              <w:t>1,000,000</w:t>
            </w:r>
          </w:p>
        </w:tc>
      </w:tr>
      <w:tr>
        <w:trPr>
          <w:trHeight w:val="318" w:hRule="exact"/>
        </w:trPr>
        <w:tc>
          <w:tcPr>
            <w:tcW w:w="1067" w:type="dxa"/>
            <w:tcBorders>
              <w:top w:val="nil" w:sz="6" w:space="0" w:color="auto"/>
              <w:left w:val="nil" w:sz="6" w:space="0" w:color="auto"/>
              <w:bottom w:val="single" w:sz="12" w:space="0" w:color="000000"/>
              <w:right w:val="nil" w:sz="6" w:space="0" w:color="auto"/>
            </w:tcBorders>
          </w:tcPr>
          <w:p>
            <w:pPr/>
          </w:p>
        </w:tc>
        <w:tc>
          <w:tcPr>
            <w:tcW w:w="1631"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left="118" w:right="0"/>
              <w:jc w:val="left"/>
              <w:rPr>
                <w:rFonts w:ascii="Times New Roman" w:hAnsi="Times New Roman" w:cs="Times New Roman" w:eastAsia="Times New Roman" w:hint="default"/>
                <w:sz w:val="18"/>
                <w:szCs w:val="18"/>
              </w:rPr>
            </w:pPr>
            <w:r>
              <w:rPr>
                <w:rFonts w:ascii="Times New Roman"/>
                <w:sz w:val="18"/>
              </w:rPr>
              <w:t>Harman</w:t>
            </w:r>
          </w:p>
        </w:tc>
        <w:tc>
          <w:tcPr>
            <w:tcW w:w="1281"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36"/>
              <w:jc w:val="right"/>
              <w:rPr>
                <w:rFonts w:ascii="Times New Roman" w:hAnsi="Times New Roman" w:cs="Times New Roman" w:eastAsia="Times New Roman" w:hint="default"/>
                <w:sz w:val="18"/>
                <w:szCs w:val="18"/>
              </w:rPr>
            </w:pPr>
            <w:r>
              <w:rPr>
                <w:rFonts w:ascii="Times New Roman"/>
                <w:sz w:val="18"/>
              </w:rPr>
              <w:t>290,995</w:t>
            </w:r>
          </w:p>
        </w:tc>
        <w:tc>
          <w:tcPr>
            <w:tcW w:w="4717" w:type="dxa"/>
            <w:gridSpan w:val="3"/>
            <w:tcBorders>
              <w:top w:val="nil" w:sz="6" w:space="0" w:color="auto"/>
              <w:left w:val="nil" w:sz="6" w:space="0" w:color="auto"/>
              <w:bottom w:val="single" w:sz="12" w:space="0" w:color="000000"/>
              <w:right w:val="nil" w:sz="6" w:space="0" w:color="auto"/>
            </w:tcBorders>
          </w:tcPr>
          <w:p>
            <w:pPr>
              <w:pStyle w:val="TableParagraph"/>
              <w:spacing w:line="240" w:lineRule="auto" w:before="92"/>
              <w:ind w:left="290" w:right="0"/>
              <w:jc w:val="center"/>
              <w:rPr>
                <w:rFonts w:ascii="Times New Roman" w:hAnsi="Times New Roman" w:cs="Times New Roman" w:eastAsia="Times New Roman" w:hint="default"/>
                <w:sz w:val="18"/>
                <w:szCs w:val="18"/>
              </w:rPr>
            </w:pPr>
            <w:r>
              <w:rPr>
                <w:rFonts w:ascii="Times New Roman"/>
                <w:sz w:val="18"/>
              </w:rPr>
              <w:t>1,232,545</w:t>
            </w:r>
          </w:p>
        </w:tc>
      </w:tr>
    </w:tbl>
    <w:p>
      <w:pPr>
        <w:spacing w:after="0" w:line="240" w:lineRule="auto"/>
        <w:jc w:val="center"/>
        <w:rPr>
          <w:rFonts w:ascii="Times New Roman" w:hAnsi="Times New Roman" w:cs="Times New Roman" w:eastAsia="Times New Roman" w:hint="default"/>
          <w:sz w:val="18"/>
          <w:szCs w:val="18"/>
        </w:rPr>
        <w:sectPr>
          <w:pgSz w:w="11910" w:h="16840"/>
          <w:pgMar w:header="883" w:footer="1003" w:top="1540" w:bottom="1200" w:left="1480" w:right="800"/>
        </w:sectPr>
      </w:pPr>
    </w:p>
    <w:p>
      <w:pPr>
        <w:spacing w:line="240" w:lineRule="auto" w:before="7"/>
        <w:rPr>
          <w:rFonts w:ascii="宋体" w:hAnsi="宋体" w:cs="宋体" w:eastAsia="宋体" w:hint="default"/>
          <w:b/>
          <w:bCs/>
          <w:sz w:val="3"/>
          <w:szCs w:val="3"/>
        </w:rPr>
      </w:pPr>
    </w:p>
    <w:p>
      <w:pPr>
        <w:spacing w:line="7850" w:lineRule="exact"/>
        <w:ind w:left="105" w:right="0" w:firstLine="0"/>
        <w:rPr>
          <w:rFonts w:ascii="宋体" w:hAnsi="宋体" w:cs="宋体" w:eastAsia="宋体" w:hint="default"/>
          <w:sz w:val="20"/>
          <w:szCs w:val="20"/>
        </w:rPr>
      </w:pPr>
      <w:r>
        <w:rPr>
          <w:rFonts w:ascii="宋体" w:hAnsi="宋体" w:cs="宋体" w:eastAsia="宋体" w:hint="default"/>
          <w:position w:val="-156"/>
          <w:sz w:val="20"/>
          <w:szCs w:val="20"/>
        </w:rPr>
        <w:pict>
          <v:group style="width:470.55pt;height:392.55pt;mso-position-horizontal-relative:char;mso-position-vertical-relative:line" coordorigin="0,0" coordsize="9411,7851">
            <v:group style="position:absolute;left:5;top:5;width:9360;height:2" coordorigin="5,5" coordsize="9360,2">
              <v:shape style="position:absolute;left:5;top:5;width:9360;height:2" coordorigin="5,5" coordsize="9360,0" path="m5,5l9365,5e" filled="false" stroked="true" strokeweight=".47998pt" strokecolor="#000000">
                <v:path arrowok="t"/>
              </v:shape>
            </v:group>
            <v:group style="position:absolute;left:722;top:25;width:8668;height:2" coordorigin="722,25" coordsize="8668,2">
              <v:shape style="position:absolute;left:722;top:25;width:8668;height:2" coordorigin="722,25" coordsize="8668,0" path="m722,25l9390,25e" filled="false" stroked="true" strokeweight="1.5pt" strokecolor="#000000">
                <v:path arrowok="t"/>
              </v:shape>
              <v:shape style="position:absolute;left:1825;top:14;width:4588;height:451" type="#_x0000_t75" stroked="false">
                <v:imagedata r:id="rId368" o:title=""/>
              </v:shape>
              <v:shape style="position:absolute;left:1831;top:421;width:7579;height:448" type="#_x0000_t75" stroked="false">
                <v:imagedata r:id="rId369" o:title=""/>
              </v:shape>
            </v:group>
            <v:group style="position:absolute;left:708;top:7835;width:1143;height:2" coordorigin="708,7835" coordsize="1143,2">
              <v:shape style="position:absolute;left:708;top:7835;width:1143;height:2" coordorigin="708,7835" coordsize="1143,0" path="m708,7835l1850,7835e" filled="false" stroked="true" strokeweight="1.5pt" strokecolor="#000000">
                <v:path arrowok="t"/>
              </v:shape>
            </v:group>
            <v:group style="position:absolute;left:1850;top:7835;width:1634;height:2" coordorigin="1850,7835" coordsize="1634,2">
              <v:shape style="position:absolute;left:1850;top:7835;width:1634;height:2" coordorigin="1850,7835" coordsize="1634,0" path="m1850,7835l3484,7835e" filled="false" stroked="true" strokeweight="1.5pt" strokecolor="#000000">
                <v:path arrowok="t"/>
              </v:shape>
            </v:group>
            <v:group style="position:absolute;left:3484;top:7835;width:1182;height:2" coordorigin="3484,7835" coordsize="1182,2">
              <v:shape style="position:absolute;left:3484;top:7835;width:1182;height:2" coordorigin="3484,7835" coordsize="1182,0" path="m3484,7835l4666,7835e" filled="false" stroked="true" strokeweight="1.5pt" strokecolor="#000000">
                <v:path arrowok="t"/>
              </v:shape>
            </v:group>
            <v:group style="position:absolute;left:4666;top:7835;width:1713;height:2" coordorigin="4666,7835" coordsize="1713,2">
              <v:shape style="position:absolute;left:4666;top:7835;width:1713;height:2" coordorigin="4666,7835" coordsize="1713,0" path="m4666,7835l6378,7835e" filled="false" stroked="true" strokeweight="1.5pt" strokecolor="#000000">
                <v:path arrowok="t"/>
              </v:shape>
            </v:group>
            <v:group style="position:absolute;left:6378;top:7835;width:1190;height:2" coordorigin="6378,7835" coordsize="1190,2">
              <v:shape style="position:absolute;left:6378;top:7835;width:1190;height:2" coordorigin="6378,7835" coordsize="1190,0" path="m6378,7835l7567,7835e" filled="false" stroked="true" strokeweight="1.5pt" strokecolor="#000000">
                <v:path arrowok="t"/>
              </v:shape>
              <v:shape style="position:absolute;left:703;top:830;width:8707;height:6990" type="#_x0000_t75" stroked="false">
                <v:imagedata r:id="rId370" o:title=""/>
              </v:shape>
            </v:group>
            <v:group style="position:absolute;left:7567;top:7835;width:1823;height:2" coordorigin="7567,7835" coordsize="1823,2">
              <v:shape style="position:absolute;left:7567;top:7835;width:1823;height:2" coordorigin="7567,7835" coordsize="1823,0" path="m7567,7835l9390,7835e" filled="false" stroked="true" strokeweight="1.5pt" strokecolor="#000000">
                <v:path arrowok="t"/>
              </v:shape>
              <v:shape style="position:absolute;left:4574;top:23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7526;top:23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929;top:4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项目名称</w:t>
                      </w:r>
                    </w:p>
                  </w:txbxContent>
                </v:textbox>
                <w10:wrap type="none"/>
              </v:shape>
              <v:shape style="position:absolute;left:2401;top:4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w:t>
                      </w:r>
                    </w:p>
                  </w:txbxContent>
                </v:textbox>
                <w10:wrap type="none"/>
              </v:shape>
              <v:shape style="position:absolute;left:3898;top:64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4717;top:642;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其中：计提减值金额</w:t>
                      </w:r>
                    </w:p>
                  </w:txbxContent>
                </v:textbox>
                <w10:wrap type="none"/>
              </v:shape>
              <v:shape style="position:absolute;left:6797;top:64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7670;top:642;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其中：计提减值金额</w:t>
                      </w:r>
                    </w:p>
                  </w:txbxContent>
                </v:textbox>
                <w10:wrap type="none"/>
              </v:shape>
              <v:shape style="position:absolute;left:1885;top:105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东芝公司</w:t>
                      </w:r>
                    </w:p>
                  </w:txbxContent>
                </v:textbox>
                <w10:wrap type="none"/>
              </v:shape>
              <v:shape style="position:absolute;left:4145;top:107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16,382</w:t>
                      </w:r>
                    </w:p>
                  </w:txbxContent>
                </v:textbox>
                <w10:wrap type="none"/>
              </v:shape>
              <v:shape style="position:absolute;left:6957;top:107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553,188</w:t>
                      </w:r>
                    </w:p>
                  </w:txbxContent>
                </v:textbox>
                <w10:wrap type="none"/>
              </v:shape>
              <v:shape style="position:absolute;left:1885;top:146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阿尔派</w:t>
                      </w:r>
                    </w:p>
                  </w:txbxContent>
                </v:textbox>
                <w10:wrap type="none"/>
              </v:shape>
              <v:shape style="position:absolute;left:6958;top:1481;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357,017</w:t>
                      </w:r>
                    </w:p>
                  </w:txbxContent>
                </v:textbox>
                <w10:wrap type="none"/>
              </v:shape>
              <v:shape style="position:absolute;left:2311;top:187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2851;top:187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3919;top:189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3,640,710</w:t>
                      </w:r>
                    </w:p>
                  </w:txbxContent>
                </v:textbox>
                <w10:wrap type="none"/>
              </v:shape>
              <v:shape style="position:absolute;left:6822;top:189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5,476,083</w:t>
                      </w:r>
                    </w:p>
                  </w:txbxContent>
                </v:textbox>
                <w10:wrap type="none"/>
              </v:shape>
              <v:shape style="position:absolute;left:752;top:228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应收票据</w:t>
                      </w:r>
                    </w:p>
                  </w:txbxContent>
                </v:textbox>
                <w10:wrap type="none"/>
              </v:shape>
              <v:shape style="position:absolute;left:1885;top:26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宝钢</w:t>
                      </w:r>
                    </w:p>
                  </w:txbxContent>
                </v:textbox>
                <w10:wrap type="none"/>
              </v:shape>
              <v:shape style="position:absolute;left:6821;top:271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1,100,000</w:t>
                      </w:r>
                    </w:p>
                  </w:txbxContent>
                </v:textbox>
                <w10:wrap type="none"/>
              </v:shape>
              <v:shape style="position:absolute;left:700;top:310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w:t>
                      </w:r>
                    </w:p>
                  </w:txbxContent>
                </v:textbox>
                <w10:wrap type="none"/>
              </v:shape>
              <v:shape style="position:absolute;left:1885;top:351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南海职业学院</w:t>
                      </w:r>
                    </w:p>
                  </w:txbxContent>
                </v:textbox>
                <w10:wrap type="none"/>
              </v:shape>
              <v:shape style="position:absolute;left:4145;top:353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50,000</w:t>
                      </w:r>
                    </w:p>
                  </w:txbxContent>
                </v:textbox>
                <w10:wrap type="none"/>
              </v:shape>
              <v:shape style="position:absolute;left:6083;top:3532;width:27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w:t>
                      </w:r>
                    </w:p>
                  </w:txbxContent>
                </v:textbox>
                <w10:wrap type="none"/>
              </v:shape>
              <v:shape style="position:absolute;left:6731;top:3532;width:81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15,980,200</w:t>
                      </w:r>
                    </w:p>
                  </w:txbxContent>
                </v:textbox>
                <w10:wrap type="none"/>
              </v:shape>
              <v:shape style="position:absolute;left:8774;top:353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159,802</w:t>
                      </w:r>
                    </w:p>
                  </w:txbxContent>
                </v:textbox>
                <w10:wrap type="none"/>
              </v:shape>
              <v:shape style="position:absolute;left:752;top:392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长期应收款</w:t>
                      </w:r>
                    </w:p>
                  </w:txbxContent>
                </v:textbox>
                <w10:wrap type="none"/>
              </v:shape>
              <v:shape style="position:absolute;left:1885;top:433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成都职业学院</w:t>
                      </w:r>
                    </w:p>
                  </w:txbxContent>
                </v:textbox>
                <w10:wrap type="none"/>
              </v:shape>
              <v:shape style="position:absolute;left:3739;top:435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105,745,047</w:t>
                      </w:r>
                    </w:p>
                  </w:txbxContent>
                </v:textbox>
                <w10:wrap type="none"/>
              </v:shape>
              <v:shape style="position:absolute;left:5633;top:435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2,114,900</w:t>
                      </w:r>
                    </w:p>
                  </w:txbxContent>
                </v:textbox>
                <w10:wrap type="none"/>
              </v:shape>
              <v:shape style="position:absolute;left:6641;top:435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213,493,174</w:t>
                      </w:r>
                    </w:p>
                  </w:txbxContent>
                </v:textbox>
                <w10:wrap type="none"/>
              </v:shape>
              <v:shape style="position:absolute;left:8639;top:435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2,134,932</w:t>
                      </w:r>
                    </w:p>
                  </w:txbxContent>
                </v:textbox>
                <w10:wrap type="none"/>
              </v:shape>
              <v:shape style="position:absolute;left:752;top:47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应付账款</w:t>
                      </w:r>
                    </w:p>
                  </w:txbxContent>
                </v:textbox>
                <w10:wrap type="none"/>
              </v:shape>
              <v:shape style="position:absolute;left:1922;top:515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东软飞利浦</w:t>
                      </w:r>
                    </w:p>
                  </w:txbxContent>
                </v:textbox>
                <w10:wrap type="none"/>
              </v:shape>
              <v:shape style="position:absolute;left:3828;top:517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88,260,754</w:t>
                      </w:r>
                    </w:p>
                  </w:txbxContent>
                </v:textbox>
                <w10:wrap type="none"/>
              </v:shape>
              <v:shape style="position:absolute;left:6641;top:517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149,496,216</w:t>
                      </w:r>
                    </w:p>
                  </w:txbxContent>
                </v:textbox>
                <w10:wrap type="none"/>
              </v:shape>
              <v:shape style="position:absolute;left:752;top:556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预付款项</w:t>
                      </w:r>
                    </w:p>
                  </w:txbxContent>
                </v:textbox>
                <w10:wrap type="none"/>
              </v:shape>
              <v:shape style="position:absolute;left:1885;top:597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诺西东软</w:t>
                      </w:r>
                    </w:p>
                  </w:txbxContent>
                </v:textbox>
                <w10:wrap type="none"/>
              </v:shape>
              <v:shape style="position:absolute;left:3918;top:599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2,571,900</w:t>
                      </w:r>
                    </w:p>
                  </w:txbxContent>
                </v:textbox>
                <w10:wrap type="none"/>
              </v:shape>
              <v:shape style="position:absolute;left:752;top:638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其他应付款</w:t>
                      </w:r>
                    </w:p>
                  </w:txbxContent>
                </v:textbox>
                <w10:wrap type="none"/>
              </v:shape>
              <v:shape style="position:absolute;left:1885;top:679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东北大学</w:t>
                      </w:r>
                    </w:p>
                  </w:txbxContent>
                </v:textbox>
                <w10:wrap type="none"/>
              </v:shape>
              <v:shape style="position:absolute;left:3829;top:681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19,659,255</w:t>
                      </w:r>
                    </w:p>
                  </w:txbxContent>
                </v:textbox>
                <w10:wrap type="none"/>
              </v:shape>
              <v:shape style="position:absolute;left:6732;top:681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38,492,058</w:t>
                      </w:r>
                    </w:p>
                  </w:txbxContent>
                </v:textbox>
                <w10:wrap type="none"/>
              </v:shape>
              <v:shape style="position:absolute;left:1885;top:720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阿尔派</w:t>
                      </w:r>
                    </w:p>
                  </w:txbxContent>
                </v:textbox>
                <w10:wrap type="none"/>
              </v:shape>
              <v:shape style="position:absolute;left:4055;top:722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772,303</w:t>
                      </w:r>
                    </w:p>
                  </w:txbxContent>
                </v:textbox>
                <w10:wrap type="none"/>
              </v:shape>
              <v:shape style="position:absolute;left:6958;top:722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772,303</w:t>
                      </w:r>
                    </w:p>
                  </w:txbxContent>
                </v:textbox>
                <w10:wrap type="none"/>
              </v:shape>
              <v:shape style="position:absolute;left:2311;top:761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2851;top:761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3829;top:763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20,431,558</w:t>
                      </w:r>
                    </w:p>
                  </w:txbxContent>
                </v:textbox>
                <w10:wrap type="none"/>
              </v:shape>
              <v:shape style="position:absolute;left:6732;top:763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39,264,361</w:t>
                      </w:r>
                    </w:p>
                  </w:txbxContent>
                </v:textbox>
                <w10:wrap type="none"/>
              </v:shape>
            </v:group>
          </v:group>
        </w:pict>
      </w:r>
      <w:r>
        <w:rPr>
          <w:rFonts w:ascii="宋体" w:hAnsi="宋体" w:cs="宋体" w:eastAsia="宋体" w:hint="default"/>
          <w:position w:val="-156"/>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5"/>
        <w:ind w:left="857" w:right="194" w:firstLine="0"/>
        <w:jc w:val="left"/>
        <w:rPr>
          <w:rFonts w:ascii="宋体" w:hAnsi="宋体" w:cs="宋体" w:eastAsia="宋体" w:hint="default"/>
          <w:sz w:val="21"/>
          <w:szCs w:val="21"/>
        </w:rPr>
      </w:pPr>
      <w:r>
        <w:rPr>
          <w:rFonts w:ascii="宋体" w:hAnsi="宋体" w:cs="宋体" w:eastAsia="宋体" w:hint="default"/>
          <w:b/>
          <w:bCs/>
          <w:sz w:val="21"/>
          <w:szCs w:val="21"/>
        </w:rPr>
        <w:t>13、</w:t>
      </w:r>
      <w:r>
        <w:rPr>
          <w:rFonts w:ascii="宋体" w:hAnsi="宋体" w:cs="宋体" w:eastAsia="宋体" w:hint="default"/>
          <w:b/>
          <w:bCs/>
          <w:spacing w:val="7"/>
          <w:sz w:val="21"/>
          <w:szCs w:val="21"/>
        </w:rPr>
        <w:t> </w:t>
      </w:r>
      <w:r>
        <w:rPr>
          <w:rFonts w:ascii="宋体" w:hAnsi="宋体" w:cs="宋体" w:eastAsia="宋体" w:hint="default"/>
          <w:b/>
          <w:bCs/>
          <w:sz w:val="21"/>
          <w:szCs w:val="21"/>
        </w:rPr>
        <w:t>关联方承诺</w:t>
      </w:r>
      <w:r>
        <w:rPr>
          <w:rFonts w:ascii="宋体" w:hAnsi="宋体" w:cs="宋体" w:eastAsia="宋体" w:hint="default"/>
          <w:sz w:val="21"/>
          <w:szCs w:val="21"/>
        </w:rPr>
      </w:r>
    </w:p>
    <w:p>
      <w:pPr>
        <w:spacing w:line="350" w:lineRule="auto" w:before="125"/>
        <w:ind w:left="857" w:right="2657" w:firstLine="0"/>
        <w:jc w:val="left"/>
        <w:rPr>
          <w:rFonts w:ascii="宋体" w:hAnsi="宋体" w:cs="宋体" w:eastAsia="宋体" w:hint="default"/>
          <w:sz w:val="21"/>
          <w:szCs w:val="21"/>
        </w:rPr>
      </w:pPr>
      <w:r>
        <w:rPr/>
        <w:pict>
          <v:group style="position:absolute;margin-left:110.010002pt;margin-top:41.613224pt;width:437.7pt;height:134.550pt;mso-position-horizontal-relative:page;mso-position-vertical-relative:paragraph;z-index:-1104544" coordorigin="2200,832" coordsize="8754,2691">
            <v:group style="position:absolute;left:2230;top:847;width:8700;height:2" coordorigin="2230,847" coordsize="8700,2">
              <v:shape style="position:absolute;left:2230;top:847;width:8700;height:2" coordorigin="2230,847" coordsize="8700,0" path="m2230,847l10930,847e" filled="false" stroked="true" strokeweight="1.5pt" strokecolor="#000000">
                <v:path arrowok="t"/>
              </v:shape>
            </v:group>
            <v:group style="position:absolute;left:2215;top:3508;width:1305;height:2" coordorigin="2215,3508" coordsize="1305,2">
              <v:shape style="position:absolute;left:2215;top:3508;width:1305;height:2" coordorigin="2215,3508" coordsize="1305,0" path="m2215,3508l3520,3508e" filled="false" stroked="true" strokeweight="1.5pt" strokecolor="#000000">
                <v:path arrowok="t"/>
              </v:shape>
              <v:shape style="position:absolute;left:2201;top:833;width:8753;height:2688" type="#_x0000_t75" stroked="false">
                <v:imagedata r:id="rId371" o:title=""/>
              </v:shape>
            </v:group>
            <v:group style="position:absolute;left:3520;top:3508;width:4862;height:2" coordorigin="3520,3508" coordsize="4862,2">
              <v:shape style="position:absolute;left:3520;top:3508;width:4862;height:2" coordorigin="3520,3508" coordsize="4862,0" path="m3520,3508l8381,3508e" filled="false" stroked="true" strokeweight="1.5pt" strokecolor="#000000">
                <v:path arrowok="t"/>
              </v:shape>
              <v:shape style="position:absolute;left:8352;top:1217;width:67;height:2285" type="#_x0000_t75" stroked="false">
                <v:imagedata r:id="rId372" o:title=""/>
              </v:shape>
            </v:group>
            <v:group style="position:absolute;left:8381;top:3508;width:2549;height:2" coordorigin="8381,3508" coordsize="2549,2">
              <v:shape style="position:absolute;left:8381;top:3508;width:2549;height:2" coordorigin="8381,3508" coordsize="2549,0" path="m8381,3508l10930,3508e" filled="false" stroked="true" strokeweight="1.5pt" strokecolor="#000000">
                <v:path arrowok="t"/>
              </v:shape>
              <v:shape style="position:absolute;left:2615;top:984;width:524;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b/>
                          <w:bCs/>
                          <w:sz w:val="13"/>
                          <w:szCs w:val="13"/>
                        </w:rPr>
                        <w:t>承诺主体</w:t>
                      </w:r>
                      <w:r>
                        <w:rPr>
                          <w:rFonts w:ascii="宋体" w:hAnsi="宋体" w:cs="宋体" w:eastAsia="宋体" w:hint="default"/>
                          <w:sz w:val="13"/>
                          <w:szCs w:val="13"/>
                        </w:rPr>
                      </w:r>
                    </w:p>
                  </w:txbxContent>
                </v:textbox>
                <w10:wrap type="none"/>
              </v:shape>
              <v:shape style="position:absolute;left:5694;top:984;width:524;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b/>
                          <w:bCs/>
                          <w:sz w:val="13"/>
                          <w:szCs w:val="13"/>
                        </w:rPr>
                        <w:t>承诺内容</w:t>
                      </w:r>
                      <w:r>
                        <w:rPr>
                          <w:rFonts w:ascii="宋体" w:hAnsi="宋体" w:cs="宋体" w:eastAsia="宋体" w:hint="default"/>
                          <w:sz w:val="13"/>
                          <w:szCs w:val="13"/>
                        </w:rPr>
                      </w:r>
                    </w:p>
                  </w:txbxContent>
                </v:textbox>
                <w10:wrap type="none"/>
              </v:shape>
              <v:shape style="position:absolute;left:9396;top:984;width:524;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b/>
                          <w:bCs/>
                          <w:sz w:val="13"/>
                          <w:szCs w:val="13"/>
                        </w:rPr>
                        <w:t>履行情况</w:t>
                      </w:r>
                      <w:r>
                        <w:rPr>
                          <w:rFonts w:ascii="宋体" w:hAnsi="宋体" w:cs="宋体" w:eastAsia="宋体" w:hint="default"/>
                          <w:sz w:val="13"/>
                          <w:szCs w:val="13"/>
                        </w:rPr>
                      </w:r>
                    </w:p>
                  </w:txbxContent>
                </v:textbox>
                <w10:wrap type="none"/>
              </v:shape>
              <v:shape style="position:absolute;left:2338;top:1368;width:8548;height:879" type="#_x0000_t202" filled="false" stroked="false">
                <v:textbox inset="0,0,0,0">
                  <w:txbxContent>
                    <w:p>
                      <w:pPr>
                        <w:spacing w:line="130" w:lineRule="exact" w:before="0"/>
                        <w:ind w:left="1294" w:right="0" w:firstLine="0"/>
                        <w:jc w:val="left"/>
                        <w:rPr>
                          <w:rFonts w:ascii="宋体" w:hAnsi="宋体" w:cs="宋体" w:eastAsia="宋体" w:hint="default"/>
                          <w:sz w:val="13"/>
                          <w:szCs w:val="13"/>
                        </w:rPr>
                      </w:pPr>
                      <w:r>
                        <w:rPr>
                          <w:rFonts w:ascii="宋体" w:hAnsi="宋体" w:cs="宋体" w:eastAsia="宋体" w:hint="default"/>
                          <w:sz w:val="13"/>
                          <w:szCs w:val="13"/>
                        </w:rPr>
                        <w:t>针对截至</w:t>
                      </w:r>
                      <w:r>
                        <w:rPr>
                          <w:rFonts w:ascii="宋体" w:hAnsi="宋体" w:cs="宋体" w:eastAsia="宋体" w:hint="default"/>
                          <w:spacing w:val="-33"/>
                          <w:sz w:val="13"/>
                          <w:szCs w:val="13"/>
                        </w:rPr>
                        <w:t> </w:t>
                      </w:r>
                      <w:r>
                        <w:rPr>
                          <w:rFonts w:ascii="宋体" w:hAnsi="宋体" w:cs="宋体" w:eastAsia="宋体" w:hint="default"/>
                          <w:sz w:val="13"/>
                          <w:szCs w:val="13"/>
                        </w:rPr>
                        <w:t>2007</w:t>
                      </w:r>
                      <w:r>
                        <w:rPr>
                          <w:rFonts w:ascii="宋体" w:hAnsi="宋体" w:cs="宋体" w:eastAsia="宋体" w:hint="default"/>
                          <w:spacing w:val="-33"/>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宋体" w:hAnsi="宋体" w:cs="宋体" w:eastAsia="宋体" w:hint="default"/>
                          <w:sz w:val="13"/>
                          <w:szCs w:val="13"/>
                        </w:rPr>
                        <w:t>9</w:t>
                      </w:r>
                      <w:r>
                        <w:rPr>
                          <w:rFonts w:ascii="宋体" w:hAnsi="宋体" w:cs="宋体" w:eastAsia="宋体" w:hint="default"/>
                          <w:spacing w:val="-33"/>
                          <w:sz w:val="13"/>
                          <w:szCs w:val="13"/>
                        </w:rPr>
                        <w:t> </w:t>
                      </w: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宋体" w:hAnsi="宋体" w:cs="宋体" w:eastAsia="宋体" w:hint="default"/>
                          <w:sz w:val="13"/>
                          <w:szCs w:val="13"/>
                        </w:rPr>
                        <w:t>30</w:t>
                      </w:r>
                      <w:r>
                        <w:rPr>
                          <w:rFonts w:ascii="宋体" w:hAnsi="宋体" w:cs="宋体" w:eastAsia="宋体" w:hint="default"/>
                          <w:spacing w:val="-34"/>
                          <w:sz w:val="13"/>
                          <w:szCs w:val="13"/>
                        </w:rPr>
                        <w:t> </w:t>
                      </w:r>
                      <w:r>
                        <w:rPr>
                          <w:rFonts w:ascii="宋体" w:hAnsi="宋体" w:cs="宋体" w:eastAsia="宋体" w:hint="default"/>
                          <w:sz w:val="13"/>
                          <w:szCs w:val="13"/>
                        </w:rPr>
                        <w:t>日本公司尚未取得权证的</w:t>
                      </w:r>
                      <w:r>
                        <w:rPr>
                          <w:rFonts w:ascii="宋体" w:hAnsi="宋体" w:cs="宋体" w:eastAsia="宋体" w:hint="default"/>
                          <w:spacing w:val="-34"/>
                          <w:sz w:val="13"/>
                          <w:szCs w:val="13"/>
                        </w:rPr>
                        <w:t> </w:t>
                      </w:r>
                      <w:r>
                        <w:rPr>
                          <w:rFonts w:ascii="宋体" w:hAnsi="宋体" w:cs="宋体" w:eastAsia="宋体" w:hint="default"/>
                          <w:sz w:val="13"/>
                          <w:szCs w:val="13"/>
                        </w:rPr>
                        <w:t>8</w:t>
                      </w:r>
                      <w:r>
                        <w:rPr>
                          <w:rFonts w:ascii="宋体" w:hAnsi="宋体" w:cs="宋体" w:eastAsia="宋体" w:hint="default"/>
                          <w:spacing w:val="-34"/>
                          <w:sz w:val="13"/>
                          <w:szCs w:val="13"/>
                        </w:rPr>
                        <w:t> </w:t>
                      </w:r>
                      <w:r>
                        <w:rPr>
                          <w:rFonts w:ascii="宋体" w:hAnsi="宋体" w:cs="宋体" w:eastAsia="宋体" w:hint="default"/>
                          <w:sz w:val="13"/>
                          <w:szCs w:val="13"/>
                        </w:rPr>
                        <w:t>处房产及</w:t>
                      </w:r>
                      <w:r>
                        <w:rPr>
                          <w:rFonts w:ascii="宋体" w:hAnsi="宋体" w:cs="宋体" w:eastAsia="宋体" w:hint="default"/>
                          <w:spacing w:val="-34"/>
                          <w:sz w:val="13"/>
                          <w:szCs w:val="13"/>
                        </w:rPr>
                        <w:t> </w:t>
                      </w:r>
                      <w:r>
                        <w:rPr>
                          <w:rFonts w:ascii="宋体" w:hAnsi="宋体" w:cs="宋体" w:eastAsia="宋体" w:hint="default"/>
                          <w:sz w:val="13"/>
                          <w:szCs w:val="13"/>
                        </w:rPr>
                        <w:t>1</w:t>
                      </w:r>
                      <w:r>
                        <w:rPr>
                          <w:rFonts w:ascii="宋体" w:hAnsi="宋体" w:cs="宋体" w:eastAsia="宋体" w:hint="default"/>
                          <w:spacing w:val="-34"/>
                          <w:sz w:val="13"/>
                          <w:szCs w:val="13"/>
                        </w:rPr>
                        <w:t> </w:t>
                      </w:r>
                      <w:r>
                        <w:rPr>
                          <w:rFonts w:ascii="宋体" w:hAnsi="宋体" w:cs="宋体" w:eastAsia="宋体" w:hint="default"/>
                          <w:sz w:val="13"/>
                          <w:szCs w:val="13"/>
                        </w:rPr>
                        <w:t>宗土地做出承诺： </w:t>
                      </w:r>
                      <w:r>
                        <w:rPr>
                          <w:rFonts w:ascii="宋体" w:hAnsi="宋体" w:cs="宋体" w:eastAsia="宋体" w:hint="default"/>
                          <w:spacing w:val="48"/>
                          <w:sz w:val="13"/>
                          <w:szCs w:val="13"/>
                        </w:rPr>
                        <w:t> </w:t>
                      </w:r>
                      <w:r>
                        <w:rPr>
                          <w:rFonts w:ascii="宋体" w:hAnsi="宋体" w:cs="宋体" w:eastAsia="宋体" w:hint="default"/>
                          <w:sz w:val="13"/>
                          <w:szCs w:val="13"/>
                        </w:rPr>
                        <w:t>东北大学科技产业集团已按照承诺内容，</w:t>
                      </w:r>
                    </w:p>
                    <w:p>
                      <w:pPr>
                        <w:tabs>
                          <w:tab w:pos="1294" w:val="left" w:leader="none"/>
                          <w:tab w:pos="6155" w:val="left" w:leader="none"/>
                        </w:tabs>
                        <w:spacing w:line="370" w:lineRule="atLeast" w:before="4"/>
                        <w:ind w:left="0" w:right="0" w:firstLine="1294"/>
                        <w:jc w:val="left"/>
                        <w:rPr>
                          <w:rFonts w:ascii="宋体" w:hAnsi="宋体" w:cs="宋体" w:eastAsia="宋体" w:hint="default"/>
                          <w:sz w:val="13"/>
                          <w:szCs w:val="13"/>
                        </w:rPr>
                      </w:pPr>
                      <w:r>
                        <w:rPr>
                          <w:rFonts w:ascii="宋体" w:hAnsi="宋体" w:cs="宋体" w:eastAsia="宋体" w:hint="default"/>
                          <w:sz w:val="13"/>
                          <w:szCs w:val="13"/>
                        </w:rPr>
                        <w:t>本次合并完成后，如截至</w:t>
                      </w:r>
                      <w:r>
                        <w:rPr>
                          <w:rFonts w:ascii="宋体" w:hAnsi="宋体" w:cs="宋体" w:eastAsia="宋体" w:hint="default"/>
                          <w:spacing w:val="-34"/>
                          <w:sz w:val="13"/>
                          <w:szCs w:val="13"/>
                        </w:rPr>
                        <w:t> </w:t>
                      </w:r>
                      <w:r>
                        <w:rPr>
                          <w:rFonts w:ascii="宋体" w:hAnsi="宋体" w:cs="宋体" w:eastAsia="宋体" w:hint="default"/>
                          <w:sz w:val="13"/>
                          <w:szCs w:val="13"/>
                        </w:rPr>
                        <w:t>2008</w:t>
                      </w:r>
                      <w:r>
                        <w:rPr>
                          <w:rFonts w:ascii="宋体" w:hAnsi="宋体" w:cs="宋体" w:eastAsia="宋体" w:hint="default"/>
                          <w:spacing w:val="-33"/>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宋体" w:hAnsi="宋体" w:cs="宋体" w:eastAsia="宋体" w:hint="default"/>
                          <w:sz w:val="13"/>
                          <w:szCs w:val="13"/>
                        </w:rPr>
                        <w:t>12</w:t>
                      </w:r>
                      <w:r>
                        <w:rPr>
                          <w:rFonts w:ascii="宋体" w:hAnsi="宋体" w:cs="宋体" w:eastAsia="宋体" w:hint="default"/>
                          <w:spacing w:val="-33"/>
                          <w:sz w:val="13"/>
                          <w:szCs w:val="13"/>
                        </w:rPr>
                        <w:t> </w:t>
                      </w: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宋体" w:hAnsi="宋体" w:cs="宋体" w:eastAsia="宋体" w:hint="default"/>
                          <w:sz w:val="13"/>
                          <w:szCs w:val="13"/>
                        </w:rPr>
                        <w:t>31</w:t>
                      </w:r>
                      <w:r>
                        <w:rPr>
                          <w:rFonts w:ascii="宋体" w:hAnsi="宋体" w:cs="宋体" w:eastAsia="宋体" w:hint="default"/>
                          <w:spacing w:val="-34"/>
                          <w:sz w:val="13"/>
                          <w:szCs w:val="13"/>
                        </w:rPr>
                        <w:t> </w:t>
                      </w:r>
                      <w:r>
                        <w:rPr>
                          <w:rFonts w:ascii="宋体" w:hAnsi="宋体" w:cs="宋体" w:eastAsia="宋体" w:hint="default"/>
                          <w:sz w:val="13"/>
                          <w:szCs w:val="13"/>
                        </w:rPr>
                        <w:t>日，前述土地或房产仍有未取得权属证</w:t>
                        <w:tab/>
                        <w:t>向本公司支付</w:t>
                      </w:r>
                      <w:r>
                        <w:rPr>
                          <w:rFonts w:ascii="宋体" w:hAnsi="宋体" w:cs="宋体" w:eastAsia="宋体" w:hint="default"/>
                          <w:spacing w:val="-41"/>
                          <w:sz w:val="13"/>
                          <w:szCs w:val="13"/>
                        </w:rPr>
                        <w:t> </w:t>
                      </w:r>
                      <w:r>
                        <w:rPr>
                          <w:rFonts w:ascii="宋体" w:hAnsi="宋体" w:cs="宋体" w:eastAsia="宋体" w:hint="default"/>
                          <w:sz w:val="13"/>
                          <w:szCs w:val="13"/>
                        </w:rPr>
                        <w:t>12,975,375</w:t>
                      </w:r>
                      <w:r>
                        <w:rPr>
                          <w:rFonts w:ascii="宋体" w:hAnsi="宋体" w:cs="宋体" w:eastAsia="宋体" w:hint="default"/>
                          <w:spacing w:val="-41"/>
                          <w:sz w:val="13"/>
                          <w:szCs w:val="13"/>
                        </w:rPr>
                        <w:t> </w:t>
                      </w:r>
                      <w:r>
                        <w:rPr>
                          <w:rFonts w:ascii="宋体" w:hAnsi="宋体" w:cs="宋体" w:eastAsia="宋体" w:hint="default"/>
                          <w:sz w:val="13"/>
                          <w:szCs w:val="13"/>
                        </w:rPr>
                        <w:t>元现金。目前，</w:t>
                      </w:r>
                      <w:r>
                        <w:rPr>
                          <w:rFonts w:ascii="宋体" w:hAnsi="宋体" w:cs="宋体" w:eastAsia="宋体" w:hint="default"/>
                          <w:w w:val="99"/>
                          <w:sz w:val="13"/>
                          <w:szCs w:val="13"/>
                        </w:rPr>
                        <w:t> </w:t>
                      </w:r>
                      <w:r>
                        <w:rPr>
                          <w:rFonts w:ascii="宋体" w:hAnsi="宋体" w:cs="宋体" w:eastAsia="宋体" w:hint="default"/>
                          <w:w w:val="95"/>
                          <w:sz w:val="13"/>
                          <w:szCs w:val="13"/>
                        </w:rPr>
                        <w:t>东北大学科技产业</w:t>
                        <w:tab/>
                      </w:r>
                      <w:r>
                        <w:rPr>
                          <w:rFonts w:ascii="宋体" w:hAnsi="宋体" w:cs="宋体" w:eastAsia="宋体" w:hint="default"/>
                          <w:spacing w:val="-1"/>
                          <w:w w:val="95"/>
                          <w:sz w:val="13"/>
                          <w:szCs w:val="13"/>
                        </w:rPr>
                        <w:t>书的情况，则东北大学科技产业集团有限公司将向本公司支付与未取得权属证书的</w:t>
                        <w:tab/>
                      </w:r>
                      <w:r>
                        <w:rPr>
                          <w:rFonts w:ascii="宋体" w:hAnsi="宋体" w:cs="宋体" w:eastAsia="宋体" w:hint="default"/>
                          <w:spacing w:val="-1"/>
                          <w:sz w:val="13"/>
                          <w:szCs w:val="13"/>
                        </w:rPr>
                        <w:t>本公司正在办理相关手续，待取得上述权</w:t>
                      </w:r>
                    </w:p>
                  </w:txbxContent>
                </v:textbox>
                <w10:wrap type="none"/>
              </v:shape>
              <v:shape style="position:absolute;left:2338;top:2491;width:77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集团有限公司</w:t>
                      </w:r>
                      <w:r>
                        <w:rPr>
                          <w:rFonts w:ascii="宋体" w:hAnsi="宋体" w:cs="宋体" w:eastAsia="宋体" w:hint="default"/>
                          <w:sz w:val="13"/>
                          <w:szCs w:val="13"/>
                        </w:rPr>
                      </w:r>
                    </w:p>
                  </w:txbxContent>
                </v:textbox>
                <w10:wrap type="none"/>
              </v:shape>
              <v:shape style="position:absolute;left:3632;top:2491;width:7189;height:504" type="#_x0000_t202" filled="false" stroked="false">
                <v:textbox inset="0,0,0,0">
                  <w:txbxContent>
                    <w:p>
                      <w:pPr>
                        <w:tabs>
                          <w:tab w:pos="4861"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房产或土地的评估净值（以</w:t>
                      </w:r>
                      <w:r>
                        <w:rPr>
                          <w:rFonts w:ascii="宋体" w:hAnsi="宋体" w:cs="宋体" w:eastAsia="宋体" w:hint="default"/>
                          <w:spacing w:val="-34"/>
                          <w:sz w:val="13"/>
                          <w:szCs w:val="13"/>
                        </w:rPr>
                        <w:t> </w:t>
                      </w:r>
                      <w:r>
                        <w:rPr>
                          <w:rFonts w:ascii="宋体" w:hAnsi="宋体" w:cs="宋体" w:eastAsia="宋体" w:hint="default"/>
                          <w:sz w:val="13"/>
                          <w:szCs w:val="13"/>
                        </w:rPr>
                        <w:t>2006</w:t>
                      </w:r>
                      <w:r>
                        <w:rPr>
                          <w:rFonts w:ascii="宋体" w:hAnsi="宋体" w:cs="宋体" w:eastAsia="宋体" w:hint="default"/>
                          <w:spacing w:val="-34"/>
                          <w:sz w:val="13"/>
                          <w:szCs w:val="13"/>
                        </w:rPr>
                        <w:t> </w:t>
                      </w:r>
                      <w:r>
                        <w:rPr>
                          <w:rFonts w:ascii="宋体" w:hAnsi="宋体" w:cs="宋体" w:eastAsia="宋体" w:hint="default"/>
                          <w:sz w:val="13"/>
                          <w:szCs w:val="13"/>
                        </w:rPr>
                        <w:t>年</w:t>
                      </w:r>
                      <w:r>
                        <w:rPr>
                          <w:rFonts w:ascii="宋体" w:hAnsi="宋体" w:cs="宋体" w:eastAsia="宋体" w:hint="default"/>
                          <w:spacing w:val="-34"/>
                          <w:sz w:val="13"/>
                          <w:szCs w:val="13"/>
                        </w:rPr>
                        <w:t> </w:t>
                      </w:r>
                      <w:r>
                        <w:rPr>
                          <w:rFonts w:ascii="宋体" w:hAnsi="宋体" w:cs="宋体" w:eastAsia="宋体" w:hint="default"/>
                          <w:sz w:val="13"/>
                          <w:szCs w:val="13"/>
                        </w:rPr>
                        <w:t>12</w:t>
                      </w:r>
                      <w:r>
                        <w:rPr>
                          <w:rFonts w:ascii="宋体" w:hAnsi="宋体" w:cs="宋体" w:eastAsia="宋体" w:hint="default"/>
                          <w:spacing w:val="-34"/>
                          <w:sz w:val="13"/>
                          <w:szCs w:val="13"/>
                        </w:rPr>
                        <w:t> </w:t>
                      </w:r>
                      <w:r>
                        <w:rPr>
                          <w:rFonts w:ascii="宋体" w:hAnsi="宋体" w:cs="宋体" w:eastAsia="宋体" w:hint="default"/>
                          <w:sz w:val="13"/>
                          <w:szCs w:val="13"/>
                        </w:rPr>
                        <w:t>月</w:t>
                      </w:r>
                      <w:r>
                        <w:rPr>
                          <w:rFonts w:ascii="宋体" w:hAnsi="宋体" w:cs="宋体" w:eastAsia="宋体" w:hint="default"/>
                          <w:spacing w:val="-33"/>
                          <w:sz w:val="13"/>
                          <w:szCs w:val="13"/>
                        </w:rPr>
                        <w:t> </w:t>
                      </w:r>
                      <w:r>
                        <w:rPr>
                          <w:rFonts w:ascii="宋体" w:hAnsi="宋体" w:cs="宋体" w:eastAsia="宋体" w:hint="default"/>
                          <w:sz w:val="13"/>
                          <w:szCs w:val="13"/>
                        </w:rPr>
                        <w:t>31</w:t>
                      </w:r>
                      <w:r>
                        <w:rPr>
                          <w:rFonts w:ascii="宋体" w:hAnsi="宋体" w:cs="宋体" w:eastAsia="宋体" w:hint="default"/>
                          <w:spacing w:val="-34"/>
                          <w:sz w:val="13"/>
                          <w:szCs w:val="13"/>
                        </w:rPr>
                        <w:t> </w:t>
                      </w:r>
                      <w:r>
                        <w:rPr>
                          <w:rFonts w:ascii="宋体" w:hAnsi="宋体" w:cs="宋体" w:eastAsia="宋体" w:hint="default"/>
                          <w:sz w:val="13"/>
                          <w:szCs w:val="13"/>
                        </w:rPr>
                        <w:t>日为基准日）相等的现金。待未取得</w:t>
                        <w:tab/>
                      </w:r>
                      <w:r>
                        <w:rPr>
                          <w:rFonts w:ascii="宋体" w:hAnsi="宋体" w:cs="宋体" w:eastAsia="宋体" w:hint="default"/>
                          <w:spacing w:val="-1"/>
                          <w:sz w:val="13"/>
                          <w:szCs w:val="13"/>
                        </w:rPr>
                        <w:t>属证明后，再由本公司支付东北大学科技</w:t>
                      </w:r>
                    </w:p>
                    <w:p>
                      <w:pPr>
                        <w:spacing w:line="240" w:lineRule="auto" w:before="8"/>
                        <w:rPr>
                          <w:rFonts w:ascii="宋体" w:hAnsi="宋体" w:cs="宋体" w:eastAsia="宋体" w:hint="default"/>
                          <w:sz w:val="15"/>
                          <w:szCs w:val="15"/>
                        </w:rPr>
                      </w:pPr>
                    </w:p>
                    <w:p>
                      <w:pPr>
                        <w:tabs>
                          <w:tab w:pos="4861" w:val="left" w:leader="none"/>
                        </w:tabs>
                        <w:spacing w:before="0"/>
                        <w:ind w:left="0" w:right="0" w:firstLine="0"/>
                        <w:jc w:val="left"/>
                        <w:rPr>
                          <w:rFonts w:ascii="宋体" w:hAnsi="宋体" w:cs="宋体" w:eastAsia="宋体" w:hint="default"/>
                          <w:sz w:val="13"/>
                          <w:szCs w:val="13"/>
                        </w:rPr>
                      </w:pPr>
                      <w:r>
                        <w:rPr>
                          <w:rFonts w:ascii="宋体" w:hAnsi="宋体" w:cs="宋体" w:eastAsia="宋体" w:hint="default"/>
                          <w:spacing w:val="-1"/>
                          <w:w w:val="95"/>
                          <w:sz w:val="13"/>
                          <w:szCs w:val="13"/>
                        </w:rPr>
                        <w:t>权属证书的房产和土地在最终全部取得权属证书后，再由本公司支付东北大学科技</w:t>
                        <w:tab/>
                      </w:r>
                      <w:r>
                        <w:rPr>
                          <w:rFonts w:ascii="宋体" w:hAnsi="宋体" w:cs="宋体" w:eastAsia="宋体" w:hint="default"/>
                          <w:spacing w:val="-1"/>
                          <w:sz w:val="13"/>
                          <w:szCs w:val="13"/>
                        </w:rPr>
                        <w:t>产业集团有限公司该部分现金（不包括利</w:t>
                      </w:r>
                    </w:p>
                  </w:txbxContent>
                </v:textbox>
                <w10:wrap type="none"/>
              </v:shape>
              <v:shape style="position:absolute;left:3632;top:3240;width:272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产业集团有限公司该部分现金（不包括利息）。</w:t>
                      </w:r>
                      <w:r>
                        <w:rPr>
                          <w:rFonts w:ascii="宋体" w:hAnsi="宋体" w:cs="宋体" w:eastAsia="宋体" w:hint="default"/>
                          <w:sz w:val="13"/>
                          <w:szCs w:val="13"/>
                        </w:rPr>
                      </w:r>
                    </w:p>
                  </w:txbxContent>
                </v:textbox>
                <w10:wrap type="none"/>
              </v:shape>
              <v:shape style="position:absolute;left:8494;top:3240;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息）。</w:t>
                      </w:r>
                      <w:r>
                        <w:rPr>
                          <w:rFonts w:ascii="宋体" w:hAnsi="宋体" w:cs="宋体" w:eastAsia="宋体" w:hint="default"/>
                          <w:sz w:val="13"/>
                          <w:szCs w:val="13"/>
                        </w:rPr>
                      </w:r>
                    </w:p>
                  </w:txbxContent>
                </v:textbox>
                <w10:wrap type="none"/>
              </v:shape>
            </v:group>
            <w10:wrap type="none"/>
          </v:group>
        </w:pict>
      </w:r>
      <w:r>
        <w:rPr>
          <w:rFonts w:ascii="宋体" w:hAnsi="宋体" w:cs="宋体" w:eastAsia="宋体" w:hint="default"/>
          <w:b/>
          <w:bCs/>
          <w:sz w:val="21"/>
          <w:szCs w:val="21"/>
        </w:rPr>
        <w:t>1）上市公司、股东在报告期内或持续到报告期内的承诺事项</w:t>
      </w:r>
      <w:r>
        <w:rPr>
          <w:rFonts w:ascii="宋体" w:hAnsi="宋体" w:cs="宋体" w:eastAsia="宋体" w:hint="default"/>
          <w:b/>
          <w:bCs/>
          <w:w w:val="99"/>
          <w:sz w:val="21"/>
          <w:szCs w:val="21"/>
        </w:rPr>
        <w:t> </w:t>
      </w:r>
      <w:r>
        <w:rPr>
          <w:rFonts w:ascii="宋体" w:hAnsi="宋体" w:cs="宋体" w:eastAsia="宋体" w:hint="default"/>
          <w:sz w:val="21"/>
          <w:szCs w:val="21"/>
        </w:rPr>
        <w:t>公司原有限售条件的流通股股东在换股吸收合并之时作出的承诺：</w:t>
      </w:r>
    </w:p>
    <w:p>
      <w:pPr>
        <w:spacing w:after="0" w:line="350" w:lineRule="auto"/>
        <w:jc w:val="left"/>
        <w:rPr>
          <w:rFonts w:ascii="宋体" w:hAnsi="宋体" w:cs="宋体" w:eastAsia="宋体" w:hint="default"/>
          <w:sz w:val="21"/>
          <w:szCs w:val="21"/>
        </w:rPr>
        <w:sectPr>
          <w:pgSz w:w="11910" w:h="16840"/>
          <w:pgMar w:header="883" w:footer="1003" w:top="1540" w:bottom="1200" w:left="1480" w:right="800"/>
        </w:sectPr>
      </w:pP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468.5pt;height:.5pt;mso-position-horizontal-relative:char;mso-position-vertical-relative:line" coordorigin="0,0" coordsize="9370,10">
            <v:group style="position:absolute;left:5;top:5;width:9360;height:2" coordorigin="5,5" coordsize="9360,2">
              <v:shape style="position:absolute;left:5;top:5;width:9360;height:2" coordorigin="5,5" coordsize="9360,0" path="m5,5l9365,5e" filled="false" stroked="true" strokeweight=".4799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6"/>
        <w:spacing w:line="348" w:lineRule="auto"/>
        <w:ind w:right="145"/>
        <w:jc w:val="left"/>
        <w:rPr>
          <w:b w:val="0"/>
          <w:bCs w:val="0"/>
        </w:rPr>
      </w:pPr>
      <w:r>
        <w:rPr/>
        <w:pict>
          <v:group style="position:absolute;margin-left:107.010002pt;margin-top:37.053673pt;width:436.2pt;height:207.55pt;mso-position-horizontal-relative:page;mso-position-vertical-relative:paragraph;z-index:-1104328" coordorigin="2140,741" coordsize="8724,4151">
            <v:group style="position:absolute;left:2170;top:756;width:4296;height:2" coordorigin="2170,756" coordsize="4296,2">
              <v:shape style="position:absolute;left:2170;top:756;width:4296;height:2" coordorigin="2170,756" coordsize="4296,0" path="m2170,756l6466,756e" filled="false" stroked="true" strokeweight="1.5pt" strokecolor="#000000">
                <v:path arrowok="t"/>
              </v:shape>
            </v:group>
            <v:group style="position:absolute;left:6466;top:756;width:1954;height:2" coordorigin="6466,756" coordsize="1954,2">
              <v:shape style="position:absolute;left:6466;top:756;width:1954;height:2" coordorigin="6466,756" coordsize="1954,0" path="m6466,756l8419,756e" filled="false" stroked="true" strokeweight="1.5pt" strokecolor="#000000">
                <v:path arrowok="t"/>
              </v:shape>
            </v:group>
            <v:group style="position:absolute;left:8419;top:756;width:2415;height:2" coordorigin="8419,756" coordsize="2415,2">
              <v:shape style="position:absolute;left:8419;top:756;width:2415;height:2" coordorigin="8419,756" coordsize="2415,0" path="m8419,756l10834,756e" filled="false" stroked="true" strokeweight="1.5pt" strokecolor="#000000">
                <v:path arrowok="t"/>
              </v:shape>
              <v:shape style="position:absolute;left:4284;top:746;width:4170;height:451" type="#_x0000_t75" stroked="false">
                <v:imagedata r:id="rId373" o:title=""/>
              </v:shape>
            </v:group>
            <v:group style="position:absolute;left:2155;top:4877;width:2154;height:2" coordorigin="2155,4877" coordsize="2154,2">
              <v:shape style="position:absolute;left:2155;top:4877;width:2154;height:2" coordorigin="2155,4877" coordsize="2154,0" path="m2155,4877l4309,4877e" filled="false" stroked="true" strokeweight="1.5pt" strokecolor="#000000">
                <v:path arrowok="t"/>
              </v:shape>
            </v:group>
            <v:group style="position:absolute;left:4309;top:4877;width:2127;height:2" coordorigin="4309,4877" coordsize="2127,2">
              <v:shape style="position:absolute;left:4309;top:4877;width:2127;height:2" coordorigin="4309,4877" coordsize="2127,0" path="m4309,4877l6436,4877e" filled="false" stroked="true" strokeweight="1.5pt" strokecolor="#000000">
                <v:path arrowok="t"/>
              </v:shape>
            </v:group>
            <v:group style="position:absolute;left:6436;top:4877;width:30;height:2" coordorigin="6436,4877" coordsize="30,2">
              <v:shape style="position:absolute;left:6436;top:4877;width:30;height:2" coordorigin="6436,4877" coordsize="30,0" path="m6436,4877l6466,4877e" filled="false" stroked="true" strokeweight="1.5pt" strokecolor="#000000">
                <v:path arrowok="t"/>
              </v:shape>
            </v:group>
            <v:group style="position:absolute;left:6466;top:4877;width:1954;height:2" coordorigin="6466,4877" coordsize="1954,2">
              <v:shape style="position:absolute;left:6466;top:4877;width:1954;height:2" coordorigin="6466,4877" coordsize="1954,0" path="m6466,4877l8419,4877e" filled="false" stroked="true" strokeweight="1.5pt" strokecolor="#000000">
                <v:path arrowok="t"/>
              </v:shape>
              <v:shape style="position:absolute;left:2141;top:1148;width:8723;height:3713" type="#_x0000_t75" stroked="false">
                <v:imagedata r:id="rId374" o:title=""/>
              </v:shape>
            </v:group>
            <v:group style="position:absolute;left:8419;top:4877;width:2415;height:2" coordorigin="8419,4877" coordsize="2415,2">
              <v:shape style="position:absolute;left:8419;top:4877;width:2415;height:2" coordorigin="8419,4877" coordsize="2415,0" path="m8419,4877l10834,4877e" filled="false" stroked="true" strokeweight="1.5pt" strokecolor="#000000">
                <v:path arrowok="t"/>
              </v:shape>
              <v:shape style="position:absolute;left:2278;top:929;width:1680;height:621" type="#_x0000_t202" filled="false" stroked="false">
                <v:textbox inset="0,0,0,0">
                  <w:txbxContent>
                    <w:p>
                      <w:pPr>
                        <w:spacing w:line="210" w:lineRule="exact" w:before="0"/>
                        <w:ind w:left="543" w:right="0" w:firstLine="0"/>
                        <w:jc w:val="left"/>
                        <w:rPr>
                          <w:rFonts w:ascii="宋体" w:hAnsi="宋体" w:cs="宋体" w:eastAsia="宋体" w:hint="default"/>
                          <w:sz w:val="21"/>
                          <w:szCs w:val="21"/>
                        </w:rPr>
                      </w:pPr>
                      <w:r>
                        <w:rPr>
                          <w:rFonts w:ascii="宋体" w:hAnsi="宋体" w:cs="宋体" w:eastAsia="宋体" w:hint="default"/>
                          <w:sz w:val="21"/>
                          <w:szCs w:val="21"/>
                        </w:rPr>
                        <w:t>交易类型</w:t>
                      </w:r>
                    </w:p>
                    <w:p>
                      <w:pPr>
                        <w:spacing w:before="135"/>
                        <w:ind w:left="0" w:right="0" w:firstLine="0"/>
                        <w:jc w:val="left"/>
                        <w:rPr>
                          <w:rFonts w:ascii="宋体" w:hAnsi="宋体" w:cs="宋体" w:eastAsia="宋体" w:hint="default"/>
                          <w:sz w:val="21"/>
                          <w:szCs w:val="21"/>
                        </w:rPr>
                      </w:pPr>
                      <w:r>
                        <w:rPr>
                          <w:rFonts w:ascii="宋体" w:hAnsi="宋体" w:cs="宋体" w:eastAsia="宋体" w:hint="default"/>
                          <w:sz w:val="21"/>
                          <w:szCs w:val="21"/>
                        </w:rPr>
                        <w:t>向关联方销售商品</w:t>
                      </w:r>
                    </w:p>
                  </w:txbxContent>
                </v:textbox>
                <w10:wrap type="none"/>
              </v:shape>
              <v:shape style="position:absolute;left:4422;top:929;width:1470;height:2261" type="#_x0000_t202" filled="false" stroked="false">
                <v:textbox inset="0,0,0,0">
                  <w:txbxContent>
                    <w:p>
                      <w:pPr>
                        <w:spacing w:line="210" w:lineRule="exact" w:before="0"/>
                        <w:ind w:left="535" w:right="0" w:firstLine="0"/>
                        <w:jc w:val="left"/>
                        <w:rPr>
                          <w:rFonts w:ascii="宋体" w:hAnsi="宋体" w:cs="宋体" w:eastAsia="宋体" w:hint="default"/>
                          <w:sz w:val="21"/>
                          <w:szCs w:val="21"/>
                        </w:rPr>
                      </w:pPr>
                      <w:r>
                        <w:rPr>
                          <w:rFonts w:ascii="宋体" w:hAnsi="宋体" w:cs="宋体" w:eastAsia="宋体" w:hint="default"/>
                          <w:sz w:val="21"/>
                          <w:szCs w:val="21"/>
                        </w:rPr>
                        <w:t>交易内容</w:t>
                      </w:r>
                    </w:p>
                    <w:p>
                      <w:pPr>
                        <w:spacing w:line="357" w:lineRule="auto" w:before="135"/>
                        <w:ind w:left="0" w:right="0" w:firstLine="0"/>
                        <w:jc w:val="both"/>
                        <w:rPr>
                          <w:rFonts w:ascii="宋体" w:hAnsi="宋体" w:cs="宋体" w:eastAsia="宋体" w:hint="default"/>
                          <w:sz w:val="21"/>
                          <w:szCs w:val="21"/>
                        </w:rPr>
                      </w:pPr>
                      <w:r>
                        <w:rPr>
                          <w:rFonts w:ascii="宋体" w:hAnsi="宋体" w:cs="宋体" w:eastAsia="宋体" w:hint="default"/>
                          <w:sz w:val="21"/>
                          <w:szCs w:val="21"/>
                        </w:rPr>
                        <w:t>系统集成或软件 系统集成或软件 系统集成或软件 系统集成或软件</w:t>
                      </w:r>
                    </w:p>
                    <w:p>
                      <w:pPr>
                        <w:spacing w:before="32"/>
                        <w:ind w:left="0" w:right="0" w:firstLine="0"/>
                        <w:jc w:val="both"/>
                        <w:rPr>
                          <w:rFonts w:ascii="宋体" w:hAnsi="宋体" w:cs="宋体" w:eastAsia="宋体" w:hint="default"/>
                          <w:sz w:val="21"/>
                          <w:szCs w:val="21"/>
                        </w:rPr>
                      </w:pPr>
                      <w:r>
                        <w:rPr>
                          <w:rFonts w:ascii="宋体" w:hAnsi="宋体" w:cs="宋体" w:eastAsia="宋体" w:hint="default"/>
                          <w:sz w:val="21"/>
                          <w:szCs w:val="21"/>
                        </w:rPr>
                        <w:t>系统集成或软件</w:t>
                      </w:r>
                    </w:p>
                  </w:txbxContent>
                </v:textbox>
                <w10:wrap type="none"/>
              </v:shape>
              <v:shape style="position:absolute;left:6548;top:929;width:1199;height:621" type="#_x0000_t202" filled="false" stroked="false">
                <v:textbox inset="0,0,0,0">
                  <w:txbxContent>
                    <w:p>
                      <w:pPr>
                        <w:spacing w:line="210" w:lineRule="exact" w:before="0"/>
                        <w:ind w:left="568" w:right="0" w:firstLine="0"/>
                        <w:jc w:val="left"/>
                        <w:rPr>
                          <w:rFonts w:ascii="宋体" w:hAnsi="宋体" w:cs="宋体" w:eastAsia="宋体" w:hint="default"/>
                          <w:sz w:val="21"/>
                          <w:szCs w:val="21"/>
                        </w:rPr>
                      </w:pPr>
                      <w:r>
                        <w:rPr>
                          <w:rFonts w:ascii="宋体" w:hAnsi="宋体" w:cs="宋体" w:eastAsia="宋体" w:hint="default"/>
                          <w:sz w:val="21"/>
                          <w:szCs w:val="21"/>
                        </w:rPr>
                        <w:t>关联方</w:t>
                      </w:r>
                    </w:p>
                    <w:p>
                      <w:pPr>
                        <w:spacing w:before="135"/>
                        <w:ind w:left="0" w:right="0" w:firstLine="0"/>
                        <w:jc w:val="left"/>
                        <w:rPr>
                          <w:rFonts w:ascii="宋体" w:hAnsi="宋体" w:cs="宋体" w:eastAsia="宋体" w:hint="default"/>
                          <w:sz w:val="21"/>
                          <w:szCs w:val="21"/>
                        </w:rPr>
                      </w:pPr>
                      <w:r>
                        <w:rPr>
                          <w:rFonts w:ascii="宋体" w:hAnsi="宋体" w:cs="宋体" w:eastAsia="宋体" w:hint="default"/>
                          <w:sz w:val="21"/>
                          <w:szCs w:val="21"/>
                        </w:rPr>
                        <w:t>阿尔派</w:t>
                      </w:r>
                    </w:p>
                  </w:txbxContent>
                </v:textbox>
                <w10:wrap type="none"/>
              </v:shape>
              <v:shape style="position:absolute;left:9209;top:929;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期末金额</w:t>
                      </w:r>
                    </w:p>
                  </w:txbxContent>
                </v:textbox>
                <w10:wrap type="none"/>
              </v:shape>
              <v:shape style="position:absolute;left:2278;top:3799;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向关联方提供劳务</w:t>
                      </w:r>
                    </w:p>
                  </w:txbxContent>
                </v:textbox>
                <w10:wrap type="none"/>
              </v:shape>
              <v:shape style="position:absolute;left:4422;top:1776;width:3220;height:3054" type="#_x0000_t202" filled="false" stroked="false">
                <v:textbox inset="0,0,0,0">
                  <w:txbxContent>
                    <w:p>
                      <w:pPr>
                        <w:spacing w:line="214" w:lineRule="exact" w:before="0"/>
                        <w:ind w:left="2126" w:right="0" w:firstLine="0"/>
                        <w:jc w:val="left"/>
                        <w:rPr>
                          <w:rFonts w:ascii="Times New Roman" w:hAnsi="Times New Roman" w:cs="Times New Roman" w:eastAsia="Times New Roman" w:hint="default"/>
                          <w:sz w:val="21"/>
                          <w:szCs w:val="21"/>
                        </w:rPr>
                      </w:pPr>
                      <w:r>
                        <w:rPr>
                          <w:rFonts w:ascii="Times New Roman"/>
                          <w:sz w:val="21"/>
                        </w:rPr>
                        <w:t>Harman</w:t>
                      </w:r>
                    </w:p>
                    <w:p>
                      <w:pPr>
                        <w:spacing w:line="357" w:lineRule="auto" w:before="104"/>
                        <w:ind w:left="2126" w:right="251" w:firstLine="0"/>
                        <w:jc w:val="left"/>
                        <w:rPr>
                          <w:rFonts w:ascii="宋体" w:hAnsi="宋体" w:cs="宋体" w:eastAsia="宋体" w:hint="default"/>
                          <w:sz w:val="21"/>
                          <w:szCs w:val="21"/>
                        </w:rPr>
                      </w:pPr>
                      <w:r>
                        <w:rPr>
                          <w:rFonts w:ascii="宋体" w:hAnsi="宋体" w:cs="宋体" w:eastAsia="宋体" w:hint="default"/>
                          <w:sz w:val="21"/>
                          <w:szCs w:val="21"/>
                        </w:rPr>
                        <w:t>东芝 东芝东软 诺西东软</w:t>
                      </w:r>
                    </w:p>
                    <w:p>
                      <w:pPr>
                        <w:tabs>
                          <w:tab w:pos="2126" w:val="left" w:leader="none"/>
                        </w:tabs>
                        <w:spacing w:line="357" w:lineRule="auto" w:before="31"/>
                        <w:ind w:left="0" w:right="0" w:firstLine="2799"/>
                        <w:jc w:val="right"/>
                        <w:rPr>
                          <w:rFonts w:ascii="宋体" w:hAnsi="宋体" w:cs="宋体" w:eastAsia="宋体" w:hint="default"/>
                          <w:sz w:val="21"/>
                          <w:szCs w:val="21"/>
                        </w:rPr>
                      </w:pPr>
                      <w:r>
                        <w:rPr>
                          <w:rFonts w:ascii="宋体" w:hAnsi="宋体" w:cs="宋体" w:eastAsia="宋体" w:hint="default"/>
                          <w:sz w:val="21"/>
                          <w:szCs w:val="21"/>
                        </w:rPr>
                        <w:t>小计 房租及物业管理收入</w:t>
                        <w:tab/>
                      </w:r>
                      <w:r>
                        <w:rPr>
                          <w:rFonts w:ascii="宋体" w:hAnsi="宋体" w:cs="宋体" w:eastAsia="宋体" w:hint="default"/>
                          <w:w w:val="95"/>
                          <w:sz w:val="21"/>
                          <w:szCs w:val="21"/>
                        </w:rPr>
                        <w:t>东软飞利浦</w:t>
                      </w:r>
                    </w:p>
                    <w:p>
                      <w:pPr>
                        <w:spacing w:before="32"/>
                        <w:ind w:left="0" w:right="0" w:firstLine="0"/>
                        <w:jc w:val="right"/>
                        <w:rPr>
                          <w:rFonts w:ascii="宋体" w:hAnsi="宋体" w:cs="宋体" w:eastAsia="宋体" w:hint="default"/>
                          <w:sz w:val="21"/>
                          <w:szCs w:val="21"/>
                        </w:rPr>
                      </w:pPr>
                      <w:r>
                        <w:rPr>
                          <w:rFonts w:ascii="宋体" w:hAnsi="宋体" w:cs="宋体" w:eastAsia="宋体" w:hint="default"/>
                          <w:sz w:val="21"/>
                          <w:szCs w:val="21"/>
                        </w:rPr>
                        <w:t>小计</w:t>
                      </w:r>
                    </w:p>
                    <w:p>
                      <w:pPr>
                        <w:spacing w:before="134"/>
                        <w:ind w:left="0" w:right="0" w:firstLine="0"/>
                        <w:jc w:val="righ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9781;top:1365;width:946;height:3490" type="#_x0000_t202" filled="false" stroked="false">
                <v:textbox inset="0,0,0,0">
                  <w:txbxContent>
                    <w:p>
                      <w:pPr>
                        <w:spacing w:line="214" w:lineRule="exact" w:before="0"/>
                        <w:ind w:left="103" w:right="0" w:firstLine="0"/>
                        <w:jc w:val="center"/>
                        <w:rPr>
                          <w:rFonts w:ascii="Times New Roman" w:hAnsi="Times New Roman" w:cs="Times New Roman" w:eastAsia="Times New Roman" w:hint="default"/>
                          <w:sz w:val="21"/>
                          <w:szCs w:val="21"/>
                        </w:rPr>
                      </w:pPr>
                      <w:r>
                        <w:rPr>
                          <w:rFonts w:ascii="Times New Roman"/>
                          <w:spacing w:val="-1"/>
                          <w:sz w:val="21"/>
                        </w:rPr>
                        <w:t>4,366,919</w:t>
                      </w:r>
                    </w:p>
                    <w:p>
                      <w:pPr>
                        <w:spacing w:before="169"/>
                        <w:ind w:left="103" w:right="0" w:firstLine="0"/>
                        <w:jc w:val="center"/>
                        <w:rPr>
                          <w:rFonts w:ascii="Times New Roman" w:hAnsi="Times New Roman" w:cs="Times New Roman" w:eastAsia="Times New Roman" w:hint="default"/>
                          <w:sz w:val="21"/>
                          <w:szCs w:val="21"/>
                        </w:rPr>
                      </w:pPr>
                      <w:r>
                        <w:rPr>
                          <w:rFonts w:ascii="Times New Roman"/>
                          <w:spacing w:val="-1"/>
                          <w:sz w:val="21"/>
                        </w:rPr>
                        <w:t>4,359,166</w:t>
                      </w:r>
                    </w:p>
                    <w:p>
                      <w:pPr>
                        <w:spacing w:before="167"/>
                        <w:ind w:left="0" w:right="0" w:firstLine="0"/>
                        <w:jc w:val="center"/>
                        <w:rPr>
                          <w:rFonts w:ascii="Times New Roman" w:hAnsi="Times New Roman" w:cs="Times New Roman" w:eastAsia="Times New Roman" w:hint="default"/>
                          <w:sz w:val="21"/>
                          <w:szCs w:val="21"/>
                        </w:rPr>
                      </w:pPr>
                      <w:r>
                        <w:rPr>
                          <w:rFonts w:ascii="Times New Roman"/>
                          <w:spacing w:val="-1"/>
                          <w:sz w:val="21"/>
                        </w:rPr>
                        <w:t>19,493,248</w:t>
                      </w:r>
                      <w:r>
                        <w:rPr>
                          <w:rFonts w:ascii="Times New Roman"/>
                          <w:sz w:val="21"/>
                        </w:rPr>
                      </w:r>
                    </w:p>
                    <w:p>
                      <w:pPr>
                        <w:spacing w:before="169"/>
                        <w:ind w:left="103" w:right="0" w:firstLine="0"/>
                        <w:jc w:val="center"/>
                        <w:rPr>
                          <w:rFonts w:ascii="Times New Roman" w:hAnsi="Times New Roman" w:cs="Times New Roman" w:eastAsia="Times New Roman" w:hint="default"/>
                          <w:sz w:val="21"/>
                          <w:szCs w:val="21"/>
                        </w:rPr>
                      </w:pPr>
                      <w:r>
                        <w:rPr>
                          <w:rFonts w:ascii="Times New Roman"/>
                          <w:spacing w:val="-1"/>
                          <w:sz w:val="21"/>
                        </w:rPr>
                        <w:t>2,914,356</w:t>
                      </w:r>
                    </w:p>
                    <w:p>
                      <w:pPr>
                        <w:spacing w:before="169"/>
                        <w:ind w:left="0" w:right="0" w:firstLine="0"/>
                        <w:jc w:val="center"/>
                        <w:rPr>
                          <w:rFonts w:ascii="Times New Roman" w:hAnsi="Times New Roman" w:cs="Times New Roman" w:eastAsia="Times New Roman" w:hint="default"/>
                          <w:sz w:val="21"/>
                          <w:szCs w:val="21"/>
                        </w:rPr>
                      </w:pPr>
                      <w:r>
                        <w:rPr>
                          <w:rFonts w:ascii="Times New Roman"/>
                          <w:spacing w:val="-1"/>
                          <w:sz w:val="21"/>
                        </w:rPr>
                        <w:t>47,179,171</w:t>
                      </w:r>
                      <w:r>
                        <w:rPr>
                          <w:rFonts w:ascii="Times New Roman"/>
                          <w:sz w:val="21"/>
                        </w:rPr>
                      </w:r>
                    </w:p>
                    <w:p>
                      <w:pPr>
                        <w:spacing w:before="167"/>
                        <w:ind w:left="0" w:right="0" w:firstLine="0"/>
                        <w:jc w:val="center"/>
                        <w:rPr>
                          <w:rFonts w:ascii="Times New Roman" w:hAnsi="Times New Roman" w:cs="Times New Roman" w:eastAsia="Times New Roman" w:hint="default"/>
                          <w:sz w:val="21"/>
                          <w:szCs w:val="21"/>
                        </w:rPr>
                      </w:pPr>
                      <w:r>
                        <w:rPr>
                          <w:rFonts w:ascii="Times New Roman"/>
                          <w:spacing w:val="-1"/>
                          <w:sz w:val="21"/>
                        </w:rPr>
                        <w:t>78,312,860</w:t>
                      </w:r>
                    </w:p>
                    <w:p>
                      <w:pPr>
                        <w:spacing w:before="169"/>
                        <w:ind w:left="104" w:right="0" w:firstLine="0"/>
                        <w:jc w:val="center"/>
                        <w:rPr>
                          <w:rFonts w:ascii="Times New Roman" w:hAnsi="Times New Roman" w:cs="Times New Roman" w:eastAsia="Times New Roman" w:hint="default"/>
                          <w:sz w:val="21"/>
                          <w:szCs w:val="21"/>
                        </w:rPr>
                      </w:pPr>
                      <w:r>
                        <w:rPr>
                          <w:rFonts w:ascii="Times New Roman"/>
                          <w:spacing w:val="-1"/>
                          <w:sz w:val="21"/>
                        </w:rPr>
                        <w:t>5,727,741</w:t>
                      </w:r>
                    </w:p>
                    <w:p>
                      <w:pPr>
                        <w:spacing w:before="169"/>
                        <w:ind w:left="104" w:right="0" w:firstLine="0"/>
                        <w:jc w:val="center"/>
                        <w:rPr>
                          <w:rFonts w:ascii="Times New Roman" w:hAnsi="Times New Roman" w:cs="Times New Roman" w:eastAsia="Times New Roman" w:hint="default"/>
                          <w:sz w:val="21"/>
                          <w:szCs w:val="21"/>
                        </w:rPr>
                      </w:pPr>
                      <w:r>
                        <w:rPr>
                          <w:rFonts w:ascii="Times New Roman"/>
                          <w:spacing w:val="-1"/>
                          <w:sz w:val="21"/>
                        </w:rPr>
                        <w:t>5,727,741</w:t>
                      </w:r>
                    </w:p>
                    <w:p>
                      <w:pPr>
                        <w:spacing w:line="237" w:lineRule="exact" w:before="167"/>
                        <w:ind w:left="0" w:right="0" w:firstLine="0"/>
                        <w:jc w:val="center"/>
                        <w:rPr>
                          <w:rFonts w:ascii="Times New Roman" w:hAnsi="Times New Roman" w:cs="Times New Roman" w:eastAsia="Times New Roman" w:hint="default"/>
                          <w:sz w:val="21"/>
                          <w:szCs w:val="21"/>
                        </w:rPr>
                      </w:pPr>
                      <w:r>
                        <w:rPr>
                          <w:rFonts w:ascii="Times New Roman"/>
                          <w:spacing w:val="-1"/>
                          <w:sz w:val="21"/>
                        </w:rPr>
                        <w:t>84,040,601</w:t>
                      </w:r>
                      <w:r>
                        <w:rPr>
                          <w:rFonts w:ascii="Times New Roman"/>
                          <w:sz w:val="21"/>
                        </w:rPr>
                      </w:r>
                    </w:p>
                  </w:txbxContent>
                </v:textbox>
                <w10:wrap type="none"/>
              </v:shape>
            </v:group>
            <w10:wrap type="none"/>
          </v:group>
        </w:pict>
      </w:r>
      <w:r>
        <w:rPr/>
        <w:t>2）</w:t>
      </w:r>
      <w:r>
        <w:rPr>
          <w:spacing w:val="-63"/>
        </w:rPr>
        <w:t> </w:t>
      </w:r>
      <w:r>
        <w:rPr/>
        <w:t>以下为本公司于资产负债表日，已签约而尚不必在资产负债表上列示的与关联方有关的承</w:t>
      </w:r>
      <w:r>
        <w:rPr>
          <w:spacing w:val="1"/>
          <w:w w:val="99"/>
        </w:rPr>
        <w:t> </w:t>
      </w:r>
      <w:r>
        <w:rPr/>
        <w:t>诺事项：</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7"/>
          <w:szCs w:val="27"/>
        </w:rPr>
      </w:pPr>
    </w:p>
    <w:p>
      <w:pPr>
        <w:tabs>
          <w:tab w:pos="853" w:val="left" w:leader="none"/>
        </w:tabs>
        <w:spacing w:line="348" w:lineRule="auto" w:before="35"/>
        <w:ind w:left="857" w:right="6224" w:hanging="732"/>
        <w:jc w:val="left"/>
        <w:rPr>
          <w:rFonts w:ascii="宋体" w:hAnsi="宋体" w:cs="宋体" w:eastAsia="宋体" w:hint="default"/>
          <w:sz w:val="21"/>
          <w:szCs w:val="21"/>
        </w:rPr>
      </w:pPr>
      <w:r>
        <w:rPr>
          <w:rFonts w:ascii="宋体" w:hAnsi="宋体" w:cs="宋体" w:eastAsia="宋体" w:hint="default"/>
          <w:b/>
          <w:bCs/>
          <w:w w:val="95"/>
          <w:sz w:val="21"/>
          <w:szCs w:val="21"/>
        </w:rPr>
        <w:t>八、</w:t>
        <w:tab/>
      </w:r>
      <w:r>
        <w:rPr>
          <w:rFonts w:ascii="宋体" w:hAnsi="宋体" w:cs="宋体" w:eastAsia="宋体" w:hint="default"/>
          <w:b/>
          <w:bCs/>
          <w:sz w:val="21"/>
          <w:szCs w:val="21"/>
        </w:rPr>
        <w:t>本报告期股份支付情况</w:t>
      </w:r>
      <w:r>
        <w:rPr>
          <w:rFonts w:ascii="宋体" w:hAnsi="宋体" w:cs="宋体" w:eastAsia="宋体" w:hint="default"/>
          <w:b/>
          <w:bCs/>
          <w:w w:val="99"/>
          <w:sz w:val="21"/>
          <w:szCs w:val="21"/>
        </w:rPr>
        <w:t> </w:t>
      </w:r>
      <w:r>
        <w:rPr>
          <w:rFonts w:ascii="宋体" w:hAnsi="宋体" w:cs="宋体" w:eastAsia="宋体" w:hint="default"/>
          <w:sz w:val="21"/>
          <w:szCs w:val="21"/>
        </w:rPr>
        <w:t>本报告期无股份支付情况。</w:t>
      </w:r>
    </w:p>
    <w:p>
      <w:pPr>
        <w:spacing w:line="240" w:lineRule="auto" w:before="0"/>
        <w:rPr>
          <w:rFonts w:ascii="宋体" w:hAnsi="宋体" w:cs="宋体" w:eastAsia="宋体" w:hint="default"/>
          <w:sz w:val="20"/>
          <w:szCs w:val="20"/>
        </w:rPr>
      </w:pPr>
    </w:p>
    <w:p>
      <w:pPr>
        <w:pStyle w:val="Heading6"/>
        <w:tabs>
          <w:tab w:pos="853" w:val="left" w:leader="none"/>
        </w:tabs>
        <w:spacing w:line="240" w:lineRule="auto" w:before="169"/>
        <w:ind w:left="125" w:right="0"/>
        <w:jc w:val="left"/>
        <w:rPr>
          <w:b w:val="0"/>
          <w:bCs w:val="0"/>
        </w:rPr>
      </w:pPr>
      <w:r>
        <w:rPr>
          <w:w w:val="95"/>
        </w:rPr>
        <w:t>九、</w:t>
        <w:tab/>
      </w:r>
      <w:r>
        <w:rPr/>
        <w:t>或有事项</w:t>
      </w:r>
      <w:r>
        <w:rPr>
          <w:b w:val="0"/>
          <w:bCs w:val="0"/>
        </w:rPr>
      </w:r>
    </w:p>
    <w:p>
      <w:pPr>
        <w:tabs>
          <w:tab w:pos="853" w:val="left" w:leader="none"/>
        </w:tabs>
        <w:spacing w:before="125"/>
        <w:ind w:left="125" w:right="0" w:firstLine="0"/>
        <w:jc w:val="left"/>
        <w:rPr>
          <w:rFonts w:ascii="宋体" w:hAnsi="宋体" w:cs="宋体" w:eastAsia="宋体" w:hint="default"/>
          <w:sz w:val="21"/>
          <w:szCs w:val="21"/>
        </w:rPr>
      </w:pPr>
      <w:r>
        <w:rPr>
          <w:rFonts w:ascii="宋体" w:hAnsi="宋体" w:cs="宋体" w:eastAsia="宋体" w:hint="default"/>
          <w:b/>
          <w:bCs/>
          <w:w w:val="95"/>
          <w:sz w:val="21"/>
          <w:szCs w:val="21"/>
        </w:rPr>
        <w:t>(一)</w:t>
        <w:tab/>
      </w:r>
      <w:r>
        <w:rPr>
          <w:rFonts w:ascii="宋体" w:hAnsi="宋体" w:cs="宋体" w:eastAsia="宋体" w:hint="default"/>
          <w:b/>
          <w:bCs/>
          <w:sz w:val="21"/>
          <w:szCs w:val="21"/>
        </w:rPr>
        <w:t>本报告期无未决诉讼或仲裁形成的或有负债及其财务影响</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853" w:val="left" w:leader="none"/>
        </w:tabs>
        <w:spacing w:line="348" w:lineRule="auto" w:before="0"/>
        <w:ind w:left="857" w:right="3689" w:hanging="732"/>
        <w:jc w:val="left"/>
        <w:rPr>
          <w:rFonts w:ascii="宋体" w:hAnsi="宋体" w:cs="宋体" w:eastAsia="宋体" w:hint="default"/>
          <w:sz w:val="21"/>
          <w:szCs w:val="21"/>
        </w:rPr>
      </w:pPr>
      <w:r>
        <w:rPr/>
        <w:pict>
          <v:group style="position:absolute;margin-left:110.010002pt;margin-top:35.361130pt;width:438.75pt;height:125.5pt;mso-position-horizontal-relative:page;mso-position-vertical-relative:paragraph;z-index:-1103848" coordorigin="2200,707" coordsize="8775,2510">
            <v:group style="position:absolute;left:2230;top:722;width:5487;height:2" coordorigin="2230,722" coordsize="5487,2">
              <v:shape style="position:absolute;left:2230;top:722;width:5487;height:2" coordorigin="2230,722" coordsize="5487,0" path="m2230,722l7716,722e" filled="false" stroked="true" strokeweight="1.5pt" strokecolor="#000000">
                <v:path arrowok="t"/>
              </v:shape>
            </v:group>
            <v:group style="position:absolute;left:7716;top:722;width:3227;height:2" coordorigin="7716,722" coordsize="3227,2">
              <v:shape style="position:absolute;left:7716;top:722;width:3227;height:2" coordorigin="7716,722" coordsize="3227,0" path="m7716,722l10943,722e" filled="false" stroked="true" strokeweight="1.5pt" strokecolor="#000000">
                <v:path arrowok="t"/>
              </v:shape>
              <v:shape style="position:absolute;left:4208;top:714;width:3511;height:446" type="#_x0000_t75" stroked="false">
                <v:imagedata r:id="rId375" o:title=""/>
              </v:shape>
            </v:group>
            <v:group style="position:absolute;left:2215;top:3201;width:2016;height:2" coordorigin="2215,3201" coordsize="2016,2">
              <v:shape style="position:absolute;left:2215;top:3201;width:2016;height:2" coordorigin="2215,3201" coordsize="2016,0" path="m2215,3201l4231,3201e" filled="false" stroked="true" strokeweight="1.5pt" strokecolor="#000000">
                <v:path arrowok="t"/>
              </v:shape>
            </v:group>
            <v:group style="position:absolute;left:4231;top:3201;width:1616;height:2" coordorigin="4231,3201" coordsize="1616,2">
              <v:shape style="position:absolute;left:4231;top:3201;width:1616;height:2" coordorigin="4231,3201" coordsize="1616,0" path="m4231,3201l5846,3201e" filled="false" stroked="true" strokeweight="1.5pt" strokecolor="#000000">
                <v:path arrowok="t"/>
              </v:shape>
            </v:group>
            <v:group style="position:absolute;left:5846;top:3201;width:1840;height:2" coordorigin="5846,3201" coordsize="1840,2">
              <v:shape style="position:absolute;left:5846;top:3201;width:1840;height:2" coordorigin="5846,3201" coordsize="1840,0" path="m5846,3201l7686,3201e" filled="false" stroked="true" strokeweight="1.5pt" strokecolor="#000000">
                <v:path arrowok="t"/>
              </v:shape>
              <v:shape style="position:absolute;left:2201;top:1112;width:8774;height:2075" type="#_x0000_t75" stroked="false">
                <v:imagedata r:id="rId376" o:title=""/>
              </v:shape>
            </v:group>
            <v:group style="position:absolute;left:7686;top:3201;width:30;height:2" coordorigin="7686,3201" coordsize="30,2">
              <v:shape style="position:absolute;left:7686;top:3201;width:30;height:2" coordorigin="7686,3201" coordsize="30,0" path="m7686,3201l7716,3201e" filled="false" stroked="true" strokeweight="1.5pt" strokecolor="#000000">
                <v:path arrowok="t"/>
              </v:shape>
            </v:group>
            <v:group style="position:absolute;left:7716;top:3201;width:3227;height:2" coordorigin="7716,3201" coordsize="3227,2">
              <v:shape style="position:absolute;left:7716;top:3201;width:3227;height:2" coordorigin="7716,3201" coordsize="3227,0" path="m7716,3201l10943,3201e" filled="false" stroked="true" strokeweight="1.5pt" strokecolor="#000000">
                <v:path arrowok="t"/>
              </v:shape>
              <v:shape style="position:absolute;left:2783;top:92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被担保单位</w:t>
                      </w:r>
                    </w:p>
                  </w:txbxContent>
                </v:textbox>
                <w10:wrap type="none"/>
              </v:shape>
              <v:shape style="position:absolute;left:4344;top:929;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担保金额（万元）</w:t>
                      </w:r>
                    </w:p>
                  </w:txbxContent>
                </v:textbox>
                <w10:wrap type="none"/>
              </v:shape>
              <v:shape style="position:absolute;left:6320;top:92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债务到期日</w:t>
                      </w:r>
                    </w:p>
                  </w:txbxContent>
                </v:textbox>
                <w10:wrap type="none"/>
              </v:shape>
              <v:shape style="position:absolute;left:8507;top:929;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对本公司的财务影响</w:t>
                      </w:r>
                    </w:p>
                  </w:txbxContent>
                </v:textbox>
                <w10:wrap type="none"/>
              </v:shape>
              <v:shape style="position:absolute;left:2338;top:1339;width:1440;height:59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w:t>
                      </w:r>
                    </w:p>
                    <w:p>
                      <w:pPr>
                        <w:spacing w:line="240" w:lineRule="auto" w:before="5"/>
                        <w:rPr>
                          <w:rFonts w:ascii="宋体" w:hAnsi="宋体" w:cs="宋体" w:eastAsia="宋体" w:hint="default"/>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大连东软信息学院</w:t>
                      </w:r>
                    </w:p>
                  </w:txbxContent>
                </v:textbox>
                <w10:wrap type="none"/>
              </v:shape>
              <v:shape style="position:absolute;left:5339;top:1768;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5,000</w:t>
                      </w:r>
                    </w:p>
                  </w:txbxContent>
                </v:textbox>
                <w10:wrap type="none"/>
              </v:shape>
              <v:shape style="position:absolute;left:6366;top:176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2012.03.19</w:t>
                      </w:r>
                    </w:p>
                  </w:txbxContent>
                </v:textbox>
                <w10:wrap type="none"/>
              </v:shape>
              <v:shape style="position:absolute;left:8417;top:1749;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预计不会发生担保损失</w:t>
                      </w:r>
                    </w:p>
                  </w:txbxContent>
                </v:textbox>
                <w10:wrap type="none"/>
              </v:shape>
              <v:shape style="position:absolute;left:2338;top:2159;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大连东软信息学院</w:t>
                      </w:r>
                    </w:p>
                  </w:txbxContent>
                </v:textbox>
                <w10:wrap type="none"/>
              </v:shape>
              <v:shape style="position:absolute;left:5339;top:2179;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5,000</w:t>
                      </w:r>
                    </w:p>
                  </w:txbxContent>
                </v:textbox>
                <w10:wrap type="none"/>
              </v:shape>
              <v:shape style="position:absolute;left:6366;top:217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2012.04.20</w:t>
                      </w:r>
                    </w:p>
                  </w:txbxContent>
                </v:textbox>
                <w10:wrap type="none"/>
              </v:shape>
              <v:shape style="position:absolute;left:8417;top:2159;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预计不会发生担保损失</w:t>
                      </w:r>
                    </w:p>
                  </w:txbxContent>
                </v:textbox>
                <w10:wrap type="none"/>
              </v:shape>
              <v:shape style="position:absolute;left:2338;top:2569;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大连东软信息学院</w:t>
                      </w:r>
                    </w:p>
                  </w:txbxContent>
                </v:textbox>
                <w10:wrap type="none"/>
              </v:shape>
              <v:shape style="position:absolute;left:5339;top:2588;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5,000</w:t>
                      </w:r>
                    </w:p>
                  </w:txbxContent>
                </v:textbox>
                <w10:wrap type="none"/>
              </v:shape>
              <v:shape style="position:absolute;left:6366;top:258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2012.12.14</w:t>
                      </w:r>
                    </w:p>
                  </w:txbxContent>
                </v:textbox>
                <w10:wrap type="none"/>
              </v:shape>
              <v:shape style="position:absolute;left:8417;top:2569;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预计不会发生担保损失</w:t>
                      </w:r>
                    </w:p>
                  </w:txbxContent>
                </v:textbox>
                <w10:wrap type="none"/>
              </v:shape>
              <v:shape style="position:absolute;left:2338;top:297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2878;top:297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5249;top:2998;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15,000</w:t>
                      </w:r>
                    </w:p>
                  </w:txbxContent>
                </v:textbox>
                <w10:wrap type="none"/>
              </v:shape>
            </v:group>
            <w10:wrap type="none"/>
          </v:group>
        </w:pict>
      </w:r>
      <w:r>
        <w:rPr>
          <w:rFonts w:ascii="宋体" w:hAnsi="宋体" w:cs="宋体" w:eastAsia="宋体" w:hint="default"/>
          <w:b/>
          <w:bCs/>
          <w:w w:val="95"/>
          <w:sz w:val="21"/>
          <w:szCs w:val="21"/>
        </w:rPr>
        <w:t>(二)</w:t>
        <w:tab/>
      </w:r>
      <w:r>
        <w:rPr>
          <w:rFonts w:ascii="宋体" w:hAnsi="宋体" w:cs="宋体" w:eastAsia="宋体" w:hint="default"/>
          <w:b/>
          <w:bCs/>
          <w:sz w:val="21"/>
          <w:szCs w:val="21"/>
        </w:rPr>
        <w:t>为其他单位提供债务担保形成的或有负债及其财务影响</w:t>
      </w:r>
      <w:r>
        <w:rPr>
          <w:rFonts w:ascii="宋体" w:hAnsi="宋体" w:cs="宋体" w:eastAsia="宋体" w:hint="default"/>
          <w:b/>
          <w:bCs/>
          <w:spacing w:val="1"/>
          <w:w w:val="99"/>
          <w:sz w:val="21"/>
          <w:szCs w:val="21"/>
        </w:rPr>
        <w:t> </w:t>
      </w:r>
      <w:r>
        <w:rPr>
          <w:rFonts w:ascii="宋体" w:hAnsi="宋体" w:cs="宋体" w:eastAsia="宋体" w:hint="default"/>
          <w:sz w:val="21"/>
          <w:szCs w:val="21"/>
        </w:rPr>
        <w:t>担保情况</w:t>
      </w:r>
    </w:p>
    <w:p>
      <w:pPr>
        <w:spacing w:after="0" w:line="348" w:lineRule="auto"/>
        <w:jc w:val="left"/>
        <w:rPr>
          <w:rFonts w:ascii="宋体" w:hAnsi="宋体" w:cs="宋体" w:eastAsia="宋体" w:hint="default"/>
          <w:sz w:val="21"/>
          <w:szCs w:val="21"/>
        </w:rPr>
        <w:sectPr>
          <w:pgSz w:w="11910" w:h="16840"/>
          <w:pgMar w:header="883" w:footer="1003" w:top="1540" w:bottom="1200" w:left="1480" w:right="820"/>
        </w:sectPr>
      </w:pPr>
    </w:p>
    <w:p>
      <w:pPr>
        <w:tabs>
          <w:tab w:pos="853" w:val="left" w:leader="none"/>
        </w:tabs>
        <w:spacing w:before="129"/>
        <w:ind w:left="125" w:right="396" w:firstLine="0"/>
        <w:jc w:val="left"/>
        <w:rPr>
          <w:rFonts w:ascii="宋体" w:hAnsi="宋体" w:cs="宋体" w:eastAsia="宋体" w:hint="default"/>
          <w:sz w:val="21"/>
          <w:szCs w:val="21"/>
        </w:rPr>
      </w:pPr>
      <w:r>
        <w:rPr>
          <w:rFonts w:ascii="宋体" w:hAnsi="宋体" w:cs="宋体" w:eastAsia="宋体" w:hint="default"/>
          <w:b/>
          <w:bCs/>
          <w:w w:val="95"/>
          <w:sz w:val="21"/>
          <w:szCs w:val="21"/>
        </w:rPr>
        <w:t>十、</w:t>
        <w:tab/>
      </w:r>
      <w:r>
        <w:rPr>
          <w:rFonts w:ascii="宋体" w:hAnsi="宋体" w:cs="宋体" w:eastAsia="宋体" w:hint="default"/>
          <w:b/>
          <w:bCs/>
          <w:sz w:val="21"/>
          <w:szCs w:val="21"/>
        </w:rPr>
        <w:t>承诺事项</w:t>
      </w:r>
      <w:r>
        <w:rPr>
          <w:rFonts w:ascii="宋体" w:hAnsi="宋体" w:cs="宋体" w:eastAsia="宋体" w:hint="default"/>
          <w:sz w:val="21"/>
          <w:szCs w:val="21"/>
        </w:rPr>
      </w:r>
    </w:p>
    <w:p>
      <w:pPr>
        <w:spacing w:before="105"/>
        <w:ind w:left="857" w:right="396" w:firstLine="0"/>
        <w:jc w:val="left"/>
        <w:rPr>
          <w:rFonts w:ascii="宋体" w:hAnsi="宋体" w:cs="宋体" w:eastAsia="宋体" w:hint="default"/>
          <w:sz w:val="21"/>
          <w:szCs w:val="21"/>
        </w:rPr>
      </w:pPr>
      <w:r>
        <w:rPr>
          <w:rFonts w:ascii="宋体" w:hAnsi="宋体" w:cs="宋体" w:eastAsia="宋体" w:hint="default"/>
          <w:b/>
          <w:bCs/>
          <w:sz w:val="21"/>
          <w:szCs w:val="21"/>
        </w:rPr>
        <w:t>重大承诺事项</w:t>
      </w:r>
      <w:r>
        <w:rPr>
          <w:rFonts w:ascii="宋体" w:hAnsi="宋体" w:cs="宋体" w:eastAsia="宋体" w:hint="default"/>
          <w:sz w:val="21"/>
          <w:szCs w:val="21"/>
        </w:rPr>
      </w:r>
    </w:p>
    <w:p>
      <w:pPr>
        <w:tabs>
          <w:tab w:pos="853" w:val="left" w:leader="none"/>
        </w:tabs>
        <w:spacing w:before="105"/>
        <w:ind w:left="125" w:right="396" w:firstLine="0"/>
        <w:jc w:val="left"/>
        <w:rPr>
          <w:rFonts w:ascii="宋体" w:hAnsi="宋体" w:cs="宋体" w:eastAsia="宋体" w:hint="default"/>
          <w:sz w:val="21"/>
          <w:szCs w:val="21"/>
        </w:rPr>
      </w:pPr>
      <w:r>
        <w:rPr>
          <w:rFonts w:ascii="宋体" w:hAnsi="宋体" w:cs="宋体" w:eastAsia="宋体" w:hint="default"/>
          <w:b/>
          <w:bCs/>
          <w:w w:val="95"/>
          <w:sz w:val="21"/>
          <w:szCs w:val="21"/>
        </w:rPr>
        <w:t>(一)</w:t>
        <w:tab/>
      </w:r>
      <w:r>
        <w:rPr>
          <w:rFonts w:ascii="宋体" w:hAnsi="宋体" w:cs="宋体" w:eastAsia="宋体" w:hint="default"/>
          <w:b/>
          <w:bCs/>
          <w:sz w:val="21"/>
          <w:szCs w:val="21"/>
        </w:rPr>
        <w:t>已签订的尚未履行或尚未完全履行的对外投资合同及有关财务支出</w:t>
      </w:r>
      <w:r>
        <w:rPr>
          <w:rFonts w:ascii="宋体" w:hAnsi="宋体" w:cs="宋体" w:eastAsia="宋体" w:hint="default"/>
          <w:sz w:val="21"/>
          <w:szCs w:val="21"/>
        </w:rPr>
      </w:r>
    </w:p>
    <w:p>
      <w:pPr>
        <w:pStyle w:val="BodyText"/>
        <w:spacing w:line="240" w:lineRule="auto" w:before="104"/>
        <w:ind w:left="857" w:right="7"/>
        <w:jc w:val="left"/>
      </w:pPr>
      <w:r>
        <w:rPr>
          <w:spacing w:val="-1"/>
        </w:rPr>
        <w:t>1、201</w:t>
      </w:r>
      <w:r>
        <w:rPr/>
        <w:t>1</w:t>
      </w:r>
      <w:r>
        <w:rPr>
          <w:spacing w:val="-47"/>
        </w:rPr>
        <w:t> </w:t>
      </w:r>
      <w:r>
        <w:rPr/>
        <w:t>年</w:t>
      </w:r>
      <w:r>
        <w:rPr>
          <w:spacing w:val="-49"/>
        </w:rPr>
        <w:t> </w:t>
      </w:r>
      <w:r>
        <w:rPr/>
        <w:t>3</w:t>
      </w:r>
      <w:r>
        <w:rPr>
          <w:spacing w:val="-48"/>
        </w:rPr>
        <w:t> </w:t>
      </w:r>
      <w:r>
        <w:rPr/>
        <w:t>月</w:t>
      </w:r>
      <w:r>
        <w:rPr>
          <w:spacing w:val="-48"/>
        </w:rPr>
        <w:t> </w:t>
      </w:r>
      <w:r>
        <w:rPr/>
        <w:t>18</w:t>
      </w:r>
      <w:r>
        <w:rPr>
          <w:spacing w:val="-47"/>
        </w:rPr>
        <w:t> </w:t>
      </w:r>
      <w:r>
        <w:rPr>
          <w:spacing w:val="-1"/>
        </w:rPr>
        <w:t>日，</w:t>
      </w:r>
      <w:r>
        <w:rPr>
          <w:spacing w:val="-2"/>
        </w:rPr>
        <w:t>本</w:t>
      </w:r>
      <w:r>
        <w:rPr>
          <w:spacing w:val="-1"/>
        </w:rPr>
        <w:t>公司与自然人乐六平、尹胜签订《合资协议书</w:t>
      </w:r>
      <w:r>
        <w:rPr>
          <w:spacing w:val="-106"/>
        </w:rPr>
        <w:t>》</w:t>
      </w:r>
      <w:r>
        <w:rPr/>
        <w:t>，新设合资公司——</w:t>
      </w:r>
    </w:p>
    <w:p>
      <w:pPr>
        <w:pStyle w:val="BodyText"/>
        <w:spacing w:line="331" w:lineRule="auto" w:before="105"/>
        <w:ind w:left="857" w:right="7"/>
        <w:jc w:val="left"/>
      </w:pPr>
      <w:r>
        <w:rPr>
          <w:spacing w:val="-4"/>
        </w:rPr>
        <w:t>广东东软时尚数字技术有限公司（简称：广东东软时尚），其中，本公司出资</w:t>
      </w:r>
      <w:r>
        <w:rPr>
          <w:spacing w:val="-6"/>
        </w:rPr>
        <w:t> </w:t>
      </w:r>
      <w:r>
        <w:rPr/>
        <w:t>2,250</w:t>
      </w:r>
      <w:r>
        <w:rPr>
          <w:spacing w:val="-6"/>
        </w:rPr>
        <w:t> </w:t>
      </w:r>
      <w:r>
        <w:rPr/>
        <w:t>万元人民</w:t>
      </w:r>
      <w:r>
        <w:rPr>
          <w:spacing w:val="-94"/>
        </w:rPr>
        <w:t> </w:t>
      </w:r>
      <w:r>
        <w:rPr>
          <w:spacing w:val="-94"/>
        </w:rPr>
      </w:r>
      <w:r>
        <w:rPr/>
        <w:t>币，占注册资本的</w:t>
      </w:r>
      <w:r>
        <w:rPr>
          <w:spacing w:val="-29"/>
        </w:rPr>
        <w:t> </w:t>
      </w:r>
      <w:r>
        <w:rPr/>
        <w:t>60%。新设的合资公司广东东软时尚与深圳市乐之意科技有限公司（简称：</w:t>
      </w:r>
      <w:r>
        <w:rPr/>
        <w:t> </w:t>
      </w:r>
      <w:r>
        <w:rPr>
          <w:spacing w:val="-6"/>
        </w:rPr>
        <w:t>乐之意公司）、深圳市乐之源通讯有限公司（简称：乐之源公司）分别签订《收购合同》，分别</w:t>
      </w:r>
      <w:r>
        <w:rPr>
          <w:spacing w:val="-94"/>
        </w:rPr>
        <w:t> </w:t>
      </w:r>
      <w:r>
        <w:rPr>
          <w:spacing w:val="-94"/>
        </w:rPr>
      </w:r>
      <w:r>
        <w:rPr/>
        <w:t>以对价人民币</w:t>
      </w:r>
      <w:r>
        <w:rPr>
          <w:spacing w:val="-52"/>
        </w:rPr>
        <w:t> </w:t>
      </w:r>
      <w:r>
        <w:rPr/>
        <w:t>2,200</w:t>
      </w:r>
      <w:r>
        <w:rPr>
          <w:spacing w:val="-52"/>
        </w:rPr>
        <w:t> </w:t>
      </w:r>
      <w:r>
        <w:rPr/>
        <w:t>万元、300</w:t>
      </w:r>
      <w:r>
        <w:rPr>
          <w:spacing w:val="-52"/>
        </w:rPr>
        <w:t> </w:t>
      </w:r>
      <w:r>
        <w:rPr/>
        <w:t>万元收购两家公司现有全部有形资产、无形资产并接收部分员</w:t>
      </w:r>
      <w:r>
        <w:rPr>
          <w:spacing w:val="-1"/>
        </w:rPr>
        <w:t> </w:t>
      </w:r>
      <w:r>
        <w:rPr>
          <w:spacing w:val="-9"/>
        </w:rPr>
        <w:t>工。自然人乐六平、尹胜是乐之意及乐之源公司的股东及实际控制人（以下简称“交易对方”）。</w:t>
      </w:r>
      <w:r>
        <w:rPr>
          <w:spacing w:val="-64"/>
        </w:rPr>
        <w:t> </w:t>
      </w:r>
      <w:r>
        <w:rPr>
          <w:spacing w:val="-64"/>
        </w:rPr>
      </w:r>
      <w:r>
        <w:rPr>
          <w:spacing w:val="-4"/>
        </w:rPr>
        <w:t>同时，收购双方对本次交易设置和安排了合资公司成立后的股权调整条款：（1）广东东软时尚</w:t>
      </w:r>
      <w:r>
        <w:rPr>
          <w:spacing w:val="-72"/>
        </w:rPr>
        <w:t> </w:t>
      </w:r>
      <w:r>
        <w:rPr>
          <w:spacing w:val="-72"/>
        </w:rPr>
      </w:r>
      <w:r>
        <w:rPr/>
        <w:t>成立后连续</w:t>
      </w:r>
      <w:r>
        <w:rPr>
          <w:spacing w:val="-63"/>
        </w:rPr>
        <w:t> </w:t>
      </w:r>
      <w:r>
        <w:rPr/>
        <w:t>36</w:t>
      </w:r>
      <w:r>
        <w:rPr>
          <w:spacing w:val="-62"/>
        </w:rPr>
        <w:t> </w:t>
      </w:r>
      <w:r>
        <w:rPr/>
        <w:t>个月内每</w:t>
      </w:r>
      <w:r>
        <w:rPr>
          <w:spacing w:val="-64"/>
        </w:rPr>
        <w:t> </w:t>
      </w:r>
      <w:r>
        <w:rPr/>
        <w:t>12</w:t>
      </w:r>
      <w:r>
        <w:rPr>
          <w:spacing w:val="-62"/>
        </w:rPr>
        <w:t> </w:t>
      </w:r>
      <w:r>
        <w:rPr/>
        <w:t>个月实际完成的净利润超过预期目标净利润，将由合资公司以现金</w:t>
      </w:r>
      <w:r>
        <w:rPr>
          <w:spacing w:val="-1"/>
        </w:rPr>
        <w:t> </w:t>
      </w:r>
      <w:r>
        <w:rPr>
          <w:spacing w:val="-4"/>
        </w:rPr>
        <w:t>形式支付“超额净利润奖励金额”给交易对方（即乐六平、尹胜）；（2）如实际完成净利润未</w:t>
      </w:r>
      <w:r>
        <w:rPr>
          <w:spacing w:val="-82"/>
        </w:rPr>
        <w:t> </w:t>
      </w:r>
      <w:r>
        <w:rPr>
          <w:spacing w:val="-82"/>
        </w:rPr>
      </w:r>
      <w:r>
        <w:rPr>
          <w:spacing w:val="-1"/>
        </w:rPr>
        <w:t>达预期目标净利润，将按两者差额计算对应的“折减股权比例”，并由交易对方将该折减的股</w:t>
      </w:r>
      <w:r>
        <w:rPr>
          <w:spacing w:val="2"/>
        </w:rPr>
        <w:t> </w:t>
      </w:r>
      <w:r>
        <w:rPr/>
        <w:t>权无条件、无偿折抵或转让给本公司。截止本财务报告批准报出日，还未达到股权调整条款的</w:t>
      </w:r>
      <w:r>
        <w:rPr/>
        <w:t> 第</w:t>
      </w:r>
      <w:r>
        <w:rPr>
          <w:spacing w:val="-55"/>
        </w:rPr>
        <w:t> </w:t>
      </w:r>
      <w:r>
        <w:rPr/>
        <w:t>1</w:t>
      </w:r>
      <w:r>
        <w:rPr>
          <w:spacing w:val="-54"/>
        </w:rPr>
        <w:t> </w:t>
      </w:r>
      <w:r>
        <w:rPr/>
        <w:t>个时间期限，该期限为</w:t>
      </w:r>
      <w:r>
        <w:rPr>
          <w:spacing w:val="-55"/>
        </w:rPr>
        <w:t> </w:t>
      </w:r>
      <w:r>
        <w:rPr/>
        <w:t>2011</w:t>
      </w:r>
      <w:r>
        <w:rPr>
          <w:spacing w:val="-54"/>
        </w:rPr>
        <w:t> </w:t>
      </w:r>
      <w:r>
        <w:rPr/>
        <w:t>年</w:t>
      </w:r>
      <w:r>
        <w:rPr>
          <w:spacing w:val="-56"/>
        </w:rPr>
        <w:t> </w:t>
      </w:r>
      <w:r>
        <w:rPr/>
        <w:t>6</w:t>
      </w:r>
      <w:r>
        <w:rPr>
          <w:spacing w:val="-54"/>
        </w:rPr>
        <w:t> </w:t>
      </w:r>
      <w:r>
        <w:rPr/>
        <w:t>月</w:t>
      </w:r>
      <w:r>
        <w:rPr>
          <w:spacing w:val="-56"/>
        </w:rPr>
        <w:t> </w:t>
      </w:r>
      <w:r>
        <w:rPr/>
        <w:t>1</w:t>
      </w:r>
      <w:r>
        <w:rPr>
          <w:spacing w:val="-54"/>
        </w:rPr>
        <w:t> </w:t>
      </w:r>
      <w:r>
        <w:rPr/>
        <w:t>日至</w:t>
      </w:r>
      <w:r>
        <w:rPr>
          <w:spacing w:val="-56"/>
        </w:rPr>
        <w:t> </w:t>
      </w:r>
      <w:r>
        <w:rPr/>
        <w:t>2012</w:t>
      </w:r>
      <w:r>
        <w:rPr>
          <w:spacing w:val="-54"/>
        </w:rPr>
        <w:t> </w:t>
      </w:r>
      <w:r>
        <w:rPr/>
        <w:t>年</w:t>
      </w:r>
      <w:r>
        <w:rPr>
          <w:spacing w:val="-56"/>
        </w:rPr>
        <w:t> </w:t>
      </w:r>
      <w:r>
        <w:rPr/>
        <w:t>5</w:t>
      </w:r>
      <w:r>
        <w:rPr>
          <w:spacing w:val="-54"/>
        </w:rPr>
        <w:t> </w:t>
      </w:r>
      <w:r>
        <w:rPr/>
        <w:t>月</w:t>
      </w:r>
      <w:r>
        <w:rPr>
          <w:spacing w:val="-56"/>
        </w:rPr>
        <w:t> </w:t>
      </w:r>
      <w:r>
        <w:rPr/>
        <w:t>31</w:t>
      </w:r>
      <w:r>
        <w:rPr>
          <w:spacing w:val="-54"/>
        </w:rPr>
        <w:t> </w:t>
      </w:r>
      <w:r>
        <w:rPr/>
        <w:t>日。</w:t>
      </w:r>
    </w:p>
    <w:p>
      <w:pPr>
        <w:pStyle w:val="BodyText"/>
        <w:spacing w:line="331" w:lineRule="auto" w:before="24"/>
        <w:ind w:left="857" w:right="7"/>
        <w:jc w:val="left"/>
      </w:pPr>
      <w:r>
        <w:rPr/>
        <w:t>2、2011</w:t>
      </w:r>
      <w:r>
        <w:rPr>
          <w:spacing w:val="-53"/>
        </w:rPr>
        <w:t> </w:t>
      </w:r>
      <w:r>
        <w:rPr/>
        <w:t>年</w:t>
      </w:r>
      <w:r>
        <w:rPr>
          <w:spacing w:val="-54"/>
        </w:rPr>
        <w:t> </w:t>
      </w:r>
      <w:r>
        <w:rPr/>
        <w:t>1</w:t>
      </w:r>
      <w:r>
        <w:rPr>
          <w:spacing w:val="-54"/>
        </w:rPr>
        <w:t> </w:t>
      </w:r>
      <w:r>
        <w:rPr/>
        <w:t>月</w:t>
      </w:r>
      <w:r>
        <w:rPr>
          <w:spacing w:val="-54"/>
        </w:rPr>
        <w:t> </w:t>
      </w:r>
      <w:r>
        <w:rPr/>
        <w:t>7</w:t>
      </w:r>
      <w:r>
        <w:rPr>
          <w:spacing w:val="-53"/>
        </w:rPr>
        <w:t> </w:t>
      </w:r>
      <w:r>
        <w:rPr/>
        <w:t>日，经公司五届二十三次董事会审议，董事会同意公司收购北京东软望海科</w:t>
      </w:r>
      <w:r>
        <w:rPr>
          <w:spacing w:val="-1"/>
        </w:rPr>
        <w:t> </w:t>
      </w:r>
      <w:r>
        <w:rPr>
          <w:spacing w:val="-4"/>
        </w:rPr>
        <w:t>技有限公司（以下简称“东软望海”）股权，并与郭学文、望海科技有限公司、英特尔（中国）</w:t>
      </w:r>
      <w:r>
        <w:rPr>
          <w:spacing w:val="-75"/>
        </w:rPr>
        <w:t> </w:t>
      </w:r>
      <w:r>
        <w:rPr>
          <w:spacing w:val="-75"/>
        </w:rPr>
      </w:r>
      <w:r>
        <w:rPr>
          <w:spacing w:val="-6"/>
        </w:rPr>
        <w:t>有限公司、段成惠、张伟、北京泰合鼎诚投资咨询有限公司（以下统称“交易对方”）签定《交</w:t>
      </w:r>
      <w:r>
        <w:rPr>
          <w:spacing w:val="-93"/>
        </w:rPr>
        <w:t> </w:t>
      </w:r>
      <w:r>
        <w:rPr>
          <w:spacing w:val="-93"/>
        </w:rPr>
      </w:r>
      <w:r>
        <w:rPr>
          <w:spacing w:val="-22"/>
        </w:rPr>
        <w:t>易框架备忘录》、《股权转让协议》和《协议书》。相关协议规定，本次交易对价不超过</w:t>
      </w:r>
      <w:r>
        <w:rPr>
          <w:spacing w:val="-42"/>
        </w:rPr>
        <w:t> </w:t>
      </w:r>
      <w:r>
        <w:rPr/>
        <w:t>114,101,440</w:t>
      </w:r>
      <w:r>
        <w:rPr>
          <w:spacing w:val="-79"/>
        </w:rPr>
        <w:t> </w:t>
      </w:r>
      <w:r>
        <w:rPr>
          <w:spacing w:val="-79"/>
        </w:rPr>
      </w:r>
      <w:r>
        <w:rPr>
          <w:spacing w:val="9"/>
        </w:rPr>
        <w:t>元人民币，且在交易对方进行股权调整并完成工商登记变更手续后，公司将受让东软望海</w:t>
      </w:r>
      <w:r>
        <w:rPr>
          <w:spacing w:val="-81"/>
        </w:rPr>
        <w:t> </w:t>
      </w:r>
      <w:r>
        <w:rPr>
          <w:spacing w:val="-81"/>
        </w:rPr>
      </w:r>
      <w:r>
        <w:rPr>
          <w:spacing w:val="-4"/>
        </w:rPr>
        <w:t>73.14%股权。同时收购双方对本次交易设置和安排了管理层股权奖励和继续收购条款：（1）东</w:t>
      </w:r>
      <w:r>
        <w:rPr>
          <w:spacing w:val="-62"/>
        </w:rPr>
        <w:t> </w:t>
      </w:r>
      <w:r>
        <w:rPr>
          <w:spacing w:val="-62"/>
        </w:rPr>
      </w:r>
      <w:r>
        <w:rPr/>
        <w:t>软望海</w:t>
      </w:r>
      <w:r>
        <w:rPr>
          <w:spacing w:val="-70"/>
        </w:rPr>
        <w:t> </w:t>
      </w:r>
      <w:r>
        <w:rPr/>
        <w:t>2011</w:t>
      </w:r>
      <w:r>
        <w:rPr>
          <w:spacing w:val="-70"/>
        </w:rPr>
        <w:t> </w:t>
      </w:r>
      <w:r>
        <w:rPr/>
        <w:t>年及</w:t>
      </w:r>
      <w:r>
        <w:rPr>
          <w:spacing w:val="-70"/>
        </w:rPr>
        <w:t> </w:t>
      </w:r>
      <w:r>
        <w:rPr/>
        <w:t>2012</w:t>
      </w:r>
      <w:r>
        <w:rPr>
          <w:spacing w:val="-70"/>
        </w:rPr>
        <w:t> </w:t>
      </w:r>
      <w:r>
        <w:rPr/>
        <w:t>年有效净利润达到约定数额且满足相关约定条件时，公司将对其管理层</w:t>
      </w:r>
    </w:p>
    <w:p>
      <w:pPr>
        <w:pStyle w:val="BodyText"/>
        <w:spacing w:line="331" w:lineRule="auto" w:before="25"/>
        <w:ind w:left="857" w:right="220"/>
        <w:jc w:val="both"/>
      </w:pPr>
      <w:r>
        <w:rPr/>
        <w:t>及其确定的人员实施不超过</w:t>
      </w:r>
      <w:r>
        <w:rPr>
          <w:spacing w:val="-51"/>
        </w:rPr>
        <w:t> </w:t>
      </w:r>
      <w:r>
        <w:rPr/>
        <w:t>380</w:t>
      </w:r>
      <w:r>
        <w:rPr>
          <w:spacing w:val="-50"/>
        </w:rPr>
        <w:t> </w:t>
      </w:r>
      <w:r>
        <w:rPr>
          <w:spacing w:val="-10"/>
        </w:rPr>
        <w:t>万股的股权奖励；（2）公司将在</w:t>
      </w:r>
      <w:r>
        <w:rPr>
          <w:spacing w:val="-51"/>
        </w:rPr>
        <w:t> </w:t>
      </w:r>
      <w:r>
        <w:rPr>
          <w:spacing w:val="-1"/>
        </w:rPr>
        <w:t>2014</w:t>
      </w:r>
      <w:r>
        <w:rPr>
          <w:spacing w:val="-51"/>
        </w:rPr>
        <w:t> </w:t>
      </w:r>
      <w:r>
        <w:rPr>
          <w:spacing w:val="-1"/>
        </w:rPr>
        <w:t>年和</w:t>
      </w:r>
      <w:r>
        <w:rPr>
          <w:spacing w:val="-51"/>
        </w:rPr>
        <w:t> </w:t>
      </w:r>
      <w:r>
        <w:rPr>
          <w:spacing w:val="-1"/>
        </w:rPr>
        <w:t>2015</w:t>
      </w:r>
      <w:r>
        <w:rPr>
          <w:spacing w:val="-50"/>
        </w:rPr>
        <w:t> </w:t>
      </w:r>
      <w:r>
        <w:rPr>
          <w:spacing w:val="-2"/>
        </w:rPr>
        <w:t>年以现金或东</w:t>
      </w:r>
      <w:r>
        <w:rPr>
          <w:spacing w:val="-1"/>
        </w:rPr>
        <w:t> </w:t>
      </w:r>
      <w:r>
        <w:rPr>
          <w:spacing w:val="-2"/>
        </w:rPr>
        <w:t>软集团股票为对价有条件购买东软望海剩余股权，届时公司将持有东软望海</w:t>
      </w:r>
      <w:r>
        <w:rPr>
          <w:spacing w:val="-32"/>
        </w:rPr>
        <w:t> </w:t>
      </w:r>
      <w:r>
        <w:rPr>
          <w:spacing w:val="-15"/>
        </w:rPr>
        <w:t>100％股权。（其他</w:t>
      </w:r>
      <w:r>
        <w:rPr>
          <w:spacing w:val="-99"/>
        </w:rPr>
        <w:t> </w:t>
      </w:r>
      <w:r>
        <w:rPr>
          <w:spacing w:val="-99"/>
        </w:rPr>
      </w:r>
      <w:r>
        <w:rPr/>
        <w:t>相关交易情况参见东软集团“临</w:t>
      </w:r>
      <w:r>
        <w:rPr>
          <w:spacing w:val="-17"/>
        </w:rPr>
        <w:t> </w:t>
      </w:r>
      <w:r>
        <w:rPr>
          <w:spacing w:val="-4"/>
        </w:rPr>
        <w:t>2011-001”号公告）。本报告期内，本公司全资子公司—东软</w:t>
      </w:r>
      <w:r>
        <w:rPr>
          <w:spacing w:val="-103"/>
        </w:rPr>
        <w:t> </w:t>
      </w:r>
      <w:r>
        <w:rPr>
          <w:spacing w:val="-103"/>
        </w:rPr>
      </w:r>
      <w:r>
        <w:rPr>
          <w:spacing w:val="-1"/>
        </w:rPr>
        <w:t>集团（北京）有限公司（以下简称“东软北京”）已支付全部股权款，交易对方的股权调整及</w:t>
      </w:r>
      <w:r>
        <w:rPr>
          <w:spacing w:val="2"/>
        </w:rPr>
        <w:t> </w:t>
      </w:r>
      <w:r>
        <w:rPr/>
        <w:t>工商登记变更手续已经办理完成，东软望海 2011</w:t>
      </w:r>
      <w:r>
        <w:rPr>
          <w:spacing w:val="-30"/>
        </w:rPr>
        <w:t> </w:t>
      </w:r>
      <w:r>
        <w:rPr/>
        <w:t>年有效净利润未达到约定数额，其管理层及</w:t>
      </w:r>
      <w:r>
        <w:rPr/>
        <w:t> 其确定的人员未能获得股权奖励。</w:t>
      </w:r>
    </w:p>
    <w:p>
      <w:pPr>
        <w:pStyle w:val="BodyText"/>
        <w:spacing w:line="331" w:lineRule="auto" w:before="25"/>
        <w:ind w:left="857" w:right="7"/>
        <w:jc w:val="left"/>
      </w:pPr>
      <w:r>
        <w:rPr>
          <w:spacing w:val="-5"/>
        </w:rPr>
        <w:t>3、2011</w:t>
      </w:r>
      <w:r>
        <w:rPr>
          <w:spacing w:val="-60"/>
        </w:rPr>
        <w:t> </w:t>
      </w:r>
      <w:r>
        <w:rPr/>
        <w:t>年</w:t>
      </w:r>
      <w:r>
        <w:rPr>
          <w:spacing w:val="-62"/>
        </w:rPr>
        <w:t> </w:t>
      </w:r>
      <w:r>
        <w:rPr/>
        <w:t>7</w:t>
      </w:r>
      <w:r>
        <w:rPr>
          <w:spacing w:val="-61"/>
        </w:rPr>
        <w:t> </w:t>
      </w:r>
      <w:r>
        <w:rPr/>
        <w:t>月</w:t>
      </w:r>
      <w:r>
        <w:rPr>
          <w:spacing w:val="-61"/>
        </w:rPr>
        <w:t> </w:t>
      </w:r>
      <w:r>
        <w:rPr/>
        <w:t>15</w:t>
      </w:r>
      <w:r>
        <w:rPr>
          <w:spacing w:val="-60"/>
        </w:rPr>
        <w:t> </w:t>
      </w:r>
      <w:r>
        <w:rPr/>
        <w:t>日，经公司六届二次董事会审议，董事会同意本公司设立东软熙康控股有限</w:t>
      </w:r>
      <w:r>
        <w:rPr/>
        <w:t> </w:t>
      </w:r>
      <w:r>
        <w:rPr>
          <w:spacing w:val="-4"/>
        </w:rPr>
        <w:t>公司（以下简称“熙康开曼”）及其子公司，并提供财务资助。本公司全资子公司东软（香港）</w:t>
      </w:r>
      <w:r>
        <w:rPr>
          <w:spacing w:val="-72"/>
        </w:rPr>
        <w:t> </w:t>
      </w:r>
      <w:r>
        <w:rPr>
          <w:spacing w:val="-72"/>
        </w:rPr>
      </w:r>
      <w:r>
        <w:rPr>
          <w:spacing w:val="-9"/>
        </w:rPr>
        <w:t>有限公司（以下简称“东软香港”）出资</w:t>
      </w:r>
      <w:r>
        <w:rPr>
          <w:spacing w:val="-49"/>
        </w:rPr>
        <w:t> </w:t>
      </w:r>
      <w:r>
        <w:rPr>
          <w:spacing w:val="-1"/>
        </w:rPr>
        <w:t>3.5</w:t>
      </w:r>
      <w:r>
        <w:rPr>
          <w:spacing w:val="-48"/>
        </w:rPr>
        <w:t> </w:t>
      </w:r>
      <w:r>
        <w:rPr>
          <w:spacing w:val="-3"/>
        </w:rPr>
        <w:t>万美元，持有熙康开曼</w:t>
      </w:r>
      <w:r>
        <w:rPr>
          <w:spacing w:val="-49"/>
        </w:rPr>
        <w:t> </w:t>
      </w:r>
      <w:r>
        <w:rPr>
          <w:spacing w:val="-3"/>
        </w:rPr>
        <w:t>70%股份，斯迈威控股有限</w:t>
      </w:r>
      <w:r>
        <w:rPr>
          <w:spacing w:val="-93"/>
        </w:rPr>
        <w:t> </w:t>
      </w:r>
      <w:r>
        <w:rPr>
          <w:spacing w:val="-93"/>
        </w:rPr>
      </w:r>
      <w:r>
        <w:rPr/>
        <w:t>公司出资</w:t>
      </w:r>
      <w:r>
        <w:rPr>
          <w:spacing w:val="-45"/>
        </w:rPr>
        <w:t> </w:t>
      </w:r>
      <w:r>
        <w:rPr/>
        <w:t>1.5</w:t>
      </w:r>
      <w:r>
        <w:rPr>
          <w:spacing w:val="-45"/>
        </w:rPr>
        <w:t> </w:t>
      </w:r>
      <w:r>
        <w:rPr/>
        <w:t>万美元，持有熙康开曼</w:t>
      </w:r>
      <w:r>
        <w:rPr>
          <w:spacing w:val="-45"/>
        </w:rPr>
        <w:t> </w:t>
      </w:r>
      <w:r>
        <w:rPr/>
        <w:t>30%股份。为支持熙康开曼设立子公司以及业务拓展的资</w:t>
      </w:r>
      <w:r>
        <w:rPr/>
        <w:t> 金需求，本公司向熙康开曼提供财务资助，总额度不超过</w:t>
      </w:r>
      <w:r>
        <w:rPr>
          <w:spacing w:val="-69"/>
        </w:rPr>
        <w:t> </w:t>
      </w:r>
      <w:r>
        <w:rPr/>
        <w:t>2</w:t>
      </w:r>
      <w:r>
        <w:rPr>
          <w:spacing w:val="-69"/>
        </w:rPr>
        <w:t> </w:t>
      </w:r>
      <w:r>
        <w:rPr/>
        <w:t>亿元人民币。截止本财务报告批准</w:t>
      </w:r>
    </w:p>
    <w:p>
      <w:pPr>
        <w:pStyle w:val="BodyText"/>
        <w:spacing w:line="240" w:lineRule="auto" w:before="24"/>
        <w:ind w:left="857" w:right="7"/>
        <w:jc w:val="left"/>
      </w:pPr>
      <w:r>
        <w:rPr/>
        <w:t>报出日，东软香港已分别向熙康开曼提供</w:t>
      </w:r>
      <w:r>
        <w:rPr>
          <w:spacing w:val="-68"/>
        </w:rPr>
        <w:t> </w:t>
      </w:r>
      <w:r>
        <w:rPr/>
        <w:t>150</w:t>
      </w:r>
      <w:r>
        <w:rPr>
          <w:spacing w:val="-68"/>
        </w:rPr>
        <w:t> </w:t>
      </w:r>
      <w:r>
        <w:rPr/>
        <w:t>万港元、向东软熙康国际有限公司（为熙康开曼</w:t>
      </w:r>
    </w:p>
    <w:p>
      <w:pPr>
        <w:pStyle w:val="BodyText"/>
        <w:spacing w:line="331" w:lineRule="auto" w:before="105"/>
        <w:ind w:left="857" w:right="211"/>
        <w:jc w:val="left"/>
      </w:pPr>
      <w:r>
        <w:rPr>
          <w:spacing w:val="-11"/>
        </w:rPr>
        <w:t>的全资子公司）提供</w:t>
      </w:r>
      <w:r>
        <w:rPr>
          <w:spacing w:val="-46"/>
        </w:rPr>
        <w:t> </w:t>
      </w:r>
      <w:r>
        <w:rPr/>
        <w:t>800</w:t>
      </w:r>
      <w:r>
        <w:rPr>
          <w:spacing w:val="-46"/>
        </w:rPr>
        <w:t> </w:t>
      </w:r>
      <w:r>
        <w:rPr>
          <w:spacing w:val="-4"/>
        </w:rPr>
        <w:t>万美元的财务资助；本公司已向东软熙康健康科技有限公司提供</w:t>
      </w:r>
      <w:r>
        <w:rPr>
          <w:spacing w:val="-46"/>
        </w:rPr>
        <w:t> </w:t>
      </w:r>
      <w:r>
        <w:rPr/>
        <w:t>3,900</w:t>
      </w:r>
      <w:r>
        <w:rPr/>
        <w:t> 万元的委托贷款。</w:t>
      </w:r>
    </w:p>
    <w:p>
      <w:pPr>
        <w:spacing w:after="0" w:line="331" w:lineRule="auto"/>
        <w:jc w:val="left"/>
        <w:sectPr>
          <w:pgSz w:w="11910" w:h="16840"/>
          <w:pgMar w:header="883" w:footer="1003" w:top="1540" w:bottom="1200" w:left="1480" w:right="76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pStyle w:val="Heading6"/>
        <w:tabs>
          <w:tab w:pos="853" w:val="left" w:leader="none"/>
        </w:tabs>
        <w:spacing w:line="240" w:lineRule="auto"/>
        <w:ind w:left="125" w:right="396"/>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已签订的正在或准备履行的并购协议</w:t>
      </w:r>
      <w:r>
        <w:rPr>
          <w:b w:val="0"/>
          <w:bCs w:val="0"/>
        </w:rPr>
      </w:r>
    </w:p>
    <w:p>
      <w:pPr>
        <w:pStyle w:val="BodyText"/>
        <w:spacing w:line="240" w:lineRule="auto" w:before="79"/>
        <w:ind w:left="857" w:right="7"/>
        <w:jc w:val="left"/>
      </w:pPr>
      <w:r>
        <w:rPr>
          <w:rFonts w:ascii="Times New Roman" w:hAnsi="Times New Roman" w:cs="Times New Roman" w:eastAsia="Times New Roman" w:hint="default"/>
        </w:rPr>
        <w:t>2009</w:t>
      </w:r>
      <w:r>
        <w:rPr>
          <w:rFonts w:ascii="Times New Roman" w:hAnsi="Times New Roman" w:cs="Times New Roman" w:eastAsia="Times New Roman" w:hint="default"/>
          <w:spacing w:val="3"/>
        </w:rPr>
        <w:t> </w:t>
      </w:r>
      <w:r>
        <w:rPr/>
        <w:t>年</w:t>
      </w:r>
      <w:r>
        <w:rPr>
          <w:spacing w:val="-51"/>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月，本公司以总对价不超过</w:t>
      </w:r>
      <w:r>
        <w:rPr>
          <w:spacing w:val="-50"/>
        </w:rPr>
        <w:t> </w:t>
      </w:r>
      <w:r>
        <w:rPr>
          <w:rFonts w:ascii="Times New Roman" w:hAnsi="Times New Roman" w:cs="Times New Roman" w:eastAsia="Times New Roman" w:hint="default"/>
        </w:rPr>
        <w:t>23,268,000</w:t>
      </w:r>
      <w:r>
        <w:rPr>
          <w:rFonts w:ascii="Times New Roman" w:hAnsi="Times New Roman" w:cs="Times New Roman" w:eastAsia="Times New Roman" w:hint="default"/>
          <w:spacing w:val="3"/>
        </w:rPr>
        <w:t> </w:t>
      </w:r>
      <w:r>
        <w:rPr/>
        <w:t>元收购浙江海科电力软件技术有限公司电力</w:t>
      </w:r>
    </w:p>
    <w:p>
      <w:pPr>
        <w:pStyle w:val="BodyText"/>
        <w:spacing w:line="307" w:lineRule="auto" w:before="79"/>
        <w:ind w:left="857" w:right="182"/>
        <w:jc w:val="left"/>
      </w:pPr>
      <w:r>
        <w:rPr/>
        <w:t>信息采集系统软件业务全部资产，截止本财务报告批准报出日，公司已经支付</w:t>
      </w:r>
      <w:r>
        <w:rPr>
          <w:spacing w:val="-56"/>
        </w:rPr>
        <w:t> </w:t>
      </w:r>
      <w:r>
        <w:rPr>
          <w:rFonts w:ascii="Times New Roman" w:hAnsi="Times New Roman" w:cs="Times New Roman" w:eastAsia="Times New Roman" w:hint="default"/>
        </w:rPr>
        <w:t>19,400,000</w:t>
      </w:r>
      <w:r>
        <w:rPr>
          <w:rFonts w:ascii="Times New Roman" w:hAnsi="Times New Roman" w:cs="Times New Roman" w:eastAsia="Times New Roman" w:hint="default"/>
          <w:spacing w:val="-2"/>
        </w:rPr>
        <w:t> </w:t>
      </w:r>
      <w:r>
        <w:rPr/>
        <w:t>元， 剩余相关款项待浙江海科电力软件技术有限公司完成合同约定事项后支付。</w:t>
      </w:r>
    </w:p>
    <w:p>
      <w:pPr>
        <w:spacing w:line="240" w:lineRule="auto" w:before="0"/>
        <w:rPr>
          <w:rFonts w:ascii="宋体" w:hAnsi="宋体" w:cs="宋体" w:eastAsia="宋体" w:hint="default"/>
          <w:sz w:val="20"/>
          <w:szCs w:val="20"/>
        </w:rPr>
      </w:pPr>
    </w:p>
    <w:p>
      <w:pPr>
        <w:pStyle w:val="Heading6"/>
        <w:tabs>
          <w:tab w:pos="853" w:val="left" w:leader="none"/>
        </w:tabs>
        <w:spacing w:line="240" w:lineRule="auto" w:before="144"/>
        <w:ind w:left="125" w:right="396"/>
        <w:jc w:val="left"/>
        <w:rPr>
          <w:b w:val="0"/>
          <w:bCs w:val="0"/>
        </w:rPr>
      </w:pP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t>本报告期无已签订的正在或准备履行的重组计划</w:t>
      </w:r>
      <w:r>
        <w:rPr>
          <w:b w:val="0"/>
          <w:bCs w:val="0"/>
        </w:rPr>
      </w:r>
    </w:p>
    <w:p>
      <w:pPr>
        <w:spacing w:line="240" w:lineRule="auto" w:before="0"/>
        <w:rPr>
          <w:rFonts w:ascii="宋体" w:hAnsi="宋体" w:cs="宋体" w:eastAsia="宋体" w:hint="default"/>
          <w:b/>
          <w:bCs/>
          <w:sz w:val="22"/>
          <w:szCs w:val="22"/>
        </w:rPr>
      </w:pPr>
    </w:p>
    <w:p>
      <w:pPr>
        <w:tabs>
          <w:tab w:pos="853" w:val="left" w:leader="none"/>
        </w:tabs>
        <w:spacing w:before="162"/>
        <w:ind w:left="125" w:right="396"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四</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本报告期无重大财务事项的履行情况</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853" w:val="left" w:leader="none"/>
        </w:tabs>
        <w:spacing w:before="162"/>
        <w:ind w:left="125" w:right="396" w:firstLine="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五</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其他重大财务承诺事项</w:t>
      </w:r>
      <w:r>
        <w:rPr>
          <w:rFonts w:ascii="宋体" w:hAnsi="宋体" w:cs="宋体" w:eastAsia="宋体" w:hint="default"/>
          <w:sz w:val="21"/>
          <w:szCs w:val="21"/>
        </w:rPr>
      </w:r>
    </w:p>
    <w:p>
      <w:pPr>
        <w:pStyle w:val="BodyText"/>
        <w:spacing w:line="240" w:lineRule="auto" w:before="79"/>
        <w:ind w:left="857" w:right="396"/>
        <w:jc w:val="left"/>
      </w:pPr>
      <w:r>
        <w:rPr/>
        <w:t>截至</w:t>
      </w:r>
      <w:r>
        <w:rPr>
          <w:spacing w:val="-5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rPr>
        <w:t>31 </w:t>
      </w:r>
      <w:r>
        <w:rPr/>
        <w:t>日，公司及子公司向银行申请开立的尚处在有效期内的保函余额：</w:t>
      </w:r>
    </w:p>
    <w:p>
      <w:pPr>
        <w:spacing w:line="612" w:lineRule="auto" w:before="79"/>
        <w:ind w:left="125" w:right="2500" w:firstLine="732"/>
        <w:jc w:val="left"/>
        <w:rPr>
          <w:rFonts w:ascii="宋体" w:hAnsi="宋体" w:cs="宋体" w:eastAsia="宋体" w:hint="default"/>
          <w:sz w:val="21"/>
          <w:szCs w:val="21"/>
        </w:rPr>
      </w:pPr>
      <w:r>
        <w:rPr>
          <w:rFonts w:ascii="宋体" w:hAnsi="宋体" w:cs="宋体" w:eastAsia="宋体" w:hint="default"/>
          <w:sz w:val="21"/>
          <w:szCs w:val="21"/>
        </w:rPr>
        <w:t>银行保函：人民币余额为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171,764,281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元，美元余额为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7,000,000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 </w:t>
      </w:r>
      <w:r>
        <w:rPr>
          <w:rFonts w:ascii="宋体" w:hAnsi="宋体" w:cs="宋体" w:eastAsia="宋体" w:hint="default"/>
          <w:b/>
          <w:bCs/>
          <w:sz w:val="21"/>
          <w:szCs w:val="21"/>
        </w:rPr>
        <w:t>十一、</w:t>
      </w:r>
      <w:r>
        <w:rPr>
          <w:rFonts w:ascii="宋体" w:hAnsi="宋体" w:cs="宋体" w:eastAsia="宋体" w:hint="default"/>
          <w:b/>
          <w:bCs/>
          <w:spacing w:val="-11"/>
          <w:sz w:val="21"/>
          <w:szCs w:val="21"/>
        </w:rPr>
        <w:t> </w:t>
      </w:r>
      <w:r>
        <w:rPr>
          <w:rFonts w:ascii="宋体" w:hAnsi="宋体" w:cs="宋体" w:eastAsia="宋体" w:hint="default"/>
          <w:b/>
          <w:bCs/>
          <w:sz w:val="21"/>
          <w:szCs w:val="21"/>
        </w:rPr>
        <w:t>资产负债表日后事项</w:t>
      </w:r>
      <w:r>
        <w:rPr>
          <w:rFonts w:ascii="宋体" w:hAnsi="宋体" w:cs="宋体" w:eastAsia="宋体" w:hint="default"/>
          <w:sz w:val="21"/>
          <w:szCs w:val="21"/>
        </w:rPr>
      </w:r>
    </w:p>
    <w:p>
      <w:pPr>
        <w:pStyle w:val="Heading6"/>
        <w:tabs>
          <w:tab w:pos="853" w:val="left" w:leader="none"/>
        </w:tabs>
        <w:spacing w:line="240" w:lineRule="auto" w:before="140"/>
        <w:ind w:left="125" w:right="396"/>
        <w:jc w:val="left"/>
        <w:rPr>
          <w:b w:val="0"/>
          <w:bCs w:val="0"/>
        </w:rPr>
      </w:pP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资产负债表日后利润分配情况说明</w:t>
      </w:r>
      <w:r>
        <w:rPr>
          <w:b w:val="0"/>
          <w:bCs w:val="0"/>
        </w:rPr>
      </w:r>
    </w:p>
    <w:p>
      <w:pPr>
        <w:pStyle w:val="BodyText"/>
        <w:spacing w:line="314" w:lineRule="auto" w:before="79"/>
        <w:ind w:left="853" w:right="221" w:hanging="1"/>
        <w:jc w:val="left"/>
      </w:pPr>
      <w:r>
        <w:rPr/>
        <w:t>根据公司</w:t>
      </w:r>
      <w:r>
        <w:rPr>
          <w:spacing w:val="-43"/>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0"/>
        </w:rPr>
        <w:t> </w:t>
      </w:r>
      <w:r>
        <w:rPr/>
        <w:t>年</w:t>
      </w:r>
      <w:r>
        <w:rPr>
          <w:spacing w:val="-43"/>
        </w:rPr>
        <w:t> </w:t>
      </w:r>
      <w:r>
        <w:rPr>
          <w:rFonts w:ascii="Times New Roman" w:hAnsi="Times New Roman" w:cs="Times New Roman" w:eastAsia="Times New Roman" w:hint="default"/>
        </w:rPr>
        <w:t>3</w:t>
      </w:r>
      <w:r>
        <w:rPr>
          <w:rFonts w:ascii="Times New Roman" w:hAnsi="Times New Roman" w:cs="Times New Roman" w:eastAsia="Times New Roman" w:hint="default"/>
          <w:spacing w:val="10"/>
        </w:rPr>
        <w:t> </w:t>
      </w:r>
      <w:r>
        <w:rPr/>
        <w:t>月</w:t>
      </w:r>
      <w:r>
        <w:rPr>
          <w:spacing w:val="-44"/>
        </w:rPr>
        <w:t> </w:t>
      </w:r>
      <w:r>
        <w:rPr>
          <w:rFonts w:ascii="Times New Roman" w:hAnsi="Times New Roman" w:cs="Times New Roman" w:eastAsia="Times New Roman" w:hint="default"/>
        </w:rPr>
        <w:t>29</w:t>
      </w:r>
      <w:r>
        <w:rPr>
          <w:rFonts w:ascii="Times New Roman" w:hAnsi="Times New Roman" w:cs="Times New Roman" w:eastAsia="Times New Roman" w:hint="default"/>
          <w:spacing w:val="9"/>
        </w:rPr>
        <w:t> </w:t>
      </w:r>
      <w:r>
        <w:rPr/>
        <w:t>日第六届九次董事会决议通过的</w:t>
      </w:r>
      <w:r>
        <w:rPr>
          <w:spacing w:val="-4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0"/>
        </w:rPr>
        <w:t> </w:t>
      </w:r>
      <w:r>
        <w:rPr/>
        <w:t>年度利润分配议案，本年度不 向股东分配股利，也不进行资本公积转增股本。 上述利润分配议案须经股东大会同意后实施。</w:t>
      </w:r>
    </w:p>
    <w:p>
      <w:pPr>
        <w:spacing w:line="240" w:lineRule="auto" w:before="0"/>
        <w:rPr>
          <w:rFonts w:ascii="宋体" w:hAnsi="宋体" w:cs="宋体" w:eastAsia="宋体" w:hint="default"/>
          <w:sz w:val="20"/>
          <w:szCs w:val="20"/>
        </w:rPr>
      </w:pPr>
    </w:p>
    <w:p>
      <w:pPr>
        <w:pStyle w:val="Heading6"/>
        <w:tabs>
          <w:tab w:pos="853" w:val="left" w:leader="none"/>
        </w:tabs>
        <w:spacing w:line="240" w:lineRule="auto" w:before="137"/>
        <w:ind w:left="125" w:right="396"/>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其他资产负债表日后事项说明：</w:t>
      </w:r>
      <w:r>
        <w:rPr>
          <w:b w:val="0"/>
          <w:bCs w:val="0"/>
        </w:rPr>
      </w:r>
    </w:p>
    <w:p>
      <w:pPr>
        <w:pStyle w:val="BodyText"/>
        <w:spacing w:line="292" w:lineRule="auto" w:before="59"/>
        <w:ind w:left="857" w:right="7" w:hanging="1"/>
        <w:jc w:val="left"/>
      </w:pPr>
      <w:r>
        <w:rPr>
          <w:rFonts w:ascii="Times New Roman" w:hAnsi="Times New Roman" w:cs="Times New Roman" w:eastAsia="Times New Roman" w:hint="default"/>
        </w:rPr>
        <w:t>1</w:t>
      </w:r>
      <w:r>
        <w:rPr/>
        <w:t>、于</w:t>
      </w:r>
      <w:r>
        <w:rPr>
          <w:spacing w:val="-43"/>
        </w:rPr>
        <w:t> </w:t>
      </w:r>
      <w:r>
        <w:rPr>
          <w:rFonts w:ascii="Times New Roman" w:hAnsi="Times New Roman" w:cs="Times New Roman" w:eastAsia="Times New Roman" w:hint="default"/>
        </w:rPr>
        <w:t>2011</w:t>
      </w:r>
      <w:r>
        <w:rPr>
          <w:rFonts w:ascii="Times New Roman" w:hAnsi="Times New Roman" w:cs="Times New Roman" w:eastAsia="Times New Roman" w:hint="default"/>
          <w:spacing w:val="9"/>
        </w:rPr>
        <w:t> </w:t>
      </w:r>
      <w:r>
        <w:rPr/>
        <w:t>年</w:t>
      </w:r>
      <w:r>
        <w:rPr>
          <w:spacing w:val="-43"/>
        </w:rPr>
        <w:t> </w:t>
      </w:r>
      <w:r>
        <w:rPr>
          <w:rFonts w:ascii="Times New Roman" w:hAnsi="Times New Roman" w:cs="Times New Roman" w:eastAsia="Times New Roman" w:hint="default"/>
        </w:rPr>
        <w:t>12</w:t>
      </w:r>
      <w:r>
        <w:rPr>
          <w:rFonts w:ascii="Times New Roman" w:hAnsi="Times New Roman" w:cs="Times New Roman" w:eastAsia="Times New Roman" w:hint="default"/>
          <w:spacing w:val="10"/>
        </w:rPr>
        <w:t> </w:t>
      </w:r>
      <w:r>
        <w:rPr/>
        <w:t>月</w:t>
      </w:r>
      <w:r>
        <w:rPr>
          <w:spacing w:val="-43"/>
        </w:rPr>
        <w:t> </w:t>
      </w:r>
      <w:r>
        <w:rPr>
          <w:rFonts w:ascii="Times New Roman" w:hAnsi="Times New Roman" w:cs="Times New Roman" w:eastAsia="Times New Roman" w:hint="default"/>
        </w:rPr>
        <w:t>22</w:t>
      </w:r>
      <w:r>
        <w:rPr>
          <w:rFonts w:ascii="Times New Roman" w:hAnsi="Times New Roman" w:cs="Times New Roman" w:eastAsia="Times New Roman" w:hint="default"/>
          <w:spacing w:val="10"/>
        </w:rPr>
        <w:t> </w:t>
      </w:r>
      <w:r>
        <w:rPr/>
        <w:t>日召开的</w:t>
      </w:r>
      <w:r>
        <w:rPr>
          <w:spacing w:val="-4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0"/>
        </w:rPr>
        <w:t> </w:t>
      </w:r>
      <w:r>
        <w:rPr/>
        <w:t>年第一次临时股东大会审议通过《关于出售间接控股子 </w:t>
      </w:r>
      <w:r>
        <w:rPr>
          <w:spacing w:val="-1"/>
        </w:rPr>
        <w:t>公司股权及其他相关教育资产的议案》，同意本公司及全资子公司</w:t>
      </w:r>
      <w:r>
        <w:rPr>
          <w:rFonts w:ascii="Times New Roman" w:hAnsi="Times New Roman" w:cs="Times New Roman" w:eastAsia="Times New Roman" w:hint="default"/>
          <w:spacing w:val="-1"/>
        </w:rPr>
        <w:t>—</w:t>
      </w:r>
      <w:r>
        <w:rPr>
          <w:spacing w:val="-1"/>
        </w:rPr>
        <w:t>沈阳东软信息技术服务有</w:t>
      </w:r>
      <w:r>
        <w:rPr>
          <w:spacing w:val="2"/>
        </w:rPr>
        <w:t> </w:t>
      </w:r>
      <w:r>
        <w:rPr>
          <w:spacing w:val="-8"/>
        </w:rPr>
        <w:t>限公司（以下简称</w:t>
      </w:r>
      <w:r>
        <w:rPr>
          <w:rFonts w:ascii="Times New Roman" w:hAnsi="Times New Roman" w:cs="Times New Roman" w:eastAsia="Times New Roman" w:hint="default"/>
          <w:spacing w:val="-8"/>
        </w:rPr>
        <w:t>“</w:t>
      </w:r>
      <w:r>
        <w:rPr>
          <w:spacing w:val="-8"/>
        </w:rPr>
        <w:t>沈阳东信</w:t>
      </w:r>
      <w:r>
        <w:rPr>
          <w:rFonts w:ascii="Times New Roman" w:hAnsi="Times New Roman" w:cs="Times New Roman" w:eastAsia="Times New Roman" w:hint="default"/>
          <w:spacing w:val="-8"/>
        </w:rPr>
        <w:t>”</w:t>
      </w:r>
      <w:r>
        <w:rPr>
          <w:spacing w:val="-8"/>
        </w:rPr>
        <w:t>）作为转让方，与受让方大连东软控股有限公司签订《转让协议》。</w:t>
      </w:r>
      <w:r>
        <w:rPr>
          <w:spacing w:val="-75"/>
        </w:rPr>
        <w:t> </w:t>
      </w:r>
      <w:r>
        <w:rPr>
          <w:spacing w:val="-75"/>
        </w:rPr>
      </w:r>
      <w:r>
        <w:rPr/>
        <w:t>根据协议，沈阳东软信息技术服务有限公司将教育资产所涉及的控股子公司股权（即大连东软</w:t>
      </w:r>
      <w:r>
        <w:rPr/>
        <w:t> </w:t>
      </w:r>
      <w:r>
        <w:rPr>
          <w:spacing w:val="-3"/>
        </w:rPr>
        <w:t>软件园产业发展有限公司，以下简称</w:t>
      </w:r>
      <w:r>
        <w:rPr>
          <w:rFonts w:ascii="Times New Roman" w:hAnsi="Times New Roman" w:cs="Times New Roman" w:eastAsia="Times New Roman" w:hint="default"/>
          <w:spacing w:val="-3"/>
        </w:rPr>
        <w:t>“</w:t>
      </w:r>
      <w:r>
        <w:rPr>
          <w:spacing w:val="-3"/>
        </w:rPr>
        <w:t>大连发展</w:t>
      </w:r>
      <w:r>
        <w:rPr>
          <w:rFonts w:ascii="Times New Roman" w:hAnsi="Times New Roman" w:cs="Times New Roman" w:eastAsia="Times New Roman" w:hint="default"/>
          <w:spacing w:val="-3"/>
        </w:rPr>
        <w:t>”</w:t>
      </w:r>
      <w:r>
        <w:rPr>
          <w:spacing w:val="-3"/>
        </w:rPr>
        <w:t>），以及本公司对成都东软信息技术职业学院、</w:t>
      </w:r>
      <w:r>
        <w:rPr>
          <w:spacing w:val="-90"/>
        </w:rPr>
        <w:t> </w:t>
      </w:r>
      <w:r>
        <w:rPr>
          <w:spacing w:val="-90"/>
        </w:rPr>
      </w:r>
      <w:r>
        <w:rPr/>
        <w:t>南海东软信息技术职业学院、大连东软信息学院、大连东软信息技术职业学院的举办者出资全</w:t>
      </w:r>
      <w:r>
        <w:rPr/>
        <w:t> 部转让给大连东软控股有限公司。依据北京中企华资产评估有限责任公司出具的评估报告，上 述股权和举办者出资对应的评估总价值为 </w:t>
      </w:r>
      <w:r>
        <w:rPr>
          <w:rFonts w:ascii="Times New Roman" w:hAnsi="Times New Roman" w:cs="Times New Roman" w:eastAsia="Times New Roman" w:hint="default"/>
        </w:rPr>
        <w:t>42,417.18</w:t>
      </w:r>
      <w:r>
        <w:rPr>
          <w:rFonts w:ascii="Times New Roman" w:hAnsi="Times New Roman" w:cs="Times New Roman" w:eastAsia="Times New Roman" w:hint="default"/>
          <w:spacing w:val="21"/>
        </w:rPr>
        <w:t> </w:t>
      </w:r>
      <w:r>
        <w:rPr/>
        <w:t>万元人民币。经协商，转让方与受让方确 定以上交易的交易总价款为</w:t>
      </w:r>
      <w:r>
        <w:rPr>
          <w:spacing w:val="-53"/>
        </w:rPr>
        <w:t> </w:t>
      </w:r>
      <w:r>
        <w:rPr>
          <w:rFonts w:ascii="Times New Roman" w:hAnsi="Times New Roman" w:cs="Times New Roman" w:eastAsia="Times New Roman" w:hint="default"/>
        </w:rPr>
        <w:t>44,234.38 </w:t>
      </w:r>
      <w:r>
        <w:rPr>
          <w:spacing w:val="-4"/>
        </w:rPr>
        <w:t>万元人民币，较评估总价值溢价</w:t>
      </w:r>
      <w:r>
        <w:rPr>
          <w:spacing w:val="-53"/>
        </w:rPr>
        <w:t> </w:t>
      </w:r>
      <w:r>
        <w:rPr>
          <w:rFonts w:ascii="Times New Roman" w:hAnsi="Times New Roman" w:cs="Times New Roman" w:eastAsia="Times New Roman" w:hint="default"/>
          <w:spacing w:val="-4"/>
        </w:rPr>
        <w:t>4.28%</w:t>
      </w:r>
      <w:r>
        <w:rPr>
          <w:spacing w:val="-4"/>
        </w:rPr>
        <w:t>，其中各项交易标</w:t>
      </w:r>
      <w:r>
        <w:rPr/>
        <w:t> 的的成交价格分别为</w:t>
      </w:r>
      <w:r>
        <w:rPr>
          <w:spacing w:val="-51"/>
        </w:rPr>
        <w:t> </w:t>
      </w:r>
      <w:r>
        <w:rPr>
          <w:rFonts w:ascii="Times New Roman" w:hAnsi="Times New Roman" w:cs="Times New Roman" w:eastAsia="Times New Roman" w:hint="default"/>
        </w:rPr>
        <w:t>42,601.57</w:t>
      </w:r>
      <w:r>
        <w:rPr>
          <w:rFonts w:ascii="Times New Roman" w:hAnsi="Times New Roman" w:cs="Times New Roman" w:eastAsia="Times New Roman" w:hint="default"/>
          <w:spacing w:val="2"/>
        </w:rPr>
        <w:t> </w:t>
      </w:r>
      <w:r>
        <w:rPr/>
        <w:t>万元、</w:t>
      </w:r>
      <w:r>
        <w:rPr>
          <w:rFonts w:ascii="Times New Roman" w:hAnsi="Times New Roman" w:cs="Times New Roman" w:eastAsia="Times New Roman" w:hint="default"/>
        </w:rPr>
        <w:t>314.00</w:t>
      </w:r>
      <w:r>
        <w:rPr>
          <w:rFonts w:ascii="Times New Roman" w:hAnsi="Times New Roman" w:cs="Times New Roman" w:eastAsia="Times New Roman" w:hint="default"/>
          <w:spacing w:val="2"/>
        </w:rPr>
        <w:t> </w:t>
      </w:r>
      <w:r>
        <w:rPr/>
        <w:t>万元、</w:t>
      </w:r>
      <w:r>
        <w:rPr>
          <w:rFonts w:ascii="Times New Roman" w:hAnsi="Times New Roman" w:cs="Times New Roman" w:eastAsia="Times New Roman" w:hint="default"/>
        </w:rPr>
        <w:t>314.00</w:t>
      </w:r>
      <w:r>
        <w:rPr>
          <w:rFonts w:ascii="Times New Roman" w:hAnsi="Times New Roman" w:cs="Times New Roman" w:eastAsia="Times New Roman" w:hint="default"/>
          <w:spacing w:val="1"/>
        </w:rPr>
        <w:t> </w:t>
      </w:r>
      <w:r>
        <w:rPr/>
        <w:t>万元、</w:t>
      </w:r>
      <w:r>
        <w:rPr>
          <w:rFonts w:ascii="Times New Roman" w:hAnsi="Times New Roman" w:cs="Times New Roman" w:eastAsia="Times New Roman" w:hint="default"/>
        </w:rPr>
        <w:t>628.01</w:t>
      </w:r>
      <w:r>
        <w:rPr>
          <w:rFonts w:ascii="Times New Roman" w:hAnsi="Times New Roman" w:cs="Times New Roman" w:eastAsia="Times New Roman" w:hint="default"/>
          <w:spacing w:val="2"/>
        </w:rPr>
        <w:t> </w:t>
      </w:r>
      <w:r>
        <w:rPr/>
        <w:t>万元和</w:t>
      </w:r>
      <w:r>
        <w:rPr>
          <w:spacing w:val="-52"/>
        </w:rPr>
        <w:t> </w:t>
      </w:r>
      <w:r>
        <w:rPr>
          <w:rFonts w:ascii="Times New Roman" w:hAnsi="Times New Roman" w:cs="Times New Roman" w:eastAsia="Times New Roman" w:hint="default"/>
        </w:rPr>
        <w:t>376.80</w:t>
      </w:r>
      <w:r>
        <w:rPr>
          <w:rFonts w:ascii="Times New Roman" w:hAnsi="Times New Roman" w:cs="Times New Roman" w:eastAsia="Times New Roman" w:hint="default"/>
          <w:spacing w:val="2"/>
        </w:rPr>
        <w:t> </w:t>
      </w:r>
      <w:r>
        <w:rPr/>
        <w:t>万元。 上述款项支付方式为现金，分三笔支付。其中，第一笔款项为交易总价款的</w:t>
      </w:r>
      <w:r>
        <w:rPr>
          <w:spacing w:val="-60"/>
        </w:rPr>
        <w:t> </w:t>
      </w:r>
      <w:r>
        <w:rPr>
          <w:rFonts w:ascii="Times New Roman" w:hAnsi="Times New Roman" w:cs="Times New Roman" w:eastAsia="Times New Roman" w:hint="default"/>
          <w:spacing w:val="-3"/>
        </w:rPr>
        <w:t>20%</w:t>
      </w:r>
      <w:r>
        <w:rPr>
          <w:spacing w:val="-3"/>
        </w:rPr>
        <w:t>，自《转让协</w:t>
      </w:r>
      <w:r>
        <w:rPr/>
        <w:t> 议》生效之日起 </w:t>
      </w:r>
      <w:r>
        <w:rPr>
          <w:rFonts w:ascii="Times New Roman" w:hAnsi="Times New Roman" w:cs="Times New Roman" w:eastAsia="Times New Roman" w:hint="default"/>
        </w:rPr>
        <w:t>20 </w:t>
      </w:r>
      <w:r>
        <w:rPr/>
        <w:t>日内支付；第二笔款项为总价款的</w:t>
      </w:r>
      <w:r>
        <w:rPr>
          <w:spacing w:val="-47"/>
        </w:rPr>
        <w:t> </w:t>
      </w:r>
      <w:r>
        <w:rPr>
          <w:rFonts w:ascii="Times New Roman" w:hAnsi="Times New Roman" w:cs="Times New Roman" w:eastAsia="Times New Roman" w:hint="default"/>
        </w:rPr>
        <w:t>65%</w:t>
      </w:r>
      <w:r>
        <w:rPr/>
        <w:t>，自大连发展股权变更登记手续办 理完成之日起 </w:t>
      </w:r>
      <w:r>
        <w:rPr>
          <w:rFonts w:ascii="Times New Roman" w:hAnsi="Times New Roman" w:cs="Times New Roman" w:eastAsia="Times New Roman" w:hint="default"/>
        </w:rPr>
        <w:t>30 </w:t>
      </w:r>
      <w:r>
        <w:rPr/>
        <w:t>日内支付；第三笔款项为交易总价款的</w:t>
      </w:r>
      <w:r>
        <w:rPr>
          <w:spacing w:val="-47"/>
        </w:rPr>
        <w:t> </w:t>
      </w:r>
      <w:r>
        <w:rPr>
          <w:rFonts w:ascii="Times New Roman" w:hAnsi="Times New Roman" w:cs="Times New Roman" w:eastAsia="Times New Roman" w:hint="default"/>
        </w:rPr>
        <w:t>15%</w:t>
      </w:r>
      <w:r>
        <w:rPr/>
        <w:t>，自四所学院举办者变更登记手 续办理完成之日起 </w:t>
      </w:r>
      <w:r>
        <w:rPr>
          <w:rFonts w:ascii="Times New Roman" w:hAnsi="Times New Roman" w:cs="Times New Roman" w:eastAsia="Times New Roman" w:hint="default"/>
        </w:rPr>
        <w:t>30  </w:t>
      </w:r>
      <w:r>
        <w:rPr>
          <w:spacing w:val="-5"/>
        </w:rPr>
        <w:t>日内支付。《转让协议》自本公司股东大会批准之日（即</w:t>
      </w:r>
      <w:r>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 </w:t>
      </w:r>
      <w:r>
        <w:rPr>
          <w:rFonts w:ascii="Times New Roman" w:hAnsi="Times New Roman" w:cs="Times New Roman" w:eastAsia="Times New Roman" w:hint="default"/>
          <w:spacing w:val="-1"/>
        </w:rPr>
        <w:t>12</w:t>
      </w:r>
      <w:r>
        <w:rPr>
          <w:rFonts w:ascii="Times New Roman" w:hAnsi="Times New Roman" w:cs="Times New Roman" w:eastAsia="Times New Roman" w:hint="default"/>
          <w:spacing w:val="1"/>
        </w:rPr>
        <w:t> </w:t>
      </w:r>
      <w:r>
        <w:rPr/>
        <w:t>月</w:t>
      </w:r>
    </w:p>
    <w:p>
      <w:pPr>
        <w:pStyle w:val="BodyText"/>
        <w:spacing w:line="240" w:lineRule="auto" w:before="8"/>
        <w:ind w:left="857" w:right="396"/>
        <w:jc w:val="left"/>
      </w:pPr>
      <w:r>
        <w:rPr>
          <w:rFonts w:ascii="Times New Roman" w:hAnsi="Times New Roman" w:cs="Times New Roman" w:eastAsia="Times New Roman" w:hint="default"/>
        </w:rPr>
        <w:t>22</w:t>
      </w:r>
      <w:r>
        <w:rPr>
          <w:rFonts w:ascii="Times New Roman" w:hAnsi="Times New Roman" w:cs="Times New Roman" w:eastAsia="Times New Roman" w:hint="default"/>
          <w:spacing w:val="-2"/>
        </w:rPr>
        <w:t> </w:t>
      </w:r>
      <w:r>
        <w:rPr/>
        <w:t>日）起生效。</w:t>
      </w:r>
    </w:p>
    <w:p>
      <w:pPr>
        <w:spacing w:after="0" w:line="240" w:lineRule="auto"/>
        <w:jc w:val="left"/>
        <w:sectPr>
          <w:pgSz w:w="11910" w:h="16840"/>
          <w:pgMar w:header="883" w:footer="1003" w:top="1540" w:bottom="1200" w:left="1480" w:right="760"/>
        </w:sectPr>
      </w:pPr>
    </w:p>
    <w:p>
      <w:pPr>
        <w:spacing w:line="240" w:lineRule="auto" w:before="0"/>
        <w:rPr>
          <w:rFonts w:ascii="宋体" w:hAnsi="宋体" w:cs="宋体" w:eastAsia="宋体" w:hint="default"/>
          <w:sz w:val="20"/>
          <w:szCs w:val="20"/>
        </w:rPr>
      </w:pPr>
    </w:p>
    <w:p>
      <w:pPr>
        <w:pStyle w:val="BodyText"/>
        <w:spacing w:line="240" w:lineRule="auto" w:before="187"/>
        <w:ind w:left="857" w:right="91"/>
        <w:jc w:val="left"/>
      </w:pPr>
      <w:r>
        <w:rPr/>
        <w:t>其他详细内容参见本公司于</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8"/>
        </w:rPr>
        <w:t>1</w:t>
      </w:r>
      <w:r>
        <w:rPr>
          <w:rFonts w:ascii="Times New Roman" w:hAnsi="Times New Roman" w:cs="Times New Roman" w:eastAsia="Times New Roman" w:hint="default"/>
        </w:rPr>
        <w:t>1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rPr>
        <w:t>7 </w:t>
      </w:r>
      <w:r>
        <w:rPr/>
        <w:t>日</w:t>
      </w:r>
      <w:r>
        <w:rPr>
          <w:spacing w:val="-2"/>
        </w:rPr>
        <w:t>刊</w:t>
      </w:r>
      <w:r>
        <w:rPr/>
        <w:t>登</w:t>
      </w:r>
      <w:r>
        <w:rPr>
          <w:spacing w:val="-5"/>
        </w:rPr>
        <w:t>在</w:t>
      </w:r>
      <w:r>
        <w:rPr/>
        <w:t>《中国证券报</w:t>
      </w:r>
      <w:r>
        <w:rPr>
          <w:spacing w:val="-105"/>
        </w:rPr>
        <w:t>》</w:t>
      </w:r>
      <w:r>
        <w:rPr>
          <w:spacing w:val="-110"/>
        </w:rPr>
        <w:t>、</w:t>
      </w:r>
      <w:r>
        <w:rPr>
          <w:spacing w:val="-2"/>
        </w:rPr>
        <w:t>《</w:t>
      </w:r>
      <w:r>
        <w:rPr/>
        <w:t>上海证券报</w:t>
      </w:r>
      <w:r>
        <w:rPr>
          <w:spacing w:val="-5"/>
        </w:rPr>
        <w:t>》的</w:t>
      </w:r>
      <w:r>
        <w:rPr/>
        <w:t>《关于</w:t>
      </w:r>
    </w:p>
    <w:p>
      <w:pPr>
        <w:pStyle w:val="BodyText"/>
        <w:spacing w:line="240" w:lineRule="auto" w:before="59"/>
        <w:ind w:left="857" w:right="91"/>
        <w:jc w:val="left"/>
      </w:pPr>
      <w:r>
        <w:rPr/>
        <w:t>出售间接控股子公司股权及其他相关教育资产的关联交易公告</w:t>
      </w:r>
      <w:r>
        <w:rPr>
          <w:spacing w:val="-105"/>
        </w:rPr>
        <w:t>》</w:t>
      </w:r>
      <w:r>
        <w:rPr/>
        <w:t>，以</w:t>
      </w:r>
      <w:r>
        <w:rPr>
          <w:spacing w:val="-2"/>
        </w:rPr>
        <w:t>及</w:t>
      </w:r>
      <w:r>
        <w:rPr/>
        <w:t>本公司于</w:t>
      </w:r>
      <w:r>
        <w:rPr>
          <w:spacing w:val="-32"/>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8"/>
        </w:rPr>
        <w:t>1</w:t>
      </w:r>
      <w:r>
        <w:rPr>
          <w:rFonts w:ascii="Times New Roman" w:hAnsi="Times New Roman" w:cs="Times New Roman" w:eastAsia="Times New Roman" w:hint="default"/>
        </w:rPr>
        <w:t>1</w:t>
      </w:r>
      <w:r>
        <w:rPr>
          <w:rFonts w:ascii="Times New Roman" w:hAnsi="Times New Roman" w:cs="Times New Roman" w:eastAsia="Times New Roman" w:hint="default"/>
          <w:spacing w:val="21"/>
        </w:rPr>
        <w:t> </w:t>
      </w:r>
      <w:r>
        <w:rPr/>
        <w:t>年</w:t>
      </w:r>
      <w:r>
        <w:rPr>
          <w:spacing w:val="-32"/>
        </w:rPr>
        <w:t> </w:t>
      </w:r>
      <w:r>
        <w:rPr>
          <w:rFonts w:ascii="Times New Roman" w:hAnsi="Times New Roman" w:cs="Times New Roman" w:eastAsia="Times New Roman" w:hint="default"/>
        </w:rPr>
        <w:t>12</w:t>
      </w:r>
      <w:r>
        <w:rPr>
          <w:rFonts w:ascii="Times New Roman" w:hAnsi="Times New Roman" w:cs="Times New Roman" w:eastAsia="Times New Roman" w:hint="default"/>
          <w:spacing w:val="21"/>
        </w:rPr>
        <w:t> </w:t>
      </w:r>
      <w:r>
        <w:rPr/>
        <w:t>月</w:t>
      </w:r>
    </w:p>
    <w:p>
      <w:pPr>
        <w:pStyle w:val="BodyText"/>
        <w:spacing w:line="240" w:lineRule="auto" w:before="58"/>
        <w:ind w:left="857" w:right="91"/>
        <w:jc w:val="left"/>
        <w:rPr>
          <w:rFonts w:ascii="Times New Roman" w:hAnsi="Times New Roman" w:cs="Times New Roman" w:eastAsia="Times New Roman" w:hint="default"/>
        </w:rPr>
      </w:pPr>
      <w:r>
        <w:rPr>
          <w:rFonts w:ascii="Times New Roman" w:hAnsi="Times New Roman" w:cs="Times New Roman" w:eastAsia="Times New Roman" w:hint="default"/>
        </w:rPr>
        <w:t>23 </w:t>
      </w:r>
      <w:r>
        <w:rPr/>
        <w:t>日刊登</w:t>
      </w:r>
      <w:r>
        <w:rPr>
          <w:spacing w:val="-5"/>
        </w:rPr>
        <w:t>在</w:t>
      </w:r>
      <w:r>
        <w:rPr/>
        <w:t>《中国证券报</w:t>
      </w:r>
      <w:r>
        <w:rPr>
          <w:spacing w:val="-105"/>
        </w:rPr>
        <w:t>》</w:t>
      </w:r>
      <w:r>
        <w:rPr>
          <w:spacing w:val="-108"/>
        </w:rPr>
        <w:t>、</w:t>
      </w:r>
      <w:r>
        <w:rPr/>
        <w:t>《上</w:t>
      </w:r>
      <w:r>
        <w:rPr>
          <w:spacing w:val="-2"/>
        </w:rPr>
        <w:t>海</w:t>
      </w:r>
      <w:r>
        <w:rPr/>
        <w:t>证券报</w:t>
      </w:r>
      <w:r>
        <w:rPr>
          <w:spacing w:val="-4"/>
        </w:rPr>
        <w:t>》的</w:t>
      </w:r>
      <w:r>
        <w:rPr>
          <w:spacing w:val="-1"/>
        </w:rPr>
        <w:t>《</w:t>
      </w: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8"/>
        </w:rPr>
        <w:t>1</w:t>
      </w:r>
      <w:r>
        <w:rPr>
          <w:rFonts w:ascii="Times New Roman" w:hAnsi="Times New Roman" w:cs="Times New Roman" w:eastAsia="Times New Roman" w:hint="default"/>
        </w:rPr>
        <w:t>1 </w:t>
      </w:r>
      <w:r>
        <w:rPr/>
        <w:t>年</w:t>
      </w:r>
      <w:r>
        <w:rPr>
          <w:spacing w:val="-2"/>
        </w:rPr>
        <w:t>第</w:t>
      </w:r>
      <w:r>
        <w:rPr/>
        <w:t>一次临时股东大会决议公告</w:t>
      </w:r>
      <w:r>
        <w:rPr>
          <w:spacing w:val="-105"/>
        </w:rPr>
        <w:t>》</w:t>
      </w:r>
      <w:r>
        <w:rPr>
          <w:spacing w:val="-4"/>
        </w:rPr>
        <w:t>。</w:t>
      </w:r>
      <w:r>
        <w:rPr>
          <w:rFonts w:ascii="Times New Roman" w:hAnsi="Times New Roman" w:cs="Times New Roman" w:eastAsia="Times New Roman" w:hint="default"/>
          <w:spacing w:val="-1"/>
        </w:rPr>
        <w:t>2</w:t>
      </w:r>
      <w:r>
        <w:rPr>
          <w:rFonts w:ascii="Times New Roman" w:hAnsi="Times New Roman" w:cs="Times New Roman" w:eastAsia="Times New Roman" w:hint="default"/>
        </w:rPr>
        <w:t>0</w:t>
      </w:r>
      <w:r>
        <w:rPr>
          <w:rFonts w:ascii="Times New Roman" w:hAnsi="Times New Roman" w:cs="Times New Roman" w:eastAsia="Times New Roman" w:hint="default"/>
          <w:spacing w:val="-1"/>
        </w:rPr>
        <w:t>12</w:t>
      </w:r>
      <w:r>
        <w:rPr>
          <w:rFonts w:ascii="Times New Roman" w:hAnsi="Times New Roman" w:cs="Times New Roman" w:eastAsia="Times New Roman" w:hint="default"/>
        </w:rPr>
      </w:r>
    </w:p>
    <w:p>
      <w:pPr>
        <w:pStyle w:val="BodyText"/>
        <w:spacing w:line="240" w:lineRule="auto" w:before="59"/>
        <w:ind w:left="857" w:right="91"/>
        <w:jc w:val="left"/>
      </w:pPr>
      <w:r>
        <w:rPr/>
        <w:t>年</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月</w:t>
      </w:r>
      <w:r>
        <w:rPr>
          <w:spacing w:val="-58"/>
        </w:rPr>
        <w:t> </w:t>
      </w:r>
      <w:r>
        <w:rPr>
          <w:rFonts w:ascii="Times New Roman" w:hAnsi="Times New Roman" w:cs="Times New Roman" w:eastAsia="Times New Roman" w:hint="default"/>
        </w:rPr>
        <w:t>10</w:t>
      </w:r>
      <w:r>
        <w:rPr>
          <w:rFonts w:ascii="Times New Roman" w:hAnsi="Times New Roman" w:cs="Times New Roman" w:eastAsia="Times New Roman" w:hint="default"/>
          <w:spacing w:val="-4"/>
        </w:rPr>
        <w:t> </w:t>
      </w:r>
      <w:r>
        <w:rPr/>
        <w:t>日，本公司及沈阳东信收到第一笔款项</w:t>
      </w:r>
      <w:r>
        <w:rPr>
          <w:spacing w:val="-57"/>
        </w:rPr>
        <w:t> </w:t>
      </w:r>
      <w:r>
        <w:rPr>
          <w:rFonts w:ascii="Times New Roman" w:hAnsi="Times New Roman" w:cs="Times New Roman" w:eastAsia="Times New Roman" w:hint="default"/>
        </w:rPr>
        <w:t>8,847</w:t>
      </w:r>
      <w:r>
        <w:rPr>
          <w:rFonts w:ascii="Times New Roman" w:hAnsi="Times New Roman" w:cs="Times New Roman" w:eastAsia="Times New Roman" w:hint="default"/>
          <w:spacing w:val="-4"/>
        </w:rPr>
        <w:t> </w:t>
      </w:r>
      <w:r>
        <w:rPr/>
        <w:t>万元；</w:t>
      </w:r>
      <w:r>
        <w:rPr>
          <w:rFonts w:ascii="Times New Roman" w:hAnsi="Times New Roman" w:cs="Times New Roman" w:eastAsia="Times New Roman" w:hint="default"/>
        </w:rPr>
        <w:t>2012</w:t>
      </w:r>
      <w:r>
        <w:rPr>
          <w:rFonts w:ascii="Times New Roman" w:hAnsi="Times New Roman" w:cs="Times New Roman" w:eastAsia="Times New Roman" w:hint="default"/>
          <w:spacing w:val="-4"/>
        </w:rPr>
        <w:t> </w:t>
      </w:r>
      <w:r>
        <w:rPr/>
        <w:t>年</w:t>
      </w:r>
      <w:r>
        <w:rPr>
          <w:spacing w:val="-58"/>
        </w:rPr>
        <w:t> </w:t>
      </w:r>
      <w:r>
        <w:rPr>
          <w:rFonts w:ascii="Times New Roman" w:hAnsi="Times New Roman" w:cs="Times New Roman" w:eastAsia="Times New Roman" w:hint="default"/>
        </w:rPr>
        <w:t>2</w:t>
      </w:r>
      <w:r>
        <w:rPr>
          <w:rFonts w:ascii="Times New Roman" w:hAnsi="Times New Roman" w:cs="Times New Roman" w:eastAsia="Times New Roman" w:hint="default"/>
          <w:spacing w:val="-5"/>
        </w:rPr>
        <w:t> </w:t>
      </w:r>
      <w:r>
        <w:rPr/>
        <w:t>月</w:t>
      </w:r>
      <w:r>
        <w:rPr>
          <w:spacing w:val="-57"/>
        </w:rPr>
        <w:t> </w:t>
      </w:r>
      <w:r>
        <w:rPr>
          <w:rFonts w:ascii="Times New Roman" w:hAnsi="Times New Roman" w:cs="Times New Roman" w:eastAsia="Times New Roman" w:hint="default"/>
        </w:rPr>
        <w:t>15</w:t>
      </w:r>
      <w:r>
        <w:rPr>
          <w:rFonts w:ascii="Times New Roman" w:hAnsi="Times New Roman" w:cs="Times New Roman" w:eastAsia="Times New Roman" w:hint="default"/>
          <w:spacing w:val="-4"/>
        </w:rPr>
        <w:t> </w:t>
      </w:r>
      <w:r>
        <w:rPr/>
        <w:t>日，大连发展股</w:t>
      </w:r>
    </w:p>
    <w:p>
      <w:pPr>
        <w:pStyle w:val="BodyText"/>
        <w:spacing w:line="288" w:lineRule="auto" w:before="59"/>
        <w:ind w:left="857" w:right="135"/>
        <w:jc w:val="left"/>
      </w:pPr>
      <w:r>
        <w:rPr/>
        <w:t>权变更登记手续办理完成，</w:t>
      </w:r>
      <w:r>
        <w:rPr>
          <w:rFonts w:ascii="Times New Roman" w:hAnsi="Times New Roman" w:cs="Times New Roman" w:eastAsia="Times New Roman" w:hint="default"/>
        </w:rPr>
        <w:t>3</w:t>
      </w:r>
      <w:r>
        <w:rPr>
          <w:rFonts w:ascii="Times New Roman" w:hAnsi="Times New Roman" w:cs="Times New Roman" w:eastAsia="Times New Roman" w:hint="default"/>
          <w:spacing w:val="14"/>
        </w:rPr>
        <w:t> </w:t>
      </w:r>
      <w:r>
        <w:rPr/>
        <w:t>月</w:t>
      </w:r>
      <w:r>
        <w:rPr>
          <w:spacing w:val="-40"/>
        </w:rPr>
        <w:t> </w:t>
      </w:r>
      <w:r>
        <w:rPr>
          <w:rFonts w:ascii="Times New Roman" w:hAnsi="Times New Roman" w:cs="Times New Roman" w:eastAsia="Times New Roman" w:hint="default"/>
        </w:rPr>
        <w:t>15</w:t>
      </w:r>
      <w:r>
        <w:rPr>
          <w:rFonts w:ascii="Times New Roman" w:hAnsi="Times New Roman" w:cs="Times New Roman" w:eastAsia="Times New Roman" w:hint="default"/>
          <w:spacing w:val="13"/>
        </w:rPr>
        <w:t> </w:t>
      </w:r>
      <w:r>
        <w:rPr/>
        <w:t>日，沈阳东信收到第二笔款项</w:t>
      </w:r>
      <w:r>
        <w:rPr>
          <w:spacing w:val="-39"/>
        </w:rPr>
        <w:t> </w:t>
      </w:r>
      <w:r>
        <w:rPr>
          <w:rFonts w:ascii="Times New Roman" w:hAnsi="Times New Roman" w:cs="Times New Roman" w:eastAsia="Times New Roman" w:hint="default"/>
        </w:rPr>
        <w:t>28,752</w:t>
      </w:r>
      <w:r>
        <w:rPr>
          <w:rFonts w:ascii="Times New Roman" w:hAnsi="Times New Roman" w:cs="Times New Roman" w:eastAsia="Times New Roman" w:hint="default"/>
          <w:spacing w:val="14"/>
        </w:rPr>
        <w:t> </w:t>
      </w:r>
      <w:r>
        <w:rPr/>
        <w:t>万元，累计已收到交 易金额的</w:t>
      </w:r>
      <w:r>
        <w:rPr>
          <w:spacing w:val="-55"/>
        </w:rPr>
        <w:t> </w:t>
      </w:r>
      <w:r>
        <w:rPr>
          <w:rFonts w:ascii="Times New Roman" w:hAnsi="Times New Roman" w:cs="Times New Roman" w:eastAsia="Times New Roman" w:hint="default"/>
        </w:rPr>
        <w:t>85%</w:t>
      </w:r>
      <w:r>
        <w:rPr/>
        <w:t>，金额合计为</w:t>
      </w:r>
      <w:r>
        <w:rPr>
          <w:spacing w:val="-55"/>
        </w:rPr>
        <w:t> </w:t>
      </w:r>
      <w:r>
        <w:rPr>
          <w:rFonts w:ascii="Times New Roman" w:hAnsi="Times New Roman" w:cs="Times New Roman" w:eastAsia="Times New Roman" w:hint="default"/>
        </w:rPr>
        <w:t>37,599</w:t>
      </w:r>
      <w:r>
        <w:rPr>
          <w:rFonts w:ascii="Times New Roman" w:hAnsi="Times New Roman" w:cs="Times New Roman" w:eastAsia="Times New Roman" w:hint="default"/>
          <w:spacing w:val="-2"/>
        </w:rPr>
        <w:t> </w:t>
      </w:r>
      <w:r>
        <w:rPr/>
        <w:t>万元，剩余款项按照协议约定支付。</w:t>
      </w:r>
    </w:p>
    <w:p>
      <w:pPr>
        <w:spacing w:line="240" w:lineRule="auto" w:before="0"/>
        <w:rPr>
          <w:rFonts w:ascii="宋体" w:hAnsi="宋体" w:cs="宋体" w:eastAsia="宋体" w:hint="default"/>
          <w:sz w:val="22"/>
          <w:szCs w:val="22"/>
        </w:rPr>
      </w:pPr>
    </w:p>
    <w:p>
      <w:pPr>
        <w:pStyle w:val="BodyText"/>
        <w:spacing w:line="240" w:lineRule="auto" w:before="156"/>
        <w:ind w:left="857" w:right="91"/>
        <w:jc w:val="left"/>
      </w:pPr>
      <w:r>
        <w:rPr/>
        <w:pict>
          <v:group style="position:absolute;margin-left:110.040001pt;margin-top:23.123245pt;width:437.35pt;height:305pt;mso-position-horizontal-relative:page;mso-position-vertical-relative:paragraph;z-index:-1103824" coordorigin="2201,462" coordsize="8747,6100">
            <v:group style="position:absolute;left:2230;top:477;width:8686;height:2" coordorigin="2230,477" coordsize="8686,2">
              <v:shape style="position:absolute;left:2230;top:477;width:8686;height:2" coordorigin="2230,477" coordsize="8686,0" path="m2230,477l10915,477e" filled="false" stroked="true" strokeweight="1.5pt" strokecolor="#000000">
                <v:path arrowok="t"/>
              </v:shape>
              <v:shape style="position:absolute;left:3812;top:464;width:5359;height:448" type="#_x0000_t75" stroked="false">
                <v:imagedata r:id="rId377" o:title=""/>
              </v:shape>
              <v:shape style="position:absolute;left:2201;top:854;width:8747;height:5708" type="#_x0000_t75" stroked="false">
                <v:imagedata r:id="rId378" o:title=""/>
              </v:shape>
            </v:group>
            <w10:wrap type="none"/>
          </v:group>
        </w:pict>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年的大额应付账款、预收款项及其他应付款，已结算情况：</w:t>
      </w:r>
    </w:p>
    <w:p>
      <w:pPr>
        <w:spacing w:line="240" w:lineRule="auto" w:before="10"/>
        <w:rPr>
          <w:rFonts w:ascii="宋体" w:hAnsi="宋体" w:cs="宋体" w:eastAsia="宋体" w:hint="default"/>
          <w:sz w:val="9"/>
          <w:szCs w:val="9"/>
        </w:rPr>
      </w:pPr>
    </w:p>
    <w:tbl>
      <w:tblPr>
        <w:tblW w:w="0" w:type="auto"/>
        <w:jc w:val="left"/>
        <w:tblInd w:w="735" w:type="dxa"/>
        <w:tblLayout w:type="fixed"/>
        <w:tblCellMar>
          <w:top w:w="0" w:type="dxa"/>
          <w:left w:w="0" w:type="dxa"/>
          <w:bottom w:w="0" w:type="dxa"/>
          <w:right w:w="0" w:type="dxa"/>
        </w:tblCellMar>
        <w:tblLook w:val="01E0"/>
      </w:tblPr>
      <w:tblGrid>
        <w:gridCol w:w="1460"/>
        <w:gridCol w:w="3625"/>
        <w:gridCol w:w="2003"/>
        <w:gridCol w:w="1612"/>
      </w:tblGrid>
      <w:tr>
        <w:trPr>
          <w:trHeight w:val="1200" w:hRule="exact"/>
        </w:trPr>
        <w:tc>
          <w:tcPr>
            <w:tcW w:w="1460" w:type="dxa"/>
            <w:tcBorders>
              <w:top w:val="nil" w:sz="6" w:space="0" w:color="auto"/>
              <w:left w:val="nil" w:sz="6" w:space="0" w:color="auto"/>
              <w:bottom w:val="nil" w:sz="6" w:space="0" w:color="auto"/>
              <w:right w:val="nil" w:sz="6" w:space="0" w:color="auto"/>
            </w:tcBorders>
          </w:tcPr>
          <w:p>
            <w:pPr>
              <w:pStyle w:val="TableParagraph"/>
              <w:spacing w:line="408" w:lineRule="auto" w:before="44"/>
              <w:ind w:left="122" w:right="276" w:firstLine="339"/>
              <w:jc w:val="left"/>
              <w:rPr>
                <w:rFonts w:ascii="宋体" w:hAnsi="宋体" w:cs="宋体" w:eastAsia="宋体" w:hint="default"/>
                <w:sz w:val="18"/>
                <w:szCs w:val="18"/>
              </w:rPr>
            </w:pPr>
            <w:r>
              <w:rPr>
                <w:rFonts w:ascii="宋体" w:hAnsi="宋体" w:cs="宋体" w:eastAsia="宋体" w:hint="default"/>
                <w:sz w:val="18"/>
                <w:szCs w:val="18"/>
              </w:rPr>
              <w:t>项目名称 应付账款</w:t>
            </w:r>
          </w:p>
        </w:tc>
        <w:tc>
          <w:tcPr>
            <w:tcW w:w="362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34" w:right="0"/>
              <w:jc w:val="left"/>
              <w:rPr>
                <w:rFonts w:ascii="宋体" w:hAnsi="宋体" w:cs="宋体" w:eastAsia="宋体" w:hint="default"/>
                <w:sz w:val="18"/>
                <w:szCs w:val="18"/>
              </w:rPr>
            </w:pPr>
            <w:r>
              <w:rPr>
                <w:rFonts w:ascii="宋体" w:hAnsi="宋体" w:cs="宋体" w:eastAsia="宋体" w:hint="default"/>
                <w:sz w:val="18"/>
                <w:szCs w:val="18"/>
              </w:rPr>
              <w:t>单位名称</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思华科技（上海）有限公司</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56"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left="1009" w:right="0"/>
              <w:jc w:val="left"/>
              <w:rPr>
                <w:rFonts w:ascii="Times New Roman" w:hAnsi="Times New Roman" w:cs="Times New Roman" w:eastAsia="Times New Roman" w:hint="default"/>
                <w:sz w:val="18"/>
                <w:szCs w:val="18"/>
              </w:rPr>
            </w:pPr>
            <w:r>
              <w:rPr>
                <w:rFonts w:ascii="Times New Roman"/>
                <w:sz w:val="18"/>
              </w:rPr>
              <w:t>3,973,478</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72" w:right="0"/>
              <w:jc w:val="left"/>
              <w:rPr>
                <w:rFonts w:ascii="宋体" w:hAnsi="宋体" w:cs="宋体" w:eastAsia="宋体" w:hint="default"/>
                <w:sz w:val="18"/>
                <w:szCs w:val="18"/>
              </w:rPr>
            </w:pPr>
            <w:r>
              <w:rPr>
                <w:rFonts w:ascii="宋体" w:hAnsi="宋体" w:cs="宋体" w:eastAsia="宋体" w:hint="default"/>
                <w:sz w:val="18"/>
                <w:szCs w:val="18"/>
              </w:rPr>
              <w:t>已结算金额</w:t>
            </w:r>
          </w:p>
        </w:tc>
      </w:tr>
      <w:tr>
        <w:trPr>
          <w:trHeight w:val="400" w:hRule="exact"/>
        </w:trPr>
        <w:tc>
          <w:tcPr>
            <w:tcW w:w="1460" w:type="dxa"/>
            <w:tcBorders>
              <w:top w:val="nil" w:sz="6" w:space="0" w:color="auto"/>
              <w:left w:val="nil" w:sz="6" w:space="0" w:color="auto"/>
              <w:bottom w:val="nil" w:sz="6" w:space="0" w:color="auto"/>
              <w:right w:val="nil" w:sz="6" w:space="0" w:color="auto"/>
            </w:tcBorders>
          </w:tcPr>
          <w:p>
            <w:pPr/>
          </w:p>
        </w:tc>
        <w:tc>
          <w:tcPr>
            <w:tcW w:w="362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78" w:right="0"/>
              <w:jc w:val="left"/>
              <w:rPr>
                <w:rFonts w:ascii="宋体" w:hAnsi="宋体" w:cs="宋体" w:eastAsia="宋体" w:hint="default"/>
                <w:sz w:val="18"/>
                <w:szCs w:val="18"/>
              </w:rPr>
            </w:pPr>
            <w:r>
              <w:rPr>
                <w:rFonts w:ascii="宋体" w:hAnsi="宋体" w:cs="宋体" w:eastAsia="宋体" w:hint="default"/>
                <w:sz w:val="18"/>
                <w:szCs w:val="18"/>
              </w:rPr>
              <w:t>欧洲航空防务及航天公司</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70"/>
              <w:jc w:val="right"/>
              <w:rPr>
                <w:rFonts w:ascii="Times New Roman" w:hAnsi="Times New Roman" w:cs="Times New Roman" w:eastAsia="Times New Roman" w:hint="default"/>
                <w:sz w:val="18"/>
                <w:szCs w:val="18"/>
              </w:rPr>
            </w:pPr>
            <w:r>
              <w:rPr>
                <w:rFonts w:ascii="Times New Roman"/>
                <w:sz w:val="18"/>
              </w:rPr>
              <w:t>3,072,341</w:t>
            </w:r>
          </w:p>
        </w:tc>
        <w:tc>
          <w:tcPr>
            <w:tcW w:w="1612" w:type="dxa"/>
            <w:tcBorders>
              <w:top w:val="nil" w:sz="6" w:space="0" w:color="auto"/>
              <w:left w:val="nil" w:sz="6" w:space="0" w:color="auto"/>
              <w:bottom w:val="nil" w:sz="6" w:space="0" w:color="auto"/>
              <w:right w:val="nil" w:sz="6" w:space="0" w:color="auto"/>
            </w:tcBorders>
          </w:tcPr>
          <w:p>
            <w:pPr/>
          </w:p>
        </w:tc>
      </w:tr>
      <w:tr>
        <w:trPr>
          <w:trHeight w:val="400" w:hRule="exact"/>
        </w:trPr>
        <w:tc>
          <w:tcPr>
            <w:tcW w:w="1460" w:type="dxa"/>
            <w:tcBorders>
              <w:top w:val="nil" w:sz="6" w:space="0" w:color="auto"/>
              <w:left w:val="nil" w:sz="6" w:space="0" w:color="auto"/>
              <w:bottom w:val="nil" w:sz="6" w:space="0" w:color="auto"/>
              <w:right w:val="nil" w:sz="6" w:space="0" w:color="auto"/>
            </w:tcBorders>
          </w:tcPr>
          <w:p>
            <w:pPr/>
          </w:p>
        </w:tc>
        <w:tc>
          <w:tcPr>
            <w:tcW w:w="362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78" w:right="0"/>
              <w:jc w:val="left"/>
              <w:rPr>
                <w:rFonts w:ascii="宋体" w:hAnsi="宋体" w:cs="宋体" w:eastAsia="宋体" w:hint="default"/>
                <w:sz w:val="18"/>
                <w:szCs w:val="18"/>
              </w:rPr>
            </w:pPr>
            <w:r>
              <w:rPr>
                <w:rFonts w:ascii="宋体" w:hAnsi="宋体" w:cs="宋体" w:eastAsia="宋体" w:hint="default"/>
                <w:sz w:val="18"/>
                <w:szCs w:val="18"/>
              </w:rPr>
              <w:t>曙光信息产业（北京）有限公司</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70"/>
              <w:jc w:val="right"/>
              <w:rPr>
                <w:rFonts w:ascii="Times New Roman" w:hAnsi="Times New Roman" w:cs="Times New Roman" w:eastAsia="Times New Roman" w:hint="default"/>
                <w:sz w:val="18"/>
                <w:szCs w:val="18"/>
              </w:rPr>
            </w:pPr>
            <w:r>
              <w:rPr>
                <w:rFonts w:ascii="Times New Roman"/>
                <w:sz w:val="18"/>
              </w:rPr>
              <w:t>2,815,869</w:t>
            </w:r>
          </w:p>
        </w:tc>
        <w:tc>
          <w:tcPr>
            <w:tcW w:w="1612" w:type="dxa"/>
            <w:tcBorders>
              <w:top w:val="nil" w:sz="6" w:space="0" w:color="auto"/>
              <w:left w:val="nil" w:sz="6" w:space="0" w:color="auto"/>
              <w:bottom w:val="nil" w:sz="6" w:space="0" w:color="auto"/>
              <w:right w:val="nil" w:sz="6" w:space="0" w:color="auto"/>
            </w:tcBorders>
          </w:tcPr>
          <w:p>
            <w:pPr/>
          </w:p>
        </w:tc>
      </w:tr>
      <w:tr>
        <w:trPr>
          <w:trHeight w:val="400" w:hRule="exact"/>
        </w:trPr>
        <w:tc>
          <w:tcPr>
            <w:tcW w:w="1460" w:type="dxa"/>
            <w:tcBorders>
              <w:top w:val="nil" w:sz="6" w:space="0" w:color="auto"/>
              <w:left w:val="nil" w:sz="6" w:space="0" w:color="auto"/>
              <w:bottom w:val="nil" w:sz="6" w:space="0" w:color="auto"/>
              <w:right w:val="nil" w:sz="6" w:space="0" w:color="auto"/>
            </w:tcBorders>
          </w:tcPr>
          <w:p>
            <w:pPr/>
          </w:p>
        </w:tc>
        <w:tc>
          <w:tcPr>
            <w:tcW w:w="362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78" w:right="0"/>
              <w:jc w:val="left"/>
              <w:rPr>
                <w:rFonts w:ascii="宋体" w:hAnsi="宋体" w:cs="宋体" w:eastAsia="宋体" w:hint="default"/>
                <w:sz w:val="18"/>
                <w:szCs w:val="18"/>
              </w:rPr>
            </w:pPr>
            <w:r>
              <w:rPr>
                <w:rFonts w:ascii="宋体" w:hAnsi="宋体" w:cs="宋体" w:eastAsia="宋体" w:hint="default"/>
                <w:sz w:val="18"/>
                <w:szCs w:val="18"/>
              </w:rPr>
              <w:t>北京北辰信息技术有限公司</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70"/>
              <w:jc w:val="right"/>
              <w:rPr>
                <w:rFonts w:ascii="Times New Roman" w:hAnsi="Times New Roman" w:cs="Times New Roman" w:eastAsia="Times New Roman" w:hint="default"/>
                <w:sz w:val="18"/>
                <w:szCs w:val="18"/>
              </w:rPr>
            </w:pPr>
            <w:r>
              <w:rPr>
                <w:rFonts w:ascii="Times New Roman"/>
                <w:sz w:val="18"/>
              </w:rPr>
              <w:t>2,726,467</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z w:val="18"/>
              </w:rPr>
              <w:t>2,726,467</w:t>
            </w:r>
          </w:p>
        </w:tc>
      </w:tr>
      <w:tr>
        <w:trPr>
          <w:trHeight w:val="404" w:hRule="exact"/>
        </w:trPr>
        <w:tc>
          <w:tcPr>
            <w:tcW w:w="1460" w:type="dxa"/>
            <w:tcBorders>
              <w:top w:val="nil" w:sz="6" w:space="0" w:color="auto"/>
              <w:left w:val="nil" w:sz="6" w:space="0" w:color="auto"/>
              <w:bottom w:val="nil" w:sz="6" w:space="0" w:color="auto"/>
              <w:right w:val="nil" w:sz="6" w:space="0" w:color="auto"/>
            </w:tcBorders>
          </w:tcPr>
          <w:p>
            <w:pPr/>
          </w:p>
        </w:tc>
        <w:tc>
          <w:tcPr>
            <w:tcW w:w="362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78" w:right="0"/>
              <w:jc w:val="left"/>
              <w:rPr>
                <w:rFonts w:ascii="宋体" w:hAnsi="宋体" w:cs="宋体" w:eastAsia="宋体" w:hint="default"/>
                <w:sz w:val="18"/>
                <w:szCs w:val="18"/>
              </w:rPr>
            </w:pPr>
            <w:r>
              <w:rPr>
                <w:rFonts w:ascii="宋体" w:hAnsi="宋体" w:cs="宋体" w:eastAsia="宋体" w:hint="default"/>
                <w:sz w:val="18"/>
                <w:szCs w:val="18"/>
              </w:rPr>
              <w:t>北京佳讯飞鸿电气股份有限公司</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70"/>
              <w:jc w:val="right"/>
              <w:rPr>
                <w:rFonts w:ascii="Times New Roman" w:hAnsi="Times New Roman" w:cs="Times New Roman" w:eastAsia="Times New Roman" w:hint="default"/>
                <w:sz w:val="18"/>
                <w:szCs w:val="18"/>
              </w:rPr>
            </w:pPr>
            <w:r>
              <w:rPr>
                <w:rFonts w:ascii="Times New Roman"/>
                <w:sz w:val="18"/>
              </w:rPr>
              <w:t>2,644,168</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z w:val="18"/>
              </w:rPr>
              <w:t>512,968</w:t>
            </w:r>
          </w:p>
        </w:tc>
      </w:tr>
      <w:tr>
        <w:trPr>
          <w:trHeight w:val="400" w:hRule="exact"/>
        </w:trPr>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625" w:type="dxa"/>
            <w:tcBorders>
              <w:top w:val="nil" w:sz="6" w:space="0" w:color="auto"/>
              <w:left w:val="nil" w:sz="6" w:space="0" w:color="auto"/>
              <w:bottom w:val="nil" w:sz="6" w:space="0" w:color="auto"/>
              <w:right w:val="nil" w:sz="6" w:space="0" w:color="auto"/>
            </w:tcBorders>
          </w:tcPr>
          <w:p>
            <w:pPr/>
          </w:p>
        </w:tc>
        <w:tc>
          <w:tcPr>
            <w:tcW w:w="2003" w:type="dxa"/>
            <w:tcBorders>
              <w:top w:val="nil" w:sz="6" w:space="0" w:color="auto"/>
              <w:left w:val="nil" w:sz="6" w:space="0" w:color="auto"/>
              <w:bottom w:val="nil" w:sz="6" w:space="0" w:color="auto"/>
              <w:right w:val="nil" w:sz="6" w:space="0" w:color="auto"/>
            </w:tcBorders>
          </w:tcPr>
          <w:p>
            <w:pPr/>
          </w:p>
        </w:tc>
        <w:tc>
          <w:tcPr>
            <w:tcW w:w="1612" w:type="dxa"/>
            <w:tcBorders>
              <w:top w:val="nil" w:sz="6" w:space="0" w:color="auto"/>
              <w:left w:val="nil" w:sz="6" w:space="0" w:color="auto"/>
              <w:bottom w:val="nil" w:sz="6" w:space="0" w:color="auto"/>
              <w:right w:val="nil" w:sz="6" w:space="0" w:color="auto"/>
            </w:tcBorders>
          </w:tcPr>
          <w:p>
            <w:pPr/>
          </w:p>
        </w:tc>
      </w:tr>
      <w:tr>
        <w:trPr>
          <w:trHeight w:val="420" w:hRule="exact"/>
        </w:trPr>
        <w:tc>
          <w:tcPr>
            <w:tcW w:w="1460" w:type="dxa"/>
            <w:tcBorders>
              <w:top w:val="nil" w:sz="6" w:space="0" w:color="auto"/>
              <w:left w:val="nil" w:sz="6" w:space="0" w:color="auto"/>
              <w:bottom w:val="nil" w:sz="6" w:space="0" w:color="auto"/>
              <w:right w:val="nil" w:sz="6" w:space="0" w:color="auto"/>
            </w:tcBorders>
          </w:tcPr>
          <w:p>
            <w:pPr/>
          </w:p>
        </w:tc>
        <w:tc>
          <w:tcPr>
            <w:tcW w:w="362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78" w:right="0"/>
              <w:jc w:val="left"/>
              <w:rPr>
                <w:rFonts w:ascii="宋体" w:hAnsi="宋体" w:cs="宋体" w:eastAsia="宋体" w:hint="default"/>
                <w:sz w:val="18"/>
                <w:szCs w:val="18"/>
              </w:rPr>
            </w:pPr>
            <w:r>
              <w:rPr>
                <w:rFonts w:ascii="宋体" w:hAnsi="宋体" w:cs="宋体" w:eastAsia="宋体" w:hint="default"/>
                <w:sz w:val="18"/>
                <w:szCs w:val="18"/>
              </w:rPr>
              <w:t>东北大学</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70"/>
              <w:jc w:val="right"/>
              <w:rPr>
                <w:rFonts w:ascii="Times New Roman" w:hAnsi="Times New Roman" w:cs="Times New Roman" w:eastAsia="Times New Roman" w:hint="default"/>
                <w:sz w:val="18"/>
                <w:szCs w:val="18"/>
              </w:rPr>
            </w:pPr>
            <w:r>
              <w:rPr>
                <w:rFonts w:ascii="Times New Roman"/>
                <w:sz w:val="18"/>
              </w:rPr>
              <w:t>19,659,255</w:t>
            </w:r>
          </w:p>
        </w:tc>
        <w:tc>
          <w:tcPr>
            <w:tcW w:w="1612" w:type="dxa"/>
            <w:tcBorders>
              <w:top w:val="nil" w:sz="6" w:space="0" w:color="auto"/>
              <w:left w:val="nil" w:sz="6" w:space="0" w:color="auto"/>
              <w:bottom w:val="nil" w:sz="6" w:space="0" w:color="auto"/>
              <w:right w:val="nil" w:sz="6" w:space="0" w:color="auto"/>
            </w:tcBorders>
          </w:tcPr>
          <w:p>
            <w:pPr/>
          </w:p>
        </w:tc>
      </w:tr>
      <w:tr>
        <w:trPr>
          <w:trHeight w:val="400" w:hRule="exact"/>
        </w:trPr>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625" w:type="dxa"/>
            <w:tcBorders>
              <w:top w:val="nil" w:sz="6" w:space="0" w:color="auto"/>
              <w:left w:val="nil" w:sz="6" w:space="0" w:color="auto"/>
              <w:bottom w:val="nil" w:sz="6" w:space="0" w:color="auto"/>
              <w:right w:val="nil" w:sz="6" w:space="0" w:color="auto"/>
            </w:tcBorders>
          </w:tcPr>
          <w:p>
            <w:pPr/>
          </w:p>
        </w:tc>
        <w:tc>
          <w:tcPr>
            <w:tcW w:w="2003" w:type="dxa"/>
            <w:tcBorders>
              <w:top w:val="nil" w:sz="6" w:space="0" w:color="auto"/>
              <w:left w:val="nil" w:sz="6" w:space="0" w:color="auto"/>
              <w:bottom w:val="nil" w:sz="6" w:space="0" w:color="auto"/>
              <w:right w:val="nil" w:sz="6" w:space="0" w:color="auto"/>
            </w:tcBorders>
          </w:tcPr>
          <w:p>
            <w:pPr/>
          </w:p>
        </w:tc>
        <w:tc>
          <w:tcPr>
            <w:tcW w:w="1612" w:type="dxa"/>
            <w:tcBorders>
              <w:top w:val="nil" w:sz="6" w:space="0" w:color="auto"/>
              <w:left w:val="nil" w:sz="6" w:space="0" w:color="auto"/>
              <w:bottom w:val="nil" w:sz="6" w:space="0" w:color="auto"/>
              <w:right w:val="nil" w:sz="6" w:space="0" w:color="auto"/>
            </w:tcBorders>
          </w:tcPr>
          <w:p>
            <w:pPr/>
          </w:p>
        </w:tc>
      </w:tr>
      <w:tr>
        <w:trPr>
          <w:trHeight w:val="420" w:hRule="exact"/>
        </w:trPr>
        <w:tc>
          <w:tcPr>
            <w:tcW w:w="1460" w:type="dxa"/>
            <w:tcBorders>
              <w:top w:val="nil" w:sz="6" w:space="0" w:color="auto"/>
              <w:left w:val="nil" w:sz="6" w:space="0" w:color="auto"/>
              <w:bottom w:val="nil" w:sz="6" w:space="0" w:color="auto"/>
              <w:right w:val="nil" w:sz="6" w:space="0" w:color="auto"/>
            </w:tcBorders>
          </w:tcPr>
          <w:p>
            <w:pPr/>
          </w:p>
        </w:tc>
        <w:tc>
          <w:tcPr>
            <w:tcW w:w="362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368" w:right="0"/>
              <w:jc w:val="left"/>
              <w:rPr>
                <w:rFonts w:ascii="宋体" w:hAnsi="宋体" w:cs="宋体" w:eastAsia="宋体" w:hint="default"/>
                <w:sz w:val="18"/>
                <w:szCs w:val="18"/>
              </w:rPr>
            </w:pPr>
            <w:r>
              <w:rPr>
                <w:rFonts w:ascii="宋体" w:hAnsi="宋体" w:cs="宋体" w:eastAsia="宋体" w:hint="default"/>
                <w:sz w:val="18"/>
                <w:szCs w:val="18"/>
              </w:rPr>
              <w:t>哈尔滨蓝科科技开发有限公司</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70"/>
              <w:jc w:val="right"/>
              <w:rPr>
                <w:rFonts w:ascii="Times New Roman" w:hAnsi="Times New Roman" w:cs="Times New Roman" w:eastAsia="Times New Roman" w:hint="default"/>
                <w:sz w:val="18"/>
                <w:szCs w:val="18"/>
              </w:rPr>
            </w:pPr>
            <w:r>
              <w:rPr>
                <w:rFonts w:ascii="Times New Roman"/>
                <w:sz w:val="18"/>
              </w:rPr>
              <w:t>6,913,000</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4"/>
              <w:jc w:val="right"/>
              <w:rPr>
                <w:rFonts w:ascii="Times New Roman" w:hAnsi="Times New Roman" w:cs="Times New Roman" w:eastAsia="Times New Roman" w:hint="default"/>
                <w:sz w:val="18"/>
                <w:szCs w:val="18"/>
              </w:rPr>
            </w:pPr>
            <w:r>
              <w:rPr>
                <w:rFonts w:ascii="Times New Roman"/>
                <w:sz w:val="18"/>
              </w:rPr>
              <w:t>5,550,000</w:t>
            </w:r>
          </w:p>
        </w:tc>
      </w:tr>
      <w:tr>
        <w:trPr>
          <w:trHeight w:val="410" w:hRule="exact"/>
        </w:trPr>
        <w:tc>
          <w:tcPr>
            <w:tcW w:w="1460" w:type="dxa"/>
            <w:tcBorders>
              <w:top w:val="nil" w:sz="6" w:space="0" w:color="auto"/>
              <w:left w:val="nil" w:sz="6" w:space="0" w:color="auto"/>
              <w:bottom w:val="nil" w:sz="6" w:space="0" w:color="auto"/>
              <w:right w:val="nil" w:sz="6" w:space="0" w:color="auto"/>
            </w:tcBorders>
          </w:tcPr>
          <w:p>
            <w:pPr/>
          </w:p>
        </w:tc>
        <w:tc>
          <w:tcPr>
            <w:tcW w:w="362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68" w:right="0"/>
              <w:jc w:val="left"/>
              <w:rPr>
                <w:rFonts w:ascii="宋体" w:hAnsi="宋体" w:cs="宋体" w:eastAsia="宋体" w:hint="default"/>
                <w:sz w:val="18"/>
                <w:szCs w:val="18"/>
              </w:rPr>
            </w:pPr>
            <w:r>
              <w:rPr>
                <w:rFonts w:ascii="宋体" w:hAnsi="宋体" w:cs="宋体" w:eastAsia="宋体" w:hint="default"/>
                <w:sz w:val="18"/>
                <w:szCs w:val="18"/>
              </w:rPr>
              <w:t>北京市轨道交通建设管理有限公司</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0"/>
              <w:jc w:val="right"/>
              <w:rPr>
                <w:rFonts w:ascii="Times New Roman" w:hAnsi="Times New Roman" w:cs="Times New Roman" w:eastAsia="Times New Roman" w:hint="default"/>
                <w:sz w:val="18"/>
                <w:szCs w:val="18"/>
              </w:rPr>
            </w:pPr>
            <w:r>
              <w:rPr>
                <w:rFonts w:ascii="Times New Roman"/>
                <w:sz w:val="18"/>
              </w:rPr>
              <w:t>5,046,640</w:t>
            </w:r>
          </w:p>
        </w:tc>
        <w:tc>
          <w:tcPr>
            <w:tcW w:w="1612" w:type="dxa"/>
            <w:tcBorders>
              <w:top w:val="nil" w:sz="6" w:space="0" w:color="auto"/>
              <w:left w:val="nil" w:sz="6" w:space="0" w:color="auto"/>
              <w:bottom w:val="nil" w:sz="6" w:space="0" w:color="auto"/>
              <w:right w:val="nil" w:sz="6" w:space="0" w:color="auto"/>
            </w:tcBorders>
          </w:tcPr>
          <w:p>
            <w:pPr/>
          </w:p>
        </w:tc>
      </w:tr>
      <w:tr>
        <w:trPr>
          <w:trHeight w:val="410" w:hRule="exact"/>
        </w:trPr>
        <w:tc>
          <w:tcPr>
            <w:tcW w:w="1460" w:type="dxa"/>
            <w:tcBorders>
              <w:top w:val="nil" w:sz="6" w:space="0" w:color="auto"/>
              <w:left w:val="nil" w:sz="6" w:space="0" w:color="auto"/>
              <w:bottom w:val="nil" w:sz="6" w:space="0" w:color="auto"/>
              <w:right w:val="nil" w:sz="6" w:space="0" w:color="auto"/>
            </w:tcBorders>
          </w:tcPr>
          <w:p>
            <w:pPr/>
          </w:p>
        </w:tc>
        <w:tc>
          <w:tcPr>
            <w:tcW w:w="362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68" w:right="0"/>
              <w:jc w:val="left"/>
              <w:rPr>
                <w:rFonts w:ascii="宋体" w:hAnsi="宋体" w:cs="宋体" w:eastAsia="宋体" w:hint="default"/>
                <w:sz w:val="18"/>
                <w:szCs w:val="18"/>
              </w:rPr>
            </w:pPr>
            <w:r>
              <w:rPr>
                <w:rFonts w:ascii="宋体" w:hAnsi="宋体" w:cs="宋体" w:eastAsia="宋体" w:hint="default"/>
                <w:sz w:val="18"/>
                <w:szCs w:val="18"/>
              </w:rPr>
              <w:t>中国烟草总公司甘肃省公司</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0"/>
              <w:jc w:val="right"/>
              <w:rPr>
                <w:rFonts w:ascii="Times New Roman" w:hAnsi="Times New Roman" w:cs="Times New Roman" w:eastAsia="Times New Roman" w:hint="default"/>
                <w:sz w:val="18"/>
                <w:szCs w:val="18"/>
              </w:rPr>
            </w:pPr>
            <w:r>
              <w:rPr>
                <w:rFonts w:ascii="Times New Roman"/>
                <w:sz w:val="18"/>
              </w:rPr>
              <w:t>3,547,090</w:t>
            </w:r>
          </w:p>
        </w:tc>
        <w:tc>
          <w:tcPr>
            <w:tcW w:w="1612" w:type="dxa"/>
            <w:tcBorders>
              <w:top w:val="nil" w:sz="6" w:space="0" w:color="auto"/>
              <w:left w:val="nil" w:sz="6" w:space="0" w:color="auto"/>
              <w:bottom w:val="nil" w:sz="6" w:space="0" w:color="auto"/>
              <w:right w:val="nil" w:sz="6" w:space="0" w:color="auto"/>
            </w:tcBorders>
          </w:tcPr>
          <w:p>
            <w:pPr/>
          </w:p>
        </w:tc>
      </w:tr>
      <w:tr>
        <w:trPr>
          <w:trHeight w:val="420" w:hRule="exact"/>
        </w:trPr>
        <w:tc>
          <w:tcPr>
            <w:tcW w:w="1460" w:type="dxa"/>
            <w:tcBorders>
              <w:top w:val="nil" w:sz="6" w:space="0" w:color="auto"/>
              <w:left w:val="nil" w:sz="6" w:space="0" w:color="auto"/>
              <w:bottom w:val="nil" w:sz="6" w:space="0" w:color="auto"/>
              <w:right w:val="nil" w:sz="6" w:space="0" w:color="auto"/>
            </w:tcBorders>
          </w:tcPr>
          <w:p>
            <w:pPr/>
          </w:p>
        </w:tc>
        <w:tc>
          <w:tcPr>
            <w:tcW w:w="362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68" w:right="0"/>
              <w:jc w:val="left"/>
              <w:rPr>
                <w:rFonts w:ascii="宋体" w:hAnsi="宋体" w:cs="宋体" w:eastAsia="宋体" w:hint="default"/>
                <w:sz w:val="18"/>
                <w:szCs w:val="18"/>
              </w:rPr>
            </w:pPr>
            <w:r>
              <w:rPr>
                <w:rFonts w:ascii="宋体" w:hAnsi="宋体" w:cs="宋体" w:eastAsia="宋体" w:hint="default"/>
                <w:sz w:val="18"/>
                <w:szCs w:val="18"/>
              </w:rPr>
              <w:t>中国人民解放军第二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五医院</w:t>
            </w:r>
          </w:p>
        </w:tc>
        <w:tc>
          <w:tcPr>
            <w:tcW w:w="200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0"/>
              <w:jc w:val="right"/>
              <w:rPr>
                <w:rFonts w:ascii="Times New Roman" w:hAnsi="Times New Roman" w:cs="Times New Roman" w:eastAsia="Times New Roman" w:hint="default"/>
                <w:sz w:val="18"/>
                <w:szCs w:val="18"/>
              </w:rPr>
            </w:pPr>
            <w:r>
              <w:rPr>
                <w:rFonts w:ascii="Times New Roman"/>
                <w:sz w:val="18"/>
              </w:rPr>
              <w:t>3,305,617</w:t>
            </w:r>
          </w:p>
        </w:tc>
        <w:tc>
          <w:tcPr>
            <w:tcW w:w="1612" w:type="dxa"/>
            <w:tcBorders>
              <w:top w:val="nil" w:sz="6" w:space="0" w:color="auto"/>
              <w:left w:val="nil" w:sz="6" w:space="0" w:color="auto"/>
              <w:bottom w:val="nil" w:sz="6" w:space="0" w:color="auto"/>
              <w:right w:val="nil" w:sz="6" w:space="0" w:color="auto"/>
            </w:tcBorders>
          </w:tcPr>
          <w:p>
            <w:pPr/>
          </w:p>
        </w:tc>
      </w:tr>
      <w:tr>
        <w:trPr>
          <w:trHeight w:val="318" w:hRule="exact"/>
        </w:trPr>
        <w:tc>
          <w:tcPr>
            <w:tcW w:w="1460" w:type="dxa"/>
            <w:tcBorders>
              <w:top w:val="nil" w:sz="6" w:space="0" w:color="auto"/>
              <w:left w:val="nil" w:sz="6" w:space="0" w:color="auto"/>
              <w:bottom w:val="single" w:sz="12" w:space="0" w:color="000000"/>
              <w:right w:val="nil" w:sz="6" w:space="0" w:color="auto"/>
            </w:tcBorders>
          </w:tcPr>
          <w:p>
            <w:pPr/>
          </w:p>
        </w:tc>
        <w:tc>
          <w:tcPr>
            <w:tcW w:w="3625"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left="368" w:right="0"/>
              <w:jc w:val="left"/>
              <w:rPr>
                <w:rFonts w:ascii="Times New Roman" w:hAnsi="Times New Roman" w:cs="Times New Roman" w:eastAsia="Times New Roman" w:hint="default"/>
                <w:sz w:val="18"/>
                <w:szCs w:val="18"/>
              </w:rPr>
            </w:pPr>
            <w:r>
              <w:rPr>
                <w:rFonts w:ascii="Times New Roman"/>
                <w:spacing w:val="-5"/>
                <w:sz w:val="18"/>
              </w:rPr>
              <w:t>PT. </w:t>
            </w:r>
            <w:r>
              <w:rPr>
                <w:rFonts w:ascii="Times New Roman"/>
                <w:sz w:val="18"/>
              </w:rPr>
              <w:t>Sani Tiara</w:t>
            </w:r>
            <w:r>
              <w:rPr>
                <w:rFonts w:ascii="Times New Roman"/>
                <w:spacing w:val="-14"/>
                <w:sz w:val="18"/>
              </w:rPr>
              <w:t> </w:t>
            </w:r>
            <w:r>
              <w:rPr>
                <w:rFonts w:ascii="Times New Roman"/>
                <w:sz w:val="18"/>
              </w:rPr>
              <w:t>Prima</w:t>
            </w:r>
          </w:p>
        </w:tc>
        <w:tc>
          <w:tcPr>
            <w:tcW w:w="2003"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270"/>
              <w:jc w:val="right"/>
              <w:rPr>
                <w:rFonts w:ascii="Times New Roman" w:hAnsi="Times New Roman" w:cs="Times New Roman" w:eastAsia="Times New Roman" w:hint="default"/>
                <w:sz w:val="18"/>
                <w:szCs w:val="18"/>
              </w:rPr>
            </w:pPr>
            <w:r>
              <w:rPr>
                <w:rFonts w:ascii="Times New Roman"/>
                <w:sz w:val="18"/>
              </w:rPr>
              <w:t>3,181,822</w:t>
            </w:r>
          </w:p>
        </w:tc>
        <w:tc>
          <w:tcPr>
            <w:tcW w:w="1612" w:type="dxa"/>
            <w:tcBorders>
              <w:top w:val="nil" w:sz="6" w:space="0" w:color="auto"/>
              <w:left w:val="nil" w:sz="6" w:space="0" w:color="auto"/>
              <w:bottom w:val="single" w:sz="12" w:space="0" w:color="000000"/>
              <w:right w:val="nil" w:sz="6" w:space="0" w:color="auto"/>
            </w:tcBorders>
          </w:tcPr>
          <w:p>
            <w:pPr/>
          </w:p>
        </w:tc>
      </w:tr>
    </w:tbl>
    <w:p>
      <w:pPr>
        <w:pStyle w:val="BodyText"/>
        <w:spacing w:line="240" w:lineRule="auto" w:before="78"/>
        <w:ind w:left="857" w:right="91"/>
        <w:jc w:val="left"/>
      </w:pPr>
      <w:r>
        <w:rPr>
          <w:rFonts w:ascii="Times New Roman" w:hAnsi="Times New Roman" w:cs="Times New Roman" w:eastAsia="Times New Roman" w:hint="default"/>
        </w:rPr>
        <w:t>3</w:t>
      </w:r>
      <w:r>
        <w:rPr/>
        <w:t>、本公司无其他需要披露的日后事项。</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6"/>
        <w:spacing w:line="240" w:lineRule="auto" w:before="0"/>
        <w:ind w:left="125" w:right="91"/>
        <w:jc w:val="left"/>
        <w:rPr>
          <w:b w:val="0"/>
          <w:bCs w:val="0"/>
        </w:rPr>
      </w:pPr>
      <w:r>
        <w:rPr/>
        <w:t>十二、</w:t>
      </w:r>
      <w:r>
        <w:rPr>
          <w:spacing w:val="-12"/>
        </w:rPr>
        <w:t> </w:t>
      </w:r>
      <w:r>
        <w:rPr/>
        <w:t>其他重要事项说明</w:t>
      </w:r>
      <w:r>
        <w:rPr>
          <w:b w:val="0"/>
          <w:bCs w:val="0"/>
        </w:rPr>
      </w:r>
    </w:p>
    <w:p>
      <w:pPr>
        <w:tabs>
          <w:tab w:pos="853" w:val="left" w:leader="none"/>
        </w:tabs>
        <w:spacing w:before="125"/>
        <w:ind w:left="125" w:right="91" w:firstLine="0"/>
        <w:jc w:val="left"/>
        <w:rPr>
          <w:rFonts w:ascii="宋体" w:hAnsi="宋体" w:cs="宋体" w:eastAsia="宋体" w:hint="default"/>
          <w:sz w:val="21"/>
          <w:szCs w:val="21"/>
        </w:rPr>
      </w:pPr>
      <w:r>
        <w:rPr>
          <w:rFonts w:ascii="宋体" w:hAnsi="宋体" w:cs="宋体" w:eastAsia="宋体" w:hint="default"/>
          <w:b/>
          <w:bCs/>
          <w:w w:val="95"/>
          <w:sz w:val="21"/>
          <w:szCs w:val="21"/>
        </w:rPr>
        <w:t>(一)</w:t>
        <w:tab/>
      </w:r>
      <w:r>
        <w:rPr>
          <w:rFonts w:ascii="宋体" w:hAnsi="宋体" w:cs="宋体" w:eastAsia="宋体" w:hint="default"/>
          <w:b/>
          <w:bCs/>
          <w:sz w:val="21"/>
          <w:szCs w:val="21"/>
        </w:rPr>
        <w:t>期末无发行在外的、可转换为股份的金融工具</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3" w:footer="1003" w:top="1540" w:bottom="1200" w:left="1480" w:right="840"/>
        </w:sect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9"/>
          <w:szCs w:val="19"/>
        </w:rPr>
      </w:pPr>
    </w:p>
    <w:p>
      <w:pPr>
        <w:tabs>
          <w:tab w:pos="853" w:val="left" w:leader="none"/>
        </w:tabs>
        <w:spacing w:before="35"/>
        <w:ind w:left="125" w:right="91" w:firstLine="0"/>
        <w:jc w:val="left"/>
        <w:rPr>
          <w:rFonts w:ascii="宋体" w:hAnsi="宋体" w:cs="宋体" w:eastAsia="宋体" w:hint="default"/>
          <w:sz w:val="21"/>
          <w:szCs w:val="21"/>
        </w:rPr>
      </w:pPr>
      <w:r>
        <w:rPr>
          <w:rFonts w:ascii="宋体" w:hAnsi="宋体" w:cs="宋体" w:eastAsia="宋体" w:hint="default"/>
          <w:b/>
          <w:bCs/>
          <w:w w:val="95"/>
          <w:sz w:val="21"/>
          <w:szCs w:val="21"/>
        </w:rPr>
        <w:t>(二)</w:t>
        <w:tab/>
      </w:r>
      <w:r>
        <w:rPr>
          <w:rFonts w:ascii="宋体" w:hAnsi="宋体" w:cs="宋体" w:eastAsia="宋体" w:hint="default"/>
          <w:b/>
          <w:bCs/>
          <w:sz w:val="21"/>
          <w:szCs w:val="21"/>
        </w:rPr>
        <w:t>以公允价值计量的资产和负债</w:t>
      </w:r>
      <w:r>
        <w:rPr>
          <w:rFonts w:ascii="宋体" w:hAnsi="宋体" w:cs="宋体" w:eastAsia="宋体" w:hint="default"/>
          <w:sz w:val="21"/>
          <w:szCs w:val="21"/>
        </w:rPr>
      </w:r>
    </w:p>
    <w:p>
      <w:pPr>
        <w:spacing w:line="240" w:lineRule="auto" w:before="6"/>
        <w:rPr>
          <w:rFonts w:ascii="宋体" w:hAnsi="宋体" w:cs="宋体" w:eastAsia="宋体" w:hint="default"/>
          <w:b/>
          <w:bCs/>
          <w:sz w:val="9"/>
          <w:szCs w:val="9"/>
        </w:rPr>
      </w:pPr>
    </w:p>
    <w:p>
      <w:pPr>
        <w:spacing w:before="44"/>
        <w:ind w:left="0" w:right="966" w:firstLine="0"/>
        <w:jc w:val="right"/>
        <w:rPr>
          <w:rFonts w:ascii="宋体" w:hAnsi="宋体" w:cs="宋体" w:eastAsia="宋体" w:hint="default"/>
          <w:sz w:val="18"/>
          <w:szCs w:val="18"/>
        </w:rPr>
      </w:pPr>
      <w:r>
        <w:rPr>
          <w:rFonts w:ascii="宋体" w:hAnsi="宋体" w:cs="宋体" w:eastAsia="宋体" w:hint="default"/>
          <w:sz w:val="18"/>
          <w:szCs w:val="18"/>
        </w:rPr>
        <w:t>单位：人民币元</w:t>
      </w:r>
    </w:p>
    <w:p>
      <w:pPr>
        <w:spacing w:line="240" w:lineRule="auto" w:before="1"/>
        <w:rPr>
          <w:rFonts w:ascii="宋体" w:hAnsi="宋体" w:cs="宋体" w:eastAsia="宋体" w:hint="default"/>
          <w:sz w:val="2"/>
          <w:szCs w:val="2"/>
        </w:rPr>
      </w:pPr>
    </w:p>
    <w:p>
      <w:pPr>
        <w:spacing w:line="5360" w:lineRule="exact"/>
        <w:ind w:left="720" w:right="0" w:firstLine="0"/>
        <w:rPr>
          <w:rFonts w:ascii="宋体" w:hAnsi="宋体" w:cs="宋体" w:eastAsia="宋体" w:hint="default"/>
          <w:sz w:val="20"/>
          <w:szCs w:val="20"/>
        </w:rPr>
      </w:pPr>
      <w:r>
        <w:rPr>
          <w:rFonts w:ascii="宋体" w:hAnsi="宋体" w:cs="宋体" w:eastAsia="宋体" w:hint="default"/>
          <w:position w:val="-106"/>
          <w:sz w:val="20"/>
          <w:szCs w:val="20"/>
        </w:rPr>
        <w:pict>
          <v:group style="width:437.15pt;height:268.05pt;mso-position-horizontal-relative:char;mso-position-vertical-relative:line" coordorigin="0,0" coordsize="8743,5361">
            <v:group style="position:absolute;left:29;top:15;width:3923;height:2" coordorigin="29,15" coordsize="3923,2">
              <v:shape style="position:absolute;left:29;top:15;width:3923;height:2" coordorigin="29,15" coordsize="3923,0" path="m29,15l3952,15e" filled="false" stroked="true" strokeweight="1.5pt" strokecolor="#000000">
                <v:path arrowok="t"/>
              </v:shape>
            </v:group>
            <v:group style="position:absolute;left:3952;top:15;width:1209;height:2" coordorigin="3952,15" coordsize="1209,2">
              <v:shape style="position:absolute;left:3952;top:15;width:1209;height:2" coordorigin="3952,15" coordsize="1209,0" path="m3952,15l5161,15e" filled="false" stroked="true" strokeweight="1.5pt" strokecolor="#000000">
                <v:path arrowok="t"/>
              </v:shape>
            </v:group>
            <v:group style="position:absolute;left:5161;top:15;width:3554;height:2" coordorigin="5161,15" coordsize="3554,2">
              <v:shape style="position:absolute;left:5161;top:15;width:3554;height:2" coordorigin="5161,15" coordsize="3554,0" path="m5161,15l8714,15e" filled="false" stroked="true" strokeweight="1.5pt" strokecolor="#000000">
                <v:path arrowok="t"/>
              </v:shape>
              <v:shape style="position:absolute;left:2928;top:10;width:4580;height:840" type="#_x0000_t75" stroked="false">
                <v:imagedata r:id="rId379" o:title=""/>
              </v:shape>
            </v:group>
            <v:group style="position:absolute;left:15;top:5345;width:2933;height:2" coordorigin="15,5345" coordsize="2933,2">
              <v:shape style="position:absolute;left:15;top:5345;width:2933;height:2" coordorigin="15,5345" coordsize="2933,0" path="m15,5345l2948,5345e" filled="false" stroked="true" strokeweight="1.5pt" strokecolor="#000000">
                <v:path arrowok="t"/>
              </v:shape>
            </v:group>
            <v:group style="position:absolute;left:2948;top:5345;width:975;height:2" coordorigin="2948,5345" coordsize="975,2">
              <v:shape style="position:absolute;left:2948;top:5345;width:975;height:2" coordorigin="2948,5345" coordsize="975,0" path="m2948,5345l3922,5345e" filled="false" stroked="true" strokeweight="1.5pt" strokecolor="#000000">
                <v:path arrowok="t"/>
              </v:shape>
            </v:group>
            <v:group style="position:absolute;left:3922;top:5345;width:30;height:2" coordorigin="3922,5345" coordsize="30,2">
              <v:shape style="position:absolute;left:3922;top:5345;width:30;height:2" coordorigin="3922,5345" coordsize="30,0" path="m3922,5345l3952,5345e" filled="false" stroked="true" strokeweight="1.5pt" strokecolor="#000000">
                <v:path arrowok="t"/>
              </v:shape>
            </v:group>
            <v:group style="position:absolute;left:3952;top:5345;width:1209;height:2" coordorigin="3952,5345" coordsize="1209,2">
              <v:shape style="position:absolute;left:3952;top:5345;width:1209;height:2" coordorigin="3952,5345" coordsize="1209,0" path="m3952,5345l5161,5345e" filled="false" stroked="true" strokeweight="1.5pt" strokecolor="#000000">
                <v:path arrowok="t"/>
              </v:shape>
            </v:group>
            <v:group style="position:absolute;left:5161;top:5345;width:1372;height:2" coordorigin="5161,5345" coordsize="1372,2">
              <v:shape style="position:absolute;left:5161;top:5345;width:1372;height:2" coordorigin="5161,5345" coordsize="1372,0" path="m5161,5345l6532,5345e" filled="false" stroked="true" strokeweight="1.5pt" strokecolor="#000000">
                <v:path arrowok="t"/>
              </v:shape>
            </v:group>
            <v:group style="position:absolute;left:6532;top:5345;width:947;height:2" coordorigin="6532,5345" coordsize="947,2">
              <v:shape style="position:absolute;left:6532;top:5345;width:947;height:2" coordorigin="6532,5345" coordsize="947,0" path="m6532,5345l7479,5345e" filled="false" stroked="true" strokeweight="1.5pt" strokecolor="#000000">
                <v:path arrowok="t"/>
              </v:shape>
              <v:shape style="position:absolute;left:1;top:805;width:8742;height:4525" type="#_x0000_t75" stroked="false">
                <v:imagedata r:id="rId380" o:title=""/>
              </v:shape>
            </v:group>
            <v:group style="position:absolute;left:7479;top:5345;width:1235;height:2" coordorigin="7479,5345" coordsize="1235,2">
              <v:shape style="position:absolute;left:7479;top:5345;width:1235;height:2" coordorigin="7479,5345" coordsize="1235,0" path="m7479,5345l8714,5345e" filled="false" stroked="true" strokeweight="1.5pt" strokecolor="#000000">
                <v:path arrowok="t"/>
              </v:shape>
              <v:shape style="position:absolute;left:4006;top:222;width:336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本期公允价值 计入权益的累计 </w:t>
                      </w:r>
                      <w:r>
                        <w:rPr>
                          <w:rFonts w:ascii="宋体" w:hAnsi="宋体" w:cs="宋体" w:eastAsia="宋体" w:hint="default"/>
                          <w:spacing w:val="33"/>
                          <w:sz w:val="18"/>
                          <w:szCs w:val="18"/>
                        </w:rPr>
                        <w:t> </w:t>
                      </w:r>
                      <w:r>
                        <w:rPr>
                          <w:rFonts w:ascii="宋体" w:hAnsi="宋体" w:cs="宋体" w:eastAsia="宋体" w:hint="default"/>
                          <w:sz w:val="18"/>
                          <w:szCs w:val="18"/>
                        </w:rPr>
                        <w:t>本期计提</w:t>
                      </w:r>
                    </w:p>
                  </w:txbxContent>
                </v:textbox>
                <w10:wrap type="none"/>
              </v:shape>
              <v:shape style="position:absolute;left:1131;top:42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1671;top:42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3080;top:42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7738;top:42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4186;top:623;width:3094;height:180" type="#_x0000_t202" filled="false" stroked="false">
                <v:textbox inset="0,0,0,0">
                  <w:txbxContent>
                    <w:p>
                      <w:pPr>
                        <w:tabs>
                          <w:tab w:pos="1123" w:val="left" w:leader="none"/>
                          <w:tab w:pos="255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变动损益</w:t>
                        <w:tab/>
                        <w:t>公允价值变动</w:t>
                        <w:tab/>
                        <w:t>的减值</w:t>
                      </w:r>
                    </w:p>
                  </w:txbxContent>
                </v:textbox>
                <w10:wrap type="none"/>
              </v:shape>
              <v:shape style="position:absolute;left:85;top:1032;width:2815;height:60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金融资产</w:t>
                      </w:r>
                    </w:p>
                    <w:p>
                      <w:pPr>
                        <w:spacing w:line="240" w:lineRule="auto" w:before="5"/>
                        <w:rPr>
                          <w:rFonts w:ascii="宋体" w:hAnsi="宋体" w:cs="宋体" w:eastAsia="宋体" w:hint="default"/>
                          <w:sz w:val="13"/>
                          <w:szCs w:val="13"/>
                        </w:rPr>
                      </w:pPr>
                    </w:p>
                    <w:p>
                      <w:pPr>
                        <w:spacing w:line="245"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、以公允价值计量且其变动计入当</w:t>
                      </w:r>
                    </w:p>
                  </w:txbxContent>
                </v:textbox>
                <w10:wrap type="none"/>
              </v:shape>
              <v:shape style="position:absolute;left:3287;top:166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969,350</w:t>
                      </w:r>
                    </w:p>
                  </w:txbxContent>
                </v:textbox>
                <w10:wrap type="none"/>
              </v:shape>
              <v:shape style="position:absolute;left:4466;top:1662;width:6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-106,180</w:t>
                      </w:r>
                    </w:p>
                  </w:txbxContent>
                </v:textbox>
                <w10:wrap type="none"/>
              </v:shape>
              <v:shape style="position:absolute;left:8074;top:166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863,170</w:t>
                      </w:r>
                    </w:p>
                  </w:txbxContent>
                </v:textbox>
                <w10:wrap type="none"/>
              </v:shape>
              <v:shape style="position:absolute;left:85;top:1842;width:2880;height:141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期损益的金融（不含衍生金融资产）</w:t>
                      </w:r>
                    </w:p>
                    <w:p>
                      <w:pPr>
                        <w:spacing w:line="240" w:lineRule="auto" w:before="5"/>
                        <w:rPr>
                          <w:rFonts w:ascii="宋体" w:hAnsi="宋体" w:cs="宋体" w:eastAsia="宋体" w:hint="default"/>
                          <w:sz w:val="13"/>
                          <w:szCs w:val="13"/>
                        </w:rPr>
                      </w:pPr>
                    </w:p>
                    <w:p>
                      <w:pPr>
                        <w:spacing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、衍生金融资产</w:t>
                      </w:r>
                    </w:p>
                    <w:p>
                      <w:pPr>
                        <w:spacing w:line="390" w:lineRule="atLeast" w:before="20"/>
                        <w:ind w:left="0" w:right="116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 金融资产小计</w:t>
                      </w:r>
                    </w:p>
                  </w:txbxContent>
                </v:textbox>
                <w10:wrap type="none"/>
              </v:shape>
              <v:shape style="position:absolute;left:3287;top:309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969,350</w:t>
                      </w:r>
                    </w:p>
                  </w:txbxContent>
                </v:textbox>
                <w10:wrap type="none"/>
              </v:shape>
              <v:shape style="position:absolute;left:4466;top:3092;width:6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-106,180</w:t>
                      </w:r>
                    </w:p>
                  </w:txbxContent>
                </v:textbox>
                <w10:wrap type="none"/>
              </v:shape>
              <v:shape style="position:absolute;left:8074;top:309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863,170</w:t>
                      </w:r>
                    </w:p>
                  </w:txbxContent>
                </v:textbox>
                <w10:wrap type="none"/>
              </v:shape>
              <v:shape style="position:absolute;left:85;top:3483;width:1260;height:59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投资性房地产</w:t>
                      </w:r>
                    </w:p>
                    <w:p>
                      <w:pPr>
                        <w:spacing w:line="240" w:lineRule="auto" w:before="5"/>
                        <w:rPr>
                          <w:rFonts w:ascii="宋体" w:hAnsi="宋体" w:cs="宋体" w:eastAsia="宋体" w:hint="default"/>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生产性生物资产</w:t>
                      </w:r>
                    </w:p>
                  </w:txbxContent>
                </v:textbox>
                <w10:wrap type="none"/>
              </v:shape>
              <v:shape style="position:absolute;left:85;top:430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w:t>
                      </w:r>
                    </w:p>
                  </w:txbxContent>
                </v:textbox>
                <w10:wrap type="none"/>
              </v:shape>
              <v:shape style="position:absolute;left:625;top:430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他</w:t>
                      </w:r>
                    </w:p>
                  </w:txbxContent>
                </v:textbox>
                <w10:wrap type="none"/>
              </v:shape>
              <v:shape style="position:absolute;left:1131;top:47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上述合计</w:t>
                      </w:r>
                    </w:p>
                  </w:txbxContent>
                </v:textbox>
                <w10:wrap type="none"/>
              </v:shape>
              <v:shape style="position:absolute;left:3287;top:473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969,350</w:t>
                      </w:r>
                    </w:p>
                  </w:txbxContent>
                </v:textbox>
                <w10:wrap type="none"/>
              </v:shape>
              <v:shape style="position:absolute;left:4466;top:4732;width:6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-106,180</w:t>
                      </w:r>
                    </w:p>
                  </w:txbxContent>
                </v:textbox>
                <w10:wrap type="none"/>
              </v:shape>
              <v:shape style="position:absolute;left:8074;top:473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863,170</w:t>
                      </w:r>
                    </w:p>
                  </w:txbxContent>
                </v:textbox>
                <w10:wrap type="none"/>
              </v:shape>
              <v:shape style="position:absolute;left:85;top:512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金融负债</w:t>
                      </w:r>
                    </w:p>
                  </w:txbxContent>
                </v:textbox>
                <w10:wrap type="none"/>
              </v:shape>
              <v:shape style="position:absolute;left:3152;top:514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1,227,304</w:t>
                      </w:r>
                    </w:p>
                  </w:txbxContent>
                </v:textbox>
                <w10:wrap type="none"/>
              </v:shape>
              <v:shape style="position:absolute;left:4390;top:514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1,056,737</w:t>
                      </w:r>
                    </w:p>
                  </w:txbxContent>
                </v:textbox>
                <w10:wrap type="none"/>
              </v:shape>
              <v:shape style="position:absolute;left:8074;top:5142;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170,567</w:t>
                      </w:r>
                    </w:p>
                  </w:txbxContent>
                </v:textbox>
                <w10:wrap type="none"/>
              </v:shape>
            </v:group>
          </v:group>
        </w:pict>
      </w:r>
      <w:r>
        <w:rPr>
          <w:rFonts w:ascii="宋体" w:hAnsi="宋体" w:cs="宋体" w:eastAsia="宋体" w:hint="default"/>
          <w:position w:val="-106"/>
          <w:sz w:val="20"/>
          <w:szCs w:val="20"/>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6"/>
        <w:tabs>
          <w:tab w:pos="853" w:val="left" w:leader="none"/>
        </w:tabs>
        <w:spacing w:line="240" w:lineRule="auto" w:before="0"/>
        <w:ind w:left="125" w:right="91"/>
        <w:jc w:val="left"/>
        <w:rPr>
          <w:b w:val="0"/>
          <w:bCs w:val="0"/>
        </w:rPr>
      </w:pPr>
      <w:r>
        <w:rPr>
          <w:w w:val="95"/>
        </w:rPr>
        <w:t>(三)</w:t>
        <w:tab/>
      </w:r>
      <w:r>
        <w:rPr/>
        <w:t>年金计划主要内容及重大变化</w:t>
      </w:r>
      <w:r>
        <w:rPr>
          <w:b w:val="0"/>
          <w:bCs w:val="0"/>
        </w:rPr>
      </w:r>
    </w:p>
    <w:p>
      <w:pPr>
        <w:pStyle w:val="BodyText"/>
        <w:spacing w:line="340" w:lineRule="auto" w:before="115"/>
        <w:ind w:left="857" w:right="114"/>
        <w:jc w:val="both"/>
      </w:pPr>
      <w:r>
        <w:rPr/>
        <w:t>公司从</w:t>
      </w:r>
      <w:r>
        <w:rPr>
          <w:spacing w:val="-41"/>
        </w:rPr>
        <w:t> </w:t>
      </w:r>
      <w:r>
        <w:rPr/>
        <w:t>2008</w:t>
      </w:r>
      <w:r>
        <w:rPr>
          <w:spacing w:val="-41"/>
        </w:rPr>
        <w:t> </w:t>
      </w:r>
      <w:r>
        <w:rPr/>
        <w:t>年</w:t>
      </w:r>
      <w:r>
        <w:rPr>
          <w:spacing w:val="-41"/>
        </w:rPr>
        <w:t> </w:t>
      </w:r>
      <w:r>
        <w:rPr/>
        <w:t>1</w:t>
      </w:r>
      <w:r>
        <w:rPr>
          <w:spacing w:val="-40"/>
        </w:rPr>
        <w:t> </w:t>
      </w:r>
      <w:r>
        <w:rPr/>
        <w:t>月起实施了企业年金计划，与公司签订劳动合同，并为公司连续服务满</w:t>
      </w:r>
      <w:r>
        <w:rPr>
          <w:spacing w:val="-41"/>
        </w:rPr>
        <w:t> </w:t>
      </w:r>
      <w:r>
        <w:rPr/>
        <w:t>1</w:t>
      </w:r>
      <w:r>
        <w:rPr>
          <w:spacing w:val="-40"/>
        </w:rPr>
        <w:t> </w:t>
      </w:r>
      <w:r>
        <w:rPr/>
        <w:t>年</w:t>
      </w:r>
      <w:r>
        <w:rPr/>
        <w:t> </w:t>
      </w:r>
      <w:r>
        <w:rPr>
          <w:spacing w:val="-1"/>
        </w:rPr>
        <w:t>且已经依法参加了基本养老保险，并且履行缴费义务的正式员工均有资格自愿参加企业年金计</w:t>
      </w:r>
      <w:r>
        <w:rPr>
          <w:spacing w:val="-92"/>
        </w:rPr>
        <w:t> </w:t>
      </w:r>
      <w:r>
        <w:rPr>
          <w:spacing w:val="-92"/>
        </w:rPr>
      </w:r>
      <w:r>
        <w:rPr>
          <w:spacing w:val="-1"/>
        </w:rPr>
        <w:t>划。本计划的资金由公司和计划参加人共同缴纳，实行按月计提，按季缴费，对于根据年金计</w:t>
      </w:r>
      <w:r>
        <w:rPr>
          <w:spacing w:val="-96"/>
        </w:rPr>
        <w:t> </w:t>
      </w:r>
      <w:r>
        <w:rPr>
          <w:spacing w:val="-96"/>
        </w:rPr>
      </w:r>
      <w:r>
        <w:rPr/>
        <w:t>划应由公司负担的缴费的部分，直接计入相关成本费用。公司对该计划以企业年金基金形式、 </w:t>
      </w:r>
      <w:r>
        <w:rPr>
          <w:spacing w:val="-1"/>
        </w:rPr>
        <w:t>采用信托方式实行专户管理，该企业年金基金与公司的固有资产或其他资产严格分开，不纳入</w:t>
      </w:r>
      <w:r>
        <w:rPr>
          <w:spacing w:val="-94"/>
        </w:rPr>
        <w:t> </w:t>
      </w:r>
      <w:r>
        <w:rPr>
          <w:spacing w:val="-94"/>
        </w:rPr>
      </w:r>
      <w:r>
        <w:rPr/>
        <w:t>公司的财务报表。</w:t>
      </w:r>
    </w:p>
    <w:p>
      <w:pPr>
        <w:spacing w:line="240" w:lineRule="auto" w:before="0"/>
        <w:rPr>
          <w:rFonts w:ascii="宋体" w:hAnsi="宋体" w:cs="宋体" w:eastAsia="宋体" w:hint="default"/>
          <w:sz w:val="20"/>
          <w:szCs w:val="20"/>
        </w:rPr>
      </w:pPr>
    </w:p>
    <w:p>
      <w:pPr>
        <w:pStyle w:val="Heading6"/>
        <w:tabs>
          <w:tab w:pos="853" w:val="left" w:leader="none"/>
        </w:tabs>
        <w:spacing w:line="240" w:lineRule="auto" w:before="155"/>
        <w:ind w:left="125" w:right="91"/>
        <w:jc w:val="left"/>
        <w:rPr>
          <w:b w:val="0"/>
          <w:bCs w:val="0"/>
        </w:rPr>
      </w:pPr>
      <w:r>
        <w:rPr>
          <w:w w:val="95"/>
        </w:rPr>
        <w:t>(四)</w:t>
        <w:tab/>
      </w:r>
      <w:r>
        <w:rPr/>
        <w:t>无其他需要披露的重要事项</w:t>
      </w:r>
      <w:r>
        <w:rPr>
          <w:b w:val="0"/>
          <w:bCs w:val="0"/>
        </w:rPr>
      </w:r>
    </w:p>
    <w:p>
      <w:pPr>
        <w:spacing w:after="0" w:line="240" w:lineRule="auto"/>
        <w:jc w:val="left"/>
        <w:sectPr>
          <w:pgSz w:w="11910" w:h="16840"/>
          <w:pgMar w:header="883" w:footer="1003" w:top="1540" w:bottom="1200" w:left="1480" w:right="840"/>
        </w:sectPr>
      </w:pPr>
    </w:p>
    <w:p>
      <w:pPr>
        <w:spacing w:line="240" w:lineRule="auto" w:before="13"/>
        <w:rPr>
          <w:rFonts w:ascii="宋体" w:hAnsi="宋体" w:cs="宋体" w:eastAsia="宋体" w:hint="default"/>
          <w:b/>
          <w:bCs/>
          <w:sz w:val="7"/>
          <w:szCs w:val="7"/>
        </w:rPr>
      </w:pPr>
    </w:p>
    <w:p>
      <w:pPr>
        <w:tabs>
          <w:tab w:pos="853" w:val="left" w:leader="none"/>
        </w:tabs>
        <w:spacing w:line="340" w:lineRule="auto" w:before="35"/>
        <w:ind w:left="125" w:right="6327" w:firstLine="0"/>
        <w:jc w:val="left"/>
        <w:rPr>
          <w:rFonts w:ascii="宋体" w:hAnsi="宋体" w:cs="宋体" w:eastAsia="宋体" w:hint="default"/>
          <w:sz w:val="21"/>
          <w:szCs w:val="21"/>
        </w:rPr>
      </w:pPr>
      <w:r>
        <w:rPr>
          <w:rFonts w:ascii="宋体" w:hAnsi="宋体" w:cs="宋体" w:eastAsia="宋体" w:hint="default"/>
          <w:b/>
          <w:bCs/>
          <w:sz w:val="21"/>
          <w:szCs w:val="21"/>
        </w:rPr>
        <w:t>十三、</w:t>
      </w:r>
      <w:r>
        <w:rPr>
          <w:rFonts w:ascii="宋体" w:hAnsi="宋体" w:cs="宋体" w:eastAsia="宋体" w:hint="default"/>
          <w:b/>
          <w:bCs/>
          <w:spacing w:val="-12"/>
          <w:sz w:val="21"/>
          <w:szCs w:val="21"/>
        </w:rPr>
        <w:t> </w:t>
      </w:r>
      <w:r>
        <w:rPr>
          <w:rFonts w:ascii="宋体" w:hAnsi="宋体" w:cs="宋体" w:eastAsia="宋体" w:hint="default"/>
          <w:b/>
          <w:bCs/>
          <w:sz w:val="21"/>
          <w:szCs w:val="21"/>
        </w:rPr>
        <w:t>母公司财务报表主要项目注释</w:t>
      </w:r>
      <w:r>
        <w:rPr>
          <w:rFonts w:ascii="宋体" w:hAnsi="宋体" w:cs="宋体" w:eastAsia="宋体" w:hint="default"/>
          <w:b/>
          <w:bCs/>
          <w:spacing w:val="1"/>
          <w:w w:val="99"/>
          <w:sz w:val="21"/>
          <w:szCs w:val="21"/>
        </w:rPr>
        <w:t> </w:t>
      </w:r>
      <w:r>
        <w:rPr>
          <w:rFonts w:ascii="宋体" w:hAnsi="宋体" w:cs="宋体" w:eastAsia="宋体" w:hint="default"/>
          <w:b/>
          <w:bCs/>
          <w:w w:val="95"/>
          <w:sz w:val="21"/>
          <w:szCs w:val="21"/>
        </w:rPr>
        <w:t>(一)</w:t>
        <w:tab/>
      </w:r>
      <w:r>
        <w:rPr>
          <w:rFonts w:ascii="宋体" w:hAnsi="宋体" w:cs="宋体" w:eastAsia="宋体" w:hint="default"/>
          <w:b/>
          <w:bCs/>
          <w:sz w:val="21"/>
          <w:szCs w:val="21"/>
        </w:rPr>
        <w:t>应收账款</w:t>
      </w:r>
      <w:r>
        <w:rPr>
          <w:rFonts w:ascii="宋体" w:hAnsi="宋体" w:cs="宋体" w:eastAsia="宋体" w:hint="default"/>
          <w:sz w:val="21"/>
          <w:szCs w:val="21"/>
        </w:rPr>
      </w:r>
    </w:p>
    <w:p>
      <w:pPr>
        <w:tabs>
          <w:tab w:pos="1395" w:val="left" w:leader="none"/>
        </w:tabs>
        <w:spacing w:before="27"/>
        <w:ind w:left="857" w:right="243" w:firstLine="0"/>
        <w:jc w:val="left"/>
        <w:rPr>
          <w:rFonts w:ascii="宋体" w:hAnsi="宋体" w:cs="宋体" w:eastAsia="宋体" w:hint="default"/>
          <w:sz w:val="21"/>
          <w:szCs w:val="21"/>
        </w:rPr>
      </w:pPr>
      <w:r>
        <w:rPr/>
        <w:pict>
          <v:group style="position:absolute;margin-left:110.040001pt;margin-top:16.67485pt;width:438.05pt;height:219pt;mso-position-horizontal-relative:page;mso-position-vertical-relative:paragraph;z-index:-1102696" coordorigin="2201,333" coordsize="8761,4380">
            <v:group style="position:absolute;left:2230;top:348;width:5534;height:2" coordorigin="2230,348" coordsize="5534,2">
              <v:shape style="position:absolute;left:2230;top:348;width:5534;height:2" coordorigin="2230,348" coordsize="5534,0" path="m2230,348l7763,348e" filled="false" stroked="true" strokeweight="1.5pt" strokecolor="#000000">
                <v:path arrowok="t"/>
              </v:shape>
            </v:group>
            <v:group style="position:absolute;left:7763;top:348;width:3173;height:2" coordorigin="7763,348" coordsize="3173,2">
              <v:shape style="position:absolute;left:7763;top:348;width:3173;height:2" coordorigin="7763,348" coordsize="3173,0" path="m7763,348l10936,348e" filled="false" stroked="true" strokeweight="1.5pt" strokecolor="#000000">
                <v:path arrowok="t"/>
              </v:shape>
              <v:shape style="position:absolute;left:4554;top:335;width:3217;height:448" type="#_x0000_t75" stroked="false">
                <v:imagedata r:id="rId381" o:title=""/>
              </v:shape>
              <v:shape style="position:absolute;left:4564;top:734;width:6397;height:1229" type="#_x0000_t75" stroked="false">
                <v:imagedata r:id="rId382" o:title=""/>
              </v:shape>
              <v:shape style="position:absolute;left:2201;top:1925;width:8761;height:2789" type="#_x0000_t75" stroked="false">
                <v:imagedata r:id="rId383" o:title=""/>
              </v:shape>
              <v:shape style="position:absolute;left:5786;top:54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960;top:54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5052;top:9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6626;top:9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8201;top:9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9800;top:9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3032;top:114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w:t>
                      </w:r>
                    </w:p>
                  </w:txbxContent>
                </v:textbox>
                <w10:wrap type="none"/>
              </v:shape>
              <v:shape style="position:absolute;left:3572;top:114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w:t>
                      </w:r>
                    </w:p>
                  </w:txbxContent>
                </v:textbox>
                <w10:wrap type="none"/>
              </v:shape>
              <v:shape style="position:absolute;left:5726;top:134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7280;top:134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8902;top:134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10452;top:134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4885;top:1541;width:5883;height:396" type="#_x0000_t202" filled="false" stroked="false">
                <v:textbox inset="0,0,0,0">
                  <w:txbxContent>
                    <w:p>
                      <w:pPr>
                        <w:tabs>
                          <w:tab w:pos="1659" w:val="left" w:leader="none"/>
                          <w:tab w:pos="3176" w:val="left" w:leader="none"/>
                          <w:tab w:pos="4808"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tab/>
                        <w:t>金额</w:t>
                        <w:tab/>
                        <w:t>金额</w:t>
                        <w:tab/>
                        <w:t>金额</w:t>
                      </w:r>
                    </w:p>
                    <w:p>
                      <w:pPr>
                        <w:tabs>
                          <w:tab w:pos="2439" w:val="left" w:leader="none"/>
                          <w:tab w:pos="4060" w:val="left" w:leader="none"/>
                          <w:tab w:pos="5612" w:val="left" w:leader="none"/>
                        </w:tabs>
                        <w:spacing w:line="203" w:lineRule="exact" w:before="12"/>
                        <w:ind w:left="885" w:right="0" w:firstLine="0"/>
                        <w:jc w:val="left"/>
                        <w:rPr>
                          <w:rFonts w:ascii="Times New Roman" w:hAnsi="Times New Roman" w:cs="Times New Roman" w:eastAsia="Times New Roman" w:hint="default"/>
                          <w:sz w:val="18"/>
                          <w:szCs w:val="18"/>
                        </w:rPr>
                      </w:pPr>
                      <w:r>
                        <w:rPr>
                          <w:rFonts w:ascii="Times New Roman"/>
                          <w:sz w:val="18"/>
                        </w:rPr>
                        <w:t>(%)</w:t>
                        <w:tab/>
                        <w:t>(%)</w:t>
                        <w:tab/>
                        <w:t>(%)</w:t>
                        <w:tab/>
                        <w:t>(%)</w:t>
                      </w:r>
                    </w:p>
                  </w:txbxContent>
                </v:textbox>
                <w10:wrap type="none"/>
              </v:shape>
              <v:shape style="position:absolute;left:2254;top:2136;width:22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单项金额重大并单项计提坏</w:t>
                      </w:r>
                      <w:r>
                        <w:rPr>
                          <w:rFonts w:ascii="宋体" w:hAnsi="宋体" w:cs="宋体" w:eastAsia="宋体" w:hint="default"/>
                          <w:sz w:val="18"/>
                          <w:szCs w:val="18"/>
                        </w:rPr>
                      </w:r>
                    </w:p>
                  </w:txbxContent>
                </v:textbox>
                <w10:wrap type="none"/>
              </v:shape>
              <v:shape style="position:absolute;left:4619;top:235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185,834,934</w:t>
                      </w:r>
                    </w:p>
                  </w:txbxContent>
                </v:textbox>
                <w10:wrap type="none"/>
              </v:shape>
              <v:shape style="position:absolute;left:5808;top:2351;width:5073;height:180" type="#_x0000_t202" filled="false" stroked="false">
                <v:textbox inset="0,0,0,0">
                  <w:txbxContent>
                    <w:p>
                      <w:pPr>
                        <w:tabs>
                          <w:tab w:pos="1560" w:val="left" w:leader="none"/>
                          <w:tab w:pos="3154" w:val="left" w:leader="none"/>
                          <w:tab w:pos="3777" w:val="left" w:leader="none"/>
                          <w:tab w:pos="475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34.10 </w:t>
                      </w:r>
                      <w:r>
                        <w:rPr>
                          <w:rFonts w:ascii="Times New Roman"/>
                          <w:spacing w:val="43"/>
                          <w:sz w:val="18"/>
                        </w:rPr>
                        <w:t> </w:t>
                      </w:r>
                      <w:r>
                        <w:rPr>
                          <w:rFonts w:ascii="Times New Roman"/>
                          <w:sz w:val="18"/>
                        </w:rPr>
                        <w:t>13,626,325</w:t>
                        <w:tab/>
                        <w:t>7.33  </w:t>
                      </w:r>
                      <w:r>
                        <w:rPr>
                          <w:rFonts w:ascii="Times New Roman"/>
                          <w:spacing w:val="13"/>
                          <w:sz w:val="18"/>
                        </w:rPr>
                        <w:t> </w:t>
                      </w:r>
                      <w:r>
                        <w:rPr>
                          <w:rFonts w:ascii="Times New Roman"/>
                          <w:spacing w:val="-1"/>
                          <w:sz w:val="18"/>
                        </w:rPr>
                        <w:t>117,159,077</w:t>
                        <w:tab/>
                      </w:r>
                      <w:r>
                        <w:rPr>
                          <w:rFonts w:ascii="Times New Roman"/>
                          <w:spacing w:val="-2"/>
                          <w:sz w:val="18"/>
                        </w:rPr>
                        <w:t>31.11</w:t>
                        <w:tab/>
                      </w:r>
                      <w:r>
                        <w:rPr>
                          <w:rFonts w:ascii="Times New Roman"/>
                          <w:sz w:val="18"/>
                        </w:rPr>
                        <w:t>9,903,231</w:t>
                        <w:tab/>
                        <w:t>8.45</w:t>
                      </w:r>
                    </w:p>
                  </w:txbxContent>
                </v:textbox>
                <w10:wrap type="none"/>
              </v:shape>
              <v:shape style="position:absolute;left:2254;top:2526;width:2290;height:58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账准备的应收账款</w:t>
                      </w:r>
                    </w:p>
                    <w:p>
                      <w:pPr>
                        <w:spacing w:line="240" w:lineRule="auto" w:before="8"/>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按组合计提坏账准备的应收</w:t>
                      </w:r>
                      <w:r>
                        <w:rPr>
                          <w:rFonts w:ascii="宋体" w:hAnsi="宋体" w:cs="宋体" w:eastAsia="宋体" w:hint="default"/>
                          <w:sz w:val="18"/>
                          <w:szCs w:val="18"/>
                        </w:rPr>
                      </w:r>
                    </w:p>
                  </w:txbxContent>
                </v:textbox>
                <w10:wrap type="none"/>
              </v:shape>
              <v:shape style="position:absolute;left:4619;top:3141;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317,436,339</w:t>
                      </w:r>
                    </w:p>
                  </w:txbxContent>
                </v:textbox>
                <w10:wrap type="none"/>
              </v:shape>
              <v:shape style="position:absolute;left:5808;top:3141;width:5072;height:180" type="#_x0000_t202" filled="false" stroked="false">
                <v:textbox inset="0,0,0,0">
                  <w:txbxContent>
                    <w:p>
                      <w:pPr>
                        <w:tabs>
                          <w:tab w:pos="628" w:val="left" w:leader="none"/>
                          <w:tab w:pos="1560" w:val="left" w:leader="none"/>
                          <w:tab w:pos="3148" w:val="left" w:leader="none"/>
                          <w:tab w:pos="3777" w:val="left" w:leader="none"/>
                          <w:tab w:pos="4756"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58.25</w:t>
                        <w:tab/>
                        <w:t>6,059,356</w:t>
                        <w:tab/>
                        <w:t>1.91  </w:t>
                      </w:r>
                      <w:r>
                        <w:rPr>
                          <w:rFonts w:ascii="Times New Roman"/>
                          <w:spacing w:val="1"/>
                          <w:sz w:val="18"/>
                        </w:rPr>
                        <w:t> </w:t>
                      </w:r>
                      <w:r>
                        <w:rPr>
                          <w:rFonts w:ascii="Times New Roman"/>
                          <w:sz w:val="18"/>
                        </w:rPr>
                        <w:t>233,285,668</w:t>
                        <w:tab/>
                        <w:t>61.95</w:t>
                        <w:tab/>
                        <w:t>6,109,695</w:t>
                        <w:tab/>
                        <w:t>2.62</w:t>
                      </w:r>
                    </w:p>
                  </w:txbxContent>
                </v:textbox>
                <w10:wrap type="none"/>
              </v:shape>
              <v:shape style="position:absolute;left:2254;top:3317;width:2290;height:5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账款</w:t>
                      </w:r>
                    </w:p>
                    <w:p>
                      <w:pPr>
                        <w:spacing w:line="240" w:lineRule="auto" w:before="7"/>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单项金额虽不重大但单项计</w:t>
                      </w:r>
                      <w:r>
                        <w:rPr>
                          <w:rFonts w:ascii="宋体" w:hAnsi="宋体" w:cs="宋体" w:eastAsia="宋体" w:hint="default"/>
                          <w:sz w:val="18"/>
                          <w:szCs w:val="18"/>
                        </w:rPr>
                      </w:r>
                    </w:p>
                  </w:txbxContent>
                </v:textbox>
                <w10:wrap type="none"/>
              </v:shape>
            </v:group>
            <w10:wrap type="none"/>
          </v:group>
        </w:pict>
      </w:r>
      <w:r>
        <w:rPr>
          <w:rFonts w:ascii="宋体" w:hAnsi="宋体" w:cs="宋体" w:eastAsia="宋体" w:hint="default"/>
          <w:b/>
          <w:bCs/>
          <w:w w:val="95"/>
          <w:sz w:val="21"/>
          <w:szCs w:val="21"/>
        </w:rPr>
        <w:t>1、</w:t>
        <w:tab/>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tbl>
      <w:tblPr>
        <w:tblW w:w="0" w:type="auto"/>
        <w:jc w:val="left"/>
        <w:tblInd w:w="735" w:type="dxa"/>
        <w:tblLayout w:type="fixed"/>
        <w:tblCellMar>
          <w:top w:w="0" w:type="dxa"/>
          <w:left w:w="0" w:type="dxa"/>
          <w:bottom w:w="0" w:type="dxa"/>
          <w:right w:w="0" w:type="dxa"/>
        </w:tblCellMar>
        <w:tblLook w:val="01E0"/>
      </w:tblPr>
      <w:tblGrid>
        <w:gridCol w:w="3404"/>
        <w:gridCol w:w="661"/>
        <w:gridCol w:w="938"/>
        <w:gridCol w:w="535"/>
        <w:gridCol w:w="1042"/>
        <w:gridCol w:w="634"/>
        <w:gridCol w:w="962"/>
        <w:gridCol w:w="545"/>
      </w:tblGrid>
      <w:tr>
        <w:trPr>
          <w:trHeight w:val="394" w:hRule="exact"/>
        </w:trPr>
        <w:tc>
          <w:tcPr>
            <w:tcW w:w="3404" w:type="dxa"/>
            <w:tcBorders>
              <w:top w:val="nil" w:sz="6" w:space="0" w:color="auto"/>
              <w:left w:val="nil" w:sz="6" w:space="0" w:color="auto"/>
              <w:bottom w:val="nil" w:sz="6" w:space="0" w:color="auto"/>
              <w:right w:val="nil" w:sz="6" w:space="0" w:color="auto"/>
            </w:tcBorders>
          </w:tcPr>
          <w:p>
            <w:pPr>
              <w:pStyle w:val="TableParagraph"/>
              <w:spacing w:line="159" w:lineRule="exact"/>
              <w:ind w:right="97"/>
              <w:jc w:val="right"/>
              <w:rPr>
                <w:rFonts w:ascii="Times New Roman" w:hAnsi="Times New Roman" w:cs="Times New Roman" w:eastAsia="Times New Roman" w:hint="default"/>
                <w:sz w:val="18"/>
                <w:szCs w:val="18"/>
              </w:rPr>
            </w:pPr>
            <w:r>
              <w:rPr>
                <w:rFonts w:ascii="Times New Roman"/>
                <w:sz w:val="18"/>
              </w:rPr>
              <w:t>41,665,897</w:t>
            </w:r>
          </w:p>
          <w:p>
            <w:pPr>
              <w:pStyle w:val="TableParagraph"/>
              <w:spacing w:line="204" w:lineRule="exact"/>
              <w:ind w:left="38" w:right="0"/>
              <w:jc w:val="left"/>
              <w:rPr>
                <w:rFonts w:ascii="宋体" w:hAnsi="宋体" w:cs="宋体" w:eastAsia="宋体" w:hint="default"/>
                <w:sz w:val="18"/>
                <w:szCs w:val="18"/>
              </w:rPr>
            </w:pPr>
            <w:r>
              <w:rPr>
                <w:rFonts w:ascii="宋体" w:hAnsi="宋体" w:cs="宋体" w:eastAsia="宋体" w:hint="default"/>
                <w:sz w:val="18"/>
                <w:szCs w:val="18"/>
              </w:rPr>
              <w:t>提坏账准备的应收账款</w:t>
            </w:r>
          </w:p>
        </w:tc>
        <w:tc>
          <w:tcPr>
            <w:tcW w:w="661" w:type="dxa"/>
            <w:tcBorders>
              <w:top w:val="nil" w:sz="6" w:space="0" w:color="auto"/>
              <w:left w:val="nil" w:sz="6" w:space="0" w:color="auto"/>
              <w:bottom w:val="nil" w:sz="6" w:space="0" w:color="auto"/>
              <w:right w:val="nil" w:sz="6" w:space="0" w:color="auto"/>
            </w:tcBorders>
          </w:tcPr>
          <w:p>
            <w:pPr>
              <w:pStyle w:val="TableParagraph"/>
              <w:spacing w:line="190" w:lineRule="exact"/>
              <w:ind w:right="64"/>
              <w:jc w:val="right"/>
              <w:rPr>
                <w:rFonts w:ascii="Times New Roman" w:hAnsi="Times New Roman" w:cs="Times New Roman" w:eastAsia="Times New Roman" w:hint="default"/>
                <w:sz w:val="18"/>
                <w:szCs w:val="18"/>
              </w:rPr>
            </w:pPr>
            <w:r>
              <w:rPr>
                <w:rFonts w:ascii="Times New Roman"/>
                <w:sz w:val="18"/>
              </w:rPr>
              <w:t>7.65</w:t>
            </w:r>
          </w:p>
        </w:tc>
        <w:tc>
          <w:tcPr>
            <w:tcW w:w="938" w:type="dxa"/>
            <w:tcBorders>
              <w:top w:val="nil" w:sz="6" w:space="0" w:color="auto"/>
              <w:left w:val="nil" w:sz="6" w:space="0" w:color="auto"/>
              <w:bottom w:val="nil" w:sz="6" w:space="0" w:color="auto"/>
              <w:right w:val="nil" w:sz="6" w:space="0" w:color="auto"/>
            </w:tcBorders>
          </w:tcPr>
          <w:p>
            <w:pPr>
              <w:pStyle w:val="TableParagraph"/>
              <w:spacing w:line="190" w:lineRule="exact"/>
              <w:ind w:left="66" w:right="0"/>
              <w:jc w:val="left"/>
              <w:rPr>
                <w:rFonts w:ascii="Times New Roman" w:hAnsi="Times New Roman" w:cs="Times New Roman" w:eastAsia="Times New Roman" w:hint="default"/>
                <w:sz w:val="18"/>
                <w:szCs w:val="18"/>
              </w:rPr>
            </w:pPr>
            <w:r>
              <w:rPr>
                <w:rFonts w:ascii="Times New Roman"/>
                <w:sz w:val="18"/>
              </w:rPr>
              <w:t>12,705,717</w:t>
            </w:r>
          </w:p>
        </w:tc>
        <w:tc>
          <w:tcPr>
            <w:tcW w:w="535" w:type="dxa"/>
            <w:tcBorders>
              <w:top w:val="nil" w:sz="6" w:space="0" w:color="auto"/>
              <w:left w:val="nil" w:sz="6" w:space="0" w:color="auto"/>
              <w:bottom w:val="nil" w:sz="6" w:space="0" w:color="auto"/>
              <w:right w:val="nil" w:sz="6" w:space="0" w:color="auto"/>
            </w:tcBorders>
          </w:tcPr>
          <w:p>
            <w:pPr>
              <w:pStyle w:val="TableParagraph"/>
              <w:spacing w:line="190" w:lineRule="exact"/>
              <w:ind w:left="60" w:right="0"/>
              <w:jc w:val="left"/>
              <w:rPr>
                <w:rFonts w:ascii="Times New Roman" w:hAnsi="Times New Roman" w:cs="Times New Roman" w:eastAsia="Times New Roman" w:hint="default"/>
                <w:sz w:val="18"/>
                <w:szCs w:val="18"/>
              </w:rPr>
            </w:pPr>
            <w:r>
              <w:rPr>
                <w:rFonts w:ascii="Times New Roman"/>
                <w:sz w:val="18"/>
              </w:rPr>
              <w:t>30.49</w:t>
            </w:r>
          </w:p>
        </w:tc>
        <w:tc>
          <w:tcPr>
            <w:tcW w:w="1042" w:type="dxa"/>
            <w:tcBorders>
              <w:top w:val="nil" w:sz="6" w:space="0" w:color="auto"/>
              <w:left w:val="nil" w:sz="6" w:space="0" w:color="auto"/>
              <w:bottom w:val="nil" w:sz="6" w:space="0" w:color="auto"/>
              <w:right w:val="nil" w:sz="6" w:space="0" w:color="auto"/>
            </w:tcBorders>
          </w:tcPr>
          <w:p>
            <w:pPr>
              <w:pStyle w:val="TableParagraph"/>
              <w:spacing w:line="190" w:lineRule="exact"/>
              <w:ind w:left="86" w:right="0"/>
              <w:jc w:val="center"/>
              <w:rPr>
                <w:rFonts w:ascii="Times New Roman" w:hAnsi="Times New Roman" w:cs="Times New Roman" w:eastAsia="Times New Roman" w:hint="default"/>
                <w:sz w:val="18"/>
                <w:szCs w:val="18"/>
              </w:rPr>
            </w:pPr>
            <w:r>
              <w:rPr>
                <w:rFonts w:ascii="Times New Roman"/>
                <w:sz w:val="18"/>
              </w:rPr>
              <w:t>26,147,625</w:t>
            </w:r>
          </w:p>
        </w:tc>
        <w:tc>
          <w:tcPr>
            <w:tcW w:w="634" w:type="dxa"/>
            <w:tcBorders>
              <w:top w:val="nil" w:sz="6" w:space="0" w:color="auto"/>
              <w:left w:val="nil" w:sz="6" w:space="0" w:color="auto"/>
              <w:bottom w:val="nil" w:sz="6" w:space="0" w:color="auto"/>
              <w:right w:val="nil" w:sz="6" w:space="0" w:color="auto"/>
            </w:tcBorders>
          </w:tcPr>
          <w:p>
            <w:pPr>
              <w:pStyle w:val="TableParagraph"/>
              <w:spacing w:line="190" w:lineRule="exact"/>
              <w:ind w:right="64"/>
              <w:jc w:val="right"/>
              <w:rPr>
                <w:rFonts w:ascii="Times New Roman" w:hAnsi="Times New Roman" w:cs="Times New Roman" w:eastAsia="Times New Roman" w:hint="default"/>
                <w:sz w:val="18"/>
                <w:szCs w:val="18"/>
              </w:rPr>
            </w:pPr>
            <w:r>
              <w:rPr>
                <w:rFonts w:ascii="Times New Roman"/>
                <w:sz w:val="18"/>
              </w:rPr>
              <w:t>6.94</w:t>
            </w:r>
          </w:p>
        </w:tc>
        <w:tc>
          <w:tcPr>
            <w:tcW w:w="962" w:type="dxa"/>
            <w:tcBorders>
              <w:top w:val="nil" w:sz="6" w:space="0" w:color="auto"/>
              <w:left w:val="nil" w:sz="6" w:space="0" w:color="auto"/>
              <w:bottom w:val="nil" w:sz="6" w:space="0" w:color="auto"/>
              <w:right w:val="nil" w:sz="6" w:space="0" w:color="auto"/>
            </w:tcBorders>
          </w:tcPr>
          <w:p>
            <w:pPr>
              <w:pStyle w:val="TableParagraph"/>
              <w:spacing w:line="190" w:lineRule="exact"/>
              <w:ind w:left="72" w:right="0"/>
              <w:jc w:val="center"/>
              <w:rPr>
                <w:rFonts w:ascii="Times New Roman" w:hAnsi="Times New Roman" w:cs="Times New Roman" w:eastAsia="Times New Roman" w:hint="default"/>
                <w:sz w:val="18"/>
                <w:szCs w:val="18"/>
              </w:rPr>
            </w:pPr>
            <w:r>
              <w:rPr>
                <w:rFonts w:ascii="Times New Roman"/>
                <w:sz w:val="18"/>
              </w:rPr>
              <w:t>7,954,831</w:t>
            </w:r>
          </w:p>
        </w:tc>
        <w:tc>
          <w:tcPr>
            <w:tcW w:w="545" w:type="dxa"/>
            <w:tcBorders>
              <w:top w:val="nil" w:sz="6" w:space="0" w:color="auto"/>
              <w:left w:val="nil" w:sz="6" w:space="0" w:color="auto"/>
              <w:bottom w:val="nil" w:sz="6" w:space="0" w:color="auto"/>
              <w:right w:val="nil" w:sz="6" w:space="0" w:color="auto"/>
            </w:tcBorders>
          </w:tcPr>
          <w:p>
            <w:pPr>
              <w:pStyle w:val="TableParagraph"/>
              <w:spacing w:line="190" w:lineRule="exact"/>
              <w:ind w:left="83" w:right="0"/>
              <w:jc w:val="left"/>
              <w:rPr>
                <w:rFonts w:ascii="Times New Roman" w:hAnsi="Times New Roman" w:cs="Times New Roman" w:eastAsia="Times New Roman" w:hint="default"/>
                <w:sz w:val="18"/>
                <w:szCs w:val="18"/>
              </w:rPr>
            </w:pPr>
            <w:r>
              <w:rPr>
                <w:rFonts w:ascii="Times New Roman"/>
                <w:sz w:val="18"/>
              </w:rPr>
              <w:t>30.42</w:t>
            </w:r>
          </w:p>
        </w:tc>
      </w:tr>
      <w:tr>
        <w:trPr>
          <w:trHeight w:val="411" w:hRule="exact"/>
        </w:trPr>
        <w:tc>
          <w:tcPr>
            <w:tcW w:w="3404" w:type="dxa"/>
            <w:tcBorders>
              <w:top w:val="nil" w:sz="6" w:space="0" w:color="auto"/>
              <w:left w:val="nil" w:sz="6" w:space="0" w:color="auto"/>
              <w:bottom w:val="single" w:sz="12" w:space="0" w:color="000000"/>
              <w:right w:val="nil" w:sz="6" w:space="0" w:color="auto"/>
            </w:tcBorders>
          </w:tcPr>
          <w:p>
            <w:pPr>
              <w:pStyle w:val="TableParagraph"/>
              <w:tabs>
                <w:tab w:pos="1357" w:val="left" w:leader="none"/>
                <w:tab w:pos="2403" w:val="left" w:leader="none"/>
              </w:tabs>
              <w:spacing w:line="240" w:lineRule="auto" w:before="132"/>
              <w:ind w:left="817"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w:t>
              <w:tab/>
              <w:t>计</w:t>
              <w:tab/>
            </w:r>
            <w:r>
              <w:rPr>
                <w:rFonts w:ascii="Times New Roman" w:hAnsi="Times New Roman" w:cs="Times New Roman" w:eastAsia="Times New Roman" w:hint="default"/>
                <w:sz w:val="18"/>
                <w:szCs w:val="18"/>
              </w:rPr>
              <w:t>544,937,170</w:t>
            </w:r>
          </w:p>
        </w:tc>
        <w:tc>
          <w:tcPr>
            <w:tcW w:w="661"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64"/>
              <w:jc w:val="right"/>
              <w:rPr>
                <w:rFonts w:ascii="Times New Roman" w:hAnsi="Times New Roman" w:cs="Times New Roman" w:eastAsia="Times New Roman" w:hint="default"/>
                <w:sz w:val="18"/>
                <w:szCs w:val="18"/>
              </w:rPr>
            </w:pPr>
            <w:r>
              <w:rPr>
                <w:rFonts w:ascii="Times New Roman"/>
                <w:sz w:val="18"/>
              </w:rPr>
              <w:t>100.00</w:t>
            </w:r>
          </w:p>
        </w:tc>
        <w:tc>
          <w:tcPr>
            <w:tcW w:w="938"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66" w:right="0"/>
              <w:jc w:val="left"/>
              <w:rPr>
                <w:rFonts w:ascii="Times New Roman" w:hAnsi="Times New Roman" w:cs="Times New Roman" w:eastAsia="Times New Roman" w:hint="default"/>
                <w:sz w:val="18"/>
                <w:szCs w:val="18"/>
              </w:rPr>
            </w:pPr>
            <w:r>
              <w:rPr>
                <w:rFonts w:ascii="Times New Roman"/>
                <w:sz w:val="18"/>
              </w:rPr>
              <w:t>32,391,398</w:t>
            </w:r>
          </w:p>
        </w:tc>
        <w:tc>
          <w:tcPr>
            <w:tcW w:w="535" w:type="dxa"/>
            <w:tcBorders>
              <w:top w:val="nil" w:sz="6" w:space="0" w:color="auto"/>
              <w:left w:val="nil" w:sz="6" w:space="0" w:color="auto"/>
              <w:bottom w:val="single" w:sz="12" w:space="0" w:color="000000"/>
              <w:right w:val="nil" w:sz="6" w:space="0" w:color="auto"/>
            </w:tcBorders>
          </w:tcPr>
          <w:p>
            <w:pPr/>
          </w:p>
        </w:tc>
        <w:tc>
          <w:tcPr>
            <w:tcW w:w="1042"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376,592,370</w:t>
            </w:r>
          </w:p>
        </w:tc>
        <w:tc>
          <w:tcPr>
            <w:tcW w:w="634"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64"/>
              <w:jc w:val="right"/>
              <w:rPr>
                <w:rFonts w:ascii="Times New Roman" w:hAnsi="Times New Roman" w:cs="Times New Roman" w:eastAsia="Times New Roman" w:hint="default"/>
                <w:sz w:val="18"/>
                <w:szCs w:val="18"/>
              </w:rPr>
            </w:pPr>
            <w:r>
              <w:rPr>
                <w:rFonts w:ascii="Times New Roman"/>
                <w:sz w:val="18"/>
              </w:rPr>
              <w:t>100.00</w:t>
            </w:r>
          </w:p>
        </w:tc>
        <w:tc>
          <w:tcPr>
            <w:tcW w:w="962"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5"/>
              <w:jc w:val="center"/>
              <w:rPr>
                <w:rFonts w:ascii="Times New Roman" w:hAnsi="Times New Roman" w:cs="Times New Roman" w:eastAsia="Times New Roman" w:hint="default"/>
                <w:sz w:val="18"/>
                <w:szCs w:val="18"/>
              </w:rPr>
            </w:pPr>
            <w:r>
              <w:rPr>
                <w:rFonts w:ascii="Times New Roman"/>
                <w:sz w:val="18"/>
              </w:rPr>
              <w:t>23,967,757</w:t>
            </w:r>
          </w:p>
        </w:tc>
        <w:tc>
          <w:tcPr>
            <w:tcW w:w="545"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tabs>
          <w:tab w:pos="1395" w:val="left" w:leader="none"/>
        </w:tabs>
        <w:spacing w:before="0"/>
        <w:ind w:left="857" w:right="243" w:firstLine="0"/>
        <w:jc w:val="left"/>
        <w:rPr>
          <w:rFonts w:ascii="宋体" w:hAnsi="宋体" w:cs="宋体" w:eastAsia="宋体" w:hint="default"/>
          <w:sz w:val="21"/>
          <w:szCs w:val="21"/>
        </w:rPr>
      </w:pPr>
      <w:r>
        <w:rPr/>
        <w:pict>
          <v:group style="position:absolute;margin-left:110.040001pt;margin-top:15.324424pt;width:454.35pt;height:143.6pt;mso-position-horizontal-relative:page;mso-position-vertical-relative:paragraph;z-index:-1102672" coordorigin="2201,306" coordsize="9087,2872">
            <v:group style="position:absolute;left:2230;top:321;width:6074;height:2" coordorigin="2230,321" coordsize="6074,2">
              <v:shape style="position:absolute;left:2230;top:321;width:6074;height:2" coordorigin="2230,321" coordsize="6074,0" path="m2230,321l8303,321e" filled="false" stroked="true" strokeweight="1.5pt" strokecolor="#000000">
                <v:path arrowok="t"/>
              </v:shape>
            </v:group>
            <v:group style="position:absolute;left:8303;top:321;width:2957;height:2" coordorigin="8303,321" coordsize="2957,2">
              <v:shape style="position:absolute;left:8303;top:321;width:2957;height:2" coordorigin="8303,321" coordsize="2957,0" path="m8303,321l11260,321e" filled="false" stroked="true" strokeweight="1.5pt" strokecolor="#000000">
                <v:path arrowok="t"/>
              </v:shape>
              <v:shape style="position:absolute;left:4999;top:317;width:3302;height:818" type="#_x0000_t75" stroked="false">
                <v:imagedata r:id="rId384" o:title=""/>
              </v:shape>
              <v:shape style="position:absolute;left:2201;top:1097;width:9086;height:2081" type="#_x0000_t75" stroked="false">
                <v:imagedata r:id="rId385" o:title=""/>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z w:val="21"/>
          <w:szCs w:val="21"/>
        </w:rPr>
        <w:t>期末单项金额重大并单项计提坏账准备的应收账款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2864"/>
        <w:gridCol w:w="1250"/>
        <w:gridCol w:w="1152"/>
        <w:gridCol w:w="3778"/>
      </w:tblGrid>
      <w:tr>
        <w:trPr>
          <w:trHeight w:val="483" w:hRule="exact"/>
        </w:trPr>
        <w:tc>
          <w:tcPr>
            <w:tcW w:w="286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right="39"/>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221"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5" w:right="0"/>
              <w:jc w:val="left"/>
              <w:rPr>
                <w:rFonts w:ascii="宋体" w:hAnsi="宋体" w:cs="宋体" w:eastAsia="宋体" w:hint="default"/>
                <w:sz w:val="18"/>
                <w:szCs w:val="18"/>
              </w:rPr>
            </w:pPr>
            <w:r>
              <w:rPr>
                <w:rFonts w:ascii="宋体" w:hAnsi="宋体" w:cs="宋体" w:eastAsia="宋体" w:hint="default"/>
                <w:sz w:val="18"/>
                <w:szCs w:val="18"/>
              </w:rPr>
              <w:t>坏账准备金</w:t>
            </w:r>
          </w:p>
        </w:tc>
        <w:tc>
          <w:tcPr>
            <w:tcW w:w="3778" w:type="dxa"/>
            <w:tcBorders>
              <w:top w:val="nil" w:sz="6" w:space="0" w:color="auto"/>
              <w:left w:val="nil" w:sz="6" w:space="0" w:color="auto"/>
              <w:bottom w:val="nil" w:sz="6" w:space="0" w:color="auto"/>
              <w:right w:val="nil" w:sz="6" w:space="0" w:color="auto"/>
            </w:tcBorders>
          </w:tcPr>
          <w:p>
            <w:pPr>
              <w:pStyle w:val="TableParagraph"/>
              <w:spacing w:line="216" w:lineRule="exact" w:before="44"/>
              <w:ind w:left="103" w:right="0"/>
              <w:jc w:val="left"/>
              <w:rPr>
                <w:rFonts w:ascii="宋体" w:hAnsi="宋体" w:cs="宋体" w:eastAsia="宋体" w:hint="default"/>
                <w:sz w:val="18"/>
                <w:szCs w:val="18"/>
              </w:rPr>
            </w:pPr>
            <w:r>
              <w:rPr>
                <w:rFonts w:ascii="宋体" w:hAnsi="宋体" w:cs="宋体" w:eastAsia="宋体" w:hint="default"/>
                <w:sz w:val="18"/>
                <w:szCs w:val="18"/>
              </w:rPr>
              <w:t>计提比</w:t>
            </w:r>
          </w:p>
          <w:p>
            <w:pPr>
              <w:pStyle w:val="TableParagraph"/>
              <w:spacing w:line="216" w:lineRule="exact"/>
              <w:ind w:left="2016" w:right="0"/>
              <w:jc w:val="left"/>
              <w:rPr>
                <w:rFonts w:ascii="宋体" w:hAnsi="宋体" w:cs="宋体" w:eastAsia="宋体" w:hint="default"/>
                <w:sz w:val="18"/>
                <w:szCs w:val="18"/>
              </w:rPr>
            </w:pPr>
            <w:r>
              <w:rPr>
                <w:rFonts w:ascii="宋体" w:hAnsi="宋体" w:cs="宋体" w:eastAsia="宋体" w:hint="default"/>
                <w:sz w:val="18"/>
                <w:szCs w:val="18"/>
              </w:rPr>
              <w:t>理  由</w:t>
            </w:r>
          </w:p>
        </w:tc>
      </w:tr>
      <w:tr>
        <w:trPr>
          <w:trHeight w:val="303" w:hRule="exact"/>
        </w:trPr>
        <w:tc>
          <w:tcPr>
            <w:tcW w:w="2864"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Style w:val="TableParagraph"/>
              <w:spacing w:line="187" w:lineRule="exact"/>
              <w:ind w:right="78"/>
              <w:jc w:val="center"/>
              <w:rPr>
                <w:rFonts w:ascii="宋体" w:hAnsi="宋体" w:cs="宋体" w:eastAsia="宋体" w:hint="default"/>
                <w:sz w:val="18"/>
                <w:szCs w:val="18"/>
              </w:rPr>
            </w:pPr>
            <w:r>
              <w:rPr>
                <w:rFonts w:ascii="宋体" w:hAnsi="宋体" w:cs="宋体" w:eastAsia="宋体" w:hint="default"/>
                <w:sz w:val="18"/>
                <w:szCs w:val="18"/>
              </w:rPr>
              <w:t>额</w:t>
            </w:r>
          </w:p>
        </w:tc>
        <w:tc>
          <w:tcPr>
            <w:tcW w:w="3778" w:type="dxa"/>
            <w:tcBorders>
              <w:top w:val="nil" w:sz="6" w:space="0" w:color="auto"/>
              <w:left w:val="nil" w:sz="6" w:space="0" w:color="auto"/>
              <w:bottom w:val="nil" w:sz="6" w:space="0" w:color="auto"/>
              <w:right w:val="nil" w:sz="6" w:space="0" w:color="auto"/>
            </w:tcBorders>
          </w:tcPr>
          <w:p>
            <w:pPr>
              <w:pStyle w:val="TableParagraph"/>
              <w:spacing w:line="201" w:lineRule="exact"/>
              <w:ind w:left="14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tc>
      </w:tr>
      <w:tr>
        <w:trPr>
          <w:trHeight w:val="405" w:hRule="exact"/>
        </w:trPr>
        <w:tc>
          <w:tcPr>
            <w:tcW w:w="286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联通网通</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3"/>
              <w:jc w:val="right"/>
              <w:rPr>
                <w:rFonts w:ascii="Times New Roman" w:hAnsi="Times New Roman" w:cs="Times New Roman" w:eastAsia="Times New Roman" w:hint="default"/>
                <w:sz w:val="18"/>
                <w:szCs w:val="18"/>
              </w:rPr>
            </w:pPr>
            <w:r>
              <w:rPr>
                <w:rFonts w:ascii="Times New Roman"/>
                <w:sz w:val="18"/>
              </w:rPr>
              <w:t>126,948,787</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2"/>
              <w:jc w:val="right"/>
              <w:rPr>
                <w:rFonts w:ascii="Times New Roman" w:hAnsi="Times New Roman" w:cs="Times New Roman" w:eastAsia="Times New Roman" w:hint="default"/>
                <w:sz w:val="18"/>
                <w:szCs w:val="18"/>
              </w:rPr>
            </w:pPr>
            <w:r>
              <w:rPr>
                <w:rFonts w:ascii="Times New Roman"/>
                <w:spacing w:val="-1"/>
                <w:sz w:val="18"/>
              </w:rPr>
              <w:t>11,049,537</w:t>
            </w:r>
          </w:p>
        </w:tc>
        <w:tc>
          <w:tcPr>
            <w:tcW w:w="377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65"/>
              <w:jc w:val="right"/>
              <w:rPr>
                <w:rFonts w:ascii="宋体" w:hAnsi="宋体" w:cs="宋体" w:eastAsia="宋体" w:hint="default"/>
                <w:sz w:val="18"/>
                <w:szCs w:val="18"/>
              </w:rPr>
            </w:pPr>
            <w:r>
              <w:rPr>
                <w:rFonts w:ascii="Times New Roman" w:hAnsi="Times New Roman" w:cs="Times New Roman" w:eastAsia="Times New Roman" w:hint="default"/>
                <w:sz w:val="18"/>
                <w:szCs w:val="18"/>
              </w:rPr>
              <w:t>8.70  </w:t>
            </w:r>
            <w:r>
              <w:rPr>
                <w:rFonts w:ascii="宋体" w:hAnsi="宋体" w:cs="宋体" w:eastAsia="宋体" w:hint="default"/>
                <w:position w:val="1"/>
                <w:sz w:val="18"/>
                <w:szCs w:val="18"/>
              </w:rPr>
              <w:t>金额较大</w:t>
            </w:r>
            <w:r>
              <w:rPr>
                <w:rFonts w:ascii="Times New Roman" w:hAnsi="Times New Roman" w:cs="Times New Roman" w:eastAsia="Times New Roman" w:hint="default"/>
                <w:position w:val="1"/>
                <w:sz w:val="18"/>
                <w:szCs w:val="18"/>
              </w:rPr>
              <w:t>—</w:t>
            </w:r>
            <w:r>
              <w:rPr>
                <w:rFonts w:ascii="宋体" w:hAnsi="宋体" w:cs="宋体" w:eastAsia="宋体" w:hint="default"/>
                <w:position w:val="1"/>
                <w:sz w:val="18"/>
                <w:szCs w:val="18"/>
              </w:rPr>
              <w:t>预计可收回比例</w:t>
            </w:r>
            <w:r>
              <w:rPr>
                <w:rFonts w:ascii="宋体" w:hAnsi="宋体" w:cs="宋体" w:eastAsia="宋体" w:hint="default"/>
                <w:spacing w:val="-59"/>
                <w:position w:val="1"/>
                <w:sz w:val="18"/>
                <w:szCs w:val="18"/>
              </w:rPr>
              <w:t> </w:t>
            </w:r>
            <w:r>
              <w:rPr>
                <w:rFonts w:ascii="Times New Roman" w:hAnsi="Times New Roman" w:cs="Times New Roman" w:eastAsia="Times New Roman" w:hint="default"/>
                <w:position w:val="1"/>
                <w:sz w:val="18"/>
                <w:szCs w:val="18"/>
              </w:rPr>
              <w:t>90%</w:t>
            </w:r>
            <w:r>
              <w:rPr>
                <w:rFonts w:ascii="宋体" w:hAnsi="宋体" w:cs="宋体" w:eastAsia="宋体" w:hint="default"/>
                <w:position w:val="1"/>
                <w:sz w:val="18"/>
                <w:szCs w:val="18"/>
              </w:rPr>
              <w:t>以上</w:t>
            </w:r>
            <w:r>
              <w:rPr>
                <w:rFonts w:ascii="宋体" w:hAnsi="宋体" w:cs="宋体" w:eastAsia="宋体" w:hint="default"/>
                <w:sz w:val="18"/>
                <w:szCs w:val="18"/>
              </w:rPr>
            </w:r>
          </w:p>
        </w:tc>
      </w:tr>
      <w:tr>
        <w:trPr>
          <w:trHeight w:val="402" w:hRule="exact"/>
        </w:trPr>
        <w:tc>
          <w:tcPr>
            <w:tcW w:w="286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诺西东软</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83"/>
              <w:jc w:val="right"/>
              <w:rPr>
                <w:rFonts w:ascii="Times New Roman" w:hAnsi="Times New Roman" w:cs="Times New Roman" w:eastAsia="Times New Roman" w:hint="default"/>
                <w:sz w:val="18"/>
                <w:szCs w:val="18"/>
              </w:rPr>
            </w:pPr>
            <w:r>
              <w:rPr>
                <w:rFonts w:ascii="Times New Roman"/>
                <w:sz w:val="18"/>
              </w:rPr>
              <w:t>27,660,903</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2"/>
              <w:jc w:val="right"/>
              <w:rPr>
                <w:rFonts w:ascii="Times New Roman" w:hAnsi="Times New Roman" w:cs="Times New Roman" w:eastAsia="Times New Roman" w:hint="default"/>
                <w:sz w:val="18"/>
                <w:szCs w:val="18"/>
              </w:rPr>
            </w:pPr>
            <w:r>
              <w:rPr>
                <w:rFonts w:ascii="Times New Roman"/>
                <w:sz w:val="18"/>
              </w:rPr>
              <w:t>1,986,373</w:t>
            </w:r>
          </w:p>
        </w:tc>
        <w:tc>
          <w:tcPr>
            <w:tcW w:w="377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65"/>
              <w:jc w:val="right"/>
              <w:rPr>
                <w:rFonts w:ascii="宋体" w:hAnsi="宋体" w:cs="宋体" w:eastAsia="宋体" w:hint="default"/>
                <w:sz w:val="18"/>
                <w:szCs w:val="18"/>
              </w:rPr>
            </w:pPr>
            <w:r>
              <w:rPr>
                <w:rFonts w:ascii="Times New Roman" w:hAnsi="Times New Roman" w:cs="Times New Roman" w:eastAsia="Times New Roman" w:hint="default"/>
                <w:sz w:val="18"/>
                <w:szCs w:val="18"/>
              </w:rPr>
              <w:t>7.18  </w:t>
            </w:r>
            <w:r>
              <w:rPr>
                <w:rFonts w:ascii="宋体" w:hAnsi="宋体" w:cs="宋体" w:eastAsia="宋体" w:hint="default"/>
                <w:position w:val="1"/>
                <w:sz w:val="18"/>
                <w:szCs w:val="18"/>
              </w:rPr>
              <w:t>金额较大</w:t>
            </w:r>
            <w:r>
              <w:rPr>
                <w:rFonts w:ascii="Times New Roman" w:hAnsi="Times New Roman" w:cs="Times New Roman" w:eastAsia="Times New Roman" w:hint="default"/>
                <w:position w:val="1"/>
                <w:sz w:val="18"/>
                <w:szCs w:val="18"/>
              </w:rPr>
              <w:t>—</w:t>
            </w:r>
            <w:r>
              <w:rPr>
                <w:rFonts w:ascii="宋体" w:hAnsi="宋体" w:cs="宋体" w:eastAsia="宋体" w:hint="default"/>
                <w:position w:val="1"/>
                <w:sz w:val="18"/>
                <w:szCs w:val="18"/>
              </w:rPr>
              <w:t>预计可收回比例</w:t>
            </w:r>
            <w:r>
              <w:rPr>
                <w:rFonts w:ascii="宋体" w:hAnsi="宋体" w:cs="宋体" w:eastAsia="宋体" w:hint="default"/>
                <w:spacing w:val="-59"/>
                <w:position w:val="1"/>
                <w:sz w:val="18"/>
                <w:szCs w:val="18"/>
              </w:rPr>
              <w:t> </w:t>
            </w:r>
            <w:r>
              <w:rPr>
                <w:rFonts w:ascii="Times New Roman" w:hAnsi="Times New Roman" w:cs="Times New Roman" w:eastAsia="Times New Roman" w:hint="default"/>
                <w:position w:val="1"/>
                <w:sz w:val="18"/>
                <w:szCs w:val="18"/>
              </w:rPr>
              <w:t>90%</w:t>
            </w:r>
            <w:r>
              <w:rPr>
                <w:rFonts w:ascii="宋体" w:hAnsi="宋体" w:cs="宋体" w:eastAsia="宋体" w:hint="default"/>
                <w:position w:val="1"/>
                <w:sz w:val="18"/>
                <w:szCs w:val="18"/>
              </w:rPr>
              <w:t>以上</w:t>
            </w:r>
            <w:r>
              <w:rPr>
                <w:rFonts w:ascii="宋体" w:hAnsi="宋体" w:cs="宋体" w:eastAsia="宋体" w:hint="default"/>
                <w:sz w:val="18"/>
                <w:szCs w:val="18"/>
              </w:rPr>
            </w:r>
          </w:p>
        </w:tc>
      </w:tr>
      <w:tr>
        <w:trPr>
          <w:trHeight w:val="413" w:hRule="exact"/>
        </w:trPr>
        <w:tc>
          <w:tcPr>
            <w:tcW w:w="2864"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辽宁金汇信息技术服务有限公司</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83"/>
              <w:jc w:val="right"/>
              <w:rPr>
                <w:rFonts w:ascii="Times New Roman" w:hAnsi="Times New Roman" w:cs="Times New Roman" w:eastAsia="Times New Roman" w:hint="default"/>
                <w:sz w:val="18"/>
                <w:szCs w:val="18"/>
              </w:rPr>
            </w:pPr>
            <w:r>
              <w:rPr>
                <w:rFonts w:ascii="Times New Roman"/>
                <w:sz w:val="18"/>
              </w:rPr>
              <w:t>16,074,136</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1"/>
              <w:jc w:val="right"/>
              <w:rPr>
                <w:rFonts w:ascii="Times New Roman" w:hAnsi="Times New Roman" w:cs="Times New Roman" w:eastAsia="Times New Roman" w:hint="default"/>
                <w:sz w:val="18"/>
                <w:szCs w:val="18"/>
              </w:rPr>
            </w:pPr>
            <w:r>
              <w:rPr>
                <w:rFonts w:ascii="Times New Roman"/>
                <w:sz w:val="18"/>
              </w:rPr>
              <w:t>253,094</w:t>
            </w:r>
          </w:p>
        </w:tc>
        <w:tc>
          <w:tcPr>
            <w:tcW w:w="3778"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65"/>
              <w:jc w:val="right"/>
              <w:rPr>
                <w:rFonts w:ascii="宋体" w:hAnsi="宋体" w:cs="宋体" w:eastAsia="宋体" w:hint="default"/>
                <w:sz w:val="18"/>
                <w:szCs w:val="18"/>
              </w:rPr>
            </w:pPr>
            <w:r>
              <w:rPr>
                <w:rFonts w:ascii="Times New Roman" w:hAnsi="Times New Roman" w:cs="Times New Roman" w:eastAsia="Times New Roman" w:hint="default"/>
                <w:sz w:val="18"/>
                <w:szCs w:val="18"/>
              </w:rPr>
              <w:t>1.57  </w:t>
            </w:r>
            <w:r>
              <w:rPr>
                <w:rFonts w:ascii="宋体" w:hAnsi="宋体" w:cs="宋体" w:eastAsia="宋体" w:hint="default"/>
                <w:position w:val="1"/>
                <w:sz w:val="18"/>
                <w:szCs w:val="18"/>
              </w:rPr>
              <w:t>金额较大</w:t>
            </w:r>
            <w:r>
              <w:rPr>
                <w:rFonts w:ascii="Times New Roman" w:hAnsi="Times New Roman" w:cs="Times New Roman" w:eastAsia="Times New Roman" w:hint="default"/>
                <w:position w:val="1"/>
                <w:sz w:val="18"/>
                <w:szCs w:val="18"/>
              </w:rPr>
              <w:t>—</w:t>
            </w:r>
            <w:r>
              <w:rPr>
                <w:rFonts w:ascii="宋体" w:hAnsi="宋体" w:cs="宋体" w:eastAsia="宋体" w:hint="default"/>
                <w:position w:val="1"/>
                <w:sz w:val="18"/>
                <w:szCs w:val="18"/>
              </w:rPr>
              <w:t>预计可收回比例</w:t>
            </w:r>
            <w:r>
              <w:rPr>
                <w:rFonts w:ascii="宋体" w:hAnsi="宋体" w:cs="宋体" w:eastAsia="宋体" w:hint="default"/>
                <w:spacing w:val="-59"/>
                <w:position w:val="1"/>
                <w:sz w:val="18"/>
                <w:szCs w:val="18"/>
              </w:rPr>
              <w:t> </w:t>
            </w:r>
            <w:r>
              <w:rPr>
                <w:rFonts w:ascii="Times New Roman" w:hAnsi="Times New Roman" w:cs="Times New Roman" w:eastAsia="Times New Roman" w:hint="default"/>
                <w:position w:val="1"/>
                <w:sz w:val="18"/>
                <w:szCs w:val="18"/>
              </w:rPr>
              <w:t>95%</w:t>
            </w:r>
            <w:r>
              <w:rPr>
                <w:rFonts w:ascii="宋体" w:hAnsi="宋体" w:cs="宋体" w:eastAsia="宋体" w:hint="default"/>
                <w:position w:val="1"/>
                <w:sz w:val="18"/>
                <w:szCs w:val="18"/>
              </w:rPr>
              <w:t>以上</w:t>
            </w:r>
            <w:r>
              <w:rPr>
                <w:rFonts w:ascii="宋体" w:hAnsi="宋体" w:cs="宋体" w:eastAsia="宋体" w:hint="default"/>
                <w:sz w:val="18"/>
                <w:szCs w:val="18"/>
              </w:rPr>
            </w:r>
          </w:p>
        </w:tc>
      </w:tr>
      <w:tr>
        <w:trPr>
          <w:trHeight w:val="420" w:hRule="exact"/>
        </w:trPr>
        <w:tc>
          <w:tcPr>
            <w:tcW w:w="286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22" w:right="0"/>
              <w:jc w:val="left"/>
              <w:rPr>
                <w:rFonts w:ascii="宋体" w:hAnsi="宋体" w:cs="宋体" w:eastAsia="宋体" w:hint="default"/>
                <w:sz w:val="18"/>
                <w:szCs w:val="18"/>
              </w:rPr>
            </w:pPr>
            <w:r>
              <w:rPr>
                <w:rFonts w:ascii="宋体" w:hAnsi="宋体" w:cs="宋体" w:eastAsia="宋体" w:hint="default"/>
                <w:sz w:val="18"/>
                <w:szCs w:val="18"/>
              </w:rPr>
              <w:t>沈阳地铁有限公司</w:t>
            </w:r>
          </w:p>
        </w:tc>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83"/>
              <w:jc w:val="right"/>
              <w:rPr>
                <w:rFonts w:ascii="Times New Roman" w:hAnsi="Times New Roman" w:cs="Times New Roman" w:eastAsia="Times New Roman" w:hint="default"/>
                <w:sz w:val="18"/>
                <w:szCs w:val="18"/>
              </w:rPr>
            </w:pPr>
            <w:r>
              <w:rPr>
                <w:rFonts w:ascii="Times New Roman"/>
                <w:sz w:val="18"/>
              </w:rPr>
              <w:t>15,151,108</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1"/>
              <w:jc w:val="right"/>
              <w:rPr>
                <w:rFonts w:ascii="Times New Roman" w:hAnsi="Times New Roman" w:cs="Times New Roman" w:eastAsia="Times New Roman" w:hint="default"/>
                <w:sz w:val="18"/>
                <w:szCs w:val="18"/>
              </w:rPr>
            </w:pPr>
            <w:r>
              <w:rPr>
                <w:rFonts w:ascii="Times New Roman"/>
                <w:sz w:val="18"/>
              </w:rPr>
              <w:t>337,321</w:t>
            </w:r>
          </w:p>
        </w:tc>
        <w:tc>
          <w:tcPr>
            <w:tcW w:w="377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65"/>
              <w:jc w:val="right"/>
              <w:rPr>
                <w:rFonts w:ascii="宋体" w:hAnsi="宋体" w:cs="宋体" w:eastAsia="宋体" w:hint="default"/>
                <w:sz w:val="18"/>
                <w:szCs w:val="18"/>
              </w:rPr>
            </w:pPr>
            <w:r>
              <w:rPr>
                <w:rFonts w:ascii="Times New Roman" w:hAnsi="Times New Roman" w:cs="Times New Roman" w:eastAsia="Times New Roman" w:hint="default"/>
                <w:sz w:val="18"/>
                <w:szCs w:val="18"/>
              </w:rPr>
              <w:t>2.23  </w:t>
            </w:r>
            <w:r>
              <w:rPr>
                <w:rFonts w:ascii="宋体" w:hAnsi="宋体" w:cs="宋体" w:eastAsia="宋体" w:hint="default"/>
                <w:position w:val="1"/>
                <w:sz w:val="18"/>
                <w:szCs w:val="18"/>
              </w:rPr>
              <w:t>金额较大</w:t>
            </w:r>
            <w:r>
              <w:rPr>
                <w:rFonts w:ascii="Times New Roman" w:hAnsi="Times New Roman" w:cs="Times New Roman" w:eastAsia="Times New Roman" w:hint="default"/>
                <w:position w:val="1"/>
                <w:sz w:val="18"/>
                <w:szCs w:val="18"/>
              </w:rPr>
              <w:t>—</w:t>
            </w:r>
            <w:r>
              <w:rPr>
                <w:rFonts w:ascii="宋体" w:hAnsi="宋体" w:cs="宋体" w:eastAsia="宋体" w:hint="default"/>
                <w:position w:val="1"/>
                <w:sz w:val="18"/>
                <w:szCs w:val="18"/>
              </w:rPr>
              <w:t>预计可收回比例</w:t>
            </w:r>
            <w:r>
              <w:rPr>
                <w:rFonts w:ascii="宋体" w:hAnsi="宋体" w:cs="宋体" w:eastAsia="宋体" w:hint="default"/>
                <w:spacing w:val="-59"/>
                <w:position w:val="1"/>
                <w:sz w:val="18"/>
                <w:szCs w:val="18"/>
              </w:rPr>
              <w:t> </w:t>
            </w:r>
            <w:r>
              <w:rPr>
                <w:rFonts w:ascii="Times New Roman" w:hAnsi="Times New Roman" w:cs="Times New Roman" w:eastAsia="Times New Roman" w:hint="default"/>
                <w:position w:val="1"/>
                <w:sz w:val="18"/>
                <w:szCs w:val="18"/>
              </w:rPr>
              <w:t>95%</w:t>
            </w:r>
            <w:r>
              <w:rPr>
                <w:rFonts w:ascii="宋体" w:hAnsi="宋体" w:cs="宋体" w:eastAsia="宋体" w:hint="default"/>
                <w:position w:val="1"/>
                <w:sz w:val="18"/>
                <w:szCs w:val="18"/>
              </w:rPr>
              <w:t>以上</w:t>
            </w:r>
            <w:r>
              <w:rPr>
                <w:rFonts w:ascii="宋体" w:hAnsi="宋体" w:cs="宋体" w:eastAsia="宋体" w:hint="default"/>
                <w:sz w:val="18"/>
                <w:szCs w:val="18"/>
              </w:rPr>
            </w:r>
          </w:p>
        </w:tc>
      </w:tr>
      <w:tr>
        <w:trPr>
          <w:trHeight w:val="348" w:hRule="exact"/>
        </w:trPr>
        <w:tc>
          <w:tcPr>
            <w:tcW w:w="2864" w:type="dxa"/>
            <w:tcBorders>
              <w:top w:val="nil" w:sz="6" w:space="0" w:color="auto"/>
              <w:left w:val="nil" w:sz="6" w:space="0" w:color="auto"/>
              <w:bottom w:val="single" w:sz="12" w:space="0" w:color="000000"/>
              <w:right w:val="nil" w:sz="6" w:space="0" w:color="auto"/>
            </w:tcBorders>
          </w:tcPr>
          <w:p>
            <w:pPr>
              <w:pStyle w:val="TableParagraph"/>
              <w:tabs>
                <w:tab w:pos="539" w:val="left" w:leader="none"/>
              </w:tabs>
              <w:spacing w:line="240" w:lineRule="auto" w:before="53"/>
              <w:ind w:right="7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250"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83"/>
              <w:jc w:val="right"/>
              <w:rPr>
                <w:rFonts w:ascii="Times New Roman" w:hAnsi="Times New Roman" w:cs="Times New Roman" w:eastAsia="Times New Roman" w:hint="default"/>
                <w:sz w:val="18"/>
                <w:szCs w:val="18"/>
              </w:rPr>
            </w:pPr>
            <w:r>
              <w:rPr>
                <w:rFonts w:ascii="Times New Roman"/>
                <w:sz w:val="18"/>
              </w:rPr>
              <w:t>185,834,934</w:t>
            </w:r>
          </w:p>
        </w:tc>
        <w:tc>
          <w:tcPr>
            <w:tcW w:w="1152" w:type="dxa"/>
            <w:tcBorders>
              <w:top w:val="nil" w:sz="6" w:space="0" w:color="auto"/>
              <w:left w:val="nil" w:sz="6" w:space="0" w:color="auto"/>
              <w:bottom w:val="single" w:sz="12" w:space="0" w:color="000000"/>
              <w:right w:val="nil" w:sz="6" w:space="0" w:color="auto"/>
            </w:tcBorders>
          </w:tcPr>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13,626,325</w:t>
            </w:r>
          </w:p>
        </w:tc>
        <w:tc>
          <w:tcPr>
            <w:tcW w:w="3778" w:type="dxa"/>
            <w:tcBorders>
              <w:top w:val="nil" w:sz="6" w:space="0" w:color="auto"/>
              <w:left w:val="nil" w:sz="6" w:space="0" w:color="auto"/>
              <w:bottom w:val="single" w:sz="12" w:space="0" w:color="000000"/>
              <w:right w:val="nil" w:sz="6" w:space="0" w:color="auto"/>
            </w:tcBorders>
          </w:tcPr>
          <w:p>
            <w:pPr/>
          </w:p>
        </w:tc>
      </w:tr>
    </w:tbl>
    <w:p>
      <w:pPr>
        <w:spacing w:before="78"/>
        <w:ind w:left="857" w:right="243" w:firstLine="0"/>
        <w:jc w:val="left"/>
        <w:rPr>
          <w:rFonts w:ascii="宋体" w:hAnsi="宋体" w:cs="宋体" w:eastAsia="宋体" w:hint="default"/>
          <w:sz w:val="21"/>
          <w:szCs w:val="21"/>
        </w:rPr>
      </w:pPr>
      <w:r>
        <w:rPr/>
        <w:pict>
          <v:group style="position:absolute;margin-left:110.519997pt;margin-top:19.223969pt;width:440.1pt;height:185.55pt;mso-position-horizontal-relative:page;mso-position-vertical-relative:paragraph;z-index:-1102600" coordorigin="2210,384" coordsize="8802,3711">
            <v:group style="position:absolute;left:2230;top:399;width:5062;height:2" coordorigin="2230,399" coordsize="5062,2">
              <v:shape style="position:absolute;left:2230;top:399;width:5062;height:2" coordorigin="2230,399" coordsize="5062,0" path="m2230,399l7291,399e" filled="false" stroked="true" strokeweight="1.5pt" strokecolor="#000000">
                <v:path arrowok="t"/>
              </v:shape>
            </v:group>
            <v:group style="position:absolute;left:7291;top:399;width:3694;height:2" coordorigin="7291,399" coordsize="3694,2">
              <v:shape style="position:absolute;left:7291;top:399;width:3694;height:2" coordorigin="7291,399" coordsize="3694,0" path="m7291,399l10985,399e" filled="false" stroked="true" strokeweight="1.5pt" strokecolor="#000000">
                <v:path arrowok="t"/>
              </v:shape>
              <v:shape style="position:absolute;left:3551;top:391;width:3743;height:446" type="#_x0000_t75" stroked="false">
                <v:imagedata r:id="rId386" o:title=""/>
              </v:shape>
              <v:shape style="position:absolute;left:3550;top:789;width:7463;height:461" type="#_x0000_t75" stroked="false">
                <v:imagedata r:id="rId387" o:title=""/>
              </v:shape>
              <v:shape style="position:absolute;left:3550;top:1199;width:6301;height:461" type="#_x0000_t75" stroked="false">
                <v:imagedata r:id="rId388" o:title=""/>
              </v:shape>
              <v:shape style="position:absolute;left:2210;top:1616;width:8796;height:2479" type="#_x0000_t75" stroked="false">
                <v:imagedata r:id="rId389" o:title=""/>
              </v:shape>
              <v:shape style="position:absolute;left:5063;top:6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765;top:6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rFonts w:ascii="宋体" w:hAnsi="宋体" w:cs="宋体" w:eastAsia="宋体" w:hint="default"/>
          <w:b/>
          <w:bCs/>
          <w:sz w:val="21"/>
          <w:szCs w:val="21"/>
        </w:rPr>
        <w:t>组合中，按账龄分析法计提坏账准备的应收账款：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tbl>
      <w:tblPr>
        <w:tblW w:w="0" w:type="auto"/>
        <w:jc w:val="left"/>
        <w:tblInd w:w="735" w:type="dxa"/>
        <w:tblLayout w:type="fixed"/>
        <w:tblCellMar>
          <w:top w:w="0" w:type="dxa"/>
          <w:left w:w="0" w:type="dxa"/>
          <w:bottom w:w="0" w:type="dxa"/>
          <w:right w:w="0" w:type="dxa"/>
        </w:tblCellMar>
        <w:tblLook w:val="01E0"/>
      </w:tblPr>
      <w:tblGrid>
        <w:gridCol w:w="1414"/>
        <w:gridCol w:w="1598"/>
        <w:gridCol w:w="980"/>
        <w:gridCol w:w="1190"/>
        <w:gridCol w:w="1279"/>
        <w:gridCol w:w="1229"/>
        <w:gridCol w:w="1080"/>
      </w:tblGrid>
      <w:tr>
        <w:trPr>
          <w:trHeight w:val="497" w:hRule="exact"/>
        </w:trPr>
        <w:tc>
          <w:tcPr>
            <w:tcW w:w="1414" w:type="dxa"/>
            <w:tcBorders>
              <w:top w:val="nil" w:sz="6" w:space="0" w:color="auto"/>
              <w:left w:val="nil" w:sz="6" w:space="0" w:color="auto"/>
              <w:bottom w:val="nil" w:sz="6" w:space="0" w:color="auto"/>
              <w:right w:val="nil" w:sz="6" w:space="0" w:color="auto"/>
            </w:tcBorders>
          </w:tcPr>
          <w:p>
            <w:pPr>
              <w:pStyle w:val="TableParagraph"/>
              <w:tabs>
                <w:tab w:pos="539" w:val="left" w:leader="none"/>
              </w:tabs>
              <w:spacing w:line="240" w:lineRule="auto" w:before="44"/>
              <w:ind w:right="65"/>
              <w:jc w:val="center"/>
              <w:rPr>
                <w:rFonts w:ascii="宋体" w:hAnsi="宋体" w:cs="宋体" w:eastAsia="宋体" w:hint="default"/>
                <w:sz w:val="18"/>
                <w:szCs w:val="18"/>
              </w:rPr>
            </w:pPr>
            <w:r>
              <w:rPr>
                <w:rFonts w:ascii="宋体" w:hAnsi="宋体" w:cs="宋体" w:eastAsia="宋体" w:hint="default"/>
                <w:sz w:val="18"/>
                <w:szCs w:val="18"/>
              </w:rPr>
              <w:t>账</w:t>
              <w:tab/>
              <w:t>龄</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65"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980"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13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50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left="785"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12" w:hRule="exact"/>
        </w:trPr>
        <w:tc>
          <w:tcPr>
            <w:tcW w:w="1414" w:type="dxa"/>
            <w:tcBorders>
              <w:top w:val="nil" w:sz="6" w:space="0" w:color="auto"/>
              <w:left w:val="nil" w:sz="6" w:space="0" w:color="auto"/>
              <w:bottom w:val="nil" w:sz="6" w:space="0" w:color="auto"/>
              <w:right w:val="nil" w:sz="6" w:space="0" w:color="auto"/>
            </w:tcBorders>
          </w:tcPr>
          <w:p>
            <w:pPr/>
          </w:p>
        </w:tc>
        <w:tc>
          <w:tcPr>
            <w:tcW w:w="1598" w:type="dxa"/>
            <w:tcBorders>
              <w:top w:val="nil" w:sz="6" w:space="0" w:color="auto"/>
              <w:left w:val="nil" w:sz="6" w:space="0" w:color="auto"/>
              <w:bottom w:val="nil" w:sz="6" w:space="0" w:color="auto"/>
              <w:right w:val="nil" w:sz="6" w:space="0" w:color="auto"/>
            </w:tcBorders>
          </w:tcPr>
          <w:p>
            <w:pPr>
              <w:pStyle w:val="TableParagraph"/>
              <w:spacing w:line="192" w:lineRule="exact"/>
              <w:ind w:left="380"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980" w:type="dxa"/>
            <w:tcBorders>
              <w:top w:val="nil" w:sz="6" w:space="0" w:color="auto"/>
              <w:left w:val="nil" w:sz="6" w:space="0" w:color="auto"/>
              <w:bottom w:val="nil" w:sz="6" w:space="0" w:color="auto"/>
              <w:right w:val="nil" w:sz="6" w:space="0" w:color="auto"/>
            </w:tcBorders>
          </w:tcPr>
          <w:p>
            <w:pPr>
              <w:pStyle w:val="TableParagraph"/>
              <w:spacing w:line="206" w:lineRule="exact"/>
              <w:ind w:left="1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190"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Style w:val="TableParagraph"/>
              <w:spacing w:line="192" w:lineRule="exact"/>
              <w:ind w:left="32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229" w:type="dxa"/>
            <w:tcBorders>
              <w:top w:val="nil" w:sz="6" w:space="0" w:color="auto"/>
              <w:left w:val="nil" w:sz="6" w:space="0" w:color="auto"/>
              <w:bottom w:val="nil" w:sz="6" w:space="0" w:color="auto"/>
              <w:right w:val="nil" w:sz="6" w:space="0" w:color="auto"/>
            </w:tcBorders>
          </w:tcPr>
          <w:p>
            <w:pPr>
              <w:pStyle w:val="TableParagraph"/>
              <w:spacing w:line="206" w:lineRule="exact"/>
              <w:ind w:left="18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080" w:type="dxa"/>
            <w:tcBorders>
              <w:top w:val="nil" w:sz="6" w:space="0" w:color="auto"/>
              <w:left w:val="nil" w:sz="6" w:space="0" w:color="auto"/>
              <w:bottom w:val="nil" w:sz="6" w:space="0" w:color="auto"/>
              <w:right w:val="nil" w:sz="6" w:space="0" w:color="auto"/>
            </w:tcBorders>
          </w:tcPr>
          <w:p>
            <w:pPr/>
          </w:p>
        </w:tc>
      </w:tr>
      <w:tr>
        <w:trPr>
          <w:trHeight w:val="415" w:hRule="exact"/>
        </w:trPr>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68"/>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395" w:right="0"/>
              <w:jc w:val="left"/>
              <w:rPr>
                <w:rFonts w:ascii="Times New Roman" w:hAnsi="Times New Roman" w:cs="Times New Roman" w:eastAsia="Times New Roman" w:hint="default"/>
                <w:sz w:val="18"/>
                <w:szCs w:val="18"/>
              </w:rPr>
            </w:pPr>
            <w:r>
              <w:rPr>
                <w:rFonts w:ascii="Times New Roman"/>
                <w:sz w:val="18"/>
              </w:rPr>
              <w:t>314,522,206</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29"/>
              <w:jc w:val="right"/>
              <w:rPr>
                <w:rFonts w:ascii="Times New Roman" w:hAnsi="Times New Roman" w:cs="Times New Roman" w:eastAsia="Times New Roman" w:hint="default"/>
                <w:sz w:val="18"/>
                <w:szCs w:val="18"/>
              </w:rPr>
            </w:pPr>
            <w:r>
              <w:rPr>
                <w:rFonts w:ascii="Times New Roman"/>
                <w:sz w:val="18"/>
              </w:rPr>
              <w:t>99.08</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85"/>
              <w:jc w:val="right"/>
              <w:rPr>
                <w:rFonts w:ascii="Times New Roman" w:hAnsi="Times New Roman" w:cs="Times New Roman" w:eastAsia="Times New Roman" w:hint="default"/>
                <w:sz w:val="18"/>
                <w:szCs w:val="18"/>
              </w:rPr>
            </w:pPr>
            <w:r>
              <w:rPr>
                <w:rFonts w:ascii="Times New Roman"/>
                <w:sz w:val="18"/>
              </w:rPr>
              <w:t>3,145,223</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87"/>
              <w:jc w:val="right"/>
              <w:rPr>
                <w:rFonts w:ascii="Times New Roman" w:hAnsi="Times New Roman" w:cs="Times New Roman" w:eastAsia="Times New Roman" w:hint="default"/>
                <w:sz w:val="18"/>
                <w:szCs w:val="18"/>
              </w:rPr>
            </w:pPr>
            <w:r>
              <w:rPr>
                <w:rFonts w:ascii="Times New Roman"/>
                <w:sz w:val="18"/>
              </w:rPr>
              <w:t>229,470,680</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37"/>
              <w:jc w:val="right"/>
              <w:rPr>
                <w:rFonts w:ascii="Times New Roman" w:hAnsi="Times New Roman" w:cs="Times New Roman" w:eastAsia="Times New Roman" w:hint="default"/>
                <w:sz w:val="18"/>
                <w:szCs w:val="18"/>
              </w:rPr>
            </w:pPr>
            <w:r>
              <w:rPr>
                <w:rFonts w:ascii="Times New Roman"/>
                <w:sz w:val="18"/>
              </w:rPr>
              <w:t>98.36</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53"/>
              <w:jc w:val="right"/>
              <w:rPr>
                <w:rFonts w:ascii="Times New Roman" w:hAnsi="Times New Roman" w:cs="Times New Roman" w:eastAsia="Times New Roman" w:hint="default"/>
                <w:sz w:val="18"/>
                <w:szCs w:val="18"/>
              </w:rPr>
            </w:pPr>
            <w:r>
              <w:rPr>
                <w:rFonts w:ascii="Times New Roman"/>
                <w:sz w:val="18"/>
              </w:rPr>
              <w:t>2,294,707</w:t>
            </w:r>
          </w:p>
        </w:tc>
      </w:tr>
      <w:tr>
        <w:trPr>
          <w:trHeight w:val="405" w:hRule="exact"/>
        </w:trPr>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7"/>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8" w:type="dxa"/>
            <w:tcBorders>
              <w:top w:val="nil" w:sz="6" w:space="0" w:color="auto"/>
              <w:left w:val="nil" w:sz="6" w:space="0" w:color="auto"/>
              <w:bottom w:val="nil" w:sz="6" w:space="0" w:color="auto"/>
              <w:right w:val="nil" w:sz="6" w:space="0" w:color="auto"/>
            </w:tcBorders>
          </w:tcPr>
          <w:p>
            <w:pPr/>
          </w:p>
        </w:tc>
        <w:tc>
          <w:tcPr>
            <w:tcW w:w="980"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r>
      <w:tr>
        <w:trPr>
          <w:trHeight w:val="410" w:hRule="exact"/>
        </w:trPr>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67"/>
              <w:jc w:val="center"/>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8" w:type="dxa"/>
            <w:tcBorders>
              <w:top w:val="nil" w:sz="6" w:space="0" w:color="auto"/>
              <w:left w:val="nil" w:sz="6" w:space="0" w:color="auto"/>
              <w:bottom w:val="nil" w:sz="6" w:space="0" w:color="auto"/>
              <w:right w:val="nil" w:sz="6" w:space="0" w:color="auto"/>
            </w:tcBorders>
          </w:tcPr>
          <w:p>
            <w:pPr/>
          </w:p>
        </w:tc>
        <w:tc>
          <w:tcPr>
            <w:tcW w:w="980"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r>
      <w:tr>
        <w:trPr>
          <w:trHeight w:val="410" w:hRule="exact"/>
        </w:trPr>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67"/>
              <w:jc w:val="center"/>
              <w:rPr>
                <w:rFonts w:ascii="宋体" w:hAnsi="宋体" w:cs="宋体" w:eastAsia="宋体" w:hint="default"/>
                <w:sz w:val="18"/>
                <w:szCs w:val="18"/>
              </w:rPr>
            </w:pPr>
            <w:r>
              <w:rPr>
                <w:rFonts w:ascii="Times New Roman" w:hAnsi="Times New Roman" w:cs="Times New Roman" w:eastAsia="Times New Roman" w:hint="default"/>
                <w:sz w:val="18"/>
                <w:szCs w:val="18"/>
              </w:rPr>
              <w:t>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8" w:type="dxa"/>
            <w:tcBorders>
              <w:top w:val="nil" w:sz="6" w:space="0" w:color="auto"/>
              <w:left w:val="nil" w:sz="6" w:space="0" w:color="auto"/>
              <w:bottom w:val="nil" w:sz="6" w:space="0" w:color="auto"/>
              <w:right w:val="nil" w:sz="6" w:space="0" w:color="auto"/>
            </w:tcBorders>
          </w:tcPr>
          <w:p>
            <w:pPr/>
          </w:p>
        </w:tc>
        <w:tc>
          <w:tcPr>
            <w:tcW w:w="980"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r>
      <w:tr>
        <w:trPr>
          <w:trHeight w:val="415" w:hRule="exact"/>
        </w:trPr>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68"/>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575" w:right="0"/>
              <w:jc w:val="left"/>
              <w:rPr>
                <w:rFonts w:ascii="Times New Roman" w:hAnsi="Times New Roman" w:cs="Times New Roman" w:eastAsia="Times New Roman" w:hint="default"/>
                <w:sz w:val="18"/>
                <w:szCs w:val="18"/>
              </w:rPr>
            </w:pPr>
            <w:r>
              <w:rPr>
                <w:rFonts w:ascii="Times New Roman"/>
                <w:sz w:val="18"/>
              </w:rPr>
              <w:t>2,914,133</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28"/>
              <w:jc w:val="right"/>
              <w:rPr>
                <w:rFonts w:ascii="Times New Roman" w:hAnsi="Times New Roman" w:cs="Times New Roman" w:eastAsia="Times New Roman" w:hint="default"/>
                <w:sz w:val="18"/>
                <w:szCs w:val="18"/>
              </w:rPr>
            </w:pPr>
            <w:r>
              <w:rPr>
                <w:rFonts w:ascii="Times New Roman"/>
                <w:sz w:val="18"/>
              </w:rPr>
              <w:t>0.92</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84"/>
              <w:jc w:val="right"/>
              <w:rPr>
                <w:rFonts w:ascii="Times New Roman" w:hAnsi="Times New Roman" w:cs="Times New Roman" w:eastAsia="Times New Roman" w:hint="default"/>
                <w:sz w:val="18"/>
                <w:szCs w:val="18"/>
              </w:rPr>
            </w:pPr>
            <w:r>
              <w:rPr>
                <w:rFonts w:ascii="Times New Roman"/>
                <w:sz w:val="18"/>
              </w:rPr>
              <w:t>2,914,133</w:t>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87"/>
              <w:jc w:val="right"/>
              <w:rPr>
                <w:rFonts w:ascii="Times New Roman" w:hAnsi="Times New Roman" w:cs="Times New Roman" w:eastAsia="Times New Roman" w:hint="default"/>
                <w:sz w:val="18"/>
                <w:szCs w:val="18"/>
              </w:rPr>
            </w:pPr>
            <w:r>
              <w:rPr>
                <w:rFonts w:ascii="Times New Roman"/>
                <w:sz w:val="18"/>
              </w:rPr>
              <w:t>3,814,988</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36"/>
              <w:jc w:val="right"/>
              <w:rPr>
                <w:rFonts w:ascii="Times New Roman" w:hAnsi="Times New Roman" w:cs="Times New Roman" w:eastAsia="Times New Roman" w:hint="default"/>
                <w:sz w:val="18"/>
                <w:szCs w:val="18"/>
              </w:rPr>
            </w:pPr>
            <w:r>
              <w:rPr>
                <w:rFonts w:ascii="Times New Roman"/>
                <w:sz w:val="18"/>
              </w:rPr>
              <w:t>1.64</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53"/>
              <w:jc w:val="right"/>
              <w:rPr>
                <w:rFonts w:ascii="Times New Roman" w:hAnsi="Times New Roman" w:cs="Times New Roman" w:eastAsia="Times New Roman" w:hint="default"/>
                <w:sz w:val="18"/>
                <w:szCs w:val="18"/>
              </w:rPr>
            </w:pPr>
            <w:r>
              <w:rPr>
                <w:rFonts w:ascii="Times New Roman"/>
                <w:sz w:val="18"/>
              </w:rPr>
              <w:t>3,814,988</w:t>
            </w:r>
          </w:p>
        </w:tc>
      </w:tr>
      <w:tr>
        <w:trPr>
          <w:trHeight w:val="329" w:hRule="exact"/>
        </w:trPr>
        <w:tc>
          <w:tcPr>
            <w:tcW w:w="1414"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68"/>
              <w:jc w:val="center"/>
              <w:rPr>
                <w:rFonts w:ascii="宋体" w:hAnsi="宋体" w:cs="宋体" w:eastAsia="宋体" w:hint="default"/>
                <w:sz w:val="18"/>
                <w:szCs w:val="18"/>
              </w:rPr>
            </w:pPr>
            <w:r>
              <w:rPr>
                <w:rFonts w:ascii="宋体" w:hAnsi="宋体" w:cs="宋体" w:eastAsia="宋体" w:hint="default"/>
                <w:sz w:val="18"/>
                <w:szCs w:val="18"/>
              </w:rPr>
              <w:t>合  计</w:t>
            </w:r>
          </w:p>
        </w:tc>
        <w:tc>
          <w:tcPr>
            <w:tcW w:w="1598"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left="395" w:right="0"/>
              <w:jc w:val="left"/>
              <w:rPr>
                <w:rFonts w:ascii="Times New Roman" w:hAnsi="Times New Roman" w:cs="Times New Roman" w:eastAsia="Times New Roman" w:hint="default"/>
                <w:sz w:val="18"/>
                <w:szCs w:val="18"/>
              </w:rPr>
            </w:pPr>
            <w:r>
              <w:rPr>
                <w:rFonts w:ascii="Times New Roman"/>
                <w:sz w:val="18"/>
              </w:rPr>
              <w:t>317,436,339</w:t>
            </w:r>
          </w:p>
        </w:tc>
        <w:tc>
          <w:tcPr>
            <w:tcW w:w="98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29"/>
              <w:jc w:val="right"/>
              <w:rPr>
                <w:rFonts w:ascii="Times New Roman" w:hAnsi="Times New Roman" w:cs="Times New Roman" w:eastAsia="Times New Roman" w:hint="default"/>
                <w:sz w:val="18"/>
                <w:szCs w:val="18"/>
              </w:rPr>
            </w:pPr>
            <w:r>
              <w:rPr>
                <w:rFonts w:ascii="Times New Roman"/>
                <w:sz w:val="18"/>
              </w:rPr>
              <w:t>100</w:t>
            </w:r>
          </w:p>
        </w:tc>
        <w:tc>
          <w:tcPr>
            <w:tcW w:w="119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85"/>
              <w:jc w:val="right"/>
              <w:rPr>
                <w:rFonts w:ascii="Times New Roman" w:hAnsi="Times New Roman" w:cs="Times New Roman" w:eastAsia="Times New Roman" w:hint="default"/>
                <w:sz w:val="18"/>
                <w:szCs w:val="18"/>
              </w:rPr>
            </w:pPr>
            <w:r>
              <w:rPr>
                <w:rFonts w:ascii="Times New Roman"/>
                <w:sz w:val="18"/>
              </w:rPr>
              <w:t>6,059,356</w:t>
            </w:r>
          </w:p>
        </w:tc>
        <w:tc>
          <w:tcPr>
            <w:tcW w:w="127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233,285,668</w:t>
            </w:r>
          </w:p>
        </w:tc>
        <w:tc>
          <w:tcPr>
            <w:tcW w:w="122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35"/>
              <w:jc w:val="right"/>
              <w:rPr>
                <w:rFonts w:ascii="Times New Roman" w:hAnsi="Times New Roman" w:cs="Times New Roman" w:eastAsia="Times New Roman" w:hint="default"/>
                <w:sz w:val="18"/>
                <w:szCs w:val="18"/>
              </w:rPr>
            </w:pPr>
            <w:r>
              <w:rPr>
                <w:rFonts w:ascii="Times New Roman"/>
                <w:sz w:val="18"/>
              </w:rPr>
              <w:t>100.00</w:t>
            </w:r>
          </w:p>
        </w:tc>
        <w:tc>
          <w:tcPr>
            <w:tcW w:w="108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53"/>
              <w:jc w:val="right"/>
              <w:rPr>
                <w:rFonts w:ascii="Times New Roman" w:hAnsi="Times New Roman" w:cs="Times New Roman" w:eastAsia="Times New Roman" w:hint="default"/>
                <w:sz w:val="18"/>
                <w:szCs w:val="18"/>
              </w:rPr>
            </w:pPr>
            <w:r>
              <w:rPr>
                <w:rFonts w:ascii="Times New Roman"/>
                <w:sz w:val="18"/>
              </w:rPr>
              <w:t>6,109,695</w:t>
            </w:r>
          </w:p>
        </w:tc>
      </w:tr>
    </w:tbl>
    <w:p>
      <w:pPr>
        <w:spacing w:after="0" w:line="240" w:lineRule="auto"/>
        <w:jc w:val="right"/>
        <w:rPr>
          <w:rFonts w:ascii="Times New Roman" w:hAnsi="Times New Roman" w:cs="Times New Roman" w:eastAsia="Times New Roman" w:hint="default"/>
          <w:sz w:val="18"/>
          <w:szCs w:val="18"/>
        </w:rPr>
        <w:sectPr>
          <w:pgSz w:w="11910" w:h="16840"/>
          <w:pgMar w:header="883" w:footer="1003" w:top="1540" w:bottom="1200" w:left="1480" w:right="500"/>
        </w:sect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9"/>
          <w:szCs w:val="19"/>
        </w:rPr>
      </w:pPr>
    </w:p>
    <w:p>
      <w:pPr>
        <w:pStyle w:val="BodyText"/>
        <w:spacing w:line="240" w:lineRule="auto"/>
        <w:ind w:left="857" w:right="102"/>
        <w:jc w:val="left"/>
      </w:pPr>
      <w:r>
        <w:rPr/>
        <w:pict>
          <v:group style="position:absolute;margin-left:110.519997pt;margin-top:17.073793pt;width:437.05pt;height:103.5pt;mso-position-horizontal-relative:page;mso-position-vertical-relative:paragraph;z-index:-1102120" coordorigin="2210,341" coordsize="8741,2070">
            <v:group style="position:absolute;left:2230;top:356;width:5594;height:2" coordorigin="2230,356" coordsize="5594,2">
              <v:shape style="position:absolute;left:2230;top:356;width:5594;height:2" coordorigin="2230,356" coordsize="5594,0" path="m2230,356l7823,356e" filled="false" stroked="true" strokeweight="1.5pt" strokecolor="#000000">
                <v:path arrowok="t"/>
              </v:shape>
            </v:group>
            <v:group style="position:absolute;left:7823;top:356;width:3107;height:2" coordorigin="7823,356" coordsize="3107,2">
              <v:shape style="position:absolute;left:7823;top:356;width:3107;height:2" coordorigin="7823,356" coordsize="3107,0" path="m7823,356l10930,356e" filled="false" stroked="true" strokeweight="1.5pt" strokecolor="#000000">
                <v:path arrowok="t"/>
              </v:shape>
              <v:shape style="position:absolute;left:4531;top:348;width:3295;height:446" type="#_x0000_t75" stroked="false">
                <v:imagedata r:id="rId390" o:title=""/>
              </v:shape>
              <v:shape style="position:absolute;left:2210;top:752;width:8741;height:1660" type="#_x0000_t75" stroked="false">
                <v:imagedata r:id="rId391" o:title=""/>
              </v:shape>
              <v:shape style="position:absolute;left:2854;top:56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应收款项内容</w:t>
                      </w:r>
                    </w:p>
                  </w:txbxContent>
                </v:textbox>
                <w10:wrap type="none"/>
              </v:shape>
              <v:shape style="position:absolute;left:4716;top:564;width:3051;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账面金额  坏账准备金额</w:t>
                      </w:r>
                      <w:r>
                        <w:rPr>
                          <w:rFonts w:ascii="宋体" w:hAnsi="宋体" w:cs="宋体" w:eastAsia="宋体" w:hint="default"/>
                          <w:spacing w:val="-10"/>
                          <w:sz w:val="18"/>
                          <w:szCs w:val="18"/>
                        </w:rPr>
                        <w:t> </w:t>
                      </w: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xbxContent>
                </v:textbox>
                <w10:wrap type="none"/>
              </v:shape>
              <v:shape style="position:absolute;left:9094;top:56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理  由</w:t>
                      </w:r>
                    </w:p>
                  </w:txbxContent>
                </v:textbox>
                <w10:wrap type="none"/>
              </v:shape>
            </v:group>
            <w10:wrap type="none"/>
          </v:group>
        </w:pict>
      </w:r>
      <w:r>
        <w:rPr/>
        <w:t>期末单项金额虽不重大但单项计提坏账准备的应收账款：</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tbl>
      <w:tblPr>
        <w:tblW w:w="0" w:type="auto"/>
        <w:jc w:val="left"/>
        <w:tblInd w:w="735" w:type="dxa"/>
        <w:tblLayout w:type="fixed"/>
        <w:tblCellMar>
          <w:top w:w="0" w:type="dxa"/>
          <w:left w:w="0" w:type="dxa"/>
          <w:bottom w:w="0" w:type="dxa"/>
          <w:right w:w="0" w:type="dxa"/>
        </w:tblCellMar>
        <w:tblLook w:val="01E0"/>
      </w:tblPr>
      <w:tblGrid>
        <w:gridCol w:w="2397"/>
        <w:gridCol w:w="1099"/>
        <w:gridCol w:w="1260"/>
        <w:gridCol w:w="3959"/>
      </w:tblGrid>
      <w:tr>
        <w:trPr>
          <w:trHeight w:val="404" w:hRule="exact"/>
        </w:trPr>
        <w:tc>
          <w:tcPr>
            <w:tcW w:w="239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 w:right="0"/>
              <w:jc w:val="center"/>
              <w:rPr>
                <w:rFonts w:ascii="宋体" w:hAnsi="宋体" w:cs="宋体" w:eastAsia="宋体" w:hint="default"/>
                <w:sz w:val="18"/>
                <w:szCs w:val="18"/>
              </w:rPr>
            </w:pPr>
            <w:r>
              <w:rPr>
                <w:rFonts w:ascii="宋体" w:hAnsi="宋体" w:cs="宋体" w:eastAsia="宋体" w:hint="default"/>
                <w:sz w:val="18"/>
                <w:szCs w:val="18"/>
              </w:rPr>
              <w:t>应收软件及系统集成合同款</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71"/>
              <w:jc w:val="right"/>
              <w:rPr>
                <w:rFonts w:ascii="Times New Roman" w:hAnsi="Times New Roman" w:cs="Times New Roman" w:eastAsia="Times New Roman" w:hint="default"/>
                <w:sz w:val="18"/>
                <w:szCs w:val="18"/>
              </w:rPr>
            </w:pPr>
            <w:r>
              <w:rPr>
                <w:rFonts w:ascii="Times New Roman"/>
                <w:sz w:val="18"/>
              </w:rPr>
              <w:t>6,000,277</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6"/>
              <w:jc w:val="center"/>
              <w:rPr>
                <w:rFonts w:ascii="Times New Roman" w:hAnsi="Times New Roman" w:cs="Times New Roman" w:eastAsia="Times New Roman" w:hint="default"/>
                <w:sz w:val="18"/>
                <w:szCs w:val="18"/>
              </w:rPr>
            </w:pPr>
            <w:r>
              <w:rPr>
                <w:rFonts w:ascii="Times New Roman"/>
                <w:sz w:val="18"/>
              </w:rPr>
              <w:t>6,000,277</w:t>
            </w:r>
          </w:p>
        </w:tc>
        <w:tc>
          <w:tcPr>
            <w:tcW w:w="395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7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100.00</w:t>
            </w:r>
            <w:r>
              <w:rPr>
                <w:rFonts w:ascii="Times New Roman" w:hAnsi="Times New Roman" w:cs="Times New Roman" w:eastAsia="Times New Roman" w:hint="default"/>
                <w:spacing w:val="31"/>
                <w:sz w:val="18"/>
                <w:szCs w:val="18"/>
              </w:rPr>
              <w:t> </w:t>
            </w:r>
            <w:r>
              <w:rPr>
                <w:rFonts w:ascii="宋体" w:hAnsi="宋体" w:cs="宋体" w:eastAsia="宋体" w:hint="default"/>
                <w:position w:val="1"/>
                <w:sz w:val="18"/>
                <w:szCs w:val="18"/>
              </w:rPr>
              <w:t>账龄较长</w:t>
            </w:r>
            <w:r>
              <w:rPr>
                <w:rFonts w:ascii="Times New Roman" w:hAnsi="Times New Roman" w:cs="Times New Roman" w:eastAsia="Times New Roman" w:hint="default"/>
                <w:position w:val="1"/>
                <w:sz w:val="18"/>
                <w:szCs w:val="18"/>
              </w:rPr>
              <w:t>—</w:t>
            </w:r>
            <w:r>
              <w:rPr>
                <w:rFonts w:ascii="宋体" w:hAnsi="宋体" w:cs="宋体" w:eastAsia="宋体" w:hint="default"/>
                <w:position w:val="1"/>
                <w:sz w:val="18"/>
                <w:szCs w:val="18"/>
              </w:rPr>
              <w:t>预计不可收回</w:t>
            </w:r>
            <w:r>
              <w:rPr>
                <w:rFonts w:ascii="宋体" w:hAnsi="宋体" w:cs="宋体" w:eastAsia="宋体" w:hint="default"/>
                <w:sz w:val="18"/>
                <w:szCs w:val="18"/>
              </w:rPr>
            </w:r>
          </w:p>
        </w:tc>
      </w:tr>
      <w:tr>
        <w:trPr>
          <w:trHeight w:val="410" w:hRule="exact"/>
        </w:trPr>
        <w:tc>
          <w:tcPr>
            <w:tcW w:w="239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 w:right="0"/>
              <w:jc w:val="center"/>
              <w:rPr>
                <w:rFonts w:ascii="宋体" w:hAnsi="宋体" w:cs="宋体" w:eastAsia="宋体" w:hint="default"/>
                <w:sz w:val="18"/>
                <w:szCs w:val="18"/>
              </w:rPr>
            </w:pPr>
            <w:r>
              <w:rPr>
                <w:rFonts w:ascii="宋体" w:hAnsi="宋体" w:cs="宋体" w:eastAsia="宋体" w:hint="default"/>
                <w:sz w:val="18"/>
                <w:szCs w:val="18"/>
              </w:rPr>
              <w:t>应收软件及系统集成合同款</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70"/>
              <w:jc w:val="right"/>
              <w:rPr>
                <w:rFonts w:ascii="Times New Roman" w:hAnsi="Times New Roman" w:cs="Times New Roman" w:eastAsia="Times New Roman" w:hint="default"/>
                <w:sz w:val="18"/>
                <w:szCs w:val="18"/>
              </w:rPr>
            </w:pPr>
            <w:r>
              <w:rPr>
                <w:rFonts w:ascii="Times New Roman"/>
                <w:sz w:val="18"/>
              </w:rPr>
              <w:t>6,362,145</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
              <w:jc w:val="center"/>
              <w:rPr>
                <w:rFonts w:ascii="Times New Roman" w:hAnsi="Times New Roman" w:cs="Times New Roman" w:eastAsia="Times New Roman" w:hint="default"/>
                <w:sz w:val="18"/>
                <w:szCs w:val="18"/>
              </w:rPr>
            </w:pPr>
            <w:r>
              <w:rPr>
                <w:rFonts w:ascii="Times New Roman"/>
                <w:sz w:val="18"/>
              </w:rPr>
              <w:t>3,422,635</w:t>
            </w:r>
          </w:p>
        </w:tc>
        <w:tc>
          <w:tcPr>
            <w:tcW w:w="395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14"/>
              <w:jc w:val="right"/>
              <w:rPr>
                <w:rFonts w:ascii="宋体" w:hAnsi="宋体" w:cs="宋体" w:eastAsia="宋体" w:hint="default"/>
                <w:sz w:val="18"/>
                <w:szCs w:val="18"/>
              </w:rPr>
            </w:pPr>
            <w:r>
              <w:rPr>
                <w:rFonts w:ascii="Times New Roman" w:hAnsi="Times New Roman" w:cs="Times New Roman" w:eastAsia="Times New Roman" w:hint="default"/>
                <w:sz w:val="18"/>
                <w:szCs w:val="18"/>
              </w:rPr>
              <w:t>53.80  </w:t>
            </w:r>
            <w:r>
              <w:rPr>
                <w:rFonts w:ascii="宋体" w:hAnsi="宋体" w:cs="宋体" w:eastAsia="宋体" w:hint="default"/>
                <w:position w:val="1"/>
                <w:sz w:val="18"/>
                <w:szCs w:val="18"/>
              </w:rPr>
              <w:t>账龄较长</w:t>
            </w:r>
            <w:r>
              <w:rPr>
                <w:rFonts w:ascii="Times New Roman" w:hAnsi="Times New Roman" w:cs="Times New Roman" w:eastAsia="Times New Roman" w:hint="default"/>
                <w:position w:val="1"/>
                <w:sz w:val="18"/>
                <w:szCs w:val="18"/>
              </w:rPr>
              <w:t>—</w:t>
            </w:r>
            <w:r>
              <w:rPr>
                <w:rFonts w:ascii="宋体" w:hAnsi="宋体" w:cs="宋体" w:eastAsia="宋体" w:hint="default"/>
                <w:position w:val="1"/>
                <w:sz w:val="18"/>
                <w:szCs w:val="18"/>
              </w:rPr>
              <w:t>预计可收回比例</w:t>
            </w:r>
            <w:r>
              <w:rPr>
                <w:rFonts w:ascii="宋体" w:hAnsi="宋体" w:cs="宋体" w:eastAsia="宋体" w:hint="default"/>
                <w:spacing w:val="-61"/>
                <w:position w:val="1"/>
                <w:sz w:val="18"/>
                <w:szCs w:val="18"/>
              </w:rPr>
              <w:t> </w:t>
            </w:r>
            <w:r>
              <w:rPr>
                <w:rFonts w:ascii="Times New Roman" w:hAnsi="Times New Roman" w:cs="Times New Roman" w:eastAsia="Times New Roman" w:hint="default"/>
                <w:position w:val="1"/>
                <w:sz w:val="18"/>
                <w:szCs w:val="18"/>
              </w:rPr>
              <w:t>50%</w:t>
            </w:r>
            <w:r>
              <w:rPr>
                <w:rFonts w:ascii="宋体" w:hAnsi="宋体" w:cs="宋体" w:eastAsia="宋体" w:hint="default"/>
                <w:position w:val="1"/>
                <w:sz w:val="18"/>
                <w:szCs w:val="18"/>
              </w:rPr>
              <w:t>左右</w:t>
            </w:r>
            <w:r>
              <w:rPr>
                <w:rFonts w:ascii="宋体" w:hAnsi="宋体" w:cs="宋体" w:eastAsia="宋体" w:hint="default"/>
                <w:sz w:val="18"/>
                <w:szCs w:val="18"/>
              </w:rPr>
            </w:r>
          </w:p>
        </w:tc>
      </w:tr>
      <w:tr>
        <w:trPr>
          <w:trHeight w:val="410" w:hRule="exact"/>
        </w:trPr>
        <w:tc>
          <w:tcPr>
            <w:tcW w:w="239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 w:right="0"/>
              <w:jc w:val="center"/>
              <w:rPr>
                <w:rFonts w:ascii="宋体" w:hAnsi="宋体" w:cs="宋体" w:eastAsia="宋体" w:hint="default"/>
                <w:sz w:val="18"/>
                <w:szCs w:val="18"/>
              </w:rPr>
            </w:pPr>
            <w:r>
              <w:rPr>
                <w:rFonts w:ascii="宋体" w:hAnsi="宋体" w:cs="宋体" w:eastAsia="宋体" w:hint="default"/>
                <w:sz w:val="18"/>
                <w:szCs w:val="18"/>
              </w:rPr>
              <w:t>应收软件及系统集成合同款</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70"/>
              <w:jc w:val="right"/>
              <w:rPr>
                <w:rFonts w:ascii="Times New Roman" w:hAnsi="Times New Roman" w:cs="Times New Roman" w:eastAsia="Times New Roman" w:hint="default"/>
                <w:sz w:val="18"/>
                <w:szCs w:val="18"/>
              </w:rPr>
            </w:pPr>
            <w:r>
              <w:rPr>
                <w:rFonts w:ascii="Times New Roman"/>
                <w:sz w:val="18"/>
              </w:rPr>
              <w:t>29,303,475</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
              <w:jc w:val="center"/>
              <w:rPr>
                <w:rFonts w:ascii="Times New Roman" w:hAnsi="Times New Roman" w:cs="Times New Roman" w:eastAsia="Times New Roman" w:hint="default"/>
                <w:sz w:val="18"/>
                <w:szCs w:val="18"/>
              </w:rPr>
            </w:pPr>
            <w:r>
              <w:rPr>
                <w:rFonts w:ascii="Times New Roman"/>
                <w:sz w:val="18"/>
              </w:rPr>
              <w:t>3,282,805</w:t>
            </w:r>
          </w:p>
        </w:tc>
        <w:tc>
          <w:tcPr>
            <w:tcW w:w="395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14"/>
              <w:jc w:val="right"/>
              <w:rPr>
                <w:rFonts w:ascii="宋体" w:hAnsi="宋体" w:cs="宋体" w:eastAsia="宋体" w:hint="default"/>
                <w:sz w:val="18"/>
                <w:szCs w:val="18"/>
              </w:rPr>
            </w:pPr>
            <w:r>
              <w:rPr>
                <w:rFonts w:ascii="Times New Roman" w:hAnsi="Times New Roman" w:cs="Times New Roman" w:eastAsia="Times New Roman" w:hint="default"/>
                <w:sz w:val="18"/>
                <w:szCs w:val="18"/>
              </w:rPr>
              <w:t>11.20  </w:t>
            </w:r>
            <w:r>
              <w:rPr>
                <w:rFonts w:ascii="宋体" w:hAnsi="宋体" w:cs="宋体" w:eastAsia="宋体" w:hint="default"/>
                <w:position w:val="1"/>
                <w:sz w:val="18"/>
                <w:szCs w:val="18"/>
              </w:rPr>
              <w:t>账龄较长</w:t>
            </w:r>
            <w:r>
              <w:rPr>
                <w:rFonts w:ascii="Times New Roman" w:hAnsi="Times New Roman" w:cs="Times New Roman" w:eastAsia="Times New Roman" w:hint="default"/>
                <w:position w:val="1"/>
                <w:sz w:val="18"/>
                <w:szCs w:val="18"/>
              </w:rPr>
              <w:t>—</w:t>
            </w:r>
            <w:r>
              <w:rPr>
                <w:rFonts w:ascii="宋体" w:hAnsi="宋体" w:cs="宋体" w:eastAsia="宋体" w:hint="default"/>
                <w:position w:val="1"/>
                <w:sz w:val="18"/>
                <w:szCs w:val="18"/>
              </w:rPr>
              <w:t>预计可收回比例</w:t>
            </w:r>
            <w:r>
              <w:rPr>
                <w:rFonts w:ascii="宋体" w:hAnsi="宋体" w:cs="宋体" w:eastAsia="宋体" w:hint="default"/>
                <w:spacing w:val="-69"/>
                <w:position w:val="1"/>
                <w:sz w:val="18"/>
                <w:szCs w:val="18"/>
              </w:rPr>
              <w:t> </w:t>
            </w:r>
            <w:r>
              <w:rPr>
                <w:rFonts w:ascii="Times New Roman" w:hAnsi="Times New Roman" w:cs="Times New Roman" w:eastAsia="Times New Roman" w:hint="default"/>
                <w:position w:val="1"/>
                <w:sz w:val="18"/>
                <w:szCs w:val="18"/>
              </w:rPr>
              <w:t>85%</w:t>
            </w:r>
            <w:r>
              <w:rPr>
                <w:rFonts w:ascii="宋体" w:hAnsi="宋体" w:cs="宋体" w:eastAsia="宋体" w:hint="default"/>
                <w:position w:val="1"/>
                <w:sz w:val="18"/>
                <w:szCs w:val="18"/>
              </w:rPr>
              <w:t>以上</w:t>
            </w:r>
            <w:r>
              <w:rPr>
                <w:rFonts w:ascii="宋体" w:hAnsi="宋体" w:cs="宋体" w:eastAsia="宋体" w:hint="default"/>
                <w:sz w:val="18"/>
                <w:szCs w:val="18"/>
              </w:rPr>
            </w:r>
          </w:p>
        </w:tc>
      </w:tr>
      <w:tr>
        <w:trPr>
          <w:trHeight w:val="328" w:hRule="exact"/>
        </w:trPr>
        <w:tc>
          <w:tcPr>
            <w:tcW w:w="2397" w:type="dxa"/>
            <w:tcBorders>
              <w:top w:val="nil" w:sz="6" w:space="0" w:color="auto"/>
              <w:left w:val="nil" w:sz="6" w:space="0" w:color="auto"/>
              <w:bottom w:val="single" w:sz="12" w:space="0" w:color="000000"/>
              <w:right w:val="nil" w:sz="6" w:space="0" w:color="auto"/>
            </w:tcBorders>
          </w:tcPr>
          <w:p>
            <w:pPr>
              <w:pStyle w:val="TableParagraph"/>
              <w:tabs>
                <w:tab w:pos="607" w:val="left" w:leader="none"/>
              </w:tabs>
              <w:spacing w:line="240" w:lineRule="auto" w:before="50"/>
              <w:ind w:left="67"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09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69"/>
              <w:jc w:val="right"/>
              <w:rPr>
                <w:rFonts w:ascii="Times New Roman" w:hAnsi="Times New Roman" w:cs="Times New Roman" w:eastAsia="Times New Roman" w:hint="default"/>
                <w:sz w:val="18"/>
                <w:szCs w:val="18"/>
              </w:rPr>
            </w:pPr>
            <w:r>
              <w:rPr>
                <w:rFonts w:ascii="Times New Roman"/>
                <w:sz w:val="18"/>
              </w:rPr>
              <w:t>41,665,897</w:t>
            </w:r>
          </w:p>
        </w:tc>
        <w:tc>
          <w:tcPr>
            <w:tcW w:w="126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3"/>
              <w:jc w:val="center"/>
              <w:rPr>
                <w:rFonts w:ascii="Times New Roman" w:hAnsi="Times New Roman" w:cs="Times New Roman" w:eastAsia="Times New Roman" w:hint="default"/>
                <w:sz w:val="18"/>
                <w:szCs w:val="18"/>
              </w:rPr>
            </w:pPr>
            <w:r>
              <w:rPr>
                <w:rFonts w:ascii="Times New Roman"/>
                <w:sz w:val="18"/>
              </w:rPr>
              <w:t>12,705,717</w:t>
            </w:r>
          </w:p>
        </w:tc>
        <w:tc>
          <w:tcPr>
            <w:tcW w:w="3959"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Heading6"/>
        <w:tabs>
          <w:tab w:pos="1395" w:val="left" w:leader="none"/>
        </w:tabs>
        <w:spacing w:line="240" w:lineRule="auto"/>
        <w:ind w:right="102"/>
        <w:jc w:val="left"/>
        <w:rPr>
          <w:b w:val="0"/>
          <w:bCs w:val="0"/>
        </w:rPr>
      </w:pPr>
      <w:r>
        <w:rPr/>
        <w:pict>
          <v:group style="position:absolute;margin-left:110.040001pt;margin-top:17.133528pt;width:440.3pt;height:165pt;mso-position-horizontal-relative:page;mso-position-vertical-relative:paragraph;z-index:-1102096" coordorigin="2201,343" coordsize="8806,3300">
            <v:group style="position:absolute;left:2230;top:358;width:4821;height:2" coordorigin="2230,358" coordsize="4821,2">
              <v:shape style="position:absolute;left:2230;top:358;width:4821;height:2" coordorigin="2230,358" coordsize="4821,0" path="m2230,358l7050,358e" filled="false" stroked="true" strokeweight="1.5pt" strokecolor="#000000">
                <v:path arrowok="t"/>
              </v:shape>
            </v:group>
            <v:group style="position:absolute;left:7050;top:358;width:2079;height:2" coordorigin="7050,358" coordsize="2079,2">
              <v:shape style="position:absolute;left:7050;top:358;width:2079;height:2" coordorigin="7050,358" coordsize="2079,0" path="m7050,358l9128,358e" filled="false" stroked="true" strokeweight="1.5pt" strokecolor="#000000">
                <v:path arrowok="t"/>
              </v:shape>
            </v:group>
            <v:group style="position:absolute;left:9128;top:358;width:1847;height:2" coordorigin="9128,358" coordsize="1847,2">
              <v:shape style="position:absolute;left:9128;top:358;width:1847;height:2" coordorigin="9128,358" coordsize="1847,0" path="m9128,358l10975,358e" filled="false" stroked="true" strokeweight="1.5pt" strokecolor="#000000">
                <v:path arrowok="t"/>
              </v:shape>
              <v:shape style="position:absolute;left:4311;top:349;width:4850;height:446" type="#_x0000_t75" stroked="false">
                <v:imagedata r:id="rId392" o:title=""/>
              </v:shape>
              <v:shape style="position:absolute;left:2201;top:747;width:8806;height:2896" type="#_x0000_t75" stroked="false">
                <v:imagedata r:id="rId393" o:title=""/>
              </v:shape>
            </v:group>
            <w10:wrap type="none"/>
          </v:group>
        </w:pict>
      </w:r>
      <w:r>
        <w:rPr>
          <w:w w:val="95"/>
        </w:rPr>
        <w:t>3、</w:t>
        <w:tab/>
      </w:r>
      <w:r>
        <w:rPr/>
        <w:t>以前年度已全额或大比例计提坏账准备且当年又全额或部分收回的应收账款的情况：</w:t>
      </w:r>
      <w:r>
        <w:rPr>
          <w:b w:val="0"/>
          <w:bCs w:val="0"/>
        </w:rPr>
      </w:r>
    </w:p>
    <w:p>
      <w:pPr>
        <w:spacing w:line="240" w:lineRule="auto" w:before="11"/>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2089"/>
        <w:gridCol w:w="1390"/>
        <w:gridCol w:w="1343"/>
        <w:gridCol w:w="2210"/>
        <w:gridCol w:w="1729"/>
      </w:tblGrid>
      <w:tr>
        <w:trPr>
          <w:trHeight w:val="814" w:hRule="exact"/>
        </w:trPr>
        <w:tc>
          <w:tcPr>
            <w:tcW w:w="2089"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478" w:firstLine="405"/>
              <w:jc w:val="left"/>
              <w:rPr>
                <w:rFonts w:ascii="宋体" w:hAnsi="宋体" w:cs="宋体" w:eastAsia="宋体" w:hint="default"/>
                <w:sz w:val="18"/>
                <w:szCs w:val="18"/>
              </w:rPr>
            </w:pPr>
            <w:r>
              <w:rPr>
                <w:rFonts w:ascii="宋体" w:hAnsi="宋体" w:cs="宋体" w:eastAsia="宋体" w:hint="default"/>
                <w:sz w:val="18"/>
                <w:szCs w:val="18"/>
              </w:rPr>
              <w:t>应收款项内容 青岛市技师学院</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66" w:right="0"/>
              <w:jc w:val="left"/>
              <w:rPr>
                <w:rFonts w:ascii="宋体" w:hAnsi="宋体" w:cs="宋体" w:eastAsia="宋体" w:hint="default"/>
                <w:sz w:val="18"/>
                <w:szCs w:val="18"/>
              </w:rPr>
            </w:pPr>
            <w:r>
              <w:rPr>
                <w:rFonts w:ascii="宋体" w:hAnsi="宋体" w:cs="宋体" w:eastAsia="宋体" w:hint="default"/>
                <w:sz w:val="18"/>
                <w:szCs w:val="18"/>
              </w:rPr>
              <w:t>年初应收余额</w:t>
            </w: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550" w:right="0"/>
              <w:jc w:val="left"/>
              <w:rPr>
                <w:rFonts w:ascii="Times New Roman" w:hAnsi="Times New Roman" w:cs="Times New Roman" w:eastAsia="Times New Roman" w:hint="default"/>
                <w:sz w:val="18"/>
                <w:szCs w:val="18"/>
              </w:rPr>
            </w:pPr>
            <w:r>
              <w:rPr>
                <w:rFonts w:ascii="Times New Roman"/>
                <w:sz w:val="18"/>
              </w:rPr>
              <w:t>1,141,700</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8" w:right="0"/>
              <w:jc w:val="left"/>
              <w:rPr>
                <w:rFonts w:ascii="宋体" w:hAnsi="宋体" w:cs="宋体" w:eastAsia="宋体" w:hint="default"/>
                <w:sz w:val="18"/>
                <w:szCs w:val="18"/>
              </w:rPr>
            </w:pPr>
            <w:r>
              <w:rPr>
                <w:rFonts w:ascii="宋体" w:hAnsi="宋体" w:cs="宋体" w:eastAsia="宋体" w:hint="default"/>
                <w:sz w:val="18"/>
                <w:szCs w:val="18"/>
              </w:rPr>
              <w:t>年初坏账准备</w:t>
            </w: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509" w:right="0"/>
              <w:jc w:val="left"/>
              <w:rPr>
                <w:rFonts w:ascii="Times New Roman" w:hAnsi="Times New Roman" w:cs="Times New Roman" w:eastAsia="Times New Roman" w:hint="default"/>
                <w:sz w:val="18"/>
                <w:szCs w:val="18"/>
              </w:rPr>
            </w:pPr>
            <w:r>
              <w:rPr>
                <w:rFonts w:ascii="Times New Roman"/>
                <w:sz w:val="18"/>
              </w:rPr>
              <w:t>1,110,200</w:t>
            </w:r>
          </w:p>
        </w:tc>
        <w:tc>
          <w:tcPr>
            <w:tcW w:w="221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9"/>
              <w:jc w:val="right"/>
              <w:rPr>
                <w:rFonts w:ascii="宋体" w:hAnsi="宋体" w:cs="宋体" w:eastAsia="宋体" w:hint="default"/>
                <w:sz w:val="18"/>
                <w:szCs w:val="18"/>
              </w:rPr>
            </w:pPr>
            <w:r>
              <w:rPr>
                <w:rFonts w:ascii="宋体" w:hAnsi="宋体" w:cs="宋体" w:eastAsia="宋体" w:hint="default"/>
                <w:sz w:val="18"/>
                <w:szCs w:val="18"/>
              </w:rPr>
              <w:t>坏账准备计提比例（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218"/>
              <w:jc w:val="right"/>
              <w:rPr>
                <w:rFonts w:ascii="Times New Roman" w:hAnsi="Times New Roman" w:cs="Times New Roman" w:eastAsia="Times New Roman" w:hint="default"/>
                <w:sz w:val="18"/>
                <w:szCs w:val="18"/>
              </w:rPr>
            </w:pPr>
            <w:r>
              <w:rPr>
                <w:rFonts w:ascii="Times New Roman"/>
                <w:sz w:val="18"/>
              </w:rPr>
              <w:t>97.24</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1" w:right="0"/>
              <w:jc w:val="left"/>
              <w:rPr>
                <w:rFonts w:ascii="宋体" w:hAnsi="宋体" w:cs="宋体" w:eastAsia="宋体" w:hint="default"/>
                <w:sz w:val="18"/>
                <w:szCs w:val="18"/>
              </w:rPr>
            </w:pPr>
            <w:r>
              <w:rPr>
                <w:rFonts w:ascii="宋体" w:hAnsi="宋体" w:cs="宋体" w:eastAsia="宋体" w:hint="default"/>
                <w:sz w:val="18"/>
                <w:szCs w:val="18"/>
              </w:rPr>
              <w:t>报告期内收回金额</w:t>
            </w: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1035" w:right="0"/>
              <w:jc w:val="left"/>
              <w:rPr>
                <w:rFonts w:ascii="Times New Roman" w:hAnsi="Times New Roman" w:cs="Times New Roman" w:eastAsia="Times New Roman" w:hint="default"/>
                <w:sz w:val="18"/>
                <w:szCs w:val="18"/>
              </w:rPr>
            </w:pPr>
            <w:r>
              <w:rPr>
                <w:rFonts w:ascii="Times New Roman"/>
                <w:sz w:val="18"/>
              </w:rPr>
              <w:t>740,700</w:t>
            </w:r>
          </w:p>
        </w:tc>
      </w:tr>
      <w:tr>
        <w:trPr>
          <w:trHeight w:val="410" w:hRule="exact"/>
        </w:trPr>
        <w:tc>
          <w:tcPr>
            <w:tcW w:w="208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黑龙江省电力有限公司</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6"/>
              <w:jc w:val="right"/>
              <w:rPr>
                <w:rFonts w:ascii="Times New Roman" w:hAnsi="Times New Roman" w:cs="Times New Roman" w:eastAsia="Times New Roman" w:hint="default"/>
                <w:sz w:val="18"/>
                <w:szCs w:val="18"/>
              </w:rPr>
            </w:pPr>
            <w:r>
              <w:rPr>
                <w:rFonts w:ascii="Times New Roman"/>
                <w:sz w:val="18"/>
              </w:rPr>
              <w:t>273,000</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6"/>
              <w:jc w:val="right"/>
              <w:rPr>
                <w:rFonts w:ascii="Times New Roman" w:hAnsi="Times New Roman" w:cs="Times New Roman" w:eastAsia="Times New Roman" w:hint="default"/>
                <w:sz w:val="18"/>
                <w:szCs w:val="18"/>
              </w:rPr>
            </w:pPr>
            <w:r>
              <w:rPr>
                <w:rFonts w:ascii="Times New Roman"/>
                <w:sz w:val="18"/>
              </w:rPr>
              <w:t>273,000</w:t>
            </w:r>
          </w:p>
        </w:tc>
        <w:tc>
          <w:tcPr>
            <w:tcW w:w="221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8"/>
              <w:jc w:val="right"/>
              <w:rPr>
                <w:rFonts w:ascii="Times New Roman" w:hAnsi="Times New Roman" w:cs="Times New Roman" w:eastAsia="Times New Roman" w:hint="default"/>
                <w:sz w:val="18"/>
                <w:szCs w:val="18"/>
              </w:rPr>
            </w:pPr>
            <w:r>
              <w:rPr>
                <w:rFonts w:ascii="Times New Roman"/>
                <w:sz w:val="18"/>
              </w:rPr>
              <w:t>100.00</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273,000</w:t>
            </w:r>
          </w:p>
        </w:tc>
      </w:tr>
      <w:tr>
        <w:trPr>
          <w:trHeight w:val="410" w:hRule="exact"/>
        </w:trPr>
        <w:tc>
          <w:tcPr>
            <w:tcW w:w="208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济南德州电厂物资公司</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6"/>
              <w:jc w:val="right"/>
              <w:rPr>
                <w:rFonts w:ascii="Times New Roman" w:hAnsi="Times New Roman" w:cs="Times New Roman" w:eastAsia="Times New Roman" w:hint="default"/>
                <w:sz w:val="18"/>
                <w:szCs w:val="18"/>
              </w:rPr>
            </w:pPr>
            <w:r>
              <w:rPr>
                <w:rFonts w:ascii="Times New Roman"/>
                <w:sz w:val="18"/>
              </w:rPr>
              <w:t>820,060</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6"/>
              <w:jc w:val="right"/>
              <w:rPr>
                <w:rFonts w:ascii="Times New Roman" w:hAnsi="Times New Roman" w:cs="Times New Roman" w:eastAsia="Times New Roman" w:hint="default"/>
                <w:sz w:val="18"/>
                <w:szCs w:val="18"/>
              </w:rPr>
            </w:pPr>
            <w:r>
              <w:rPr>
                <w:rFonts w:ascii="Times New Roman"/>
                <w:sz w:val="18"/>
              </w:rPr>
              <w:t>820,060</w:t>
            </w:r>
          </w:p>
        </w:tc>
        <w:tc>
          <w:tcPr>
            <w:tcW w:w="221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8"/>
              <w:jc w:val="right"/>
              <w:rPr>
                <w:rFonts w:ascii="Times New Roman" w:hAnsi="Times New Roman" w:cs="Times New Roman" w:eastAsia="Times New Roman" w:hint="default"/>
                <w:sz w:val="18"/>
                <w:szCs w:val="18"/>
              </w:rPr>
            </w:pPr>
            <w:r>
              <w:rPr>
                <w:rFonts w:ascii="Times New Roman"/>
                <w:sz w:val="18"/>
              </w:rPr>
              <w:t>100.00</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820,060</w:t>
            </w:r>
          </w:p>
        </w:tc>
      </w:tr>
      <w:tr>
        <w:trPr>
          <w:trHeight w:val="410" w:hRule="exact"/>
        </w:trPr>
        <w:tc>
          <w:tcPr>
            <w:tcW w:w="208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福建电力有限公司</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6"/>
              <w:jc w:val="right"/>
              <w:rPr>
                <w:rFonts w:ascii="Times New Roman" w:hAnsi="Times New Roman" w:cs="Times New Roman" w:eastAsia="Times New Roman" w:hint="default"/>
                <w:sz w:val="18"/>
                <w:szCs w:val="18"/>
              </w:rPr>
            </w:pPr>
            <w:r>
              <w:rPr>
                <w:rFonts w:ascii="Times New Roman"/>
                <w:sz w:val="18"/>
              </w:rPr>
              <w:t>593,001</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6"/>
              <w:jc w:val="right"/>
              <w:rPr>
                <w:rFonts w:ascii="Times New Roman" w:hAnsi="Times New Roman" w:cs="Times New Roman" w:eastAsia="Times New Roman" w:hint="default"/>
                <w:sz w:val="18"/>
                <w:szCs w:val="18"/>
              </w:rPr>
            </w:pPr>
            <w:r>
              <w:rPr>
                <w:rFonts w:ascii="Times New Roman"/>
                <w:sz w:val="18"/>
              </w:rPr>
              <w:t>593,001</w:t>
            </w:r>
          </w:p>
        </w:tc>
        <w:tc>
          <w:tcPr>
            <w:tcW w:w="221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8"/>
              <w:jc w:val="right"/>
              <w:rPr>
                <w:rFonts w:ascii="Times New Roman" w:hAnsi="Times New Roman" w:cs="Times New Roman" w:eastAsia="Times New Roman" w:hint="default"/>
                <w:sz w:val="18"/>
                <w:szCs w:val="18"/>
              </w:rPr>
            </w:pPr>
            <w:r>
              <w:rPr>
                <w:rFonts w:ascii="Times New Roman"/>
                <w:sz w:val="18"/>
              </w:rPr>
              <w:t>100.00</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593,001</w:t>
            </w:r>
          </w:p>
        </w:tc>
      </w:tr>
      <w:tr>
        <w:trPr>
          <w:trHeight w:val="410" w:hRule="exact"/>
        </w:trPr>
        <w:tc>
          <w:tcPr>
            <w:tcW w:w="208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上海东芝电梯有限公司</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6"/>
              <w:jc w:val="right"/>
              <w:rPr>
                <w:rFonts w:ascii="Times New Roman" w:hAnsi="Times New Roman" w:cs="Times New Roman" w:eastAsia="Times New Roman" w:hint="default"/>
                <w:sz w:val="18"/>
                <w:szCs w:val="18"/>
              </w:rPr>
            </w:pPr>
            <w:r>
              <w:rPr>
                <w:rFonts w:ascii="Times New Roman"/>
                <w:sz w:val="18"/>
              </w:rPr>
              <w:t>325,980</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6"/>
              <w:jc w:val="right"/>
              <w:rPr>
                <w:rFonts w:ascii="Times New Roman" w:hAnsi="Times New Roman" w:cs="Times New Roman" w:eastAsia="Times New Roman" w:hint="default"/>
                <w:sz w:val="18"/>
                <w:szCs w:val="18"/>
              </w:rPr>
            </w:pPr>
            <w:r>
              <w:rPr>
                <w:rFonts w:ascii="Times New Roman"/>
                <w:sz w:val="18"/>
              </w:rPr>
              <w:t>325,980</w:t>
            </w:r>
          </w:p>
        </w:tc>
        <w:tc>
          <w:tcPr>
            <w:tcW w:w="221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8"/>
              <w:jc w:val="right"/>
              <w:rPr>
                <w:rFonts w:ascii="Times New Roman" w:hAnsi="Times New Roman" w:cs="Times New Roman" w:eastAsia="Times New Roman" w:hint="default"/>
                <w:sz w:val="18"/>
                <w:szCs w:val="18"/>
              </w:rPr>
            </w:pPr>
            <w:r>
              <w:rPr>
                <w:rFonts w:ascii="Times New Roman"/>
                <w:sz w:val="18"/>
              </w:rPr>
              <w:t>100.00</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325,980</w:t>
            </w:r>
          </w:p>
        </w:tc>
      </w:tr>
      <w:tr>
        <w:trPr>
          <w:trHeight w:val="410" w:hRule="exact"/>
        </w:trPr>
        <w:tc>
          <w:tcPr>
            <w:tcW w:w="208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山东华能德州电厂</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6"/>
              <w:jc w:val="right"/>
              <w:rPr>
                <w:rFonts w:ascii="Times New Roman" w:hAnsi="Times New Roman" w:cs="Times New Roman" w:eastAsia="Times New Roman" w:hint="default"/>
                <w:sz w:val="18"/>
                <w:szCs w:val="18"/>
              </w:rPr>
            </w:pPr>
            <w:r>
              <w:rPr>
                <w:rFonts w:ascii="Times New Roman"/>
                <w:sz w:val="18"/>
              </w:rPr>
              <w:t>210,000</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16"/>
              <w:jc w:val="right"/>
              <w:rPr>
                <w:rFonts w:ascii="Times New Roman" w:hAnsi="Times New Roman" w:cs="Times New Roman" w:eastAsia="Times New Roman" w:hint="default"/>
                <w:sz w:val="18"/>
                <w:szCs w:val="18"/>
              </w:rPr>
            </w:pPr>
            <w:r>
              <w:rPr>
                <w:rFonts w:ascii="Times New Roman"/>
                <w:sz w:val="18"/>
              </w:rPr>
              <w:t>210,000</w:t>
            </w:r>
          </w:p>
        </w:tc>
        <w:tc>
          <w:tcPr>
            <w:tcW w:w="221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18"/>
              <w:jc w:val="right"/>
              <w:rPr>
                <w:rFonts w:ascii="Times New Roman" w:hAnsi="Times New Roman" w:cs="Times New Roman" w:eastAsia="Times New Roman" w:hint="default"/>
                <w:sz w:val="18"/>
                <w:szCs w:val="18"/>
              </w:rPr>
            </w:pPr>
            <w:r>
              <w:rPr>
                <w:rFonts w:ascii="Times New Roman"/>
                <w:sz w:val="18"/>
              </w:rPr>
              <w:t>100.00</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5"/>
              <w:jc w:val="right"/>
              <w:rPr>
                <w:rFonts w:ascii="Times New Roman" w:hAnsi="Times New Roman" w:cs="Times New Roman" w:eastAsia="Times New Roman" w:hint="default"/>
                <w:sz w:val="18"/>
                <w:szCs w:val="18"/>
              </w:rPr>
            </w:pPr>
            <w:r>
              <w:rPr>
                <w:rFonts w:ascii="Times New Roman"/>
                <w:sz w:val="18"/>
              </w:rPr>
              <w:t>210,000</w:t>
            </w:r>
          </w:p>
        </w:tc>
      </w:tr>
      <w:tr>
        <w:trPr>
          <w:trHeight w:val="329" w:hRule="exact"/>
        </w:trPr>
        <w:tc>
          <w:tcPr>
            <w:tcW w:w="2089" w:type="dxa"/>
            <w:tcBorders>
              <w:top w:val="nil" w:sz="6" w:space="0" w:color="auto"/>
              <w:left w:val="nil" w:sz="6" w:space="0" w:color="auto"/>
              <w:bottom w:val="single" w:sz="12" w:space="0" w:color="000000"/>
              <w:right w:val="nil" w:sz="6" w:space="0" w:color="auto"/>
            </w:tcBorders>
          </w:tcPr>
          <w:p>
            <w:pPr>
              <w:pStyle w:val="TableParagraph"/>
              <w:tabs>
                <w:tab w:pos="1247" w:val="left" w:leader="none"/>
              </w:tabs>
              <w:spacing w:line="240" w:lineRule="auto" w:before="49"/>
              <w:ind w:left="707"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39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16"/>
              <w:jc w:val="right"/>
              <w:rPr>
                <w:rFonts w:ascii="Times New Roman" w:hAnsi="Times New Roman" w:cs="Times New Roman" w:eastAsia="Times New Roman" w:hint="default"/>
                <w:sz w:val="18"/>
                <w:szCs w:val="18"/>
              </w:rPr>
            </w:pPr>
            <w:r>
              <w:rPr>
                <w:rFonts w:ascii="Times New Roman"/>
                <w:sz w:val="18"/>
              </w:rPr>
              <w:t>3,363,741</w:t>
            </w:r>
          </w:p>
        </w:tc>
        <w:tc>
          <w:tcPr>
            <w:tcW w:w="1343"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17"/>
              <w:jc w:val="right"/>
              <w:rPr>
                <w:rFonts w:ascii="Times New Roman" w:hAnsi="Times New Roman" w:cs="Times New Roman" w:eastAsia="Times New Roman" w:hint="default"/>
                <w:sz w:val="18"/>
                <w:szCs w:val="18"/>
              </w:rPr>
            </w:pPr>
            <w:r>
              <w:rPr>
                <w:rFonts w:ascii="Times New Roman"/>
                <w:sz w:val="18"/>
              </w:rPr>
              <w:t>3,332,241</w:t>
            </w:r>
          </w:p>
        </w:tc>
        <w:tc>
          <w:tcPr>
            <w:tcW w:w="2210" w:type="dxa"/>
            <w:tcBorders>
              <w:top w:val="nil" w:sz="6" w:space="0" w:color="auto"/>
              <w:left w:val="nil" w:sz="6" w:space="0" w:color="auto"/>
              <w:bottom w:val="single" w:sz="12" w:space="0" w:color="000000"/>
              <w:right w:val="nil" w:sz="6" w:space="0" w:color="auto"/>
            </w:tcBorders>
          </w:tcPr>
          <w:p>
            <w:pPr/>
          </w:p>
        </w:tc>
        <w:tc>
          <w:tcPr>
            <w:tcW w:w="172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2,962,741</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395" w:val="left" w:leader="none"/>
        </w:tabs>
        <w:spacing w:before="35"/>
        <w:ind w:left="857" w:right="102"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本期实际核销应收账款情况：本期实际核销应收账款共计</w:t>
      </w:r>
      <w:r>
        <w:rPr>
          <w:rFonts w:ascii="宋体" w:hAnsi="宋体" w:cs="宋体" w:eastAsia="宋体" w:hint="default"/>
          <w:b/>
          <w:bCs/>
          <w:spacing w:val="-59"/>
          <w:sz w:val="21"/>
          <w:szCs w:val="21"/>
        </w:rPr>
        <w:t> </w:t>
      </w:r>
      <w:r>
        <w:rPr>
          <w:rFonts w:ascii="宋体" w:hAnsi="宋体" w:cs="宋体" w:eastAsia="宋体" w:hint="default"/>
          <w:b/>
          <w:bCs/>
          <w:sz w:val="21"/>
          <w:szCs w:val="21"/>
        </w:rPr>
        <w:t>79</w:t>
      </w:r>
      <w:r>
        <w:rPr>
          <w:rFonts w:ascii="宋体" w:hAnsi="宋体" w:cs="宋体" w:eastAsia="宋体" w:hint="default"/>
          <w:b/>
          <w:bCs/>
          <w:spacing w:val="-57"/>
          <w:sz w:val="21"/>
          <w:szCs w:val="21"/>
        </w:rPr>
        <w:t> </w:t>
      </w:r>
      <w:r>
        <w:rPr>
          <w:rFonts w:ascii="宋体" w:hAnsi="宋体" w:cs="宋体" w:eastAsia="宋体" w:hint="default"/>
          <w:b/>
          <w:bCs/>
          <w:sz w:val="21"/>
          <w:szCs w:val="21"/>
        </w:rPr>
        <w:t>元。</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413" w:val="left" w:leader="none"/>
        </w:tabs>
        <w:spacing w:before="0"/>
        <w:ind w:left="857" w:right="102" w:firstLine="0"/>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期末余额中应收持本公司</w:t>
      </w:r>
      <w:r>
        <w:rPr>
          <w:rFonts w:ascii="宋体" w:hAnsi="宋体" w:cs="宋体" w:eastAsia="宋体" w:hint="default"/>
          <w:b/>
          <w:bCs/>
          <w:spacing w:val="-56"/>
          <w:sz w:val="21"/>
          <w:szCs w:val="21"/>
        </w:rPr>
        <w:t> </w:t>
      </w:r>
      <w:r>
        <w:rPr>
          <w:rFonts w:ascii="宋体" w:hAnsi="宋体" w:cs="宋体" w:eastAsia="宋体" w:hint="default"/>
          <w:b/>
          <w:bCs/>
          <w:sz w:val="21"/>
          <w:szCs w:val="21"/>
        </w:rPr>
        <w:t>5％以上（含</w:t>
      </w:r>
      <w:r>
        <w:rPr>
          <w:rFonts w:ascii="宋体" w:hAnsi="宋体" w:cs="宋体" w:eastAsia="宋体" w:hint="default"/>
          <w:b/>
          <w:bCs/>
          <w:spacing w:val="-56"/>
          <w:sz w:val="21"/>
          <w:szCs w:val="21"/>
        </w:rPr>
        <w:t> </w:t>
      </w:r>
      <w:r>
        <w:rPr>
          <w:rFonts w:ascii="宋体" w:hAnsi="宋体" w:cs="宋体" w:eastAsia="宋体" w:hint="default"/>
          <w:b/>
          <w:bCs/>
          <w:sz w:val="21"/>
          <w:szCs w:val="21"/>
        </w:rPr>
        <w:t>5％）表决权股份的股东单位欠款情况：</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p>
      <w:pPr>
        <w:spacing w:line="1689" w:lineRule="exact"/>
        <w:ind w:left="720"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39.85pt;height:84.5pt;mso-position-horizontal-relative:char;mso-position-vertical-relative:line" coordorigin="0,0" coordsize="8797,1690">
            <v:group style="position:absolute;left:29;top:15;width:5592;height:2" coordorigin="29,15" coordsize="5592,2">
              <v:shape style="position:absolute;left:29;top:15;width:5592;height:2" coordorigin="29,15" coordsize="5592,0" path="m29,15l5621,15e" filled="false" stroked="true" strokeweight="1.5pt" strokecolor="#000000">
                <v:path arrowok="t"/>
              </v:shape>
            </v:group>
            <v:group style="position:absolute;left:5621;top:15;width:3150;height:2" coordorigin="5621,15" coordsize="3150,2">
              <v:shape style="position:absolute;left:5621;top:15;width:3150;height:2" coordorigin="5621,15" coordsize="3150,0" path="m5621,15l8771,15e" filled="false" stroked="true" strokeweight="1.5pt" strokecolor="#000000">
                <v:path arrowok="t"/>
              </v:shape>
              <v:shape style="position:absolute;left:2316;top:7;width:3308;height:446" type="#_x0000_t75" stroked="false">
                <v:imagedata r:id="rId394" o:title=""/>
              </v:shape>
              <v:shape style="position:absolute;left:2314;top:404;width:6482;height:461" type="#_x0000_t75" stroked="false">
                <v:imagedata r:id="rId395" o:title=""/>
              </v:shape>
            </v:group>
            <v:group style="position:absolute;left:15;top:1675;width:2325;height:2" coordorigin="15,1675" coordsize="2325,2">
              <v:shape style="position:absolute;left:15;top:1675;width:2325;height:2" coordorigin="15,1675" coordsize="2325,0" path="m15,1675l2339,1675e" filled="false" stroked="true" strokeweight="1.5pt" strokecolor="#000000">
                <v:path arrowok="t"/>
              </v:shape>
            </v:group>
            <v:group style="position:absolute;left:2339;top:1675;width:1575;height:2" coordorigin="2339,1675" coordsize="1575,2">
              <v:shape style="position:absolute;left:2339;top:1675;width:1575;height:2" coordorigin="2339,1675" coordsize="1575,0" path="m2339,1675l3914,1675e" filled="false" stroked="true" strokeweight="1.5pt" strokecolor="#000000">
                <v:path arrowok="t"/>
              </v:shape>
            </v:group>
            <v:group style="position:absolute;left:3914;top:1675;width:1678;height:2" coordorigin="3914,1675" coordsize="1678,2">
              <v:shape style="position:absolute;left:3914;top:1675;width:1678;height:2" coordorigin="3914,1675" coordsize="1678,0" path="m3914,1675l5591,1675e" filled="false" stroked="true" strokeweight="1.5pt" strokecolor="#000000">
                <v:path arrowok="t"/>
              </v:shape>
            </v:group>
            <v:group style="position:absolute;left:5591;top:1675;width:1635;height:2" coordorigin="5591,1675" coordsize="1635,2">
              <v:shape style="position:absolute;left:5591;top:1675;width:1635;height:2" coordorigin="5591,1675" coordsize="1635,0" path="m5591,1675l7226,1675e" filled="false" stroked="true" strokeweight="1.5pt" strokecolor="#000000">
                <v:path arrowok="t"/>
              </v:shape>
              <v:shape style="position:absolute;left:1;top:815;width:8796;height:845" type="#_x0000_t75" stroked="false">
                <v:imagedata r:id="rId396" o:title=""/>
              </v:shape>
            </v:group>
            <v:group style="position:absolute;left:7226;top:1675;width:1546;height:2" coordorigin="7226,1675" coordsize="1546,2">
              <v:shape style="position:absolute;left:7226;top:1675;width:1546;height:2" coordorigin="7226,1675" coordsize="1546,0" path="m7226,1675l8771,1675e" filled="false" stroked="true" strokeweight="1.5pt" strokecolor="#000000">
                <v:path arrowok="t"/>
              </v:shape>
              <v:shape style="position:absolute;left:3610;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824;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826;top:4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2771;top:6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217;top:63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计提坏账金额</w:t>
                      </w:r>
                    </w:p>
                  </w:txbxContent>
                </v:textbox>
                <w10:wrap type="none"/>
              </v:shape>
              <v:shape style="position:absolute;left:6053;top:6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460;top:63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计提坏账金额</w:t>
                      </w:r>
                    </w:p>
                  </w:txbxContent>
                </v:textbox>
                <w10:wrap type="none"/>
              </v:shape>
              <v:shape style="position:absolute;left:137;top:10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阿尔派</w:t>
                      </w:r>
                    </w:p>
                  </w:txbxContent>
                </v:textbox>
                <w10:wrap type="none"/>
              </v:shape>
              <v:shape style="position:absolute;left:3091;top:1061;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2,676,358</w:t>
                      </w:r>
                    </w:p>
                  </w:txbxContent>
                </v:textbox>
                <w10:wrap type="none"/>
              </v:shape>
              <v:shape style="position:absolute;left:4994;top:1061;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26,764</w:t>
                      </w:r>
                    </w:p>
                  </w:txbxContent>
                </v:textbox>
                <w10:wrap type="none"/>
              </v:shape>
              <v:shape style="position:absolute;left:137;top:145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宝钢</w:t>
                      </w:r>
                    </w:p>
                  </w:txbxContent>
                </v:textbox>
                <w10:wrap type="none"/>
              </v:shape>
              <v:shape style="position:absolute;left:3181;top:1472;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100, 000</w:t>
                      </w:r>
                    </w:p>
                  </w:txbxContent>
                </v:textbox>
                <w10:wrap type="none"/>
              </v:shape>
              <v:shape style="position:absolute;left:4994;top:147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50,000</w:t>
                      </w:r>
                    </w:p>
                  </w:txbxContent>
                </v:textbox>
                <w10:wrap type="none"/>
              </v:shape>
              <v:shape style="position:absolute;left:6403;top:1472;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1,398,500</w:t>
                      </w:r>
                    </w:p>
                  </w:txbxContent>
                </v:textbox>
                <w10:wrap type="none"/>
              </v:shape>
              <v:shape style="position:absolute;left:8168;top:1472;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13,985</w:t>
                      </w:r>
                    </w:p>
                  </w:txbxContent>
                </v:textbox>
                <w10:wrap type="none"/>
              </v:shape>
            </v:group>
          </v:group>
        </w:pict>
      </w:r>
      <w:r>
        <w:rPr>
          <w:rFonts w:ascii="宋体" w:hAnsi="宋体" w:cs="宋体" w:eastAsia="宋体" w:hint="default"/>
          <w:position w:val="-33"/>
          <w:sz w:val="20"/>
          <w:szCs w:val="20"/>
        </w:rPr>
      </w:r>
    </w:p>
    <w:p>
      <w:pPr>
        <w:spacing w:after="0" w:line="1689" w:lineRule="exact"/>
        <w:rPr>
          <w:rFonts w:ascii="宋体" w:hAnsi="宋体" w:cs="宋体" w:eastAsia="宋体" w:hint="default"/>
          <w:sz w:val="20"/>
          <w:szCs w:val="20"/>
        </w:rPr>
        <w:sectPr>
          <w:pgSz w:w="11910" w:h="16840"/>
          <w:pgMar w:header="883" w:footer="1003" w:top="1540" w:bottom="1200" w:left="1480" w:right="780"/>
        </w:sect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9"/>
          <w:szCs w:val="19"/>
        </w:rPr>
      </w:pPr>
    </w:p>
    <w:p>
      <w:pPr>
        <w:pStyle w:val="Heading6"/>
        <w:tabs>
          <w:tab w:pos="1395" w:val="left" w:leader="none"/>
        </w:tabs>
        <w:spacing w:line="240" w:lineRule="auto"/>
        <w:ind w:right="102"/>
        <w:jc w:val="left"/>
        <w:rPr>
          <w:b w:val="0"/>
          <w:bCs w:val="0"/>
        </w:rPr>
      </w:pPr>
      <w:r>
        <w:rPr/>
        <w:pict>
          <v:group style="position:absolute;margin-left:110.519997pt;margin-top:17.073671pt;width:439.2pt;height:184.5pt;mso-position-horizontal-relative:page;mso-position-vertical-relative:paragraph;z-index:-1102072" coordorigin="2210,341" coordsize="8784,3690">
            <v:group style="position:absolute;left:2230;top:356;width:8746;height:2" coordorigin="2230,356" coordsize="8746,2">
              <v:shape style="position:absolute;left:2230;top:356;width:8746;height:2" coordorigin="2230,356" coordsize="8746,0" path="m2230,356l10975,356e" filled="false" stroked="true" strokeweight="1.5pt" strokecolor="#000000">
                <v:path arrowok="t"/>
              </v:shape>
              <v:shape style="position:absolute;left:4689;top:352;width:4193;height:840" type="#_x0000_t75" stroked="false">
                <v:imagedata r:id="rId398" o:title=""/>
              </v:shape>
              <v:shape style="position:absolute;left:2210;top:1153;width:8784;height:2879" type="#_x0000_t75" stroked="false">
                <v:imagedata r:id="rId399" o:title=""/>
              </v:shape>
            </v:group>
            <w10:wrap type="none"/>
          </v:group>
        </w:pict>
      </w:r>
      <w:r>
        <w:rPr>
          <w:w w:val="95"/>
        </w:rPr>
        <w:t>6、</w:t>
        <w:tab/>
      </w:r>
      <w:r>
        <w:rPr/>
        <w:t>应收账款金额前五名单位情况</w:t>
      </w:r>
      <w:r>
        <w:rPr>
          <w:b w:val="0"/>
          <w:bCs w:val="0"/>
        </w:rPr>
      </w:r>
    </w:p>
    <w:p>
      <w:pPr>
        <w:spacing w:line="240" w:lineRule="auto" w:before="1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2556"/>
        <w:gridCol w:w="1262"/>
        <w:gridCol w:w="1127"/>
        <w:gridCol w:w="1697"/>
        <w:gridCol w:w="2117"/>
      </w:tblGrid>
      <w:tr>
        <w:trPr>
          <w:trHeight w:val="500"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806" w:right="0"/>
              <w:jc w:val="left"/>
              <w:rPr>
                <w:rFonts w:ascii="宋体" w:hAnsi="宋体" w:cs="宋体" w:eastAsia="宋体" w:hint="default"/>
                <w:sz w:val="18"/>
                <w:szCs w:val="18"/>
              </w:rPr>
            </w:pPr>
            <w:r>
              <w:rPr>
                <w:rFonts w:ascii="宋体" w:hAnsi="宋体" w:cs="宋体" w:eastAsia="宋体" w:hint="default"/>
                <w:sz w:val="18"/>
                <w:szCs w:val="18"/>
              </w:rPr>
              <w:t>债务人名称</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254"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right="23"/>
              <w:jc w:val="center"/>
              <w:rPr>
                <w:rFonts w:ascii="宋体" w:hAnsi="宋体" w:cs="宋体" w:eastAsia="宋体" w:hint="default"/>
                <w:sz w:val="18"/>
                <w:szCs w:val="18"/>
              </w:rPr>
            </w:pPr>
            <w:r>
              <w:rPr>
                <w:rFonts w:ascii="宋体" w:hAnsi="宋体" w:cs="宋体" w:eastAsia="宋体" w:hint="default"/>
                <w:sz w:val="18"/>
                <w:szCs w:val="18"/>
              </w:rPr>
              <w:t>年限</w:t>
            </w: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57"/>
              <w:jc w:val="right"/>
              <w:rPr>
                <w:rFonts w:ascii="宋体" w:hAnsi="宋体" w:cs="宋体" w:eastAsia="宋体" w:hint="default"/>
                <w:sz w:val="18"/>
                <w:szCs w:val="18"/>
              </w:rPr>
            </w:pPr>
            <w:r>
              <w:rPr>
                <w:rFonts w:ascii="宋体" w:hAnsi="宋体" w:cs="宋体" w:eastAsia="宋体" w:hint="default"/>
                <w:sz w:val="18"/>
                <w:szCs w:val="18"/>
              </w:rPr>
              <w:t>占应收账款总额的比例</w:t>
            </w:r>
          </w:p>
        </w:tc>
      </w:tr>
      <w:tr>
        <w:trPr>
          <w:trHeight w:val="305" w:hRule="exact"/>
        </w:trPr>
        <w:tc>
          <w:tcPr>
            <w:tcW w:w="2556"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nil" w:sz="6" w:space="0" w:color="auto"/>
            </w:tcBorders>
          </w:tcPr>
          <w:p>
            <w:pPr/>
          </w:p>
        </w:tc>
        <w:tc>
          <w:tcPr>
            <w:tcW w:w="2117" w:type="dxa"/>
            <w:tcBorders>
              <w:top w:val="nil" w:sz="6" w:space="0" w:color="auto"/>
              <w:left w:val="nil" w:sz="6" w:space="0" w:color="auto"/>
              <w:bottom w:val="nil" w:sz="6" w:space="0" w:color="auto"/>
              <w:right w:val="nil" w:sz="6" w:space="0" w:color="auto"/>
            </w:tcBorders>
          </w:tcPr>
          <w:p>
            <w:pPr>
              <w:pStyle w:val="TableParagraph"/>
              <w:spacing w:line="203" w:lineRule="exact"/>
              <w:ind w:right="1"/>
              <w:jc w:val="center"/>
              <w:rPr>
                <w:rFonts w:ascii="Times New Roman" w:hAnsi="Times New Roman" w:cs="Times New Roman" w:eastAsia="Times New Roman" w:hint="default"/>
                <w:sz w:val="18"/>
                <w:szCs w:val="18"/>
              </w:rPr>
            </w:pPr>
            <w:r>
              <w:rPr>
                <w:rFonts w:ascii="Times New Roman"/>
                <w:sz w:val="18"/>
              </w:rPr>
              <w:t>(%)</w:t>
            </w:r>
          </w:p>
        </w:tc>
      </w:tr>
      <w:tr>
        <w:trPr>
          <w:trHeight w:val="410"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联通网通</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3"/>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126,948,787</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6"/>
              <w:jc w:val="center"/>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23.30</w:t>
            </w:r>
          </w:p>
        </w:tc>
      </w:tr>
      <w:tr>
        <w:trPr>
          <w:trHeight w:val="410"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诺西东软</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3"/>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27,660,903</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3"/>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5.08</w:t>
            </w:r>
          </w:p>
        </w:tc>
      </w:tr>
      <w:tr>
        <w:trPr>
          <w:trHeight w:val="295"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辽宁金汇信息技术服务有限公</w:t>
            </w:r>
          </w:p>
        </w:tc>
        <w:tc>
          <w:tcPr>
            <w:tcW w:w="1262" w:type="dxa"/>
            <w:tcBorders>
              <w:top w:val="nil" w:sz="6" w:space="0" w:color="auto"/>
              <w:left w:val="nil" w:sz="6" w:space="0" w:color="auto"/>
              <w:bottom w:val="nil" w:sz="6" w:space="0" w:color="auto"/>
              <w:right w:val="nil" w:sz="6" w:space="0" w:color="auto"/>
            </w:tcBorders>
          </w:tcPr>
          <w:p>
            <w:pPr/>
          </w:p>
        </w:tc>
        <w:tc>
          <w:tcPr>
            <w:tcW w:w="1127"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nil" w:sz="6" w:space="0" w:color="auto"/>
            </w:tcBorders>
          </w:tcPr>
          <w:p>
            <w:pPr/>
          </w:p>
        </w:tc>
        <w:tc>
          <w:tcPr>
            <w:tcW w:w="2117" w:type="dxa"/>
            <w:tcBorders>
              <w:top w:val="nil" w:sz="6" w:space="0" w:color="auto"/>
              <w:left w:val="nil" w:sz="6" w:space="0" w:color="auto"/>
              <w:bottom w:val="nil" w:sz="6" w:space="0" w:color="auto"/>
              <w:right w:val="nil" w:sz="6" w:space="0" w:color="auto"/>
            </w:tcBorders>
          </w:tcPr>
          <w:p>
            <w:pPr/>
          </w:p>
        </w:tc>
      </w:tr>
      <w:tr>
        <w:trPr>
          <w:trHeight w:val="505"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155"/>
              <w:ind w:left="12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262" w:type="dxa"/>
            <w:tcBorders>
              <w:top w:val="nil" w:sz="6" w:space="0" w:color="auto"/>
              <w:left w:val="nil" w:sz="6" w:space="0" w:color="auto"/>
              <w:bottom w:val="nil" w:sz="6" w:space="0" w:color="auto"/>
              <w:right w:val="nil" w:sz="6" w:space="0" w:color="auto"/>
            </w:tcBorders>
          </w:tcPr>
          <w:p>
            <w:pPr>
              <w:pStyle w:val="TableParagraph"/>
              <w:spacing w:line="190" w:lineRule="exact"/>
              <w:ind w:right="113"/>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28"/>
              <w:jc w:val="right"/>
              <w:rPr>
                <w:rFonts w:ascii="Times New Roman" w:hAnsi="Times New Roman" w:cs="Times New Roman" w:eastAsia="Times New Roman" w:hint="default"/>
                <w:sz w:val="18"/>
                <w:szCs w:val="18"/>
              </w:rPr>
            </w:pPr>
            <w:r>
              <w:rPr>
                <w:rFonts w:ascii="Times New Roman"/>
                <w:sz w:val="18"/>
              </w:rPr>
              <w:t>16,074,136</w:t>
            </w:r>
          </w:p>
        </w:tc>
        <w:tc>
          <w:tcPr>
            <w:tcW w:w="1697" w:type="dxa"/>
            <w:tcBorders>
              <w:top w:val="nil" w:sz="6" w:space="0" w:color="auto"/>
              <w:left w:val="nil" w:sz="6" w:space="0" w:color="auto"/>
              <w:bottom w:val="nil" w:sz="6" w:space="0" w:color="auto"/>
              <w:right w:val="nil" w:sz="6" w:space="0" w:color="auto"/>
            </w:tcBorders>
          </w:tcPr>
          <w:p>
            <w:pPr>
              <w:pStyle w:val="TableParagraph"/>
              <w:spacing w:line="204" w:lineRule="exact"/>
              <w:ind w:right="23"/>
              <w:jc w:val="center"/>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4"/>
              <w:jc w:val="right"/>
              <w:rPr>
                <w:rFonts w:ascii="Times New Roman" w:hAnsi="Times New Roman" w:cs="Times New Roman" w:eastAsia="Times New Roman" w:hint="default"/>
                <w:sz w:val="18"/>
                <w:szCs w:val="18"/>
              </w:rPr>
            </w:pPr>
            <w:r>
              <w:rPr>
                <w:rFonts w:ascii="Times New Roman"/>
                <w:sz w:val="18"/>
              </w:rPr>
              <w:t>2.95</w:t>
            </w:r>
          </w:p>
        </w:tc>
      </w:tr>
      <w:tr>
        <w:trPr>
          <w:trHeight w:val="420"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沈阳地铁有限公司</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13"/>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28"/>
              <w:jc w:val="right"/>
              <w:rPr>
                <w:rFonts w:ascii="Times New Roman" w:hAnsi="Times New Roman" w:cs="Times New Roman" w:eastAsia="Times New Roman" w:hint="default"/>
                <w:sz w:val="18"/>
                <w:szCs w:val="18"/>
              </w:rPr>
            </w:pPr>
            <w:r>
              <w:rPr>
                <w:rFonts w:ascii="Times New Roman"/>
                <w:sz w:val="18"/>
              </w:rPr>
              <w:t>15,151,108</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23"/>
              <w:jc w:val="center"/>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4"/>
              <w:jc w:val="right"/>
              <w:rPr>
                <w:rFonts w:ascii="Times New Roman" w:hAnsi="Times New Roman" w:cs="Times New Roman" w:eastAsia="Times New Roman" w:hint="default"/>
                <w:sz w:val="18"/>
                <w:szCs w:val="18"/>
              </w:rPr>
            </w:pPr>
            <w:r>
              <w:rPr>
                <w:rFonts w:ascii="Times New Roman"/>
                <w:sz w:val="18"/>
              </w:rPr>
              <w:t>2.78</w:t>
            </w:r>
          </w:p>
        </w:tc>
      </w:tr>
      <w:tr>
        <w:trPr>
          <w:trHeight w:val="410"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江苏电力信息技术有限公司</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3"/>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7,373,780</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3"/>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1.35</w:t>
            </w:r>
          </w:p>
        </w:tc>
      </w:tr>
      <w:tr>
        <w:trPr>
          <w:trHeight w:val="328" w:hRule="exact"/>
        </w:trPr>
        <w:tc>
          <w:tcPr>
            <w:tcW w:w="2556"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41"/>
              <w:jc w:val="center"/>
              <w:rPr>
                <w:rFonts w:ascii="宋体" w:hAnsi="宋体" w:cs="宋体" w:eastAsia="宋体" w:hint="default"/>
                <w:sz w:val="18"/>
                <w:szCs w:val="18"/>
              </w:rPr>
            </w:pPr>
            <w:r>
              <w:rPr>
                <w:rFonts w:ascii="宋体" w:hAnsi="宋体" w:cs="宋体" w:eastAsia="宋体" w:hint="default"/>
                <w:sz w:val="18"/>
                <w:szCs w:val="18"/>
              </w:rPr>
              <w:t>合  计</w:t>
            </w:r>
          </w:p>
        </w:tc>
        <w:tc>
          <w:tcPr>
            <w:tcW w:w="1262" w:type="dxa"/>
            <w:tcBorders>
              <w:top w:val="nil" w:sz="6" w:space="0" w:color="auto"/>
              <w:left w:val="nil" w:sz="6" w:space="0" w:color="auto"/>
              <w:bottom w:val="single" w:sz="12" w:space="0" w:color="000000"/>
              <w:right w:val="nil" w:sz="6" w:space="0" w:color="auto"/>
            </w:tcBorders>
          </w:tcPr>
          <w:p>
            <w:pPr/>
          </w:p>
        </w:tc>
        <w:tc>
          <w:tcPr>
            <w:tcW w:w="1127"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193,208,714</w:t>
            </w:r>
          </w:p>
        </w:tc>
        <w:tc>
          <w:tcPr>
            <w:tcW w:w="1697" w:type="dxa"/>
            <w:tcBorders>
              <w:top w:val="nil" w:sz="6" w:space="0" w:color="auto"/>
              <w:left w:val="nil" w:sz="6" w:space="0" w:color="auto"/>
              <w:bottom w:val="single" w:sz="12" w:space="0" w:color="000000"/>
              <w:right w:val="nil" w:sz="6" w:space="0" w:color="auto"/>
            </w:tcBorders>
          </w:tcPr>
          <w:p>
            <w:pPr/>
          </w:p>
        </w:tc>
        <w:tc>
          <w:tcPr>
            <w:tcW w:w="2117"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35.46</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395" w:val="left" w:leader="none"/>
        </w:tabs>
        <w:spacing w:before="35"/>
        <w:ind w:left="857" w:right="102" w:firstLine="0"/>
        <w:jc w:val="left"/>
        <w:rPr>
          <w:rFonts w:ascii="宋体" w:hAnsi="宋体" w:cs="宋体" w:eastAsia="宋体" w:hint="default"/>
          <w:sz w:val="21"/>
          <w:szCs w:val="21"/>
        </w:rPr>
      </w:pPr>
      <w:r>
        <w:rPr/>
        <w:pict>
          <v:group style="position:absolute;margin-left:110.040001pt;margin-top:17.133528pt;width:440.3pt;height:144.5pt;mso-position-horizontal-relative:page;mso-position-vertical-relative:paragraph;z-index:-1102048" coordorigin="2201,343" coordsize="8806,2890">
            <v:group style="position:absolute;left:2230;top:358;width:6286;height:2" coordorigin="2230,358" coordsize="6286,2">
              <v:shape style="position:absolute;left:2230;top:358;width:6286;height:2" coordorigin="2230,358" coordsize="6286,0" path="m2230,358l8515,358e" filled="false" stroked="true" strokeweight="1.5pt" strokecolor="#000000">
                <v:path arrowok="t"/>
              </v:shape>
            </v:group>
            <v:group style="position:absolute;left:8515;top:358;width:2460;height:2" coordorigin="8515,358" coordsize="2460,2">
              <v:shape style="position:absolute;left:8515;top:358;width:2460;height:2" coordorigin="8515,358" coordsize="2460,0" path="m8515,358l10975,358e" filled="false" stroked="true" strokeweight="1.5pt" strokecolor="#000000">
                <v:path arrowok="t"/>
              </v:shape>
              <v:shape style="position:absolute;left:3931;top:349;width:4588;height:446" type="#_x0000_t75" stroked="false">
                <v:imagedata r:id="rId400" o:title=""/>
              </v:shape>
              <v:shape style="position:absolute;left:2201;top:747;width:8806;height:2485" type="#_x0000_t75" stroked="false">
                <v:imagedata r:id="rId401" o:title=""/>
              </v:shape>
            </v:group>
            <w10:wrap type="none"/>
          </v:group>
        </w:pict>
      </w:r>
      <w:r>
        <w:rPr>
          <w:rFonts w:ascii="宋体" w:hAnsi="宋体" w:cs="宋体" w:eastAsia="宋体" w:hint="default"/>
          <w:b/>
          <w:bCs/>
          <w:w w:val="95"/>
          <w:sz w:val="21"/>
          <w:szCs w:val="21"/>
        </w:rPr>
        <w:t>7、</w:t>
        <w:tab/>
      </w:r>
      <w:r>
        <w:rPr>
          <w:rFonts w:ascii="宋体" w:hAnsi="宋体" w:cs="宋体" w:eastAsia="宋体" w:hint="default"/>
          <w:b/>
          <w:bCs/>
          <w:sz w:val="21"/>
          <w:szCs w:val="21"/>
        </w:rPr>
        <w:t>应收关联方账款情况</w:t>
      </w:r>
      <w:r>
        <w:rPr>
          <w:rFonts w:ascii="宋体" w:hAnsi="宋体" w:cs="宋体" w:eastAsia="宋体" w:hint="default"/>
          <w:sz w:val="21"/>
          <w:szCs w:val="21"/>
        </w:rPr>
      </w:r>
    </w:p>
    <w:p>
      <w:pPr>
        <w:spacing w:line="240" w:lineRule="auto" w:before="11"/>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1545"/>
        <w:gridCol w:w="3589"/>
        <w:gridCol w:w="1191"/>
        <w:gridCol w:w="2435"/>
      </w:tblGrid>
      <w:tr>
        <w:trPr>
          <w:trHeight w:val="814" w:hRule="exact"/>
        </w:trPr>
        <w:tc>
          <w:tcPr>
            <w:tcW w:w="1545"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304" w:firstLine="396"/>
              <w:jc w:val="left"/>
              <w:rPr>
                <w:rFonts w:ascii="宋体" w:hAnsi="宋体" w:cs="宋体" w:eastAsia="宋体" w:hint="default"/>
                <w:sz w:val="18"/>
                <w:szCs w:val="18"/>
              </w:rPr>
            </w:pPr>
            <w:r>
              <w:rPr>
                <w:rFonts w:ascii="宋体" w:hAnsi="宋体" w:cs="宋体" w:eastAsia="宋体" w:hint="default"/>
                <w:sz w:val="18"/>
                <w:szCs w:val="18"/>
              </w:rPr>
              <w:t>单位名称 阿尔派</w:t>
            </w:r>
          </w:p>
        </w:tc>
        <w:tc>
          <w:tcPr>
            <w:tcW w:w="358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57" w:right="0"/>
              <w:jc w:val="left"/>
              <w:rPr>
                <w:rFonts w:ascii="宋体" w:hAnsi="宋体" w:cs="宋体" w:eastAsia="宋体" w:hint="default"/>
                <w:sz w:val="18"/>
                <w:szCs w:val="18"/>
              </w:rPr>
            </w:pPr>
            <w:r>
              <w:rPr>
                <w:rFonts w:ascii="宋体" w:hAnsi="宋体" w:cs="宋体" w:eastAsia="宋体" w:hint="default"/>
                <w:sz w:val="18"/>
                <w:szCs w:val="18"/>
              </w:rPr>
              <w:t>与本公司关系</w:t>
            </w:r>
          </w:p>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306" w:right="0"/>
              <w:jc w:val="left"/>
              <w:rPr>
                <w:rFonts w:ascii="宋体" w:hAnsi="宋体" w:cs="宋体" w:eastAsia="宋体" w:hint="default"/>
                <w:sz w:val="18"/>
                <w:szCs w:val="18"/>
              </w:rPr>
            </w:pPr>
            <w:r>
              <w:rPr>
                <w:rFonts w:ascii="宋体" w:hAnsi="宋体" w:cs="宋体" w:eastAsia="宋体" w:hint="default"/>
                <w:sz w:val="18"/>
                <w:szCs w:val="18"/>
              </w:rPr>
              <w:t>本公司股东</w:t>
            </w:r>
          </w:p>
        </w:tc>
        <w:tc>
          <w:tcPr>
            <w:tcW w:w="119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94" w:right="0"/>
              <w:jc w:val="left"/>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312" w:right="0"/>
              <w:jc w:val="left"/>
              <w:rPr>
                <w:rFonts w:ascii="Times New Roman" w:hAnsi="Times New Roman" w:cs="Times New Roman" w:eastAsia="Times New Roman" w:hint="default"/>
                <w:sz w:val="18"/>
                <w:szCs w:val="18"/>
              </w:rPr>
            </w:pPr>
            <w:r>
              <w:rPr>
                <w:rFonts w:ascii="Times New Roman"/>
                <w:sz w:val="18"/>
              </w:rPr>
              <w:t>2,676,358</w:t>
            </w:r>
          </w:p>
        </w:tc>
        <w:tc>
          <w:tcPr>
            <w:tcW w:w="243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05"/>
              <w:jc w:val="right"/>
              <w:rPr>
                <w:rFonts w:ascii="Times New Roman" w:hAnsi="Times New Roman" w:cs="Times New Roman" w:eastAsia="Times New Roman" w:hint="default"/>
                <w:sz w:val="18"/>
                <w:szCs w:val="18"/>
              </w:rPr>
            </w:pPr>
            <w:r>
              <w:rPr>
                <w:rFonts w:ascii="宋体" w:hAnsi="宋体" w:cs="宋体" w:eastAsia="宋体" w:hint="default"/>
                <w:sz w:val="18"/>
                <w:szCs w:val="18"/>
              </w:rPr>
              <w:t>占应收账款总额的比例</w:t>
            </w:r>
            <w:r>
              <w:rPr>
                <w:rFonts w:ascii="Times New Roman" w:hAnsi="Times New Roman" w:cs="Times New Roman" w:eastAsia="Times New Roman" w:hint="default"/>
                <w:sz w:val="18"/>
                <w:szCs w:val="18"/>
              </w:rPr>
              <w:t>(%)</w:t>
            </w:r>
          </w:p>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0.49</w:t>
            </w:r>
          </w:p>
        </w:tc>
      </w:tr>
      <w:tr>
        <w:trPr>
          <w:trHeight w:val="410" w:hRule="exact"/>
        </w:trPr>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诺西东软</w:t>
            </w:r>
          </w:p>
        </w:tc>
        <w:tc>
          <w:tcPr>
            <w:tcW w:w="358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6" w:right="0"/>
              <w:jc w:val="left"/>
              <w:rPr>
                <w:rFonts w:ascii="宋体" w:hAnsi="宋体" w:cs="宋体" w:eastAsia="宋体" w:hint="default"/>
                <w:sz w:val="18"/>
                <w:szCs w:val="18"/>
              </w:rPr>
            </w:pPr>
            <w:r>
              <w:rPr>
                <w:rFonts w:ascii="宋体" w:hAnsi="宋体" w:cs="宋体" w:eastAsia="宋体" w:hint="default"/>
                <w:sz w:val="18"/>
                <w:szCs w:val="18"/>
              </w:rPr>
              <w:t>本公司的联营公司</w:t>
            </w:r>
          </w:p>
        </w:tc>
        <w:tc>
          <w:tcPr>
            <w:tcW w:w="119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5"/>
              <w:jc w:val="right"/>
              <w:rPr>
                <w:rFonts w:ascii="Times New Roman" w:hAnsi="Times New Roman" w:cs="Times New Roman" w:eastAsia="Times New Roman" w:hint="default"/>
                <w:sz w:val="18"/>
                <w:szCs w:val="18"/>
              </w:rPr>
            </w:pPr>
            <w:r>
              <w:rPr>
                <w:rFonts w:ascii="Times New Roman"/>
                <w:sz w:val="18"/>
              </w:rPr>
              <w:t>27,660,903</w:t>
            </w:r>
          </w:p>
        </w:tc>
        <w:tc>
          <w:tcPr>
            <w:tcW w:w="243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5.08</w:t>
            </w:r>
          </w:p>
        </w:tc>
      </w:tr>
      <w:tr>
        <w:trPr>
          <w:trHeight w:val="410" w:hRule="exact"/>
        </w:trPr>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宝钢</w:t>
            </w:r>
          </w:p>
        </w:tc>
        <w:tc>
          <w:tcPr>
            <w:tcW w:w="358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6" w:right="0"/>
              <w:jc w:val="left"/>
              <w:rPr>
                <w:rFonts w:ascii="宋体" w:hAnsi="宋体" w:cs="宋体" w:eastAsia="宋体" w:hint="default"/>
                <w:sz w:val="18"/>
                <w:szCs w:val="18"/>
              </w:rPr>
            </w:pPr>
            <w:r>
              <w:rPr>
                <w:rFonts w:ascii="宋体" w:hAnsi="宋体" w:cs="宋体" w:eastAsia="宋体" w:hint="default"/>
                <w:sz w:val="18"/>
                <w:szCs w:val="18"/>
              </w:rPr>
              <w:t>本公司股东</w:t>
            </w:r>
          </w:p>
        </w:tc>
        <w:tc>
          <w:tcPr>
            <w:tcW w:w="119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5"/>
              <w:jc w:val="right"/>
              <w:rPr>
                <w:rFonts w:ascii="Times New Roman" w:hAnsi="Times New Roman" w:cs="Times New Roman" w:eastAsia="Times New Roman" w:hint="default"/>
                <w:sz w:val="18"/>
                <w:szCs w:val="18"/>
              </w:rPr>
            </w:pPr>
            <w:r>
              <w:rPr>
                <w:rFonts w:ascii="Times New Roman"/>
                <w:sz w:val="18"/>
              </w:rPr>
              <w:t>100,000</w:t>
            </w:r>
          </w:p>
        </w:tc>
        <w:tc>
          <w:tcPr>
            <w:tcW w:w="243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0.02</w:t>
            </w:r>
          </w:p>
        </w:tc>
      </w:tr>
      <w:tr>
        <w:trPr>
          <w:trHeight w:val="410" w:hRule="exact"/>
        </w:trPr>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22" w:right="0"/>
              <w:jc w:val="left"/>
              <w:rPr>
                <w:rFonts w:ascii="Times New Roman" w:hAnsi="Times New Roman" w:cs="Times New Roman" w:eastAsia="Times New Roman" w:hint="default"/>
                <w:sz w:val="18"/>
                <w:szCs w:val="18"/>
              </w:rPr>
            </w:pPr>
            <w:r>
              <w:rPr>
                <w:rFonts w:ascii="Times New Roman"/>
                <w:sz w:val="18"/>
              </w:rPr>
              <w:t>Harman</w:t>
            </w:r>
          </w:p>
        </w:tc>
        <w:tc>
          <w:tcPr>
            <w:tcW w:w="358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06" w:right="0"/>
              <w:jc w:val="left"/>
              <w:rPr>
                <w:rFonts w:ascii="宋体" w:hAnsi="宋体" w:cs="宋体" w:eastAsia="宋体" w:hint="default"/>
                <w:sz w:val="18"/>
                <w:szCs w:val="18"/>
              </w:rPr>
            </w:pPr>
            <w:r>
              <w:rPr>
                <w:rFonts w:ascii="宋体" w:hAnsi="宋体" w:cs="宋体" w:eastAsia="宋体" w:hint="default"/>
                <w:sz w:val="18"/>
                <w:szCs w:val="18"/>
              </w:rPr>
              <w:t>本公司董事长兼首席执行官担任其董事</w:t>
            </w:r>
          </w:p>
        </w:tc>
        <w:tc>
          <w:tcPr>
            <w:tcW w:w="119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5"/>
              <w:jc w:val="right"/>
              <w:rPr>
                <w:rFonts w:ascii="Times New Roman" w:hAnsi="Times New Roman" w:cs="Times New Roman" w:eastAsia="Times New Roman" w:hint="default"/>
                <w:sz w:val="18"/>
                <w:szCs w:val="18"/>
              </w:rPr>
            </w:pPr>
            <w:r>
              <w:rPr>
                <w:rFonts w:ascii="Times New Roman"/>
                <w:sz w:val="18"/>
              </w:rPr>
              <w:t>842,830</w:t>
            </w:r>
          </w:p>
        </w:tc>
        <w:tc>
          <w:tcPr>
            <w:tcW w:w="243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0.15</w:t>
            </w:r>
          </w:p>
        </w:tc>
      </w:tr>
      <w:tr>
        <w:trPr>
          <w:trHeight w:val="410" w:hRule="exact"/>
        </w:trPr>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东芝东软</w:t>
            </w:r>
          </w:p>
        </w:tc>
        <w:tc>
          <w:tcPr>
            <w:tcW w:w="358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6" w:right="0"/>
              <w:jc w:val="left"/>
              <w:rPr>
                <w:rFonts w:ascii="宋体" w:hAnsi="宋体" w:cs="宋体" w:eastAsia="宋体" w:hint="default"/>
                <w:sz w:val="18"/>
                <w:szCs w:val="18"/>
              </w:rPr>
            </w:pPr>
            <w:r>
              <w:rPr>
                <w:rFonts w:ascii="宋体" w:hAnsi="宋体" w:cs="宋体" w:eastAsia="宋体" w:hint="default"/>
                <w:sz w:val="18"/>
                <w:szCs w:val="18"/>
              </w:rPr>
              <w:t>本公司的联营公司</w:t>
            </w:r>
          </w:p>
        </w:tc>
        <w:tc>
          <w:tcPr>
            <w:tcW w:w="119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5"/>
              <w:jc w:val="right"/>
              <w:rPr>
                <w:rFonts w:ascii="Times New Roman" w:hAnsi="Times New Roman" w:cs="Times New Roman" w:eastAsia="Times New Roman" w:hint="default"/>
                <w:sz w:val="18"/>
                <w:szCs w:val="18"/>
              </w:rPr>
            </w:pPr>
            <w:r>
              <w:rPr>
                <w:rFonts w:ascii="Times New Roman"/>
                <w:sz w:val="18"/>
              </w:rPr>
              <w:t>261,233</w:t>
            </w:r>
          </w:p>
        </w:tc>
        <w:tc>
          <w:tcPr>
            <w:tcW w:w="243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0.05</w:t>
            </w:r>
          </w:p>
        </w:tc>
      </w:tr>
      <w:tr>
        <w:trPr>
          <w:trHeight w:val="328" w:hRule="exact"/>
        </w:trPr>
        <w:tc>
          <w:tcPr>
            <w:tcW w:w="1545"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608"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3589" w:type="dxa"/>
            <w:tcBorders>
              <w:top w:val="nil" w:sz="6" w:space="0" w:color="auto"/>
              <w:left w:val="nil" w:sz="6" w:space="0" w:color="auto"/>
              <w:bottom w:val="single" w:sz="12" w:space="0" w:color="000000"/>
              <w:right w:val="nil" w:sz="6" w:space="0" w:color="auto"/>
            </w:tcBorders>
          </w:tcPr>
          <w:p>
            <w:pPr/>
          </w:p>
        </w:tc>
        <w:tc>
          <w:tcPr>
            <w:tcW w:w="1191"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55"/>
              <w:jc w:val="right"/>
              <w:rPr>
                <w:rFonts w:ascii="Times New Roman" w:hAnsi="Times New Roman" w:cs="Times New Roman" w:eastAsia="Times New Roman" w:hint="default"/>
                <w:sz w:val="18"/>
                <w:szCs w:val="18"/>
              </w:rPr>
            </w:pPr>
            <w:r>
              <w:rPr>
                <w:rFonts w:ascii="Times New Roman"/>
                <w:sz w:val="18"/>
              </w:rPr>
              <w:t>31,541,324</w:t>
            </w:r>
          </w:p>
        </w:tc>
        <w:tc>
          <w:tcPr>
            <w:tcW w:w="243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5.79</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395" w:val="left" w:leader="none"/>
        </w:tabs>
        <w:spacing w:before="35"/>
        <w:ind w:left="857" w:right="102" w:firstLine="0"/>
        <w:jc w:val="left"/>
        <w:rPr>
          <w:rFonts w:ascii="宋体" w:hAnsi="宋体" w:cs="宋体" w:eastAsia="宋体" w:hint="default"/>
          <w:sz w:val="21"/>
          <w:szCs w:val="21"/>
        </w:rPr>
      </w:pPr>
      <w:r>
        <w:rPr>
          <w:rFonts w:ascii="宋体" w:hAnsi="宋体" w:cs="宋体" w:eastAsia="宋体" w:hint="default"/>
          <w:b/>
          <w:bCs/>
          <w:w w:val="95"/>
          <w:sz w:val="21"/>
          <w:szCs w:val="21"/>
        </w:rPr>
        <w:t>8、</w:t>
        <w:tab/>
      </w:r>
      <w:r>
        <w:rPr>
          <w:rFonts w:ascii="宋体" w:hAnsi="宋体" w:cs="宋体" w:eastAsia="宋体" w:hint="default"/>
          <w:b/>
          <w:bCs/>
          <w:sz w:val="21"/>
          <w:szCs w:val="21"/>
        </w:rPr>
        <w:t>本报告期无不符合终止确认条件的应收账款。</w:t>
      </w:r>
      <w:r>
        <w:rPr>
          <w:rFonts w:ascii="宋体" w:hAnsi="宋体" w:cs="宋体" w:eastAsia="宋体" w:hint="default"/>
          <w:sz w:val="21"/>
          <w:szCs w:val="21"/>
        </w:rPr>
      </w:r>
    </w:p>
    <w:p>
      <w:pPr>
        <w:spacing w:after="0"/>
        <w:jc w:val="left"/>
        <w:rPr>
          <w:rFonts w:ascii="宋体" w:hAnsi="宋体" w:cs="宋体" w:eastAsia="宋体" w:hint="default"/>
          <w:sz w:val="21"/>
          <w:szCs w:val="21"/>
        </w:rPr>
        <w:sectPr>
          <w:footerReference w:type="default" r:id="rId397"/>
          <w:pgSz w:w="11910" w:h="16840"/>
          <w:pgMar w:footer="1003" w:header="883" w:top="1540" w:bottom="1200" w:left="1480" w:right="780"/>
        </w:sectPr>
      </w:pPr>
    </w:p>
    <w:p>
      <w:pPr>
        <w:spacing w:line="240" w:lineRule="auto" w:before="10"/>
        <w:rPr>
          <w:rFonts w:ascii="宋体" w:hAnsi="宋体" w:cs="宋体" w:eastAsia="宋体" w:hint="default"/>
          <w:b/>
          <w:bCs/>
          <w:sz w:val="8"/>
          <w:szCs w:val="8"/>
        </w:rPr>
      </w:pPr>
    </w:p>
    <w:p>
      <w:pPr>
        <w:pStyle w:val="Heading6"/>
        <w:tabs>
          <w:tab w:pos="853" w:val="left" w:leader="none"/>
        </w:tabs>
        <w:spacing w:line="240" w:lineRule="auto"/>
        <w:ind w:left="125" w:right="91"/>
        <w:jc w:val="left"/>
        <w:rPr>
          <w:b w:val="0"/>
          <w:bCs w:val="0"/>
        </w:rPr>
      </w:pPr>
      <w:r>
        <w:rPr>
          <w:w w:val="95"/>
        </w:rPr>
        <w:t>(二)</w:t>
        <w:tab/>
      </w:r>
      <w:r>
        <w:rPr/>
        <w:t>其他应收款</w:t>
      </w:r>
      <w:r>
        <w:rPr>
          <w:b w:val="0"/>
          <w:bCs w:val="0"/>
        </w:rPr>
      </w:r>
    </w:p>
    <w:p>
      <w:pPr>
        <w:tabs>
          <w:tab w:pos="1395" w:val="left" w:leader="none"/>
        </w:tabs>
        <w:spacing w:before="126"/>
        <w:ind w:left="857" w:right="91" w:firstLine="0"/>
        <w:jc w:val="left"/>
        <w:rPr>
          <w:rFonts w:ascii="宋体" w:hAnsi="宋体" w:cs="宋体" w:eastAsia="宋体" w:hint="default"/>
          <w:sz w:val="21"/>
          <w:szCs w:val="21"/>
        </w:rPr>
      </w:pPr>
      <w:r>
        <w:rPr/>
        <w:pict>
          <v:group style="position:absolute;margin-left:110.519997pt;margin-top:21.623672pt;width:437pt;height:204.5pt;mso-position-horizontal-relative:page;mso-position-vertical-relative:paragraph;z-index:-1101712" coordorigin="2210,432" coordsize="8740,4090">
            <v:group style="position:absolute;left:2230;top:447;width:5667;height:2" coordorigin="2230,447" coordsize="5667,2">
              <v:shape style="position:absolute;left:2230;top:447;width:5667;height:2" coordorigin="2230,447" coordsize="5667,0" path="m2230,447l7896,447e" filled="false" stroked="true" strokeweight="1.5pt" strokecolor="#000000">
                <v:path arrowok="t"/>
              </v:shape>
            </v:group>
            <v:group style="position:absolute;left:7896;top:447;width:3021;height:2" coordorigin="7896,447" coordsize="3021,2">
              <v:shape style="position:absolute;left:7896;top:447;width:3021;height:2" coordorigin="7896,447" coordsize="3021,0" path="m7896,447l10916,447e" filled="false" stroked="true" strokeweight="1.5pt" strokecolor="#000000">
                <v:path arrowok="t"/>
              </v:shape>
              <v:shape style="position:absolute;left:4798;top:439;width:3101;height:446" type="#_x0000_t75" stroked="false">
                <v:imagedata r:id="rId403" o:title=""/>
              </v:shape>
              <v:shape style="position:absolute;left:4796;top:837;width:6154;height:1265" type="#_x0000_t75" stroked="false">
                <v:imagedata r:id="rId404" o:title=""/>
              </v:shape>
              <v:shape style="position:absolute;left:2210;top:2063;width:8725;height:2459" type="#_x0000_t75" stroked="false">
                <v:imagedata r:id="rId405" o:title=""/>
              </v:shape>
              <v:shape style="position:absolute;left:5963;top:65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9007;top:65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5280;top:106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6803;top:106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8288;top:106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9811;top:106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3140;top:1264;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w:t>
                      </w:r>
                    </w:p>
                  </w:txbxContent>
                </v:textbox>
                <w10:wrap type="none"/>
              </v:shape>
              <v:shape style="position:absolute;left:3680;top:1264;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w:t>
                      </w:r>
                    </w:p>
                  </w:txbxContent>
                </v:textbox>
                <w10:wrap type="none"/>
              </v:shape>
              <v:shape style="position:absolute;left:5984;top:147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7403;top:147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8958;top:147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10418;top:147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2232;top:1675;width:8629;height:2010" type="#_x0000_t202" filled="false" stroked="false">
                <v:textbox inset="0,0,0,0">
                  <w:txbxContent>
                    <w:p>
                      <w:pPr>
                        <w:tabs>
                          <w:tab w:pos="4487" w:val="left" w:leader="none"/>
                          <w:tab w:pos="5920" w:val="left" w:leader="none"/>
                          <w:tab w:pos="7468" w:val="left" w:leader="none"/>
                        </w:tabs>
                        <w:spacing w:line="180" w:lineRule="exact" w:before="0"/>
                        <w:ind w:left="2912" w:right="0" w:firstLine="0"/>
                        <w:jc w:val="left"/>
                        <w:rPr>
                          <w:rFonts w:ascii="宋体" w:hAnsi="宋体" w:cs="宋体" w:eastAsia="宋体" w:hint="default"/>
                          <w:sz w:val="18"/>
                          <w:szCs w:val="18"/>
                        </w:rPr>
                      </w:pPr>
                      <w:r>
                        <w:rPr>
                          <w:rFonts w:ascii="宋体" w:hAnsi="宋体" w:cs="宋体" w:eastAsia="宋体" w:hint="default"/>
                          <w:sz w:val="18"/>
                          <w:szCs w:val="18"/>
                        </w:rPr>
                        <w:t>金额</w:t>
                        <w:tab/>
                        <w:t>金额</w:t>
                        <w:tab/>
                        <w:t>金额</w:t>
                        <w:tab/>
                        <w:t>金额</w:t>
                      </w:r>
                    </w:p>
                    <w:p>
                      <w:pPr>
                        <w:tabs>
                          <w:tab w:pos="5227" w:val="left" w:leader="none"/>
                          <w:tab w:pos="6782" w:val="left" w:leader="none"/>
                          <w:tab w:pos="8242" w:val="left" w:leader="none"/>
                        </w:tabs>
                        <w:spacing w:before="16"/>
                        <w:ind w:left="3808" w:right="0" w:firstLine="0"/>
                        <w:jc w:val="left"/>
                        <w:rPr>
                          <w:rFonts w:ascii="Times New Roman" w:hAnsi="Times New Roman" w:cs="Times New Roman" w:eastAsia="Times New Roman" w:hint="default"/>
                          <w:sz w:val="18"/>
                          <w:szCs w:val="18"/>
                        </w:rPr>
                      </w:pPr>
                      <w:r>
                        <w:rPr>
                          <w:rFonts w:ascii="Times New Roman"/>
                          <w:sz w:val="18"/>
                        </w:rPr>
                        <w:t>(%)</w:t>
                        <w:tab/>
                        <w:t>(%)</w:t>
                        <w:tab/>
                        <w:t>(%)</w:t>
                        <w:tab/>
                        <w:t>(%)</w:t>
                      </w:r>
                    </w:p>
                    <w:p>
                      <w:pPr>
                        <w:spacing w:line="408" w:lineRule="auto" w:before="150"/>
                        <w:ind w:left="22" w:right="6087" w:hanging="23"/>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备的应收账款</w:t>
                      </w:r>
                    </w:p>
                    <w:p>
                      <w:pPr>
                        <w:tabs>
                          <w:tab w:pos="3814" w:val="left" w:leader="none"/>
                          <w:tab w:pos="5268" w:val="left" w:leader="none"/>
                          <w:tab w:pos="6788" w:val="left" w:leader="none"/>
                          <w:tab w:pos="8313" w:val="left" w:leader="none"/>
                        </w:tabs>
                        <w:spacing w:before="47"/>
                        <w:ind w:left="0" w:right="0"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按组合计提坏账准备的应收账款</w:t>
                      </w:r>
                      <w:r>
                        <w:rPr>
                          <w:rFonts w:ascii="宋体" w:hAnsi="宋体" w:cs="宋体" w:eastAsia="宋体" w:hint="default"/>
                          <w:spacing w:val="78"/>
                          <w:position w:val="1"/>
                          <w:sz w:val="18"/>
                          <w:szCs w:val="18"/>
                        </w:rPr>
                        <w:t> </w:t>
                      </w:r>
                      <w:r>
                        <w:rPr>
                          <w:rFonts w:ascii="Times New Roman" w:hAnsi="Times New Roman" w:cs="Times New Roman" w:eastAsia="Times New Roman" w:hint="default"/>
                          <w:sz w:val="18"/>
                          <w:szCs w:val="18"/>
                        </w:rPr>
                        <w:t>229,216,237</w:t>
                        <w:tab/>
                        <w:t>96.41 </w:t>
                      </w:r>
                      <w:r>
                        <w:rPr>
                          <w:rFonts w:ascii="Times New Roman" w:hAnsi="Times New Roman" w:cs="Times New Roman" w:eastAsia="Times New Roman" w:hint="default"/>
                          <w:spacing w:val="28"/>
                          <w:sz w:val="18"/>
                          <w:szCs w:val="18"/>
                        </w:rPr>
                        <w:t> </w:t>
                      </w:r>
                      <w:r>
                        <w:rPr>
                          <w:rFonts w:ascii="Times New Roman" w:hAnsi="Times New Roman" w:cs="Times New Roman" w:eastAsia="Times New Roman" w:hint="default"/>
                          <w:sz w:val="18"/>
                          <w:szCs w:val="18"/>
                        </w:rPr>
                        <w:t>3,195,621</w:t>
                        <w:tab/>
                        <w:t>1.39</w:t>
                      </w:r>
                      <w:r>
                        <w:rPr>
                          <w:rFonts w:ascii="Times New Roman" w:hAnsi="Times New Roman" w:cs="Times New Roman" w:eastAsia="Times New Roman" w:hint="default"/>
                          <w:spacing w:val="30"/>
                          <w:sz w:val="18"/>
                          <w:szCs w:val="18"/>
                        </w:rPr>
                        <w:t> </w:t>
                      </w:r>
                      <w:r>
                        <w:rPr>
                          <w:rFonts w:ascii="Times New Roman" w:hAnsi="Times New Roman" w:cs="Times New Roman" w:eastAsia="Times New Roman" w:hint="default"/>
                          <w:sz w:val="18"/>
                          <w:szCs w:val="18"/>
                        </w:rPr>
                        <w:t>482,197,025</w:t>
                        <w:tab/>
                        <w:t>99.70 </w:t>
                      </w:r>
                      <w:r>
                        <w:rPr>
                          <w:rFonts w:ascii="Times New Roman" w:hAnsi="Times New Roman" w:cs="Times New Roman" w:eastAsia="Times New Roman" w:hint="default"/>
                          <w:spacing w:val="43"/>
                          <w:sz w:val="18"/>
                          <w:szCs w:val="18"/>
                        </w:rPr>
                        <w:t> </w:t>
                      </w:r>
                      <w:r>
                        <w:rPr>
                          <w:rFonts w:ascii="Times New Roman" w:hAnsi="Times New Roman" w:cs="Times New Roman" w:eastAsia="Times New Roman" w:hint="default"/>
                          <w:sz w:val="18"/>
                          <w:szCs w:val="18"/>
                        </w:rPr>
                        <w:t>6,477,082</w:t>
                        <w:tab/>
                        <w:t>1.34</w:t>
                      </w:r>
                    </w:p>
                    <w:p>
                      <w:pPr>
                        <w:spacing w:before="151"/>
                        <w:ind w:left="0" w:right="0" w:firstLine="0"/>
                        <w:jc w:val="left"/>
                        <w:rPr>
                          <w:rFonts w:ascii="宋体" w:hAnsi="宋体" w:cs="宋体" w:eastAsia="宋体" w:hint="default"/>
                          <w:sz w:val="18"/>
                          <w:szCs w:val="18"/>
                        </w:rPr>
                      </w:pPr>
                      <w:r>
                        <w:rPr>
                          <w:rFonts w:ascii="宋体" w:hAnsi="宋体" w:cs="宋体" w:eastAsia="宋体" w:hint="default"/>
                          <w:spacing w:val="5"/>
                          <w:sz w:val="18"/>
                          <w:szCs w:val="18"/>
                        </w:rPr>
                        <w:t>单项金额虽不重大但单项计提坏</w:t>
                      </w:r>
                      <w:r>
                        <w:rPr>
                          <w:rFonts w:ascii="宋体" w:hAnsi="宋体" w:cs="宋体" w:eastAsia="宋体" w:hint="default"/>
                          <w:sz w:val="18"/>
                          <w:szCs w:val="18"/>
                        </w:rPr>
                      </w:r>
                    </w:p>
                  </w:txbxContent>
                </v:textbox>
                <w10:wrap type="none"/>
              </v:shape>
            </v:group>
            <w10:wrap type="none"/>
          </v:group>
        </w:pict>
      </w:r>
      <w:r>
        <w:rPr>
          <w:rFonts w:ascii="宋体" w:hAnsi="宋体" w:cs="宋体" w:eastAsia="宋体" w:hint="default"/>
          <w:b/>
          <w:bCs/>
          <w:w w:val="95"/>
          <w:sz w:val="21"/>
          <w:szCs w:val="21"/>
        </w:rPr>
        <w:t>1、</w:t>
        <w:tab/>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3"/>
          <w:szCs w:val="13"/>
        </w:rPr>
      </w:pPr>
    </w:p>
    <w:tbl>
      <w:tblPr>
        <w:tblW w:w="0" w:type="auto"/>
        <w:jc w:val="left"/>
        <w:tblInd w:w="735" w:type="dxa"/>
        <w:tblLayout w:type="fixed"/>
        <w:tblCellMar>
          <w:top w:w="0" w:type="dxa"/>
          <w:left w:w="0" w:type="dxa"/>
          <w:bottom w:w="0" w:type="dxa"/>
          <w:right w:w="0" w:type="dxa"/>
        </w:tblCellMar>
        <w:tblLook w:val="01E0"/>
      </w:tblPr>
      <w:tblGrid>
        <w:gridCol w:w="3674"/>
        <w:gridCol w:w="623"/>
        <w:gridCol w:w="840"/>
        <w:gridCol w:w="503"/>
        <w:gridCol w:w="1008"/>
        <w:gridCol w:w="631"/>
        <w:gridCol w:w="875"/>
        <w:gridCol w:w="548"/>
      </w:tblGrid>
      <w:tr>
        <w:trPr>
          <w:trHeight w:val="407" w:hRule="exact"/>
        </w:trPr>
        <w:tc>
          <w:tcPr>
            <w:tcW w:w="3674" w:type="dxa"/>
            <w:tcBorders>
              <w:top w:val="nil" w:sz="6" w:space="0" w:color="auto"/>
              <w:left w:val="nil" w:sz="6" w:space="0" w:color="auto"/>
              <w:bottom w:val="nil" w:sz="6" w:space="0" w:color="auto"/>
              <w:right w:val="nil" w:sz="6" w:space="0" w:color="auto"/>
            </w:tcBorders>
          </w:tcPr>
          <w:p>
            <w:pPr>
              <w:pStyle w:val="TableParagraph"/>
              <w:spacing w:line="167" w:lineRule="exact"/>
              <w:ind w:right="65"/>
              <w:jc w:val="right"/>
              <w:rPr>
                <w:rFonts w:ascii="Times New Roman" w:hAnsi="Times New Roman" w:cs="Times New Roman" w:eastAsia="Times New Roman" w:hint="default"/>
                <w:sz w:val="18"/>
                <w:szCs w:val="18"/>
              </w:rPr>
            </w:pPr>
            <w:r>
              <w:rPr>
                <w:rFonts w:ascii="Times New Roman"/>
                <w:sz w:val="18"/>
              </w:rPr>
              <w:t>8,537,693</w:t>
            </w:r>
          </w:p>
          <w:p>
            <w:pPr>
              <w:pStyle w:val="TableParagraph"/>
              <w:spacing w:line="206" w:lineRule="exact"/>
              <w:ind w:left="39" w:right="0"/>
              <w:jc w:val="left"/>
              <w:rPr>
                <w:rFonts w:ascii="宋体" w:hAnsi="宋体" w:cs="宋体" w:eastAsia="宋体" w:hint="default"/>
                <w:sz w:val="18"/>
                <w:szCs w:val="18"/>
              </w:rPr>
            </w:pPr>
            <w:r>
              <w:rPr>
                <w:rFonts w:ascii="宋体" w:hAnsi="宋体" w:cs="宋体" w:eastAsia="宋体" w:hint="default"/>
                <w:sz w:val="18"/>
                <w:szCs w:val="18"/>
              </w:rPr>
              <w:t>账准备的应收账款</w:t>
            </w:r>
          </w:p>
        </w:tc>
        <w:tc>
          <w:tcPr>
            <w:tcW w:w="623" w:type="dxa"/>
            <w:tcBorders>
              <w:top w:val="nil" w:sz="6" w:space="0" w:color="auto"/>
              <w:left w:val="nil" w:sz="6" w:space="0" w:color="auto"/>
              <w:bottom w:val="nil" w:sz="6" w:space="0" w:color="auto"/>
              <w:right w:val="nil" w:sz="6" w:space="0" w:color="auto"/>
            </w:tcBorders>
          </w:tcPr>
          <w:p>
            <w:pPr>
              <w:pStyle w:val="TableParagraph"/>
              <w:spacing w:line="196" w:lineRule="exact"/>
              <w:ind w:right="57"/>
              <w:jc w:val="right"/>
              <w:rPr>
                <w:rFonts w:ascii="Times New Roman" w:hAnsi="Times New Roman" w:cs="Times New Roman" w:eastAsia="Times New Roman" w:hint="default"/>
                <w:sz w:val="18"/>
                <w:szCs w:val="18"/>
              </w:rPr>
            </w:pPr>
            <w:r>
              <w:rPr>
                <w:rFonts w:ascii="Times New Roman"/>
                <w:sz w:val="18"/>
              </w:rPr>
              <w:t>3.59</w:t>
            </w:r>
          </w:p>
        </w:tc>
        <w:tc>
          <w:tcPr>
            <w:tcW w:w="840" w:type="dxa"/>
            <w:tcBorders>
              <w:top w:val="nil" w:sz="6" w:space="0" w:color="auto"/>
              <w:left w:val="nil" w:sz="6" w:space="0" w:color="auto"/>
              <w:bottom w:val="nil" w:sz="6" w:space="0" w:color="auto"/>
              <w:right w:val="nil" w:sz="6" w:space="0" w:color="auto"/>
            </w:tcBorders>
          </w:tcPr>
          <w:p>
            <w:pPr>
              <w:pStyle w:val="TableParagraph"/>
              <w:spacing w:line="196" w:lineRule="exact"/>
              <w:ind w:right="0"/>
              <w:jc w:val="center"/>
              <w:rPr>
                <w:rFonts w:ascii="Times New Roman" w:hAnsi="Times New Roman" w:cs="Times New Roman" w:eastAsia="Times New Roman" w:hint="default"/>
                <w:sz w:val="18"/>
                <w:szCs w:val="18"/>
              </w:rPr>
            </w:pPr>
            <w:r>
              <w:rPr>
                <w:rFonts w:ascii="Times New Roman"/>
                <w:sz w:val="18"/>
              </w:rPr>
              <w:t>2,778,458</w:t>
            </w:r>
          </w:p>
        </w:tc>
        <w:tc>
          <w:tcPr>
            <w:tcW w:w="503" w:type="dxa"/>
            <w:tcBorders>
              <w:top w:val="nil" w:sz="6" w:space="0" w:color="auto"/>
              <w:left w:val="nil" w:sz="6" w:space="0" w:color="auto"/>
              <w:bottom w:val="nil" w:sz="6" w:space="0" w:color="auto"/>
              <w:right w:val="nil" w:sz="6" w:space="0" w:color="auto"/>
            </w:tcBorders>
          </w:tcPr>
          <w:p>
            <w:pPr>
              <w:pStyle w:val="TableParagraph"/>
              <w:spacing w:line="196" w:lineRule="exact"/>
              <w:ind w:left="59" w:right="0"/>
              <w:jc w:val="left"/>
              <w:rPr>
                <w:rFonts w:ascii="Times New Roman" w:hAnsi="Times New Roman" w:cs="Times New Roman" w:eastAsia="Times New Roman" w:hint="default"/>
                <w:sz w:val="18"/>
                <w:szCs w:val="18"/>
              </w:rPr>
            </w:pPr>
            <w:r>
              <w:rPr>
                <w:rFonts w:ascii="Times New Roman"/>
                <w:sz w:val="18"/>
              </w:rPr>
              <w:t>32.54</w:t>
            </w:r>
          </w:p>
        </w:tc>
        <w:tc>
          <w:tcPr>
            <w:tcW w:w="1008" w:type="dxa"/>
            <w:tcBorders>
              <w:top w:val="nil" w:sz="6" w:space="0" w:color="auto"/>
              <w:left w:val="nil" w:sz="6" w:space="0" w:color="auto"/>
              <w:bottom w:val="nil" w:sz="6" w:space="0" w:color="auto"/>
              <w:right w:val="nil" w:sz="6" w:space="0" w:color="auto"/>
            </w:tcBorders>
          </w:tcPr>
          <w:p>
            <w:pPr>
              <w:pStyle w:val="TableParagraph"/>
              <w:spacing w:line="196" w:lineRule="exact"/>
              <w:ind w:right="66"/>
              <w:jc w:val="right"/>
              <w:rPr>
                <w:rFonts w:ascii="Times New Roman" w:hAnsi="Times New Roman" w:cs="Times New Roman" w:eastAsia="Times New Roman" w:hint="default"/>
                <w:sz w:val="18"/>
                <w:szCs w:val="18"/>
              </w:rPr>
            </w:pPr>
            <w:r>
              <w:rPr>
                <w:rFonts w:ascii="Times New Roman"/>
                <w:sz w:val="18"/>
              </w:rPr>
              <w:t>1,445,829</w:t>
            </w:r>
          </w:p>
        </w:tc>
        <w:tc>
          <w:tcPr>
            <w:tcW w:w="631" w:type="dxa"/>
            <w:tcBorders>
              <w:top w:val="nil" w:sz="6" w:space="0" w:color="auto"/>
              <w:left w:val="nil" w:sz="6" w:space="0" w:color="auto"/>
              <w:bottom w:val="nil" w:sz="6" w:space="0" w:color="auto"/>
              <w:right w:val="nil" w:sz="6" w:space="0" w:color="auto"/>
            </w:tcBorders>
          </w:tcPr>
          <w:p>
            <w:pPr>
              <w:pStyle w:val="TableParagraph"/>
              <w:spacing w:line="196" w:lineRule="exact"/>
              <w:ind w:right="64"/>
              <w:jc w:val="right"/>
              <w:rPr>
                <w:rFonts w:ascii="Times New Roman" w:hAnsi="Times New Roman" w:cs="Times New Roman" w:eastAsia="Times New Roman" w:hint="default"/>
                <w:sz w:val="18"/>
                <w:szCs w:val="18"/>
              </w:rPr>
            </w:pPr>
            <w:r>
              <w:rPr>
                <w:rFonts w:ascii="Times New Roman"/>
                <w:sz w:val="18"/>
              </w:rPr>
              <w:t>0.30</w:t>
            </w:r>
          </w:p>
        </w:tc>
        <w:tc>
          <w:tcPr>
            <w:tcW w:w="875" w:type="dxa"/>
            <w:tcBorders>
              <w:top w:val="nil" w:sz="6" w:space="0" w:color="auto"/>
              <w:left w:val="nil" w:sz="6" w:space="0" w:color="auto"/>
              <w:bottom w:val="nil" w:sz="6" w:space="0" w:color="auto"/>
              <w:right w:val="nil" w:sz="6" w:space="0" w:color="auto"/>
            </w:tcBorders>
          </w:tcPr>
          <w:p>
            <w:pPr>
              <w:pStyle w:val="TableParagraph"/>
              <w:spacing w:line="196" w:lineRule="exact"/>
              <w:ind w:right="85"/>
              <w:jc w:val="right"/>
              <w:rPr>
                <w:rFonts w:ascii="Times New Roman" w:hAnsi="Times New Roman" w:cs="Times New Roman" w:eastAsia="Times New Roman" w:hint="default"/>
                <w:sz w:val="18"/>
                <w:szCs w:val="18"/>
              </w:rPr>
            </w:pPr>
            <w:r>
              <w:rPr>
                <w:rFonts w:ascii="Times New Roman"/>
                <w:sz w:val="18"/>
              </w:rPr>
              <w:t>893,173</w:t>
            </w:r>
          </w:p>
        </w:tc>
        <w:tc>
          <w:tcPr>
            <w:tcW w:w="548" w:type="dxa"/>
            <w:tcBorders>
              <w:top w:val="nil" w:sz="6" w:space="0" w:color="auto"/>
              <w:left w:val="nil" w:sz="6" w:space="0" w:color="auto"/>
              <w:bottom w:val="nil" w:sz="6" w:space="0" w:color="auto"/>
              <w:right w:val="nil" w:sz="6" w:space="0" w:color="auto"/>
            </w:tcBorders>
          </w:tcPr>
          <w:p>
            <w:pPr>
              <w:pStyle w:val="TableParagraph"/>
              <w:spacing w:line="196" w:lineRule="exact"/>
              <w:ind w:left="87" w:right="0"/>
              <w:jc w:val="left"/>
              <w:rPr>
                <w:rFonts w:ascii="Times New Roman" w:hAnsi="Times New Roman" w:cs="Times New Roman" w:eastAsia="Times New Roman" w:hint="default"/>
                <w:sz w:val="18"/>
                <w:szCs w:val="18"/>
              </w:rPr>
            </w:pPr>
            <w:r>
              <w:rPr>
                <w:rFonts w:ascii="Times New Roman"/>
                <w:sz w:val="18"/>
              </w:rPr>
              <w:t>61.78</w:t>
            </w:r>
          </w:p>
        </w:tc>
      </w:tr>
      <w:tr>
        <w:trPr>
          <w:trHeight w:val="418" w:hRule="exact"/>
        </w:trPr>
        <w:tc>
          <w:tcPr>
            <w:tcW w:w="3674" w:type="dxa"/>
            <w:tcBorders>
              <w:top w:val="nil" w:sz="6" w:space="0" w:color="auto"/>
              <w:left w:val="nil" w:sz="6" w:space="0" w:color="auto"/>
              <w:bottom w:val="single" w:sz="12" w:space="0" w:color="000000"/>
              <w:right w:val="nil" w:sz="6" w:space="0" w:color="auto"/>
            </w:tcBorders>
          </w:tcPr>
          <w:p>
            <w:pPr>
              <w:pStyle w:val="TableParagraph"/>
              <w:tabs>
                <w:tab w:pos="1465" w:val="left" w:leader="none"/>
                <w:tab w:pos="2704" w:val="left" w:leader="none"/>
              </w:tabs>
              <w:spacing w:line="240" w:lineRule="auto" w:before="139"/>
              <w:ind w:left="925" w:right="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合</w:t>
              <w:tab/>
              <w:t>计</w:t>
              <w:tab/>
            </w:r>
            <w:r>
              <w:rPr>
                <w:rFonts w:ascii="Times New Roman" w:hAnsi="Times New Roman" w:cs="Times New Roman" w:eastAsia="Times New Roman" w:hint="default"/>
                <w:sz w:val="18"/>
                <w:szCs w:val="18"/>
              </w:rPr>
              <w:t>237,753,930</w:t>
            </w:r>
          </w:p>
        </w:tc>
        <w:tc>
          <w:tcPr>
            <w:tcW w:w="623"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57"/>
              <w:jc w:val="right"/>
              <w:rPr>
                <w:rFonts w:ascii="Times New Roman" w:hAnsi="Times New Roman" w:cs="Times New Roman" w:eastAsia="Times New Roman" w:hint="default"/>
                <w:sz w:val="18"/>
                <w:szCs w:val="18"/>
              </w:rPr>
            </w:pPr>
            <w:r>
              <w:rPr>
                <w:rFonts w:ascii="Times New Roman"/>
                <w:sz w:val="18"/>
              </w:rPr>
              <w:t>100.00</w:t>
            </w:r>
          </w:p>
        </w:tc>
        <w:tc>
          <w:tcPr>
            <w:tcW w:w="840"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5,974,079</w:t>
            </w:r>
          </w:p>
        </w:tc>
        <w:tc>
          <w:tcPr>
            <w:tcW w:w="503" w:type="dxa"/>
            <w:tcBorders>
              <w:top w:val="nil" w:sz="6" w:space="0" w:color="auto"/>
              <w:left w:val="nil" w:sz="6" w:space="0" w:color="auto"/>
              <w:bottom w:val="single" w:sz="12" w:space="0" w:color="000000"/>
              <w:right w:val="nil" w:sz="6" w:space="0" w:color="auto"/>
            </w:tcBorders>
          </w:tcPr>
          <w:p>
            <w:pPr/>
          </w:p>
        </w:tc>
        <w:tc>
          <w:tcPr>
            <w:tcW w:w="1008"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66"/>
              <w:jc w:val="right"/>
              <w:rPr>
                <w:rFonts w:ascii="Times New Roman" w:hAnsi="Times New Roman" w:cs="Times New Roman" w:eastAsia="Times New Roman" w:hint="default"/>
                <w:sz w:val="18"/>
                <w:szCs w:val="18"/>
              </w:rPr>
            </w:pPr>
            <w:r>
              <w:rPr>
                <w:rFonts w:ascii="Times New Roman"/>
                <w:sz w:val="18"/>
              </w:rPr>
              <w:t>483,642,854</w:t>
            </w:r>
          </w:p>
        </w:tc>
        <w:tc>
          <w:tcPr>
            <w:tcW w:w="631"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64"/>
              <w:jc w:val="right"/>
              <w:rPr>
                <w:rFonts w:ascii="Times New Roman" w:hAnsi="Times New Roman" w:cs="Times New Roman" w:eastAsia="Times New Roman" w:hint="default"/>
                <w:sz w:val="18"/>
                <w:szCs w:val="18"/>
              </w:rPr>
            </w:pPr>
            <w:r>
              <w:rPr>
                <w:rFonts w:ascii="Times New Roman"/>
                <w:sz w:val="18"/>
              </w:rPr>
              <w:t>100.00</w:t>
            </w:r>
          </w:p>
        </w:tc>
        <w:tc>
          <w:tcPr>
            <w:tcW w:w="875"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85"/>
              <w:jc w:val="right"/>
              <w:rPr>
                <w:rFonts w:ascii="Times New Roman" w:hAnsi="Times New Roman" w:cs="Times New Roman" w:eastAsia="Times New Roman" w:hint="default"/>
                <w:sz w:val="18"/>
                <w:szCs w:val="18"/>
              </w:rPr>
            </w:pPr>
            <w:r>
              <w:rPr>
                <w:rFonts w:ascii="Times New Roman"/>
                <w:sz w:val="18"/>
              </w:rPr>
              <w:t>7,370,255</w:t>
            </w:r>
          </w:p>
        </w:tc>
        <w:tc>
          <w:tcPr>
            <w:tcW w:w="548"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tabs>
          <w:tab w:pos="1395" w:val="left" w:leader="none"/>
        </w:tabs>
        <w:spacing w:before="35"/>
        <w:ind w:left="857" w:right="91" w:firstLine="0"/>
        <w:jc w:val="left"/>
        <w:rPr>
          <w:rFonts w:ascii="宋体" w:hAnsi="宋体" w:cs="宋体" w:eastAsia="宋体" w:hint="default"/>
          <w:sz w:val="21"/>
          <w:szCs w:val="21"/>
        </w:rPr>
      </w:pPr>
      <w:r>
        <w:rPr/>
        <w:pict>
          <v:group style="position:absolute;margin-left:110.040001pt;margin-top:17.073671pt;width:438pt;height:185.55pt;mso-position-horizontal-relative:page;mso-position-vertical-relative:paragraph;z-index:-1101640" coordorigin="2201,341" coordsize="8760,3711">
            <v:group style="position:absolute;left:2230;top:356;width:5146;height:2" coordorigin="2230,356" coordsize="5146,2">
              <v:shape style="position:absolute;left:2230;top:356;width:5146;height:2" coordorigin="2230,356" coordsize="5146,0" path="m2230,356l7375,356e" filled="false" stroked="true" strokeweight="1.5pt" strokecolor="#000000">
                <v:path arrowok="t"/>
              </v:shape>
            </v:group>
            <v:group style="position:absolute;left:7375;top:356;width:3555;height:2" coordorigin="7375,356" coordsize="3555,2">
              <v:shape style="position:absolute;left:7375;top:356;width:3555;height:2" coordorigin="7375,356" coordsize="3555,0" path="m7375,356l10930,356e" filled="false" stroked="true" strokeweight="1.5pt" strokecolor="#000000">
                <v:path arrowok="t"/>
              </v:shape>
              <v:shape style="position:absolute;left:3568;top:348;width:3810;height:446" type="#_x0000_t75" stroked="false">
                <v:imagedata r:id="rId406" o:title=""/>
              </v:shape>
              <v:shape style="position:absolute;left:3566;top:746;width:7394;height:461" type="#_x0000_t75" stroked="false">
                <v:imagedata r:id="rId407" o:title=""/>
              </v:shape>
              <v:shape style="position:absolute;left:3566;top:1156;width:6166;height:461" type="#_x0000_t75" stroked="false">
                <v:imagedata r:id="rId408" o:title=""/>
              </v:shape>
              <v:shape style="position:absolute;left:2201;top:1568;width:8760;height:2483" type="#_x0000_t75" stroked="false">
                <v:imagedata r:id="rId409" o:title=""/>
              </v:shape>
              <v:shape style="position:absolute;left:5113;top:5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779;top:5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z w:val="21"/>
          <w:szCs w:val="21"/>
        </w:rPr>
        <w:t>组合中，按账龄分析法计提坏账准备的其他应收款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tbl>
      <w:tblPr>
        <w:tblW w:w="0" w:type="auto"/>
        <w:jc w:val="left"/>
        <w:tblInd w:w="735" w:type="dxa"/>
        <w:tblLayout w:type="fixed"/>
        <w:tblCellMar>
          <w:top w:w="0" w:type="dxa"/>
          <w:left w:w="0" w:type="dxa"/>
          <w:bottom w:w="0" w:type="dxa"/>
          <w:right w:w="0" w:type="dxa"/>
        </w:tblCellMar>
        <w:tblLook w:val="01E0"/>
      </w:tblPr>
      <w:tblGrid>
        <w:gridCol w:w="837"/>
        <w:gridCol w:w="521"/>
        <w:gridCol w:w="1597"/>
        <w:gridCol w:w="1000"/>
        <w:gridCol w:w="1273"/>
        <w:gridCol w:w="1420"/>
        <w:gridCol w:w="913"/>
        <w:gridCol w:w="1154"/>
      </w:tblGrid>
      <w:tr>
        <w:trPr>
          <w:trHeight w:val="497" w:hRule="exact"/>
        </w:trPr>
        <w:tc>
          <w:tcPr>
            <w:tcW w:w="83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 w:right="0"/>
              <w:jc w:val="center"/>
              <w:rPr>
                <w:rFonts w:ascii="宋体" w:hAnsi="宋体" w:cs="宋体" w:eastAsia="宋体" w:hint="default"/>
                <w:sz w:val="18"/>
                <w:szCs w:val="18"/>
              </w:rPr>
            </w:pPr>
            <w:r>
              <w:rPr>
                <w:rFonts w:ascii="宋体" w:hAnsi="宋体" w:cs="宋体" w:eastAsia="宋体" w:hint="default"/>
                <w:sz w:val="18"/>
                <w:szCs w:val="18"/>
              </w:rPr>
              <w:t>账</w:t>
            </w:r>
          </w:p>
        </w:tc>
        <w:tc>
          <w:tcPr>
            <w:tcW w:w="52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0" w:right="0"/>
              <w:jc w:val="left"/>
              <w:rPr>
                <w:rFonts w:ascii="宋体" w:hAnsi="宋体" w:cs="宋体" w:eastAsia="宋体" w:hint="default"/>
                <w:sz w:val="18"/>
                <w:szCs w:val="18"/>
              </w:rPr>
            </w:pPr>
            <w:r>
              <w:rPr>
                <w:rFonts w:ascii="宋体" w:hAnsi="宋体" w:cs="宋体" w:eastAsia="宋体" w:hint="default"/>
                <w:sz w:val="18"/>
                <w:szCs w:val="18"/>
              </w:rPr>
              <w:t>龄</w:t>
            </w:r>
          </w:p>
        </w:tc>
        <w:tc>
          <w:tcPr>
            <w:tcW w:w="259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4"/>
              <w:ind w:right="56"/>
              <w:jc w:val="center"/>
              <w:rPr>
                <w:rFonts w:ascii="宋体" w:hAnsi="宋体" w:cs="宋体" w:eastAsia="宋体" w:hint="default"/>
                <w:sz w:val="18"/>
                <w:szCs w:val="18"/>
              </w:rPr>
            </w:pPr>
            <w:r>
              <w:rPr>
                <w:rFonts w:ascii="宋体" w:hAnsi="宋体" w:cs="宋体" w:eastAsia="宋体" w:hint="default"/>
                <w:sz w:val="18"/>
                <w:szCs w:val="18"/>
              </w:rPr>
              <w:t>账面金额</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23" w:right="-25"/>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913"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79"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13" w:hRule="exact"/>
        </w:trPr>
        <w:tc>
          <w:tcPr>
            <w:tcW w:w="837" w:type="dxa"/>
            <w:tcBorders>
              <w:top w:val="nil" w:sz="6" w:space="0" w:color="auto"/>
              <w:left w:val="nil" w:sz="6" w:space="0" w:color="auto"/>
              <w:bottom w:val="nil" w:sz="6" w:space="0" w:color="auto"/>
              <w:right w:val="nil" w:sz="6" w:space="0" w:color="auto"/>
            </w:tcBorders>
          </w:tcPr>
          <w:p>
            <w:pPr/>
          </w:p>
        </w:tc>
        <w:tc>
          <w:tcPr>
            <w:tcW w:w="521" w:type="dxa"/>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Style w:val="TableParagraph"/>
              <w:spacing w:line="193" w:lineRule="exact"/>
              <w:ind w:left="396"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000" w:type="dxa"/>
            <w:tcBorders>
              <w:top w:val="nil" w:sz="6" w:space="0" w:color="auto"/>
              <w:left w:val="nil" w:sz="6" w:space="0" w:color="auto"/>
              <w:bottom w:val="nil" w:sz="6" w:space="0" w:color="auto"/>
              <w:right w:val="nil" w:sz="6" w:space="0" w:color="auto"/>
            </w:tcBorders>
          </w:tcPr>
          <w:p>
            <w:pPr>
              <w:pStyle w:val="TableParagraph"/>
              <w:spacing w:line="206" w:lineRule="exact"/>
              <w:ind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273"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193" w:lineRule="exact"/>
              <w:ind w:left="289"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913" w:type="dxa"/>
            <w:tcBorders>
              <w:top w:val="nil" w:sz="6" w:space="0" w:color="auto"/>
              <w:left w:val="nil" w:sz="6" w:space="0" w:color="auto"/>
              <w:bottom w:val="nil" w:sz="6" w:space="0" w:color="auto"/>
              <w:right w:val="nil" w:sz="6" w:space="0" w:color="auto"/>
            </w:tcBorders>
          </w:tcPr>
          <w:p>
            <w:pPr>
              <w:pStyle w:val="TableParagraph"/>
              <w:spacing w:line="206" w:lineRule="exact"/>
              <w:ind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154" w:type="dxa"/>
            <w:tcBorders>
              <w:top w:val="nil" w:sz="6" w:space="0" w:color="auto"/>
              <w:left w:val="nil" w:sz="6" w:space="0" w:color="auto"/>
              <w:bottom w:val="nil" w:sz="6" w:space="0" w:color="auto"/>
              <w:right w:val="nil" w:sz="6" w:space="0" w:color="auto"/>
            </w:tcBorders>
          </w:tcPr>
          <w:p>
            <w:pPr/>
          </w:p>
        </w:tc>
      </w:tr>
      <w:tr>
        <w:trPr>
          <w:trHeight w:val="415" w:hRule="exact"/>
        </w:trPr>
        <w:tc>
          <w:tcPr>
            <w:tcW w:w="837"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521" w:type="dxa"/>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93"/>
              <w:jc w:val="right"/>
              <w:rPr>
                <w:rFonts w:ascii="Times New Roman" w:hAnsi="Times New Roman" w:cs="Times New Roman" w:eastAsia="Times New Roman" w:hint="default"/>
                <w:sz w:val="18"/>
                <w:szCs w:val="18"/>
              </w:rPr>
            </w:pPr>
            <w:r>
              <w:rPr>
                <w:rFonts w:ascii="Times New Roman"/>
                <w:sz w:val="18"/>
              </w:rPr>
              <w:t>209,047,100</w:t>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87"/>
              <w:jc w:val="right"/>
              <w:rPr>
                <w:rFonts w:ascii="Times New Roman" w:hAnsi="Times New Roman" w:cs="Times New Roman" w:eastAsia="Times New Roman" w:hint="default"/>
                <w:sz w:val="18"/>
                <w:szCs w:val="18"/>
              </w:rPr>
            </w:pPr>
            <w:r>
              <w:rPr>
                <w:rFonts w:ascii="Times New Roman"/>
                <w:sz w:val="18"/>
              </w:rPr>
              <w:t>91.20</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99"/>
              <w:jc w:val="right"/>
              <w:rPr>
                <w:rFonts w:ascii="Times New Roman" w:hAnsi="Times New Roman" w:cs="Times New Roman" w:eastAsia="Times New Roman" w:hint="default"/>
                <w:sz w:val="18"/>
                <w:szCs w:val="18"/>
              </w:rPr>
            </w:pPr>
            <w:r>
              <w:rPr>
                <w:rFonts w:ascii="Times New Roman"/>
                <w:sz w:val="18"/>
              </w:rPr>
              <w:t>2,090,471</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200" w:right="0"/>
              <w:jc w:val="left"/>
              <w:rPr>
                <w:rFonts w:ascii="Times New Roman" w:hAnsi="Times New Roman" w:cs="Times New Roman" w:eastAsia="Times New Roman" w:hint="default"/>
                <w:sz w:val="18"/>
                <w:szCs w:val="18"/>
              </w:rPr>
            </w:pPr>
            <w:r>
              <w:rPr>
                <w:rFonts w:ascii="Times New Roman"/>
                <w:sz w:val="18"/>
              </w:rPr>
              <w:t>463,879,091</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79"/>
              <w:jc w:val="right"/>
              <w:rPr>
                <w:rFonts w:ascii="Times New Roman" w:hAnsi="Times New Roman" w:cs="Times New Roman" w:eastAsia="Times New Roman" w:hint="default"/>
                <w:sz w:val="18"/>
                <w:szCs w:val="18"/>
              </w:rPr>
            </w:pPr>
            <w:r>
              <w:rPr>
                <w:rFonts w:ascii="Times New Roman"/>
                <w:sz w:val="18"/>
              </w:rPr>
              <w:t>96.20</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6"/>
              <w:jc w:val="right"/>
              <w:rPr>
                <w:rFonts w:ascii="Times New Roman" w:hAnsi="Times New Roman" w:cs="Times New Roman" w:eastAsia="Times New Roman" w:hint="default"/>
                <w:sz w:val="18"/>
                <w:szCs w:val="18"/>
              </w:rPr>
            </w:pPr>
            <w:r>
              <w:rPr>
                <w:rFonts w:ascii="Times New Roman"/>
                <w:sz w:val="18"/>
              </w:rPr>
              <w:t>4,638,792</w:t>
            </w:r>
          </w:p>
        </w:tc>
      </w:tr>
      <w:tr>
        <w:trPr>
          <w:trHeight w:val="410" w:hRule="exact"/>
        </w:trPr>
        <w:tc>
          <w:tcPr>
            <w:tcW w:w="83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521" w:type="dxa"/>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93"/>
              <w:jc w:val="right"/>
              <w:rPr>
                <w:rFonts w:ascii="Times New Roman" w:hAnsi="Times New Roman" w:cs="Times New Roman" w:eastAsia="Times New Roman" w:hint="default"/>
                <w:sz w:val="18"/>
                <w:szCs w:val="18"/>
              </w:rPr>
            </w:pPr>
            <w:r>
              <w:rPr>
                <w:rFonts w:ascii="Times New Roman"/>
                <w:sz w:val="18"/>
              </w:rPr>
              <w:t>15,157,705</w:t>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6.61</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9"/>
              <w:jc w:val="right"/>
              <w:rPr>
                <w:rFonts w:ascii="Times New Roman" w:hAnsi="Times New Roman" w:cs="Times New Roman" w:eastAsia="Times New Roman" w:hint="default"/>
                <w:sz w:val="18"/>
                <w:szCs w:val="18"/>
              </w:rPr>
            </w:pPr>
            <w:r>
              <w:rPr>
                <w:rFonts w:ascii="Times New Roman"/>
                <w:sz w:val="18"/>
              </w:rPr>
              <w:t>303,154</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88" w:right="0"/>
              <w:jc w:val="left"/>
              <w:rPr>
                <w:rFonts w:ascii="Times New Roman" w:hAnsi="Times New Roman" w:cs="Times New Roman" w:eastAsia="Times New Roman" w:hint="default"/>
                <w:sz w:val="18"/>
                <w:szCs w:val="18"/>
              </w:rPr>
            </w:pPr>
            <w:r>
              <w:rPr>
                <w:rFonts w:ascii="Times New Roman"/>
                <w:sz w:val="18"/>
              </w:rPr>
              <w:t>7,811,383</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78"/>
              <w:jc w:val="right"/>
              <w:rPr>
                <w:rFonts w:ascii="Times New Roman" w:hAnsi="Times New Roman" w:cs="Times New Roman" w:eastAsia="Times New Roman" w:hint="default"/>
                <w:sz w:val="18"/>
                <w:szCs w:val="18"/>
              </w:rPr>
            </w:pPr>
            <w:r>
              <w:rPr>
                <w:rFonts w:ascii="Times New Roman"/>
                <w:sz w:val="18"/>
              </w:rPr>
              <w:t>1.62</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156,228</w:t>
            </w:r>
          </w:p>
        </w:tc>
      </w:tr>
      <w:tr>
        <w:trPr>
          <w:trHeight w:val="410" w:hRule="exact"/>
        </w:trPr>
        <w:tc>
          <w:tcPr>
            <w:tcW w:w="83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521" w:type="dxa"/>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93"/>
              <w:jc w:val="right"/>
              <w:rPr>
                <w:rFonts w:ascii="Times New Roman" w:hAnsi="Times New Roman" w:cs="Times New Roman" w:eastAsia="Times New Roman" w:hint="default"/>
                <w:sz w:val="18"/>
                <w:szCs w:val="18"/>
              </w:rPr>
            </w:pPr>
            <w:r>
              <w:rPr>
                <w:rFonts w:ascii="Times New Roman"/>
                <w:sz w:val="18"/>
              </w:rPr>
              <w:t>2,449,847</w:t>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1.07</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8"/>
              <w:jc w:val="right"/>
              <w:rPr>
                <w:rFonts w:ascii="Times New Roman" w:hAnsi="Times New Roman" w:cs="Times New Roman" w:eastAsia="Times New Roman" w:hint="default"/>
                <w:sz w:val="18"/>
                <w:szCs w:val="18"/>
              </w:rPr>
            </w:pPr>
            <w:r>
              <w:rPr>
                <w:rFonts w:ascii="Times New Roman"/>
                <w:sz w:val="18"/>
              </w:rPr>
              <w:t>122,491</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81" w:right="0"/>
              <w:jc w:val="left"/>
              <w:rPr>
                <w:rFonts w:ascii="Times New Roman" w:hAnsi="Times New Roman" w:cs="Times New Roman" w:eastAsia="Times New Roman" w:hint="default"/>
                <w:sz w:val="18"/>
                <w:szCs w:val="18"/>
              </w:rPr>
            </w:pPr>
            <w:r>
              <w:rPr>
                <w:rFonts w:ascii="Times New Roman"/>
                <w:sz w:val="18"/>
              </w:rPr>
              <w:t>7,274,212</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78"/>
              <w:jc w:val="right"/>
              <w:rPr>
                <w:rFonts w:ascii="Times New Roman" w:hAnsi="Times New Roman" w:cs="Times New Roman" w:eastAsia="Times New Roman" w:hint="default"/>
                <w:sz w:val="18"/>
                <w:szCs w:val="18"/>
              </w:rPr>
            </w:pPr>
            <w:r>
              <w:rPr>
                <w:rFonts w:ascii="Times New Roman"/>
                <w:sz w:val="18"/>
              </w:rPr>
              <w:t>1.51</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pacing w:val="-2"/>
                <w:sz w:val="18"/>
              </w:rPr>
              <w:t>363,711</w:t>
            </w:r>
          </w:p>
        </w:tc>
      </w:tr>
      <w:tr>
        <w:trPr>
          <w:trHeight w:val="410" w:hRule="exact"/>
        </w:trPr>
        <w:tc>
          <w:tcPr>
            <w:tcW w:w="83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521" w:type="dxa"/>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93"/>
              <w:jc w:val="right"/>
              <w:rPr>
                <w:rFonts w:ascii="Times New Roman" w:hAnsi="Times New Roman" w:cs="Times New Roman" w:eastAsia="Times New Roman" w:hint="default"/>
                <w:sz w:val="18"/>
                <w:szCs w:val="18"/>
              </w:rPr>
            </w:pPr>
            <w:r>
              <w:rPr>
                <w:rFonts w:ascii="Times New Roman"/>
                <w:sz w:val="18"/>
              </w:rPr>
              <w:t>2,091,200</w:t>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0.91</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8"/>
              <w:jc w:val="right"/>
              <w:rPr>
                <w:rFonts w:ascii="Times New Roman" w:hAnsi="Times New Roman" w:cs="Times New Roman" w:eastAsia="Times New Roman" w:hint="default"/>
                <w:sz w:val="18"/>
                <w:szCs w:val="18"/>
              </w:rPr>
            </w:pPr>
            <w:r>
              <w:rPr>
                <w:rFonts w:ascii="Times New Roman"/>
                <w:sz w:val="18"/>
              </w:rPr>
              <w:t>209,120</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81" w:right="0"/>
              <w:jc w:val="left"/>
              <w:rPr>
                <w:rFonts w:ascii="Times New Roman" w:hAnsi="Times New Roman" w:cs="Times New Roman" w:eastAsia="Times New Roman" w:hint="default"/>
                <w:sz w:val="18"/>
                <w:szCs w:val="18"/>
              </w:rPr>
            </w:pPr>
            <w:r>
              <w:rPr>
                <w:rFonts w:ascii="Times New Roman"/>
                <w:sz w:val="18"/>
              </w:rPr>
              <w:t>2,126,653</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78"/>
              <w:jc w:val="right"/>
              <w:rPr>
                <w:rFonts w:ascii="Times New Roman" w:hAnsi="Times New Roman" w:cs="Times New Roman" w:eastAsia="Times New Roman" w:hint="default"/>
                <w:sz w:val="18"/>
                <w:szCs w:val="18"/>
              </w:rPr>
            </w:pPr>
            <w:r>
              <w:rPr>
                <w:rFonts w:ascii="Times New Roman"/>
                <w:sz w:val="18"/>
              </w:rPr>
              <w:t>0.44</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212,665</w:t>
            </w:r>
          </w:p>
        </w:tc>
      </w:tr>
      <w:tr>
        <w:trPr>
          <w:trHeight w:val="410" w:hRule="exact"/>
        </w:trPr>
        <w:tc>
          <w:tcPr>
            <w:tcW w:w="83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521" w:type="dxa"/>
            <w:tcBorders>
              <w:top w:val="nil" w:sz="6" w:space="0" w:color="auto"/>
              <w:left w:val="nil" w:sz="6" w:space="0" w:color="auto"/>
              <w:bottom w:val="nil" w:sz="6" w:space="0" w:color="auto"/>
              <w:right w:val="nil" w:sz="6" w:space="0" w:color="auto"/>
            </w:tcBorders>
          </w:tcPr>
          <w:p>
            <w:pP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92"/>
              <w:jc w:val="right"/>
              <w:rPr>
                <w:rFonts w:ascii="Times New Roman" w:hAnsi="Times New Roman" w:cs="Times New Roman" w:eastAsia="Times New Roman" w:hint="default"/>
                <w:sz w:val="18"/>
                <w:szCs w:val="18"/>
              </w:rPr>
            </w:pPr>
            <w:r>
              <w:rPr>
                <w:rFonts w:ascii="Times New Roman"/>
                <w:sz w:val="18"/>
              </w:rPr>
              <w:t>470,385</w:t>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0.21</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98"/>
              <w:jc w:val="right"/>
              <w:rPr>
                <w:rFonts w:ascii="Times New Roman" w:hAnsi="Times New Roman" w:cs="Times New Roman" w:eastAsia="Times New Roman" w:hint="default"/>
                <w:sz w:val="18"/>
                <w:szCs w:val="18"/>
              </w:rPr>
            </w:pPr>
            <w:r>
              <w:rPr>
                <w:rFonts w:ascii="Times New Roman"/>
                <w:sz w:val="18"/>
              </w:rPr>
              <w:t>470,385</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81" w:right="0"/>
              <w:jc w:val="left"/>
              <w:rPr>
                <w:rFonts w:ascii="Times New Roman" w:hAnsi="Times New Roman" w:cs="Times New Roman" w:eastAsia="Times New Roman" w:hint="default"/>
                <w:sz w:val="18"/>
                <w:szCs w:val="18"/>
              </w:rPr>
            </w:pPr>
            <w:r>
              <w:rPr>
                <w:rFonts w:ascii="Times New Roman"/>
                <w:sz w:val="18"/>
              </w:rPr>
              <w:t>1,105,686</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77"/>
              <w:jc w:val="right"/>
              <w:rPr>
                <w:rFonts w:ascii="Times New Roman" w:hAnsi="Times New Roman" w:cs="Times New Roman" w:eastAsia="Times New Roman" w:hint="default"/>
                <w:sz w:val="18"/>
                <w:szCs w:val="18"/>
              </w:rPr>
            </w:pPr>
            <w:r>
              <w:rPr>
                <w:rFonts w:ascii="Times New Roman"/>
                <w:sz w:val="18"/>
              </w:rPr>
              <w:t>0.23</w:t>
            </w:r>
          </w:p>
        </w:tc>
        <w:tc>
          <w:tcPr>
            <w:tcW w:w="115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1,105,686</w:t>
            </w:r>
          </w:p>
        </w:tc>
      </w:tr>
      <w:tr>
        <w:trPr>
          <w:trHeight w:val="329" w:hRule="exact"/>
        </w:trPr>
        <w:tc>
          <w:tcPr>
            <w:tcW w:w="837"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7" w:right="0"/>
              <w:jc w:val="center"/>
              <w:rPr>
                <w:rFonts w:ascii="宋体" w:hAnsi="宋体" w:cs="宋体" w:eastAsia="宋体" w:hint="default"/>
                <w:sz w:val="18"/>
                <w:szCs w:val="18"/>
              </w:rPr>
            </w:pPr>
            <w:r>
              <w:rPr>
                <w:rFonts w:ascii="宋体" w:hAnsi="宋体" w:cs="宋体" w:eastAsia="宋体" w:hint="default"/>
                <w:sz w:val="18"/>
                <w:szCs w:val="18"/>
              </w:rPr>
              <w:t>合</w:t>
            </w:r>
          </w:p>
        </w:tc>
        <w:tc>
          <w:tcPr>
            <w:tcW w:w="521"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40" w:right="0"/>
              <w:jc w:val="left"/>
              <w:rPr>
                <w:rFonts w:ascii="宋体" w:hAnsi="宋体" w:cs="宋体" w:eastAsia="宋体" w:hint="default"/>
                <w:sz w:val="18"/>
                <w:szCs w:val="18"/>
              </w:rPr>
            </w:pPr>
            <w:r>
              <w:rPr>
                <w:rFonts w:ascii="宋体" w:hAnsi="宋体" w:cs="宋体" w:eastAsia="宋体" w:hint="default"/>
                <w:sz w:val="18"/>
                <w:szCs w:val="18"/>
              </w:rPr>
              <w:t>计</w:t>
            </w:r>
          </w:p>
        </w:tc>
        <w:tc>
          <w:tcPr>
            <w:tcW w:w="1597"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391"/>
              <w:jc w:val="right"/>
              <w:rPr>
                <w:rFonts w:ascii="Times New Roman" w:hAnsi="Times New Roman" w:cs="Times New Roman" w:eastAsia="Times New Roman" w:hint="default"/>
                <w:sz w:val="18"/>
                <w:szCs w:val="18"/>
              </w:rPr>
            </w:pPr>
            <w:r>
              <w:rPr>
                <w:rFonts w:ascii="Times New Roman"/>
                <w:sz w:val="18"/>
              </w:rPr>
              <w:t>229,216,237</w:t>
            </w:r>
          </w:p>
        </w:tc>
        <w:tc>
          <w:tcPr>
            <w:tcW w:w="100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87"/>
              <w:jc w:val="right"/>
              <w:rPr>
                <w:rFonts w:ascii="Times New Roman" w:hAnsi="Times New Roman" w:cs="Times New Roman" w:eastAsia="Times New Roman" w:hint="default"/>
                <w:sz w:val="18"/>
                <w:szCs w:val="18"/>
              </w:rPr>
            </w:pPr>
            <w:r>
              <w:rPr>
                <w:rFonts w:ascii="Times New Roman"/>
                <w:sz w:val="18"/>
              </w:rPr>
              <w:t>100.00</w:t>
            </w:r>
          </w:p>
        </w:tc>
        <w:tc>
          <w:tcPr>
            <w:tcW w:w="1273"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99"/>
              <w:jc w:val="right"/>
              <w:rPr>
                <w:rFonts w:ascii="Times New Roman" w:hAnsi="Times New Roman" w:cs="Times New Roman" w:eastAsia="Times New Roman" w:hint="default"/>
                <w:sz w:val="18"/>
                <w:szCs w:val="18"/>
              </w:rPr>
            </w:pPr>
            <w:r>
              <w:rPr>
                <w:rFonts w:ascii="Times New Roman"/>
                <w:sz w:val="18"/>
              </w:rPr>
              <w:t>3,195,621</w:t>
            </w:r>
          </w:p>
        </w:tc>
        <w:tc>
          <w:tcPr>
            <w:tcW w:w="142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left="200" w:right="0"/>
              <w:jc w:val="left"/>
              <w:rPr>
                <w:rFonts w:ascii="Times New Roman" w:hAnsi="Times New Roman" w:cs="Times New Roman" w:eastAsia="Times New Roman" w:hint="default"/>
                <w:sz w:val="18"/>
                <w:szCs w:val="18"/>
              </w:rPr>
            </w:pPr>
            <w:r>
              <w:rPr>
                <w:rFonts w:ascii="Times New Roman"/>
                <w:sz w:val="18"/>
              </w:rPr>
              <w:t>482,197,025</w:t>
            </w:r>
          </w:p>
        </w:tc>
        <w:tc>
          <w:tcPr>
            <w:tcW w:w="913"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77"/>
              <w:jc w:val="right"/>
              <w:rPr>
                <w:rFonts w:ascii="Times New Roman" w:hAnsi="Times New Roman" w:cs="Times New Roman" w:eastAsia="Times New Roman" w:hint="default"/>
                <w:sz w:val="18"/>
                <w:szCs w:val="18"/>
              </w:rPr>
            </w:pPr>
            <w:r>
              <w:rPr>
                <w:rFonts w:ascii="Times New Roman"/>
                <w:sz w:val="18"/>
              </w:rPr>
              <w:t>100.00</w:t>
            </w:r>
          </w:p>
        </w:tc>
        <w:tc>
          <w:tcPr>
            <w:tcW w:w="1154"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6,477,082</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spacing w:before="35"/>
        <w:ind w:left="857" w:right="91" w:firstLine="0"/>
        <w:jc w:val="left"/>
        <w:rPr>
          <w:rFonts w:ascii="宋体" w:hAnsi="宋体" w:cs="宋体" w:eastAsia="宋体" w:hint="default"/>
          <w:sz w:val="21"/>
          <w:szCs w:val="21"/>
        </w:rPr>
      </w:pPr>
      <w:r>
        <w:rPr/>
        <w:pict>
          <v:group style="position:absolute;margin-left:110.040001pt;margin-top:17.073677pt;width:437.7pt;height:83.05pt;mso-position-horizontal-relative:page;mso-position-vertical-relative:paragraph;z-index:-1101616" coordorigin="2201,341" coordsize="8754,1661">
            <v:group style="position:absolute;left:2230;top:356;width:5486;height:2" coordorigin="2230,356" coordsize="5486,2">
              <v:shape style="position:absolute;left:2230;top:356;width:5486;height:2" coordorigin="2230,356" coordsize="5486,0" path="m2230,356l7715,356e" filled="false" stroked="true" strokeweight="1.5pt" strokecolor="#000000">
                <v:path arrowok="t"/>
              </v:shape>
            </v:group>
            <v:group style="position:absolute;left:7715;top:356;width:3215;height:2" coordorigin="7715,356" coordsize="3215,2">
              <v:shape style="position:absolute;left:7715;top:356;width:3215;height:2" coordorigin="7715,356" coordsize="3215,0" path="m7715,356l10930,356e" filled="false" stroked="true" strokeweight="1.5pt" strokecolor="#000000">
                <v:path arrowok="t"/>
              </v:shape>
              <v:shape style="position:absolute;left:4198;top:346;width:3522;height:451" type="#_x0000_t75" stroked="false">
                <v:imagedata r:id="rId410" o:title=""/>
              </v:shape>
              <v:shape style="position:absolute;left:2201;top:749;width:8754;height:1253" type="#_x0000_t75" stroked="false">
                <v:imagedata r:id="rId411" o:title=""/>
              </v:shape>
            </v:group>
            <w10:wrap type="none"/>
          </v:group>
        </w:pict>
      </w:r>
      <w:r>
        <w:rPr>
          <w:rFonts w:ascii="宋体" w:hAnsi="宋体" w:cs="宋体" w:eastAsia="宋体" w:hint="default"/>
          <w:b/>
          <w:bCs/>
          <w:sz w:val="21"/>
          <w:szCs w:val="21"/>
        </w:rPr>
        <w:t>期末单项金额虽不重大但单项计提坏账准备的其他应收款：</w:t>
      </w:r>
      <w:r>
        <w:rPr>
          <w:rFonts w:ascii="宋体" w:hAnsi="宋体" w:cs="宋体" w:eastAsia="宋体" w:hint="default"/>
          <w:sz w:val="21"/>
          <w:szCs w:val="21"/>
        </w:rPr>
      </w:r>
    </w:p>
    <w:p>
      <w:pPr>
        <w:spacing w:line="240" w:lineRule="auto" w:before="1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1909"/>
        <w:gridCol w:w="1115"/>
        <w:gridCol w:w="1238"/>
        <w:gridCol w:w="1213"/>
        <w:gridCol w:w="3240"/>
      </w:tblGrid>
      <w:tr>
        <w:trPr>
          <w:trHeight w:val="815" w:hRule="exact"/>
        </w:trPr>
        <w:tc>
          <w:tcPr>
            <w:tcW w:w="1909"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264" w:firstLine="260"/>
              <w:jc w:val="left"/>
              <w:rPr>
                <w:rFonts w:ascii="宋体" w:hAnsi="宋体" w:cs="宋体" w:eastAsia="宋体" w:hint="default"/>
                <w:sz w:val="18"/>
                <w:szCs w:val="18"/>
              </w:rPr>
            </w:pPr>
            <w:r>
              <w:rPr>
                <w:rFonts w:ascii="宋体" w:hAnsi="宋体" w:cs="宋体" w:eastAsia="宋体" w:hint="default"/>
                <w:sz w:val="18"/>
                <w:szCs w:val="18"/>
              </w:rPr>
              <w:t>其他应收款内容 备用金借款</w:t>
            </w: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6" w:right="0"/>
              <w:jc w:val="left"/>
              <w:rPr>
                <w:rFonts w:ascii="宋体" w:hAnsi="宋体" w:cs="宋体" w:eastAsia="宋体" w:hint="default"/>
                <w:sz w:val="18"/>
                <w:szCs w:val="18"/>
              </w:rPr>
            </w:pPr>
            <w:r>
              <w:rPr>
                <w:rFonts w:ascii="宋体" w:hAnsi="宋体" w:cs="宋体" w:eastAsia="宋体" w:hint="default"/>
                <w:sz w:val="18"/>
                <w:szCs w:val="18"/>
              </w:rPr>
              <w:t>账面金额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322" w:right="0"/>
              <w:jc w:val="left"/>
              <w:rPr>
                <w:rFonts w:ascii="Times New Roman" w:hAnsi="Times New Roman" w:cs="Times New Roman" w:eastAsia="Times New Roman" w:hint="default"/>
                <w:sz w:val="18"/>
                <w:szCs w:val="18"/>
              </w:rPr>
            </w:pPr>
            <w:r>
              <w:rPr>
                <w:rFonts w:ascii="Times New Roman"/>
                <w:sz w:val="18"/>
              </w:rPr>
              <w:t>4,295,491</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0" w:right="0"/>
              <w:jc w:val="left"/>
              <w:rPr>
                <w:rFonts w:ascii="宋体" w:hAnsi="宋体" w:cs="宋体" w:eastAsia="宋体" w:hint="default"/>
                <w:sz w:val="18"/>
                <w:szCs w:val="18"/>
              </w:rPr>
            </w:pPr>
            <w:r>
              <w:rPr>
                <w:rFonts w:ascii="宋体" w:hAnsi="宋体" w:cs="宋体" w:eastAsia="宋体" w:hint="default"/>
                <w:sz w:val="18"/>
                <w:szCs w:val="18"/>
              </w:rPr>
              <w:t>坏账准备金额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361" w:right="0"/>
              <w:jc w:val="left"/>
              <w:rPr>
                <w:rFonts w:ascii="Times New Roman" w:hAnsi="Times New Roman" w:cs="Times New Roman" w:eastAsia="Times New Roman" w:hint="default"/>
                <w:sz w:val="18"/>
                <w:szCs w:val="18"/>
              </w:rPr>
            </w:pPr>
            <w:r>
              <w:rPr>
                <w:rFonts w:ascii="Times New Roman"/>
                <w:sz w:val="18"/>
              </w:rPr>
              <w:t>1,767,921</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699" w:right="0"/>
              <w:jc w:val="left"/>
              <w:rPr>
                <w:rFonts w:ascii="Times New Roman" w:hAnsi="Times New Roman" w:cs="Times New Roman" w:eastAsia="Times New Roman" w:hint="default"/>
                <w:sz w:val="18"/>
                <w:szCs w:val="18"/>
              </w:rPr>
            </w:pPr>
            <w:r>
              <w:rPr>
                <w:rFonts w:ascii="Times New Roman"/>
                <w:sz w:val="18"/>
              </w:rPr>
              <w:t>41.16</w:t>
            </w:r>
          </w:p>
        </w:tc>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理  由</w:t>
            </w: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sz w:val="18"/>
                <w:szCs w:val="18"/>
              </w:rPr>
              <w:t>账龄较长</w:t>
            </w:r>
            <w:r>
              <w:rPr>
                <w:rFonts w:ascii="Times New Roman" w:hAnsi="Times New Roman" w:cs="Times New Roman" w:eastAsia="Times New Roman" w:hint="default"/>
                <w:sz w:val="18"/>
                <w:szCs w:val="18"/>
              </w:rPr>
              <w:t>-</w:t>
            </w:r>
            <w:r>
              <w:rPr>
                <w:rFonts w:ascii="宋体" w:hAnsi="宋体" w:cs="宋体" w:eastAsia="宋体" w:hint="default"/>
                <w:sz w:val="18"/>
                <w:szCs w:val="18"/>
              </w:rPr>
              <w:t>预计可收回比例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以上</w:t>
            </w:r>
          </w:p>
        </w:tc>
      </w:tr>
      <w:tr>
        <w:trPr>
          <w:trHeight w:val="410" w:hRule="exact"/>
        </w:trPr>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单位往来款</w:t>
            </w: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68"/>
              <w:jc w:val="right"/>
              <w:rPr>
                <w:rFonts w:ascii="Times New Roman" w:hAnsi="Times New Roman" w:cs="Times New Roman" w:eastAsia="Times New Roman" w:hint="default"/>
                <w:sz w:val="18"/>
                <w:szCs w:val="18"/>
              </w:rPr>
            </w:pPr>
            <w:r>
              <w:rPr>
                <w:rFonts w:ascii="Times New Roman"/>
                <w:sz w:val="18"/>
              </w:rPr>
              <w:t>4,242,202</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3"/>
              <w:jc w:val="right"/>
              <w:rPr>
                <w:rFonts w:ascii="Times New Roman" w:hAnsi="Times New Roman" w:cs="Times New Roman" w:eastAsia="Times New Roman" w:hint="default"/>
                <w:sz w:val="18"/>
                <w:szCs w:val="18"/>
              </w:rPr>
            </w:pPr>
            <w:r>
              <w:rPr>
                <w:rFonts w:ascii="Times New Roman"/>
                <w:sz w:val="18"/>
              </w:rPr>
              <w:t>1,010,537</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699" w:right="0"/>
              <w:jc w:val="left"/>
              <w:rPr>
                <w:rFonts w:ascii="Times New Roman" w:hAnsi="Times New Roman" w:cs="Times New Roman" w:eastAsia="Times New Roman" w:hint="default"/>
                <w:sz w:val="18"/>
                <w:szCs w:val="18"/>
              </w:rPr>
            </w:pPr>
            <w:r>
              <w:rPr>
                <w:rFonts w:ascii="Times New Roman"/>
                <w:sz w:val="18"/>
              </w:rPr>
              <w:t>23.82</w:t>
            </w:r>
          </w:p>
        </w:tc>
        <w:tc>
          <w:tcPr>
            <w:tcW w:w="324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预计可收回比例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90%</w:t>
            </w:r>
            <w:r>
              <w:rPr>
                <w:rFonts w:ascii="宋体" w:hAnsi="宋体" w:cs="宋体" w:eastAsia="宋体" w:hint="default"/>
                <w:sz w:val="18"/>
                <w:szCs w:val="18"/>
              </w:rPr>
              <w:t>以上</w:t>
            </w:r>
          </w:p>
        </w:tc>
      </w:tr>
      <w:tr>
        <w:trPr>
          <w:trHeight w:val="329" w:hRule="exact"/>
        </w:trPr>
        <w:tc>
          <w:tcPr>
            <w:tcW w:w="1909" w:type="dxa"/>
            <w:tcBorders>
              <w:top w:val="nil" w:sz="6" w:space="0" w:color="auto"/>
              <w:left w:val="nil" w:sz="6" w:space="0" w:color="auto"/>
              <w:bottom w:val="single" w:sz="12" w:space="0" w:color="000000"/>
              <w:right w:val="nil" w:sz="6" w:space="0" w:color="auto"/>
            </w:tcBorders>
          </w:tcPr>
          <w:p>
            <w:pPr>
              <w:pStyle w:val="TableParagraph"/>
              <w:tabs>
                <w:tab w:pos="1192" w:val="left" w:leader="none"/>
              </w:tabs>
              <w:spacing w:line="240" w:lineRule="auto" w:before="49"/>
              <w:ind w:left="65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11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68"/>
              <w:jc w:val="right"/>
              <w:rPr>
                <w:rFonts w:ascii="Times New Roman" w:hAnsi="Times New Roman" w:cs="Times New Roman" w:eastAsia="Times New Roman" w:hint="default"/>
                <w:sz w:val="18"/>
                <w:szCs w:val="18"/>
              </w:rPr>
            </w:pPr>
            <w:r>
              <w:rPr>
                <w:rFonts w:ascii="Times New Roman"/>
                <w:sz w:val="18"/>
              </w:rPr>
              <w:t>8,537,693</w:t>
            </w:r>
          </w:p>
        </w:tc>
        <w:tc>
          <w:tcPr>
            <w:tcW w:w="1238"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53"/>
              <w:jc w:val="right"/>
              <w:rPr>
                <w:rFonts w:ascii="Times New Roman" w:hAnsi="Times New Roman" w:cs="Times New Roman" w:eastAsia="Times New Roman" w:hint="default"/>
                <w:sz w:val="18"/>
                <w:szCs w:val="18"/>
              </w:rPr>
            </w:pPr>
            <w:r>
              <w:rPr>
                <w:rFonts w:ascii="Times New Roman"/>
                <w:sz w:val="18"/>
              </w:rPr>
              <w:t>2,778,458</w:t>
            </w:r>
          </w:p>
        </w:tc>
        <w:tc>
          <w:tcPr>
            <w:tcW w:w="1213" w:type="dxa"/>
            <w:tcBorders>
              <w:top w:val="nil" w:sz="6" w:space="0" w:color="auto"/>
              <w:left w:val="nil" w:sz="6" w:space="0" w:color="auto"/>
              <w:bottom w:val="single" w:sz="12" w:space="0" w:color="000000"/>
              <w:right w:val="nil" w:sz="6" w:space="0" w:color="auto"/>
            </w:tcBorders>
          </w:tcPr>
          <w:p>
            <w:pPr/>
          </w:p>
        </w:tc>
        <w:tc>
          <w:tcPr>
            <w:tcW w:w="3240" w:type="dxa"/>
            <w:tcBorders>
              <w:top w:val="nil" w:sz="6" w:space="0" w:color="auto"/>
              <w:left w:val="nil" w:sz="6" w:space="0" w:color="auto"/>
              <w:bottom w:val="single" w:sz="12" w:space="0" w:color="000000"/>
              <w:right w:val="nil" w:sz="6" w:space="0" w:color="auto"/>
            </w:tcBorders>
          </w:tcPr>
          <w:p>
            <w:pPr/>
          </w:p>
        </w:tc>
      </w:tr>
    </w:tbl>
    <w:p>
      <w:pPr>
        <w:spacing w:after="0"/>
        <w:sectPr>
          <w:footerReference w:type="default" r:id="rId402"/>
          <w:pgSz w:w="11910" w:h="16840"/>
          <w:pgMar w:footer="1003" w:header="883" w:top="1540" w:bottom="1200" w:left="1480" w:right="840"/>
          <w:pgNumType w:start="101"/>
        </w:sectPr>
      </w:pPr>
    </w:p>
    <w:p>
      <w:pPr>
        <w:spacing w:line="240" w:lineRule="auto" w:before="10"/>
        <w:rPr>
          <w:rFonts w:ascii="宋体" w:hAnsi="宋体" w:cs="宋体" w:eastAsia="宋体" w:hint="default"/>
          <w:b/>
          <w:bCs/>
          <w:sz w:val="8"/>
          <w:szCs w:val="8"/>
        </w:rPr>
      </w:pPr>
    </w:p>
    <w:p>
      <w:pPr>
        <w:tabs>
          <w:tab w:pos="1395" w:val="left" w:leader="none"/>
        </w:tabs>
        <w:spacing w:before="35"/>
        <w:ind w:left="857" w:right="0" w:firstLine="0"/>
        <w:jc w:val="left"/>
        <w:rPr>
          <w:rFonts w:ascii="宋体" w:hAnsi="宋体" w:cs="宋体" w:eastAsia="宋体" w:hint="default"/>
          <w:sz w:val="21"/>
          <w:szCs w:val="21"/>
        </w:rPr>
      </w:pPr>
      <w:r>
        <w:rPr/>
        <w:pict>
          <v:group style="position:absolute;margin-left:110.040001pt;margin-top:17.133955pt;width:438.8pt;height:103.5pt;mso-position-horizontal-relative:page;mso-position-vertical-relative:paragraph;z-index:-1100680" coordorigin="2201,343" coordsize="8776,2070">
            <v:group style="position:absolute;left:2230;top:358;width:8714;height:2" coordorigin="2230,358" coordsize="8714,2">
              <v:shape style="position:absolute;left:2230;top:358;width:8714;height:2" coordorigin="2230,358" coordsize="8714,0" path="m2230,358l10943,358e" filled="false" stroked="true" strokeweight="1.5pt" strokecolor="#000000">
                <v:path arrowok="t"/>
              </v:shape>
              <v:shape style="position:absolute;left:4198;top:349;width:4588;height:446" type="#_x0000_t75" stroked="false">
                <v:imagedata r:id="rId412" o:title=""/>
              </v:shape>
              <v:shape style="position:absolute;left:2201;top:747;width:8776;height:1666" type="#_x0000_t75" stroked="false">
                <v:imagedata r:id="rId413" o:title=""/>
              </v:shape>
            </v:group>
            <w10:wrap type="none"/>
          </v:group>
        </w:pict>
      </w:r>
      <w:r>
        <w:rPr>
          <w:rFonts w:ascii="宋体" w:hAnsi="宋体" w:cs="宋体" w:eastAsia="宋体" w:hint="default"/>
          <w:b/>
          <w:bCs/>
          <w:w w:val="95"/>
          <w:sz w:val="21"/>
          <w:szCs w:val="21"/>
        </w:rPr>
        <w:t>3、</w:t>
        <w:tab/>
      </w:r>
      <w:r>
        <w:rPr>
          <w:rFonts w:ascii="宋体" w:hAnsi="宋体" w:cs="宋体" w:eastAsia="宋体" w:hint="default"/>
          <w:b/>
          <w:bCs/>
          <w:sz w:val="21"/>
          <w:szCs w:val="21"/>
        </w:rPr>
        <w:t>以前年度已全额或大比例计提坏账准备且当年又全额或部分收回的其他应收款情况：</w:t>
      </w:r>
      <w:r>
        <w:rPr>
          <w:rFonts w:ascii="宋体" w:hAnsi="宋体" w:cs="宋体" w:eastAsia="宋体" w:hint="default"/>
          <w:sz w:val="21"/>
          <w:szCs w:val="21"/>
        </w:rPr>
      </w:r>
    </w:p>
    <w:p>
      <w:pPr>
        <w:spacing w:line="240" w:lineRule="auto" w:before="11"/>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1961"/>
        <w:gridCol w:w="1325"/>
        <w:gridCol w:w="1370"/>
        <w:gridCol w:w="2049"/>
        <w:gridCol w:w="2023"/>
      </w:tblGrid>
      <w:tr>
        <w:trPr>
          <w:trHeight w:val="814" w:hRule="exact"/>
        </w:trPr>
        <w:tc>
          <w:tcPr>
            <w:tcW w:w="1961"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317" w:firstLine="259"/>
              <w:jc w:val="left"/>
              <w:rPr>
                <w:rFonts w:ascii="宋体" w:hAnsi="宋体" w:cs="宋体" w:eastAsia="宋体" w:hint="default"/>
                <w:sz w:val="18"/>
                <w:szCs w:val="18"/>
              </w:rPr>
            </w:pPr>
            <w:r>
              <w:rPr>
                <w:rFonts w:ascii="宋体" w:hAnsi="宋体" w:cs="宋体" w:eastAsia="宋体" w:hint="default"/>
                <w:sz w:val="18"/>
                <w:szCs w:val="18"/>
              </w:rPr>
              <w:t>其他应收款内容 保证金借款</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19" w:right="0"/>
              <w:jc w:val="left"/>
              <w:rPr>
                <w:rFonts w:ascii="宋体" w:hAnsi="宋体" w:cs="宋体" w:eastAsia="宋体" w:hint="default"/>
                <w:sz w:val="18"/>
                <w:szCs w:val="18"/>
              </w:rPr>
            </w:pPr>
            <w:r>
              <w:rPr>
                <w:rFonts w:ascii="宋体" w:hAnsi="宋体" w:cs="宋体" w:eastAsia="宋体" w:hint="default"/>
                <w:sz w:val="18"/>
                <w:szCs w:val="18"/>
              </w:rPr>
              <w:t>年初余额</w:t>
            </w: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478" w:right="0"/>
              <w:jc w:val="left"/>
              <w:rPr>
                <w:rFonts w:ascii="Times New Roman" w:hAnsi="Times New Roman" w:cs="Times New Roman" w:eastAsia="Times New Roman" w:hint="default"/>
                <w:sz w:val="18"/>
                <w:szCs w:val="18"/>
              </w:rPr>
            </w:pPr>
            <w:r>
              <w:rPr>
                <w:rFonts w:ascii="Times New Roman"/>
                <w:sz w:val="18"/>
              </w:rPr>
              <w:t>1,136,163</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4" w:right="0"/>
              <w:jc w:val="left"/>
              <w:rPr>
                <w:rFonts w:ascii="宋体" w:hAnsi="宋体" w:cs="宋体" w:eastAsia="宋体" w:hint="default"/>
                <w:sz w:val="18"/>
                <w:szCs w:val="18"/>
              </w:rPr>
            </w:pPr>
            <w:r>
              <w:rPr>
                <w:rFonts w:ascii="宋体" w:hAnsi="宋体" w:cs="宋体" w:eastAsia="宋体" w:hint="default"/>
                <w:sz w:val="18"/>
                <w:szCs w:val="18"/>
              </w:rPr>
              <w:t>年初坏账准备</w:t>
            </w: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654" w:right="0"/>
              <w:jc w:val="left"/>
              <w:rPr>
                <w:rFonts w:ascii="Times New Roman" w:hAnsi="Times New Roman" w:cs="Times New Roman" w:eastAsia="Times New Roman" w:hint="default"/>
                <w:sz w:val="18"/>
                <w:szCs w:val="18"/>
              </w:rPr>
            </w:pPr>
            <w:r>
              <w:rPr>
                <w:rFonts w:ascii="Times New Roman"/>
                <w:sz w:val="18"/>
              </w:rPr>
              <w:t>990,123</w:t>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07"/>
              <w:jc w:val="right"/>
              <w:rPr>
                <w:rFonts w:ascii="Times New Roman" w:hAnsi="Times New Roman" w:cs="Times New Roman" w:eastAsia="Times New Roman" w:hint="default"/>
                <w:sz w:val="18"/>
                <w:szCs w:val="18"/>
              </w:rPr>
            </w:pPr>
            <w:r>
              <w:rPr>
                <w:rFonts w:ascii="宋体" w:hAnsi="宋体" w:cs="宋体" w:eastAsia="宋体" w:hint="default"/>
                <w:sz w:val="18"/>
                <w:szCs w:val="18"/>
              </w:rPr>
              <w:t>坏账准备计提比例</w:t>
            </w:r>
            <w:r>
              <w:rPr>
                <w:rFonts w:ascii="Times New Roman" w:hAnsi="Times New Roman" w:cs="Times New Roman" w:eastAsia="Times New Roman" w:hint="default"/>
                <w:sz w:val="18"/>
                <w:szCs w:val="18"/>
              </w:rPr>
              <w:t>(%)</w:t>
            </w:r>
          </w:p>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267"/>
              <w:jc w:val="right"/>
              <w:rPr>
                <w:rFonts w:ascii="Times New Roman" w:hAnsi="Times New Roman" w:cs="Times New Roman" w:eastAsia="Times New Roman" w:hint="default"/>
                <w:sz w:val="18"/>
                <w:szCs w:val="18"/>
              </w:rPr>
            </w:pPr>
            <w:r>
              <w:rPr>
                <w:rFonts w:ascii="Times New Roman"/>
                <w:sz w:val="18"/>
              </w:rPr>
              <w:t>87.15</w:t>
            </w: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09" w:right="0"/>
              <w:jc w:val="left"/>
              <w:rPr>
                <w:rFonts w:ascii="宋体" w:hAnsi="宋体" w:cs="宋体" w:eastAsia="宋体" w:hint="default"/>
                <w:sz w:val="18"/>
                <w:szCs w:val="18"/>
              </w:rPr>
            </w:pPr>
            <w:r>
              <w:rPr>
                <w:rFonts w:ascii="宋体" w:hAnsi="宋体" w:cs="宋体" w:eastAsia="宋体" w:hint="default"/>
                <w:sz w:val="18"/>
                <w:szCs w:val="18"/>
              </w:rPr>
              <w:t>报告期内收回金额</w:t>
            </w: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1193" w:right="0"/>
              <w:jc w:val="left"/>
              <w:rPr>
                <w:rFonts w:ascii="Times New Roman" w:hAnsi="Times New Roman" w:cs="Times New Roman" w:eastAsia="Times New Roman" w:hint="default"/>
                <w:sz w:val="18"/>
                <w:szCs w:val="18"/>
              </w:rPr>
            </w:pPr>
            <w:r>
              <w:rPr>
                <w:rFonts w:ascii="Times New Roman"/>
                <w:sz w:val="18"/>
              </w:rPr>
              <w:t>1,136,163</w:t>
            </w:r>
          </w:p>
        </w:tc>
      </w:tr>
      <w:tr>
        <w:trPr>
          <w:trHeight w:val="410" w:hRule="exact"/>
        </w:trPr>
        <w:tc>
          <w:tcPr>
            <w:tcW w:w="19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备用金借款</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2"/>
              <w:jc w:val="right"/>
              <w:rPr>
                <w:rFonts w:ascii="Times New Roman" w:hAnsi="Times New Roman" w:cs="Times New Roman" w:eastAsia="Times New Roman" w:hint="default"/>
                <w:sz w:val="18"/>
                <w:szCs w:val="18"/>
              </w:rPr>
            </w:pPr>
            <w:r>
              <w:rPr>
                <w:rFonts w:ascii="Times New Roman"/>
                <w:sz w:val="18"/>
              </w:rPr>
              <w:t>713,547</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7"/>
              <w:jc w:val="right"/>
              <w:rPr>
                <w:rFonts w:ascii="Times New Roman" w:hAnsi="Times New Roman" w:cs="Times New Roman" w:eastAsia="Times New Roman" w:hint="default"/>
                <w:sz w:val="18"/>
                <w:szCs w:val="18"/>
              </w:rPr>
            </w:pPr>
            <w:r>
              <w:rPr>
                <w:rFonts w:ascii="Times New Roman"/>
                <w:sz w:val="18"/>
              </w:rPr>
              <w:t>634,032</w:t>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7"/>
              <w:jc w:val="right"/>
              <w:rPr>
                <w:rFonts w:ascii="Times New Roman" w:hAnsi="Times New Roman" w:cs="Times New Roman" w:eastAsia="Times New Roman" w:hint="default"/>
                <w:sz w:val="18"/>
                <w:szCs w:val="18"/>
              </w:rPr>
            </w:pPr>
            <w:r>
              <w:rPr>
                <w:rFonts w:ascii="Times New Roman"/>
                <w:sz w:val="18"/>
              </w:rPr>
              <w:t>88.86</w:t>
            </w: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713,547</w:t>
            </w:r>
          </w:p>
        </w:tc>
      </w:tr>
      <w:tr>
        <w:trPr>
          <w:trHeight w:val="410" w:hRule="exact"/>
        </w:trPr>
        <w:tc>
          <w:tcPr>
            <w:tcW w:w="196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单位往来</w:t>
            </w:r>
          </w:p>
        </w:tc>
        <w:tc>
          <w:tcPr>
            <w:tcW w:w="132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2"/>
              <w:jc w:val="right"/>
              <w:rPr>
                <w:rFonts w:ascii="Times New Roman" w:hAnsi="Times New Roman" w:cs="Times New Roman" w:eastAsia="Times New Roman" w:hint="default"/>
                <w:sz w:val="18"/>
                <w:szCs w:val="18"/>
              </w:rPr>
            </w:pPr>
            <w:r>
              <w:rPr>
                <w:rFonts w:ascii="Times New Roman"/>
                <w:sz w:val="18"/>
              </w:rPr>
              <w:t>247,943</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7"/>
              <w:jc w:val="right"/>
              <w:rPr>
                <w:rFonts w:ascii="Times New Roman" w:hAnsi="Times New Roman" w:cs="Times New Roman" w:eastAsia="Times New Roman" w:hint="default"/>
                <w:sz w:val="18"/>
                <w:szCs w:val="18"/>
              </w:rPr>
            </w:pPr>
            <w:r>
              <w:rPr>
                <w:rFonts w:ascii="Times New Roman"/>
                <w:sz w:val="18"/>
              </w:rPr>
              <w:t>178,643</w:t>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67"/>
              <w:jc w:val="right"/>
              <w:rPr>
                <w:rFonts w:ascii="Times New Roman" w:hAnsi="Times New Roman" w:cs="Times New Roman" w:eastAsia="Times New Roman" w:hint="default"/>
                <w:sz w:val="18"/>
                <w:szCs w:val="18"/>
              </w:rPr>
            </w:pPr>
            <w:r>
              <w:rPr>
                <w:rFonts w:ascii="Times New Roman"/>
                <w:sz w:val="18"/>
              </w:rPr>
              <w:t>72.05</w:t>
            </w:r>
          </w:p>
        </w:tc>
        <w:tc>
          <w:tcPr>
            <w:tcW w:w="202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247,943</w:t>
            </w:r>
          </w:p>
        </w:tc>
      </w:tr>
      <w:tr>
        <w:trPr>
          <w:trHeight w:val="329" w:hRule="exact"/>
        </w:trPr>
        <w:tc>
          <w:tcPr>
            <w:tcW w:w="1961" w:type="dxa"/>
            <w:tcBorders>
              <w:top w:val="nil" w:sz="6" w:space="0" w:color="auto"/>
              <w:left w:val="nil" w:sz="6" w:space="0" w:color="auto"/>
              <w:bottom w:val="single" w:sz="12" w:space="0" w:color="000000"/>
              <w:right w:val="nil" w:sz="6" w:space="0" w:color="auto"/>
            </w:tcBorders>
          </w:tcPr>
          <w:p>
            <w:pPr>
              <w:pStyle w:val="TableParagraph"/>
              <w:tabs>
                <w:tab w:pos="1191" w:val="left" w:leader="none"/>
              </w:tabs>
              <w:spacing w:line="240" w:lineRule="auto" w:before="49"/>
              <w:ind w:left="651"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32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22"/>
              <w:jc w:val="right"/>
              <w:rPr>
                <w:rFonts w:ascii="Times New Roman" w:hAnsi="Times New Roman" w:cs="Times New Roman" w:eastAsia="Times New Roman" w:hint="default"/>
                <w:sz w:val="18"/>
                <w:szCs w:val="18"/>
              </w:rPr>
            </w:pPr>
            <w:r>
              <w:rPr>
                <w:rFonts w:ascii="Times New Roman"/>
                <w:sz w:val="18"/>
              </w:rPr>
              <w:t>2,097,653</w:t>
            </w:r>
          </w:p>
        </w:tc>
        <w:tc>
          <w:tcPr>
            <w:tcW w:w="137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27"/>
              <w:jc w:val="right"/>
              <w:rPr>
                <w:rFonts w:ascii="Times New Roman" w:hAnsi="Times New Roman" w:cs="Times New Roman" w:eastAsia="Times New Roman" w:hint="default"/>
                <w:sz w:val="18"/>
                <w:szCs w:val="18"/>
              </w:rPr>
            </w:pPr>
            <w:r>
              <w:rPr>
                <w:rFonts w:ascii="Times New Roman"/>
                <w:sz w:val="18"/>
              </w:rPr>
              <w:t>1,802,798</w:t>
            </w:r>
          </w:p>
        </w:tc>
        <w:tc>
          <w:tcPr>
            <w:tcW w:w="2049" w:type="dxa"/>
            <w:tcBorders>
              <w:top w:val="nil" w:sz="6" w:space="0" w:color="auto"/>
              <w:left w:val="nil" w:sz="6" w:space="0" w:color="auto"/>
              <w:bottom w:val="single" w:sz="12" w:space="0" w:color="000000"/>
              <w:right w:val="nil" w:sz="6" w:space="0" w:color="auto"/>
            </w:tcBorders>
          </w:tcPr>
          <w:p>
            <w:pPr/>
          </w:p>
        </w:tc>
        <w:tc>
          <w:tcPr>
            <w:tcW w:w="2023"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06"/>
              <w:jc w:val="right"/>
              <w:rPr>
                <w:rFonts w:ascii="Times New Roman" w:hAnsi="Times New Roman" w:cs="Times New Roman" w:eastAsia="Times New Roman" w:hint="default"/>
                <w:sz w:val="18"/>
                <w:szCs w:val="18"/>
              </w:rPr>
            </w:pPr>
            <w:r>
              <w:rPr>
                <w:rFonts w:ascii="Times New Roman"/>
                <w:sz w:val="18"/>
              </w:rPr>
              <w:t>2,097,653</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395" w:val="left" w:leader="none"/>
        </w:tabs>
        <w:spacing w:before="35"/>
        <w:ind w:left="857" w:right="0"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本报告期无实际核销的其他应收款情况；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395" w:val="left" w:leader="none"/>
        </w:tabs>
        <w:spacing w:before="0"/>
        <w:ind w:left="857" w:right="0" w:firstLine="0"/>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期末其他应收款中无持本公司</w:t>
      </w:r>
      <w:r>
        <w:rPr>
          <w:rFonts w:ascii="宋体" w:hAnsi="宋体" w:cs="宋体" w:eastAsia="宋体" w:hint="default"/>
          <w:b/>
          <w:bCs/>
          <w:spacing w:val="-58"/>
          <w:sz w:val="21"/>
          <w:szCs w:val="21"/>
        </w:rPr>
        <w:t> </w:t>
      </w:r>
      <w:r>
        <w:rPr>
          <w:rFonts w:ascii="宋体" w:hAnsi="宋体" w:cs="宋体" w:eastAsia="宋体" w:hint="default"/>
          <w:b/>
          <w:bCs/>
          <w:sz w:val="21"/>
          <w:szCs w:val="21"/>
        </w:rPr>
        <w:t>5％以上（含</w:t>
      </w:r>
      <w:r>
        <w:rPr>
          <w:rFonts w:ascii="宋体" w:hAnsi="宋体" w:cs="宋体" w:eastAsia="宋体" w:hint="default"/>
          <w:b/>
          <w:bCs/>
          <w:spacing w:val="-58"/>
          <w:sz w:val="21"/>
          <w:szCs w:val="21"/>
        </w:rPr>
        <w:t> </w:t>
      </w:r>
      <w:r>
        <w:rPr>
          <w:rFonts w:ascii="宋体" w:hAnsi="宋体" w:cs="宋体" w:eastAsia="宋体" w:hint="default"/>
          <w:b/>
          <w:bCs/>
          <w:sz w:val="21"/>
          <w:szCs w:val="21"/>
        </w:rPr>
        <w:t>5％）表决权股份的股东单位欠款；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395" w:val="left" w:leader="none"/>
        </w:tabs>
        <w:spacing w:before="0"/>
        <w:ind w:left="857" w:right="0" w:firstLine="0"/>
        <w:jc w:val="left"/>
        <w:rPr>
          <w:rFonts w:ascii="宋体" w:hAnsi="宋体" w:cs="宋体" w:eastAsia="宋体" w:hint="default"/>
          <w:sz w:val="21"/>
          <w:szCs w:val="21"/>
        </w:rPr>
      </w:pPr>
      <w:r>
        <w:rPr>
          <w:rFonts w:ascii="宋体" w:hAnsi="宋体" w:cs="宋体" w:eastAsia="宋体" w:hint="default"/>
          <w:b/>
          <w:bCs/>
          <w:w w:val="95"/>
          <w:sz w:val="21"/>
          <w:szCs w:val="21"/>
        </w:rPr>
        <w:t>6、</w:t>
        <w:tab/>
      </w:r>
      <w:r>
        <w:rPr>
          <w:rFonts w:ascii="宋体" w:hAnsi="宋体" w:cs="宋体" w:eastAsia="宋体" w:hint="default"/>
          <w:b/>
          <w:bCs/>
          <w:sz w:val="21"/>
          <w:szCs w:val="21"/>
        </w:rPr>
        <w:t>其他应收款金额前五名单位情况：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3279" w:lineRule="exact"/>
        <w:ind w:left="720"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53.7pt;height:164pt;mso-position-horizontal-relative:char;mso-position-vertical-relative:line" coordorigin="0,0" coordsize="9074,3280">
            <v:group style="position:absolute;left:29;top:15;width:9020;height:2" coordorigin="29,15" coordsize="9020,2">
              <v:shape style="position:absolute;left:29;top:15;width:9020;height:2" coordorigin="29,15" coordsize="9020,0" path="m29,15l9049,15e" filled="false" stroked="true" strokeweight="1.5pt" strokecolor="#000000">
                <v:path arrowok="t"/>
              </v:shape>
              <v:shape style="position:absolute;left:1662;top:7;width:4882;height:446" type="#_x0000_t75" stroked="false">
                <v:imagedata r:id="rId414" o:title=""/>
              </v:shape>
            </v:group>
            <v:group style="position:absolute;left:15;top:3265;width:1671;height:2" coordorigin="15,3265" coordsize="1671,2">
              <v:shape style="position:absolute;left:15;top:3265;width:1671;height:2" coordorigin="15,3265" coordsize="1671,0" path="m15,3265l1685,3265e" filled="false" stroked="true" strokeweight="1.5pt" strokecolor="#000000">
                <v:path arrowok="t"/>
              </v:shape>
            </v:group>
            <v:group style="position:absolute;left:1685;top:3265;width:1259;height:2" coordorigin="1685,3265" coordsize="1259,2">
              <v:shape style="position:absolute;left:1685;top:3265;width:1259;height:2" coordorigin="1685,3265" coordsize="1259,0" path="m1685,3265l2944,3265e" filled="false" stroked="true" strokeweight="1.5pt" strokecolor="#000000">
                <v:path arrowok="t"/>
              </v:shape>
            </v:group>
            <v:group style="position:absolute;left:2944;top:3265;width:1578;height:2" coordorigin="2944,3265" coordsize="1578,2">
              <v:shape style="position:absolute;left:2944;top:3265;width:1578;height:2" coordorigin="2944,3265" coordsize="1578,0" path="m2944,3265l4522,3265e" filled="false" stroked="true" strokeweight="1.5pt" strokecolor="#000000">
                <v:path arrowok="t"/>
              </v:shape>
            </v:group>
            <v:group style="position:absolute;left:4522;top:3265;width:1148;height:2" coordorigin="4522,3265" coordsize="1148,2">
              <v:shape style="position:absolute;left:4522;top:3265;width:1148;height:2" coordorigin="4522,3265" coordsize="1148,0" path="m4522,3265l5669,3265e" filled="false" stroked="true" strokeweight="1.5pt" strokecolor="#000000">
                <v:path arrowok="t"/>
              </v:shape>
            </v:group>
            <v:group style="position:absolute;left:5669;top:3265;width:842;height:2" coordorigin="5669,3265" coordsize="842,2">
              <v:shape style="position:absolute;left:5669;top:3265;width:842;height:2" coordorigin="5669,3265" coordsize="842,0" path="m5669,3265l6511,3265e" filled="false" stroked="true" strokeweight="1.5pt" strokecolor="#000000">
                <v:path arrowok="t"/>
              </v:shape>
              <v:shape style="position:absolute;left:10;top:410;width:9064;height:2839" type="#_x0000_t75" stroked="false">
                <v:imagedata r:id="rId415" o:title=""/>
              </v:shape>
            </v:group>
            <v:group style="position:absolute;left:6511;top:3265;width:2538;height:2" coordorigin="6511,3265" coordsize="2538,2">
              <v:shape style="position:absolute;left:6511;top:3265;width:2538;height:2" coordorigin="6511,3265" coordsize="2538,0" path="m6511,3265l9049,3265e" filled="false" stroked="true" strokeweight="1.5pt" strokecolor="#000000">
                <v:path arrowok="t"/>
              </v:shape>
              <v:shape style="position:absolute;left:137;top:222;width:1155;height:507" type="#_x0000_t202" filled="false" stroked="false">
                <v:textbox inset="0,0,0,0">
                  <w:txbxContent>
                    <w:p>
                      <w:pPr>
                        <w:spacing w:line="180" w:lineRule="exact" w:before="0"/>
                        <w:ind w:left="254" w:right="0" w:firstLine="0"/>
                        <w:jc w:val="left"/>
                        <w:rPr>
                          <w:rFonts w:ascii="宋体" w:hAnsi="宋体" w:cs="宋体" w:eastAsia="宋体" w:hint="default"/>
                          <w:sz w:val="18"/>
                          <w:szCs w:val="18"/>
                        </w:rPr>
                      </w:pPr>
                      <w:r>
                        <w:rPr>
                          <w:rFonts w:ascii="宋体" w:hAnsi="宋体" w:cs="宋体" w:eastAsia="宋体" w:hint="default"/>
                          <w:sz w:val="18"/>
                          <w:szCs w:val="18"/>
                        </w:rPr>
                        <w:t>债务人名称</w:t>
                      </w:r>
                    </w:p>
                    <w:p>
                      <w:pPr>
                        <w:spacing w:before="91"/>
                        <w:ind w:left="0" w:right="0" w:firstLine="0"/>
                        <w:jc w:val="left"/>
                        <w:rPr>
                          <w:rFonts w:ascii="宋体" w:hAnsi="宋体" w:cs="宋体" w:eastAsia="宋体" w:hint="default"/>
                          <w:sz w:val="18"/>
                          <w:szCs w:val="18"/>
                        </w:rPr>
                      </w:pPr>
                      <w:r>
                        <w:rPr>
                          <w:rFonts w:ascii="宋体" w:hAnsi="宋体" w:cs="宋体" w:eastAsia="宋体" w:hint="default"/>
                          <w:sz w:val="18"/>
                          <w:szCs w:val="18"/>
                        </w:rPr>
                        <w:t>河南省卫生厅</w:t>
                      </w:r>
                    </w:p>
                  </w:txbxContent>
                </v:textbox>
                <w10:wrap type="none"/>
              </v:shape>
              <v:shape style="position:absolute;left:1779;top:22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与本公司关系</w:t>
                      </w:r>
                    </w:p>
                  </w:txbxContent>
                </v:textbox>
                <w10:wrap type="none"/>
              </v:shape>
              <v:shape style="position:absolute;left:3287;top:22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性质或内容</w:t>
                      </w:r>
                    </w:p>
                  </w:txbxContent>
                </v:textbox>
                <w10:wrap type="none"/>
              </v:shape>
              <v:shape style="position:absolute;left:4921;top:22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5915;top:22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年限</w:t>
                      </w:r>
                    </w:p>
                  </w:txbxContent>
                </v:textbox>
                <w10:wrap type="none"/>
              </v:shape>
              <v:shape style="position:absolute;left:6657;top:222;width:225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占其他应收款总额的比例</w:t>
                      </w:r>
                      <w:r>
                        <w:rPr>
                          <w:rFonts w:ascii="Times New Roman" w:hAnsi="Times New Roman" w:cs="Times New Roman" w:eastAsia="Times New Roman" w:hint="default"/>
                          <w:sz w:val="18"/>
                          <w:szCs w:val="18"/>
                        </w:rPr>
                        <w:t>(%)</w:t>
                      </w:r>
                    </w:p>
                  </w:txbxContent>
                </v:textbox>
                <w10:wrap type="none"/>
              </v:shape>
              <v:shape style="position:absolute;left:1959;top:6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3467;top:63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保证金</w:t>
                      </w:r>
                    </w:p>
                  </w:txbxContent>
                </v:textbox>
                <w10:wrap type="none"/>
              </v:shape>
              <v:shape style="position:absolute;left:230;top:95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甄黎</w:t>
                      </w:r>
                    </w:p>
                  </w:txbxContent>
                </v:textbox>
                <w10:wrap type="none"/>
              </v:shape>
              <v:shape style="position:absolute;left:1959;top:104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3377;top:104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员工借款</w:t>
                      </w:r>
                    </w:p>
                  </w:txbxContent>
                </v:textbox>
                <w10:wrap type="none"/>
              </v:shape>
              <v:shape style="position:absolute;left:4845;top:651;width:723;height:494"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5,799,750</w:t>
                      </w:r>
                    </w:p>
                    <w:p>
                      <w:pPr>
                        <w:spacing w:line="203" w:lineRule="exact" w:before="106"/>
                        <w:ind w:left="1" w:right="0" w:firstLine="0"/>
                        <w:jc w:val="left"/>
                        <w:rPr>
                          <w:rFonts w:ascii="Times New Roman" w:hAnsi="Times New Roman" w:cs="Times New Roman" w:eastAsia="Times New Roman" w:hint="default"/>
                          <w:sz w:val="18"/>
                          <w:szCs w:val="18"/>
                        </w:rPr>
                      </w:pPr>
                      <w:r>
                        <w:rPr>
                          <w:rFonts w:ascii="Times New Roman"/>
                          <w:sz w:val="18"/>
                        </w:rPr>
                        <w:t>2,459,474</w:t>
                      </w:r>
                    </w:p>
                  </w:txbxContent>
                </v:textbox>
                <w10:wrap type="none"/>
              </v:shape>
              <v:shape style="position:absolute;left:5810;top:631;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5810;top:1042;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8626;top:651;width:316;height:494"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2.44</w:t>
                      </w:r>
                    </w:p>
                    <w:p>
                      <w:pPr>
                        <w:spacing w:line="203" w:lineRule="exact" w:before="106"/>
                        <w:ind w:left="0" w:right="0" w:firstLine="0"/>
                        <w:jc w:val="left"/>
                        <w:rPr>
                          <w:rFonts w:ascii="Times New Roman" w:hAnsi="Times New Roman" w:cs="Times New Roman" w:eastAsia="Times New Roman" w:hint="default"/>
                          <w:sz w:val="18"/>
                          <w:szCs w:val="18"/>
                        </w:rPr>
                      </w:pPr>
                      <w:r>
                        <w:rPr>
                          <w:rFonts w:ascii="Times New Roman"/>
                          <w:sz w:val="18"/>
                        </w:rPr>
                        <w:t>1.03</w:t>
                      </w:r>
                    </w:p>
                  </w:txbxContent>
                </v:textbox>
                <w10:wrap type="none"/>
              </v:shape>
              <v:shape style="position:absolute;left:230;top:136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王金生</w:t>
                      </w:r>
                    </w:p>
                  </w:txbxContent>
                </v:textbox>
                <w10:wrap type="none"/>
              </v:shape>
              <v:shape style="position:absolute;left:1959;top:14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3377;top:145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员工借款</w:t>
                      </w:r>
                    </w:p>
                  </w:txbxContent>
                </v:textbox>
                <w10:wrap type="none"/>
              </v:shape>
              <v:shape style="position:absolute;left:4846;top:1374;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2,400,000</w:t>
                      </w:r>
                    </w:p>
                  </w:txbxContent>
                </v:textbox>
                <w10:wrap type="none"/>
              </v:shape>
              <v:shape style="position:absolute;left:5810;top:1452;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8626;top:1374;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1.01</w:t>
                      </w:r>
                    </w:p>
                  </w:txbxContent>
                </v:textbox>
                <w10:wrap type="none"/>
              </v:shape>
              <v:shape style="position:absolute;left:74;top:1841;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云南省医学信息研</w:t>
                      </w:r>
                    </w:p>
                  </w:txbxContent>
                </v:textbox>
                <w10:wrap type="none"/>
              </v:shape>
              <v:shape style="position:absolute;left:1959;top:204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3467;top:204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保证金</w:t>
                      </w:r>
                    </w:p>
                  </w:txbxContent>
                </v:textbox>
                <w10:wrap type="none"/>
              </v:shape>
              <v:shape style="position:absolute;left:4846;top:1965;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1,473,212</w:t>
                      </w:r>
                    </w:p>
                  </w:txbxContent>
                </v:textbox>
                <w10:wrap type="none"/>
              </v:shape>
              <v:shape style="position:absolute;left:5810;top:2041;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8626;top:1965;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0.62</w:t>
                      </w:r>
                    </w:p>
                  </w:txbxContent>
                </v:textbox>
                <w10:wrap type="none"/>
              </v:shape>
              <v:shape style="position:absolute;left:64;top:2221;width:1156;height:50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究所</w:t>
                      </w:r>
                    </w:p>
                    <w:p>
                      <w:pPr>
                        <w:spacing w:before="91"/>
                        <w:ind w:left="75" w:right="0" w:firstLine="0"/>
                        <w:jc w:val="left"/>
                        <w:rPr>
                          <w:rFonts w:ascii="宋体" w:hAnsi="宋体" w:cs="宋体" w:eastAsia="宋体" w:hint="default"/>
                          <w:sz w:val="18"/>
                          <w:szCs w:val="18"/>
                        </w:rPr>
                      </w:pPr>
                      <w:r>
                        <w:rPr>
                          <w:rFonts w:ascii="宋体" w:hAnsi="宋体" w:cs="宋体" w:eastAsia="宋体" w:hint="default"/>
                          <w:sz w:val="18"/>
                          <w:szCs w:val="18"/>
                        </w:rPr>
                        <w:t>中国人民大学</w:t>
                      </w:r>
                    </w:p>
                  </w:txbxContent>
                </v:textbox>
                <w10:wrap type="none"/>
              </v:shape>
              <v:shape style="position:absolute;left:1959;top:263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非关联方</w:t>
                      </w:r>
                    </w:p>
                  </w:txbxContent>
                </v:textbox>
                <w10:wrap type="none"/>
              </v:shape>
              <v:shape style="position:absolute;left:3467;top:263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保证金</w:t>
                      </w:r>
                    </w:p>
                  </w:txbxContent>
                </v:textbox>
                <w10:wrap type="none"/>
              </v:shape>
              <v:shape style="position:absolute;left:4846;top:2554;width:72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1,470,000</w:t>
                      </w:r>
                    </w:p>
                  </w:txbxContent>
                </v:textbox>
                <w10:wrap type="none"/>
              </v:shape>
              <v:shape style="position:absolute;left:5810;top:2632;width:67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xbxContent>
                </v:textbox>
                <w10:wrap type="none"/>
              </v:shape>
              <v:shape style="position:absolute;left:8626;top:2554;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0.62</w:t>
                      </w:r>
                    </w:p>
                  </w:txbxContent>
                </v:textbox>
                <w10:wrap type="none"/>
              </v:shape>
              <v:shape style="position:absolute;left:499;top:304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1039;top:304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4756;top:2964;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13,602,436</w:t>
                      </w:r>
                    </w:p>
                  </w:txbxContent>
                </v:textbox>
                <w10:wrap type="none"/>
              </v:shape>
              <v:shape style="position:absolute;left:8626;top:2964;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5.72</w:t>
                      </w:r>
                    </w:p>
                  </w:txbxContent>
                </v:textbox>
                <w10:wrap type="none"/>
              </v:shape>
            </v:group>
          </v:group>
        </w:pict>
      </w:r>
      <w:r>
        <w:rPr>
          <w:rFonts w:ascii="宋体" w:hAnsi="宋体" w:cs="宋体" w:eastAsia="宋体" w:hint="default"/>
          <w:position w:val="-65"/>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tabs>
          <w:tab w:pos="1396" w:val="left" w:leader="none"/>
        </w:tabs>
        <w:spacing w:line="350" w:lineRule="auto" w:before="35"/>
        <w:ind w:left="1400" w:right="5772" w:hanging="543"/>
        <w:jc w:val="left"/>
        <w:rPr>
          <w:rFonts w:ascii="宋体" w:hAnsi="宋体" w:cs="宋体" w:eastAsia="宋体" w:hint="default"/>
          <w:sz w:val="21"/>
          <w:szCs w:val="21"/>
        </w:rPr>
      </w:pPr>
      <w:r>
        <w:rPr>
          <w:rFonts w:ascii="宋体" w:hAnsi="宋体" w:cs="宋体" w:eastAsia="宋体" w:hint="default"/>
          <w:b/>
          <w:bCs/>
          <w:w w:val="95"/>
          <w:sz w:val="21"/>
          <w:szCs w:val="21"/>
        </w:rPr>
        <w:t>7、</w:t>
        <w:tab/>
      </w:r>
      <w:r>
        <w:rPr>
          <w:rFonts w:ascii="宋体" w:hAnsi="宋体" w:cs="宋体" w:eastAsia="宋体" w:hint="default"/>
          <w:b/>
          <w:bCs/>
          <w:sz w:val="21"/>
          <w:szCs w:val="21"/>
        </w:rPr>
        <w:t>其他应收关联方账款情况：</w:t>
      </w:r>
      <w:r>
        <w:rPr>
          <w:rFonts w:ascii="宋体" w:hAnsi="宋体" w:cs="宋体" w:eastAsia="宋体" w:hint="default"/>
          <w:b/>
          <w:bCs/>
          <w:w w:val="99"/>
          <w:sz w:val="21"/>
          <w:szCs w:val="21"/>
        </w:rPr>
        <w:t> </w:t>
      </w:r>
      <w:r>
        <w:rPr>
          <w:rFonts w:ascii="宋体" w:hAnsi="宋体" w:cs="宋体" w:eastAsia="宋体" w:hint="default"/>
          <w:sz w:val="21"/>
          <w:szCs w:val="21"/>
        </w:rPr>
        <w:t>本期无其他应收关联方账款。</w:t>
      </w:r>
    </w:p>
    <w:p>
      <w:pPr>
        <w:spacing w:line="240" w:lineRule="auto" w:before="0"/>
        <w:rPr>
          <w:rFonts w:ascii="宋体" w:hAnsi="宋体" w:cs="宋体" w:eastAsia="宋体" w:hint="default"/>
          <w:sz w:val="20"/>
          <w:szCs w:val="20"/>
        </w:rPr>
      </w:pPr>
    </w:p>
    <w:p>
      <w:pPr>
        <w:pStyle w:val="Heading6"/>
        <w:tabs>
          <w:tab w:pos="853" w:val="left" w:leader="none"/>
          <w:tab w:pos="1395" w:val="left" w:leader="none"/>
        </w:tabs>
        <w:spacing w:line="698" w:lineRule="auto" w:before="166"/>
        <w:ind w:left="125" w:right="3446" w:firstLine="732"/>
        <w:jc w:val="left"/>
        <w:rPr>
          <w:b w:val="0"/>
          <w:bCs w:val="0"/>
        </w:rPr>
      </w:pPr>
      <w:r>
        <w:rPr/>
        <w:pict>
          <v:group style="position:absolute;margin-left:110.010002pt;margin-top:63.642429pt;width:438.05pt;height:43.5pt;mso-position-horizontal-relative:page;mso-position-vertical-relative:paragraph;z-index:-1100512" coordorigin="2200,1273" coordsize="8761,870">
            <v:group style="position:absolute;left:2230;top:1288;width:5786;height:2" coordorigin="2230,1288" coordsize="5786,2">
              <v:shape style="position:absolute;left:2230;top:1288;width:5786;height:2" coordorigin="2230,1288" coordsize="5786,0" path="m2230,1288l8015,1288e" filled="false" stroked="true" strokeweight="1.5pt" strokecolor="#000000">
                <v:path arrowok="t"/>
              </v:shape>
            </v:group>
            <v:group style="position:absolute;left:8015;top:1288;width:2928;height:2" coordorigin="8015,1288" coordsize="2928,2">
              <v:shape style="position:absolute;left:8015;top:1288;width:2928;height:2" coordorigin="8015,1288" coordsize="2928,0" path="m8015,1288l10943,1288e" filled="false" stroked="true" strokeweight="1.5pt" strokecolor="#000000">
                <v:path arrowok="t"/>
              </v:shape>
            </v:group>
            <v:group style="position:absolute;left:2215;top:2128;width:3191;height:2" coordorigin="2215,2128" coordsize="3191,2">
              <v:shape style="position:absolute;left:2215;top:2128;width:3191;height:2" coordorigin="2215,2128" coordsize="3191,0" path="m2215,2128l5406,2128e" filled="false" stroked="true" strokeweight="1.5pt" strokecolor="#000000">
                <v:path arrowok="t"/>
              </v:shape>
            </v:group>
            <v:group style="position:absolute;left:5406;top:2128;width:2579;height:2" coordorigin="5406,2128" coordsize="2579,2">
              <v:shape style="position:absolute;left:5406;top:2128;width:2579;height:2" coordorigin="5406,2128" coordsize="2579,0" path="m5406,2128l7985,2128e" filled="false" stroked="true" strokeweight="1.5pt" strokecolor="#000000">
                <v:path arrowok="t"/>
              </v:shape>
              <v:shape style="position:absolute;left:2201;top:1278;width:8760;height:835" type="#_x0000_t75" stroked="false">
                <v:imagedata r:id="rId416" o:title=""/>
              </v:shape>
            </v:group>
            <v:group style="position:absolute;left:7985;top:2128;width:30;height:2" coordorigin="7985,2128" coordsize="30,2">
              <v:shape style="position:absolute;left:7985;top:2128;width:30;height:2" coordorigin="7985,2128" coordsize="30,0" path="m7985,2128l8015,2128e" filled="false" stroked="true" strokeweight="1.5pt" strokecolor="#000000">
                <v:path arrowok="t"/>
              </v:shape>
            </v:group>
            <v:group style="position:absolute;left:8015;top:2128;width:2928;height:2" coordorigin="8015,2128" coordsize="2928,2">
              <v:shape style="position:absolute;left:8015;top:2128;width:2928;height:2" coordorigin="8015,2128" coordsize="2928,0" path="m8015,2128l10943,2128e" filled="false" stroked="true" strokeweight="1.5pt" strokecolor="#000000">
                <v:path arrowok="t"/>
              </v:shape>
              <v:shape style="position:absolute;left:3460;top:149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4000;top:149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6340;top:149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9106;top:149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338;top:1905;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银行理财产品（注）</w:t>
                      </w:r>
                    </w:p>
                  </w:txbxContent>
                </v:textbox>
                <w10:wrap type="none"/>
              </v:shape>
              <v:shape style="position:absolute;left:6980;top:1925;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401,931,507</w:t>
                      </w:r>
                    </w:p>
                  </w:txbxContent>
                </v:textbox>
                <w10:wrap type="none"/>
              </v:shape>
            </v:group>
            <w10:wrap type="none"/>
          </v:group>
        </w:pict>
      </w:r>
      <w:r>
        <w:rPr>
          <w:w w:val="95"/>
        </w:rPr>
        <w:t>8、</w:t>
        <w:tab/>
      </w:r>
      <w:r>
        <w:rPr/>
        <w:t>本报告期无不符合终止确认条件的其他应收款的转移。</w:t>
      </w:r>
      <w:r>
        <w:rPr>
          <w:spacing w:val="1"/>
          <w:w w:val="99"/>
        </w:rPr>
        <w:t> </w:t>
      </w:r>
      <w:r>
        <w:rPr>
          <w:w w:val="95"/>
        </w:rPr>
        <w:t>(三)</w:t>
        <w:tab/>
      </w:r>
      <w:r>
        <w:rPr/>
        <w:t>持有至到期投资</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pStyle w:val="BodyText"/>
        <w:spacing w:line="240" w:lineRule="auto"/>
        <w:ind w:left="857" w:right="0"/>
        <w:jc w:val="left"/>
      </w:pPr>
      <w:r>
        <w:rPr/>
        <w:t>注：系本公司根据资金情况购买的银行理财产品，并已于</w:t>
      </w:r>
      <w:r>
        <w:rPr>
          <w:spacing w:val="-62"/>
        </w:rPr>
        <w:t> </w:t>
      </w:r>
      <w:r>
        <w:rPr/>
        <w:t>2012</w:t>
      </w:r>
      <w:r>
        <w:rPr>
          <w:spacing w:val="-62"/>
        </w:rPr>
        <w:t> </w:t>
      </w:r>
      <w:r>
        <w:rPr/>
        <w:t>年</w:t>
      </w:r>
      <w:r>
        <w:rPr>
          <w:spacing w:val="-63"/>
        </w:rPr>
        <w:t> </w:t>
      </w:r>
      <w:r>
        <w:rPr/>
        <w:t>2</w:t>
      </w:r>
      <w:r>
        <w:rPr>
          <w:spacing w:val="-62"/>
        </w:rPr>
        <w:t> </w:t>
      </w:r>
      <w:r>
        <w:rPr/>
        <w:t>月底前全部收回。</w:t>
      </w:r>
    </w:p>
    <w:p>
      <w:pPr>
        <w:spacing w:after="0" w:line="240" w:lineRule="auto"/>
        <w:jc w:val="left"/>
        <w:sectPr>
          <w:pgSz w:w="11910" w:h="16840"/>
          <w:pgMar w:header="883" w:footer="1003" w:top="1540" w:bottom="1200" w:left="1480" w:right="520"/>
        </w:sectPr>
      </w:pPr>
    </w:p>
    <w:p>
      <w:pPr>
        <w:spacing w:line="240" w:lineRule="auto" w:before="12"/>
        <w:rPr>
          <w:rFonts w:ascii="宋体" w:hAnsi="宋体" w:cs="宋体" w:eastAsia="宋体" w:hint="default"/>
          <w:sz w:val="17"/>
          <w:szCs w:val="17"/>
        </w:rPr>
      </w:pPr>
    </w:p>
    <w:p>
      <w:pPr>
        <w:pStyle w:val="Heading6"/>
        <w:tabs>
          <w:tab w:pos="853" w:val="left" w:leader="none"/>
        </w:tabs>
        <w:spacing w:line="240" w:lineRule="auto"/>
        <w:ind w:left="125" w:right="0"/>
        <w:jc w:val="left"/>
        <w:rPr>
          <w:b w:val="0"/>
          <w:bCs w:val="0"/>
        </w:rPr>
      </w:pPr>
      <w:r>
        <w:rPr>
          <w:w w:val="95"/>
        </w:rPr>
        <w:t>(四)</w:t>
        <w:tab/>
      </w:r>
      <w:r>
        <w:rPr/>
        <w:t>长期股权投资</w:t>
      </w:r>
      <w:r>
        <w:rPr>
          <w:b w:val="0"/>
          <w:bCs w:val="0"/>
        </w:rPr>
      </w:r>
    </w:p>
    <w:p>
      <w:pPr>
        <w:spacing w:line="240" w:lineRule="auto" w:before="12"/>
        <w:rPr>
          <w:rFonts w:ascii="宋体" w:hAnsi="宋体" w:cs="宋体" w:eastAsia="宋体" w:hint="default"/>
          <w:b/>
          <w:bCs/>
          <w:sz w:val="7"/>
          <w:szCs w:val="7"/>
        </w:rPr>
      </w:pPr>
    </w:p>
    <w:p>
      <w:pPr>
        <w:spacing w:before="44"/>
        <w:ind w:left="0" w:right="1644" w:firstLine="0"/>
        <w:jc w:val="right"/>
        <w:rPr>
          <w:rFonts w:ascii="宋体" w:hAnsi="宋体" w:cs="宋体" w:eastAsia="宋体" w:hint="default"/>
          <w:sz w:val="18"/>
          <w:szCs w:val="18"/>
        </w:rPr>
      </w:pPr>
      <w:r>
        <w:rPr/>
        <w:pict>
          <v:group style="position:absolute;margin-left:101.511002pt;margin-top:15.411716pt;width:671.1pt;height:390pt;mso-position-horizontal-relative:page;mso-position-vertical-relative:paragraph;z-index:-1100488" coordorigin="2030,308" coordsize="13422,7800">
            <v:group style="position:absolute;left:2049;top:323;width:13376;height:2" coordorigin="2049,323" coordsize="13376,2">
              <v:shape style="position:absolute;left:2049;top:323;width:13376;height:2" coordorigin="2049,323" coordsize="13376,0" path="m2049,323l15425,323e" filled="false" stroked="true" strokeweight="1.5pt" strokecolor="#000000">
                <v:path arrowok="t"/>
              </v:shape>
              <v:shape style="position:absolute;left:4668;top:309;width:9930;height:1198" type="#_x0000_t75" stroked="false">
                <v:imagedata r:id="rId419" o:title=""/>
              </v:shape>
              <v:shape style="position:absolute;left:2030;top:1459;width:13422;height:6649" type="#_x0000_t75" stroked="false">
                <v:imagedata r:id="rId420" o:title=""/>
              </v:shape>
            </v:group>
            <w10:wrap type="none"/>
          </v:group>
        </w:pict>
      </w:r>
      <w:r>
        <w:rPr>
          <w:rFonts w:ascii="宋体" w:hAnsi="宋体" w:cs="宋体" w:eastAsia="宋体" w:hint="default"/>
          <w:sz w:val="18"/>
          <w:szCs w:val="18"/>
        </w:rPr>
        <w:t>单位：人民币元</w:t>
      </w:r>
    </w:p>
    <w:p>
      <w:pPr>
        <w:spacing w:line="240" w:lineRule="auto" w:before="8"/>
        <w:rPr>
          <w:rFonts w:ascii="宋体" w:hAnsi="宋体" w:cs="宋体" w:eastAsia="宋体" w:hint="default"/>
          <w:sz w:val="12"/>
          <w:szCs w:val="12"/>
        </w:rPr>
      </w:pPr>
    </w:p>
    <w:tbl>
      <w:tblPr>
        <w:tblW w:w="0" w:type="auto"/>
        <w:jc w:val="left"/>
        <w:tblInd w:w="735" w:type="dxa"/>
        <w:tblLayout w:type="fixed"/>
        <w:tblCellMar>
          <w:top w:w="0" w:type="dxa"/>
          <w:left w:w="0" w:type="dxa"/>
          <w:bottom w:w="0" w:type="dxa"/>
          <w:right w:w="0" w:type="dxa"/>
        </w:tblCellMar>
        <w:tblLook w:val="01E0"/>
      </w:tblPr>
      <w:tblGrid>
        <w:gridCol w:w="2718"/>
        <w:gridCol w:w="764"/>
        <w:gridCol w:w="1108"/>
        <w:gridCol w:w="1040"/>
        <w:gridCol w:w="936"/>
        <w:gridCol w:w="920"/>
        <w:gridCol w:w="865"/>
        <w:gridCol w:w="986"/>
        <w:gridCol w:w="1458"/>
        <w:gridCol w:w="837"/>
        <w:gridCol w:w="884"/>
        <w:gridCol w:w="874"/>
      </w:tblGrid>
      <w:tr>
        <w:trPr>
          <w:trHeight w:val="844"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38"/>
              <w:jc w:val="center"/>
              <w:rPr>
                <w:rFonts w:ascii="宋体" w:hAnsi="宋体" w:cs="宋体" w:eastAsia="宋体" w:hint="default"/>
                <w:sz w:val="15"/>
                <w:szCs w:val="15"/>
              </w:rPr>
            </w:pPr>
            <w:r>
              <w:rPr>
                <w:rFonts w:ascii="宋体" w:hAnsi="宋体" w:cs="宋体" w:eastAsia="宋体" w:hint="default"/>
                <w:sz w:val="15"/>
                <w:szCs w:val="15"/>
              </w:rPr>
              <w:t>被投资单位</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57"/>
              <w:jc w:val="center"/>
              <w:rPr>
                <w:rFonts w:ascii="宋体" w:hAnsi="宋体" w:cs="宋体" w:eastAsia="宋体" w:hint="default"/>
                <w:sz w:val="15"/>
                <w:szCs w:val="15"/>
              </w:rPr>
            </w:pPr>
            <w:r>
              <w:rPr>
                <w:rFonts w:ascii="宋体" w:hAnsi="宋体" w:cs="宋体" w:eastAsia="宋体" w:hint="default"/>
                <w:sz w:val="15"/>
                <w:szCs w:val="15"/>
              </w:rPr>
              <w:t>核算方法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61" w:right="0"/>
              <w:jc w:val="left"/>
              <w:rPr>
                <w:rFonts w:ascii="宋体" w:hAnsi="宋体" w:cs="宋体" w:eastAsia="宋体" w:hint="default"/>
                <w:sz w:val="15"/>
                <w:szCs w:val="15"/>
              </w:rPr>
            </w:pPr>
            <w:r>
              <w:rPr>
                <w:rFonts w:ascii="宋体" w:hAnsi="宋体" w:cs="宋体" w:eastAsia="宋体" w:hint="default"/>
                <w:sz w:val="15"/>
                <w:szCs w:val="15"/>
              </w:rPr>
              <w:t>投资成本</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85"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38"/>
              <w:jc w:val="right"/>
              <w:rPr>
                <w:rFonts w:ascii="宋体" w:hAnsi="宋体" w:cs="宋体" w:eastAsia="宋体" w:hint="default"/>
                <w:sz w:val="15"/>
                <w:szCs w:val="15"/>
              </w:rPr>
            </w:pPr>
            <w:r>
              <w:rPr>
                <w:rFonts w:ascii="宋体" w:hAnsi="宋体" w:cs="宋体" w:eastAsia="宋体" w:hint="default"/>
                <w:sz w:val="15"/>
                <w:szCs w:val="15"/>
              </w:rPr>
              <w:t>增减变动</w:t>
            </w: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74"/>
              <w:jc w:val="center"/>
              <w:rPr>
                <w:rFonts w:ascii="宋体" w:hAnsi="宋体" w:cs="宋体" w:eastAsia="宋体" w:hint="default"/>
                <w:sz w:val="15"/>
                <w:szCs w:val="15"/>
              </w:rPr>
            </w:pPr>
            <w:r>
              <w:rPr>
                <w:rFonts w:ascii="宋体" w:hAnsi="宋体" w:cs="宋体" w:eastAsia="宋体" w:hint="default"/>
                <w:sz w:val="15"/>
                <w:szCs w:val="15"/>
              </w:rPr>
              <w:t>期末余额</w:t>
            </w:r>
          </w:p>
        </w:tc>
        <w:tc>
          <w:tcPr>
            <w:tcW w:w="865" w:type="dxa"/>
            <w:tcBorders>
              <w:top w:val="nil" w:sz="6" w:space="0" w:color="auto"/>
              <w:left w:val="nil" w:sz="6" w:space="0" w:color="auto"/>
              <w:bottom w:val="nil" w:sz="6" w:space="0" w:color="auto"/>
              <w:right w:val="nil" w:sz="6" w:space="0" w:color="auto"/>
            </w:tcBorders>
          </w:tcPr>
          <w:p>
            <w:pPr>
              <w:pStyle w:val="TableParagraph"/>
              <w:spacing w:line="465" w:lineRule="auto" w:before="53"/>
              <w:ind w:left="133" w:right="-19" w:hanging="24"/>
              <w:jc w:val="left"/>
              <w:rPr>
                <w:rFonts w:ascii="宋体" w:hAnsi="宋体" w:cs="宋体" w:eastAsia="宋体" w:hint="default"/>
                <w:sz w:val="15"/>
                <w:szCs w:val="15"/>
              </w:rPr>
            </w:pPr>
            <w:r>
              <w:rPr>
                <w:rFonts w:ascii="宋体" w:hAnsi="宋体" w:cs="宋体" w:eastAsia="宋体" w:hint="default"/>
                <w:sz w:val="15"/>
                <w:szCs w:val="15"/>
              </w:rPr>
              <w:t>在被投资单 位持股比例</w:t>
            </w:r>
          </w:p>
        </w:tc>
        <w:tc>
          <w:tcPr>
            <w:tcW w:w="986" w:type="dxa"/>
            <w:tcBorders>
              <w:top w:val="nil" w:sz="6" w:space="0" w:color="auto"/>
              <w:left w:val="nil" w:sz="6" w:space="0" w:color="auto"/>
              <w:bottom w:val="nil" w:sz="6" w:space="0" w:color="auto"/>
              <w:right w:val="nil" w:sz="6" w:space="0" w:color="auto"/>
            </w:tcBorders>
          </w:tcPr>
          <w:p>
            <w:pPr>
              <w:pStyle w:val="TableParagraph"/>
              <w:spacing w:line="390" w:lineRule="atLeast" w:before="49"/>
              <w:ind w:right="8" w:firstLine="37"/>
              <w:jc w:val="left"/>
              <w:rPr>
                <w:rFonts w:ascii="Times New Roman" w:hAnsi="Times New Roman" w:cs="Times New Roman" w:eastAsia="Times New Roman" w:hint="default"/>
                <w:sz w:val="15"/>
                <w:szCs w:val="15"/>
              </w:rPr>
            </w:pPr>
            <w:r>
              <w:rPr>
                <w:rFonts w:ascii="宋体" w:hAnsi="宋体" w:cs="宋体" w:eastAsia="宋体" w:hint="default"/>
                <w:sz w:val="15"/>
                <w:szCs w:val="15"/>
              </w:rPr>
              <w:t>在被投资单位 表决权比例</w:t>
            </w:r>
            <w:r>
              <w:rPr>
                <w:rFonts w:ascii="Times New Roman" w:hAnsi="Times New Roman" w:cs="Times New Roman" w:eastAsia="Times New Roman" w:hint="default"/>
                <w:sz w:val="15"/>
                <w:szCs w:val="15"/>
              </w:rPr>
              <w:t>(%)</w:t>
            </w:r>
          </w:p>
        </w:tc>
        <w:tc>
          <w:tcPr>
            <w:tcW w:w="1458" w:type="dxa"/>
            <w:tcBorders>
              <w:top w:val="nil" w:sz="6" w:space="0" w:color="auto"/>
              <w:left w:val="nil" w:sz="6" w:space="0" w:color="auto"/>
              <w:bottom w:val="nil" w:sz="6" w:space="0" w:color="auto"/>
              <w:right w:val="nil" w:sz="6" w:space="0" w:color="auto"/>
            </w:tcBorders>
          </w:tcPr>
          <w:p>
            <w:pPr>
              <w:pStyle w:val="TableParagraph"/>
              <w:spacing w:line="465" w:lineRule="auto" w:before="53"/>
              <w:ind w:left="124" w:right="95" w:hanging="114"/>
              <w:jc w:val="left"/>
              <w:rPr>
                <w:rFonts w:ascii="宋体" w:hAnsi="宋体" w:cs="宋体" w:eastAsia="宋体" w:hint="default"/>
                <w:sz w:val="15"/>
                <w:szCs w:val="15"/>
              </w:rPr>
            </w:pPr>
            <w:r>
              <w:rPr>
                <w:rFonts w:ascii="宋体" w:hAnsi="宋体" w:cs="宋体" w:eastAsia="宋体" w:hint="default"/>
                <w:sz w:val="15"/>
                <w:szCs w:val="15"/>
              </w:rPr>
              <w:t>在被投资单位持股比 例与表决权比例不</w:t>
            </w:r>
          </w:p>
        </w:tc>
        <w:tc>
          <w:tcPr>
            <w:tcW w:w="83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97" w:right="0"/>
              <w:jc w:val="left"/>
              <w:rPr>
                <w:rFonts w:ascii="宋体" w:hAnsi="宋体" w:cs="宋体" w:eastAsia="宋体" w:hint="default"/>
                <w:sz w:val="15"/>
                <w:szCs w:val="15"/>
              </w:rPr>
            </w:pPr>
            <w:r>
              <w:rPr>
                <w:rFonts w:ascii="宋体" w:hAnsi="宋体" w:cs="宋体" w:eastAsia="宋体" w:hint="default"/>
                <w:sz w:val="15"/>
                <w:szCs w:val="15"/>
              </w:rPr>
              <w:t>减值准备</w:t>
            </w:r>
          </w:p>
        </w:tc>
        <w:tc>
          <w:tcPr>
            <w:tcW w:w="884" w:type="dxa"/>
            <w:tcBorders>
              <w:top w:val="nil" w:sz="6" w:space="0" w:color="auto"/>
              <w:left w:val="nil" w:sz="6" w:space="0" w:color="auto"/>
              <w:bottom w:val="nil" w:sz="6" w:space="0" w:color="auto"/>
              <w:right w:val="nil" w:sz="6" w:space="0" w:color="auto"/>
            </w:tcBorders>
          </w:tcPr>
          <w:p>
            <w:pPr>
              <w:pStyle w:val="TableParagraph"/>
              <w:spacing w:line="380" w:lineRule="atLeast" w:before="59"/>
              <w:ind w:left="139" w:right="142"/>
              <w:jc w:val="left"/>
              <w:rPr>
                <w:rFonts w:ascii="宋体" w:hAnsi="宋体" w:cs="宋体" w:eastAsia="宋体" w:hint="default"/>
                <w:sz w:val="15"/>
                <w:szCs w:val="15"/>
              </w:rPr>
            </w:pPr>
            <w:r>
              <w:rPr>
                <w:rFonts w:ascii="宋体" w:hAnsi="宋体" w:cs="宋体" w:eastAsia="宋体" w:hint="default"/>
                <w:sz w:val="15"/>
                <w:szCs w:val="15"/>
              </w:rPr>
              <w:t>本期计提 减值准备</w:t>
            </w:r>
          </w:p>
        </w:tc>
        <w:tc>
          <w:tcPr>
            <w:tcW w:w="874" w:type="dxa"/>
            <w:tcBorders>
              <w:top w:val="nil" w:sz="6" w:space="0" w:color="auto"/>
              <w:left w:val="nil" w:sz="6" w:space="0" w:color="auto"/>
              <w:bottom w:val="nil" w:sz="6" w:space="0" w:color="auto"/>
              <w:right w:val="nil" w:sz="6" w:space="0" w:color="auto"/>
            </w:tcBorders>
          </w:tcPr>
          <w:p>
            <w:pPr>
              <w:pStyle w:val="TableParagraph"/>
              <w:spacing w:line="380" w:lineRule="atLeast" w:before="59"/>
              <w:ind w:left="294" w:right="127" w:hanging="150"/>
              <w:jc w:val="left"/>
              <w:rPr>
                <w:rFonts w:ascii="宋体" w:hAnsi="宋体" w:cs="宋体" w:eastAsia="宋体" w:hint="default"/>
                <w:sz w:val="15"/>
                <w:szCs w:val="15"/>
              </w:rPr>
            </w:pPr>
            <w:r>
              <w:rPr>
                <w:rFonts w:ascii="宋体" w:hAnsi="宋体" w:cs="宋体" w:eastAsia="宋体" w:hint="default"/>
                <w:sz w:val="15"/>
                <w:szCs w:val="15"/>
              </w:rPr>
              <w:t>本期现金 红利</w:t>
            </w:r>
          </w:p>
        </w:tc>
      </w:tr>
      <w:tr>
        <w:trPr>
          <w:trHeight w:val="294" w:hRule="exact"/>
        </w:trPr>
        <w:tc>
          <w:tcPr>
            <w:tcW w:w="2718" w:type="dxa"/>
            <w:tcBorders>
              <w:top w:val="nil" w:sz="6" w:space="0" w:color="auto"/>
              <w:left w:val="nil" w:sz="6" w:space="0" w:color="auto"/>
              <w:bottom w:val="nil" w:sz="6" w:space="0" w:color="auto"/>
              <w:right w:val="nil" w:sz="6" w:space="0" w:color="auto"/>
            </w:tcBorders>
          </w:tcPr>
          <w:p>
            <w:pPr/>
          </w:p>
        </w:tc>
        <w:tc>
          <w:tcPr>
            <w:tcW w:w="764" w:type="dxa"/>
            <w:tcBorders>
              <w:top w:val="nil" w:sz="6" w:space="0" w:color="auto"/>
              <w:left w:val="nil" w:sz="6" w:space="0" w:color="auto"/>
              <w:bottom w:val="nil" w:sz="6" w:space="0" w:color="auto"/>
              <w:right w:val="nil" w:sz="6" w:space="0" w:color="auto"/>
            </w:tcBorders>
          </w:tcPr>
          <w:p>
            <w:pPr/>
          </w:p>
        </w:tc>
        <w:tc>
          <w:tcPr>
            <w:tcW w:w="1108"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
        </w:tc>
        <w:tc>
          <w:tcPr>
            <w:tcW w:w="936" w:type="dxa"/>
            <w:tcBorders>
              <w:top w:val="nil" w:sz="6" w:space="0" w:color="auto"/>
              <w:left w:val="nil" w:sz="6" w:space="0" w:color="auto"/>
              <w:bottom w:val="nil" w:sz="6" w:space="0" w:color="auto"/>
              <w:right w:val="nil" w:sz="6" w:space="0" w:color="auto"/>
            </w:tcBorders>
          </w:tcPr>
          <w:p>
            <w:pPr/>
          </w:p>
        </w:tc>
        <w:tc>
          <w:tcPr>
            <w:tcW w:w="920"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1"/>
              <w:jc w:val="right"/>
              <w:rPr>
                <w:rFonts w:ascii="Times New Roman" w:hAnsi="Times New Roman" w:cs="Times New Roman" w:eastAsia="Times New Roman" w:hint="default"/>
                <w:sz w:val="15"/>
                <w:szCs w:val="15"/>
              </w:rPr>
            </w:pPr>
            <w:r>
              <w:rPr>
                <w:rFonts w:ascii="Times New Roman"/>
                <w:sz w:val="15"/>
              </w:rPr>
              <w:t>(%)</w:t>
            </w:r>
          </w:p>
        </w:tc>
        <w:tc>
          <w:tcPr>
            <w:tcW w:w="986"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Style w:val="TableParagraph"/>
              <w:spacing w:line="166" w:lineRule="exact"/>
              <w:ind w:left="350" w:right="0"/>
              <w:jc w:val="left"/>
              <w:rPr>
                <w:rFonts w:ascii="宋体" w:hAnsi="宋体" w:cs="宋体" w:eastAsia="宋体" w:hint="default"/>
                <w:sz w:val="15"/>
                <w:szCs w:val="15"/>
              </w:rPr>
            </w:pPr>
            <w:r>
              <w:rPr>
                <w:rFonts w:ascii="宋体" w:hAnsi="宋体" w:cs="宋体" w:eastAsia="宋体" w:hint="default"/>
                <w:sz w:val="15"/>
                <w:szCs w:val="15"/>
              </w:rPr>
              <w:t>一致的说明</w:t>
            </w: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诺基亚西门子东软通信技术有限公司</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8"/>
              <w:jc w:val="center"/>
              <w:rPr>
                <w:rFonts w:ascii="宋体" w:hAnsi="宋体" w:cs="宋体" w:eastAsia="宋体" w:hint="default"/>
                <w:sz w:val="15"/>
                <w:szCs w:val="15"/>
              </w:rPr>
            </w:pPr>
            <w:r>
              <w:rPr>
                <w:rFonts w:ascii="宋体" w:hAnsi="宋体" w:cs="宋体" w:eastAsia="宋体" w:hint="default"/>
                <w:sz w:val="15"/>
                <w:szCs w:val="15"/>
              </w:rPr>
              <w:t>权益法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26,713,621</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4"/>
              <w:jc w:val="right"/>
              <w:rPr>
                <w:rFonts w:ascii="Times New Roman" w:hAnsi="Times New Roman" w:cs="Times New Roman" w:eastAsia="Times New Roman" w:hint="default"/>
                <w:sz w:val="15"/>
                <w:szCs w:val="15"/>
              </w:rPr>
            </w:pPr>
            <w:r>
              <w:rPr>
                <w:rFonts w:ascii="Times New Roman"/>
                <w:spacing w:val="-1"/>
                <w:sz w:val="15"/>
              </w:rPr>
              <w:t>42,678,819</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9"/>
              <w:jc w:val="right"/>
              <w:rPr>
                <w:rFonts w:ascii="Times New Roman" w:hAnsi="Times New Roman" w:cs="Times New Roman" w:eastAsia="Times New Roman" w:hint="default"/>
                <w:sz w:val="15"/>
                <w:szCs w:val="15"/>
              </w:rPr>
            </w:pPr>
            <w:r>
              <w:rPr>
                <w:rFonts w:ascii="Times New Roman"/>
                <w:spacing w:val="-1"/>
                <w:sz w:val="15"/>
              </w:rPr>
              <w:t>8,231,268</w:t>
            </w: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5" w:right="0"/>
              <w:jc w:val="center"/>
              <w:rPr>
                <w:rFonts w:ascii="Times New Roman" w:hAnsi="Times New Roman" w:cs="Times New Roman" w:eastAsia="Times New Roman" w:hint="default"/>
                <w:sz w:val="15"/>
                <w:szCs w:val="15"/>
              </w:rPr>
            </w:pPr>
            <w:r>
              <w:rPr>
                <w:rFonts w:ascii="Times New Roman"/>
                <w:sz w:val="15"/>
              </w:rPr>
              <w:t>50,910,087</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69"/>
              <w:jc w:val="right"/>
              <w:rPr>
                <w:rFonts w:ascii="Times New Roman" w:hAnsi="Times New Roman" w:cs="Times New Roman" w:eastAsia="Times New Roman" w:hint="default"/>
                <w:sz w:val="15"/>
                <w:szCs w:val="15"/>
              </w:rPr>
            </w:pPr>
            <w:r>
              <w:rPr>
                <w:rFonts w:ascii="Times New Roman"/>
                <w:spacing w:val="-1"/>
                <w:sz w:val="15"/>
              </w:rPr>
              <w:t>46.00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7" w:right="0"/>
              <w:jc w:val="center"/>
              <w:rPr>
                <w:rFonts w:ascii="Times New Roman" w:hAnsi="Times New Roman" w:cs="Times New Roman" w:eastAsia="Times New Roman" w:hint="default"/>
                <w:sz w:val="15"/>
                <w:szCs w:val="15"/>
              </w:rPr>
            </w:pPr>
            <w:r>
              <w:rPr>
                <w:rFonts w:ascii="Times New Roman"/>
                <w:sz w:val="15"/>
              </w:rPr>
              <w:t>46.00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沈阳凯塔数据科技有限公司</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8"/>
              <w:jc w:val="center"/>
              <w:rPr>
                <w:rFonts w:ascii="宋体" w:hAnsi="宋体" w:cs="宋体" w:eastAsia="宋体" w:hint="default"/>
                <w:sz w:val="15"/>
                <w:szCs w:val="15"/>
              </w:rPr>
            </w:pPr>
            <w:r>
              <w:rPr>
                <w:rFonts w:ascii="宋体" w:hAnsi="宋体" w:cs="宋体" w:eastAsia="宋体" w:hint="default"/>
                <w:sz w:val="15"/>
                <w:szCs w:val="15"/>
              </w:rPr>
              <w:t>权益法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15,000,000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4"/>
              <w:jc w:val="right"/>
              <w:rPr>
                <w:rFonts w:ascii="Times New Roman" w:hAnsi="Times New Roman" w:cs="Times New Roman" w:eastAsia="Times New Roman" w:hint="default"/>
                <w:sz w:val="15"/>
                <w:szCs w:val="15"/>
              </w:rPr>
            </w:pPr>
            <w:r>
              <w:rPr>
                <w:rFonts w:ascii="Times New Roman"/>
                <w:spacing w:val="-1"/>
                <w:sz w:val="15"/>
              </w:rPr>
              <w:t>14,675,191</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0"/>
              <w:jc w:val="right"/>
              <w:rPr>
                <w:rFonts w:ascii="Times New Roman" w:hAnsi="Times New Roman" w:cs="Times New Roman" w:eastAsia="Times New Roman" w:hint="default"/>
                <w:sz w:val="15"/>
                <w:szCs w:val="15"/>
              </w:rPr>
            </w:pPr>
            <w:r>
              <w:rPr>
                <w:rFonts w:ascii="Times New Roman"/>
                <w:spacing w:val="-1"/>
                <w:sz w:val="15"/>
              </w:rPr>
              <w:t>-839,530</w:t>
            </w: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5" w:right="0"/>
              <w:jc w:val="center"/>
              <w:rPr>
                <w:rFonts w:ascii="Times New Roman" w:hAnsi="Times New Roman" w:cs="Times New Roman" w:eastAsia="Times New Roman" w:hint="default"/>
                <w:sz w:val="15"/>
                <w:szCs w:val="15"/>
              </w:rPr>
            </w:pPr>
            <w:r>
              <w:rPr>
                <w:rFonts w:ascii="Times New Roman"/>
                <w:sz w:val="15"/>
              </w:rPr>
              <w:t>13,835,661</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69"/>
              <w:jc w:val="right"/>
              <w:rPr>
                <w:rFonts w:ascii="Times New Roman" w:hAnsi="Times New Roman" w:cs="Times New Roman" w:eastAsia="Times New Roman" w:hint="default"/>
                <w:sz w:val="15"/>
                <w:szCs w:val="15"/>
              </w:rPr>
            </w:pPr>
            <w:r>
              <w:rPr>
                <w:rFonts w:ascii="Times New Roman"/>
                <w:spacing w:val="-1"/>
                <w:sz w:val="15"/>
              </w:rPr>
              <w:t>16.67</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7" w:right="0"/>
              <w:jc w:val="center"/>
              <w:rPr>
                <w:rFonts w:ascii="Times New Roman" w:hAnsi="Times New Roman" w:cs="Times New Roman" w:eastAsia="Times New Roman" w:hint="default"/>
                <w:sz w:val="15"/>
                <w:szCs w:val="15"/>
              </w:rPr>
            </w:pPr>
            <w:r>
              <w:rPr>
                <w:rFonts w:ascii="Times New Roman"/>
                <w:sz w:val="15"/>
              </w:rPr>
              <w:t>16.67</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沈阳东芝东软信息系统有限公司</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8"/>
              <w:jc w:val="center"/>
              <w:rPr>
                <w:rFonts w:ascii="宋体" w:hAnsi="宋体" w:cs="宋体" w:eastAsia="宋体" w:hint="default"/>
                <w:sz w:val="15"/>
                <w:szCs w:val="15"/>
              </w:rPr>
            </w:pPr>
            <w:r>
              <w:rPr>
                <w:rFonts w:ascii="宋体" w:hAnsi="宋体" w:cs="宋体" w:eastAsia="宋体" w:hint="default"/>
                <w:sz w:val="15"/>
                <w:szCs w:val="15"/>
              </w:rPr>
              <w:t>权益法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9,051,000</w:t>
            </w:r>
          </w:p>
        </w:tc>
        <w:tc>
          <w:tcPr>
            <w:tcW w:w="1040" w:type="dxa"/>
            <w:tcBorders>
              <w:top w:val="nil" w:sz="6" w:space="0" w:color="auto"/>
              <w:left w:val="nil" w:sz="6" w:space="0" w:color="auto"/>
              <w:bottom w:val="nil" w:sz="6" w:space="0" w:color="auto"/>
              <w:right w:val="nil" w:sz="6" w:space="0" w:color="auto"/>
            </w:tcBorders>
          </w:tcPr>
          <w:p>
            <w:pP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0"/>
              <w:jc w:val="right"/>
              <w:rPr>
                <w:rFonts w:ascii="Times New Roman" w:hAnsi="Times New Roman" w:cs="Times New Roman" w:eastAsia="Times New Roman" w:hint="default"/>
                <w:sz w:val="15"/>
                <w:szCs w:val="15"/>
              </w:rPr>
            </w:pPr>
            <w:r>
              <w:rPr>
                <w:rFonts w:ascii="Times New Roman"/>
                <w:spacing w:val="-1"/>
                <w:sz w:val="15"/>
              </w:rPr>
              <w:t>8,154,748</w:t>
            </w: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00" w:right="0"/>
              <w:jc w:val="center"/>
              <w:rPr>
                <w:rFonts w:ascii="Times New Roman" w:hAnsi="Times New Roman" w:cs="Times New Roman" w:eastAsia="Times New Roman" w:hint="default"/>
                <w:sz w:val="15"/>
                <w:szCs w:val="15"/>
              </w:rPr>
            </w:pPr>
            <w:r>
              <w:rPr>
                <w:rFonts w:ascii="Times New Roman"/>
                <w:sz w:val="15"/>
              </w:rPr>
              <w:t>8,154,748</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69"/>
              <w:jc w:val="right"/>
              <w:rPr>
                <w:rFonts w:ascii="Times New Roman" w:hAnsi="Times New Roman" w:cs="Times New Roman" w:eastAsia="Times New Roman" w:hint="default"/>
                <w:sz w:val="15"/>
                <w:szCs w:val="15"/>
              </w:rPr>
            </w:pPr>
            <w:r>
              <w:rPr>
                <w:rFonts w:ascii="Times New Roman"/>
                <w:spacing w:val="-1"/>
                <w:sz w:val="15"/>
              </w:rPr>
              <w:t>40.00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7" w:right="0"/>
              <w:jc w:val="center"/>
              <w:rPr>
                <w:rFonts w:ascii="Times New Roman" w:hAnsi="Times New Roman" w:cs="Times New Roman" w:eastAsia="Times New Roman" w:hint="default"/>
                <w:sz w:val="15"/>
                <w:szCs w:val="15"/>
              </w:rPr>
            </w:pPr>
            <w:r>
              <w:rPr>
                <w:rFonts w:ascii="Times New Roman"/>
                <w:sz w:val="15"/>
              </w:rPr>
              <w:t>40.00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北京利博赛社保信息技术有限公司（注）</w:t>
            </w:r>
          </w:p>
        </w:tc>
        <w:tc>
          <w:tcPr>
            <w:tcW w:w="764" w:type="dxa"/>
            <w:tcBorders>
              <w:top w:val="nil" w:sz="6" w:space="0" w:color="auto"/>
              <w:left w:val="nil" w:sz="6" w:space="0" w:color="auto"/>
              <w:bottom w:val="nil" w:sz="6" w:space="0" w:color="auto"/>
              <w:right w:val="nil" w:sz="6" w:space="0" w:color="auto"/>
            </w:tcBorders>
          </w:tcPr>
          <w:p>
            <w:pPr/>
          </w:p>
        </w:tc>
        <w:tc>
          <w:tcPr>
            <w:tcW w:w="1108"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4"/>
              <w:jc w:val="right"/>
              <w:rPr>
                <w:rFonts w:ascii="Times New Roman" w:hAnsi="Times New Roman" w:cs="Times New Roman" w:eastAsia="Times New Roman" w:hint="default"/>
                <w:sz w:val="15"/>
                <w:szCs w:val="15"/>
              </w:rPr>
            </w:pPr>
            <w:r>
              <w:rPr>
                <w:rFonts w:ascii="Times New Roman"/>
                <w:spacing w:val="-1"/>
                <w:sz w:val="15"/>
              </w:rPr>
              <w:t>6,332,370</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0"/>
              <w:jc w:val="right"/>
              <w:rPr>
                <w:rFonts w:ascii="Times New Roman" w:hAnsi="Times New Roman" w:cs="Times New Roman" w:eastAsia="Times New Roman" w:hint="default"/>
                <w:sz w:val="15"/>
                <w:szCs w:val="15"/>
              </w:rPr>
            </w:pPr>
            <w:r>
              <w:rPr>
                <w:rFonts w:ascii="Times New Roman"/>
                <w:spacing w:val="-1"/>
                <w:sz w:val="15"/>
              </w:rPr>
              <w:t>-6,332,370</w:t>
            </w:r>
          </w:p>
        </w:tc>
        <w:tc>
          <w:tcPr>
            <w:tcW w:w="920"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8"/>
              <w:jc w:val="center"/>
              <w:rPr>
                <w:rFonts w:ascii="宋体" w:hAnsi="宋体" w:cs="宋体" w:eastAsia="宋体" w:hint="default"/>
                <w:sz w:val="15"/>
                <w:szCs w:val="15"/>
              </w:rPr>
            </w:pPr>
            <w:r>
              <w:rPr>
                <w:rFonts w:ascii="宋体" w:hAnsi="宋体" w:cs="宋体" w:eastAsia="宋体" w:hint="default"/>
                <w:sz w:val="15"/>
                <w:szCs w:val="15"/>
              </w:rPr>
              <w:t>权益法小计</w:t>
            </w:r>
          </w:p>
        </w:tc>
        <w:tc>
          <w:tcPr>
            <w:tcW w:w="764" w:type="dxa"/>
            <w:tcBorders>
              <w:top w:val="nil" w:sz="6" w:space="0" w:color="auto"/>
              <w:left w:val="nil" w:sz="6" w:space="0" w:color="auto"/>
              <w:bottom w:val="nil" w:sz="6" w:space="0" w:color="auto"/>
              <w:right w:val="nil" w:sz="6" w:space="0" w:color="auto"/>
            </w:tcBorders>
          </w:tcPr>
          <w:p>
            <w:pP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50,764,621</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4"/>
              <w:jc w:val="right"/>
              <w:rPr>
                <w:rFonts w:ascii="Times New Roman" w:hAnsi="Times New Roman" w:cs="Times New Roman" w:eastAsia="Times New Roman" w:hint="default"/>
                <w:sz w:val="15"/>
                <w:szCs w:val="15"/>
              </w:rPr>
            </w:pPr>
            <w:r>
              <w:rPr>
                <w:rFonts w:ascii="Times New Roman"/>
                <w:spacing w:val="-1"/>
                <w:sz w:val="15"/>
              </w:rPr>
              <w:t>63,686,380</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76"/>
              <w:jc w:val="right"/>
              <w:rPr>
                <w:rFonts w:ascii="Times New Roman" w:hAnsi="Times New Roman" w:cs="Times New Roman" w:eastAsia="Times New Roman" w:hint="default"/>
                <w:sz w:val="15"/>
                <w:szCs w:val="15"/>
              </w:rPr>
            </w:pPr>
            <w:r>
              <w:rPr>
                <w:rFonts w:ascii="Times New Roman"/>
                <w:spacing w:val="-2"/>
                <w:sz w:val="15"/>
              </w:rPr>
              <w:t>9,214,116</w:t>
            </w: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5" w:right="0"/>
              <w:jc w:val="center"/>
              <w:rPr>
                <w:rFonts w:ascii="Times New Roman" w:hAnsi="Times New Roman" w:cs="Times New Roman" w:eastAsia="Times New Roman" w:hint="default"/>
                <w:sz w:val="15"/>
                <w:szCs w:val="15"/>
              </w:rPr>
            </w:pPr>
            <w:r>
              <w:rPr>
                <w:rFonts w:ascii="Times New Roman"/>
                <w:sz w:val="15"/>
              </w:rPr>
              <w:t>72,900,496</w:t>
            </w:r>
          </w:p>
        </w:tc>
        <w:tc>
          <w:tcPr>
            <w:tcW w:w="865"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沈阳逐日数码广告传播有限公司</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8"/>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1,000,000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3"/>
              <w:jc w:val="right"/>
              <w:rPr>
                <w:rFonts w:ascii="Times New Roman" w:hAnsi="Times New Roman" w:cs="Times New Roman" w:eastAsia="Times New Roman" w:hint="default"/>
                <w:sz w:val="15"/>
                <w:szCs w:val="15"/>
              </w:rPr>
            </w:pPr>
            <w:r>
              <w:rPr>
                <w:rFonts w:ascii="Times New Roman"/>
                <w:spacing w:val="-1"/>
                <w:sz w:val="15"/>
              </w:rPr>
              <w:t>1,000,000</w:t>
            </w:r>
          </w:p>
        </w:tc>
        <w:tc>
          <w:tcPr>
            <w:tcW w:w="936" w:type="dxa"/>
            <w:tcBorders>
              <w:top w:val="nil" w:sz="6" w:space="0" w:color="auto"/>
              <w:left w:val="nil" w:sz="6" w:space="0" w:color="auto"/>
              <w:bottom w:val="nil" w:sz="6" w:space="0" w:color="auto"/>
              <w:right w:val="nil" w:sz="6" w:space="0" w:color="auto"/>
            </w:tcBorders>
          </w:tcPr>
          <w:p>
            <w:pP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99" w:right="0"/>
              <w:jc w:val="center"/>
              <w:rPr>
                <w:rFonts w:ascii="Times New Roman" w:hAnsi="Times New Roman" w:cs="Times New Roman" w:eastAsia="Times New Roman" w:hint="default"/>
                <w:sz w:val="15"/>
                <w:szCs w:val="15"/>
              </w:rPr>
            </w:pPr>
            <w:r>
              <w:rPr>
                <w:rFonts w:ascii="Times New Roman"/>
                <w:sz w:val="15"/>
              </w:rPr>
              <w:t>1,000,000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湖南东软软件有限公司</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8"/>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12,000,000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4"/>
              <w:jc w:val="right"/>
              <w:rPr>
                <w:rFonts w:ascii="Times New Roman" w:hAnsi="Times New Roman" w:cs="Times New Roman" w:eastAsia="Times New Roman" w:hint="default"/>
                <w:sz w:val="15"/>
                <w:szCs w:val="15"/>
              </w:rPr>
            </w:pPr>
            <w:r>
              <w:rPr>
                <w:rFonts w:ascii="Times New Roman"/>
                <w:spacing w:val="-1"/>
                <w:sz w:val="15"/>
              </w:rPr>
              <w:t>12,000,000</w:t>
            </w:r>
          </w:p>
        </w:tc>
        <w:tc>
          <w:tcPr>
            <w:tcW w:w="936" w:type="dxa"/>
            <w:tcBorders>
              <w:top w:val="nil" w:sz="6" w:space="0" w:color="auto"/>
              <w:left w:val="nil" w:sz="6" w:space="0" w:color="auto"/>
              <w:bottom w:val="nil" w:sz="6" w:space="0" w:color="auto"/>
              <w:right w:val="nil" w:sz="6" w:space="0" w:color="auto"/>
            </w:tcBorders>
          </w:tcPr>
          <w:p>
            <w:pP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5" w:right="0"/>
              <w:jc w:val="center"/>
              <w:rPr>
                <w:rFonts w:ascii="Times New Roman" w:hAnsi="Times New Roman" w:cs="Times New Roman" w:eastAsia="Times New Roman" w:hint="default"/>
                <w:sz w:val="15"/>
                <w:szCs w:val="15"/>
              </w:rPr>
            </w:pPr>
            <w:r>
              <w:rPr>
                <w:rFonts w:ascii="Times New Roman"/>
                <w:sz w:val="15"/>
              </w:rPr>
              <w:t>12,000,000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深圳市东软软件有限公司</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8"/>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5,000,000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3"/>
              <w:jc w:val="right"/>
              <w:rPr>
                <w:rFonts w:ascii="Times New Roman" w:hAnsi="Times New Roman" w:cs="Times New Roman" w:eastAsia="Times New Roman" w:hint="default"/>
                <w:sz w:val="15"/>
                <w:szCs w:val="15"/>
              </w:rPr>
            </w:pPr>
            <w:r>
              <w:rPr>
                <w:rFonts w:ascii="Times New Roman"/>
                <w:spacing w:val="-1"/>
                <w:sz w:val="15"/>
              </w:rPr>
              <w:t>5,000,000</w:t>
            </w:r>
          </w:p>
        </w:tc>
        <w:tc>
          <w:tcPr>
            <w:tcW w:w="936" w:type="dxa"/>
            <w:tcBorders>
              <w:top w:val="nil" w:sz="6" w:space="0" w:color="auto"/>
              <w:left w:val="nil" w:sz="6" w:space="0" w:color="auto"/>
              <w:bottom w:val="nil" w:sz="6" w:space="0" w:color="auto"/>
              <w:right w:val="nil" w:sz="6" w:space="0" w:color="auto"/>
            </w:tcBorders>
          </w:tcPr>
          <w:p>
            <w:pP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99" w:right="0"/>
              <w:jc w:val="center"/>
              <w:rPr>
                <w:rFonts w:ascii="Times New Roman" w:hAnsi="Times New Roman" w:cs="Times New Roman" w:eastAsia="Times New Roman" w:hint="default"/>
                <w:sz w:val="15"/>
                <w:szCs w:val="15"/>
              </w:rPr>
            </w:pPr>
            <w:r>
              <w:rPr>
                <w:rFonts w:ascii="Times New Roman"/>
                <w:sz w:val="15"/>
              </w:rPr>
              <w:t>5,000,000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沈阳东软医疗系统有限公司</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8"/>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87,082,539</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4"/>
              <w:jc w:val="right"/>
              <w:rPr>
                <w:rFonts w:ascii="Times New Roman" w:hAnsi="Times New Roman" w:cs="Times New Roman" w:eastAsia="Times New Roman" w:hint="default"/>
                <w:sz w:val="15"/>
                <w:szCs w:val="15"/>
              </w:rPr>
            </w:pPr>
            <w:r>
              <w:rPr>
                <w:rFonts w:ascii="Times New Roman"/>
                <w:spacing w:val="-1"/>
                <w:sz w:val="15"/>
              </w:rPr>
              <w:t>87,082,539</w:t>
            </w:r>
          </w:p>
        </w:tc>
        <w:tc>
          <w:tcPr>
            <w:tcW w:w="936" w:type="dxa"/>
            <w:tcBorders>
              <w:top w:val="nil" w:sz="6" w:space="0" w:color="auto"/>
              <w:left w:val="nil" w:sz="6" w:space="0" w:color="auto"/>
              <w:bottom w:val="nil" w:sz="6" w:space="0" w:color="auto"/>
              <w:right w:val="nil" w:sz="6" w:space="0" w:color="auto"/>
            </w:tcBorders>
          </w:tcPr>
          <w:p>
            <w:pP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5" w:right="0"/>
              <w:jc w:val="center"/>
              <w:rPr>
                <w:rFonts w:ascii="Times New Roman" w:hAnsi="Times New Roman" w:cs="Times New Roman" w:eastAsia="Times New Roman" w:hint="default"/>
                <w:sz w:val="15"/>
                <w:szCs w:val="15"/>
              </w:rPr>
            </w:pPr>
            <w:r>
              <w:rPr>
                <w:rFonts w:ascii="Times New Roman"/>
                <w:sz w:val="15"/>
              </w:rPr>
              <w:t>87,082,539</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北京利博赛社保信息技术有限公司</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8"/>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10,390,275</w:t>
            </w:r>
          </w:p>
        </w:tc>
        <w:tc>
          <w:tcPr>
            <w:tcW w:w="1040" w:type="dxa"/>
            <w:tcBorders>
              <w:top w:val="nil" w:sz="6" w:space="0" w:color="auto"/>
              <w:left w:val="nil" w:sz="6" w:space="0" w:color="auto"/>
              <w:bottom w:val="nil" w:sz="6" w:space="0" w:color="auto"/>
              <w:right w:val="nil" w:sz="6" w:space="0" w:color="auto"/>
            </w:tcBorders>
          </w:tcPr>
          <w:p>
            <w:pP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0"/>
              <w:jc w:val="right"/>
              <w:rPr>
                <w:rFonts w:ascii="Times New Roman" w:hAnsi="Times New Roman" w:cs="Times New Roman" w:eastAsia="Times New Roman" w:hint="default"/>
                <w:sz w:val="15"/>
                <w:szCs w:val="15"/>
              </w:rPr>
            </w:pPr>
            <w:r>
              <w:rPr>
                <w:rFonts w:ascii="Times New Roman"/>
                <w:spacing w:val="-1"/>
                <w:w w:val="95"/>
                <w:sz w:val="15"/>
              </w:rPr>
              <w:t>11,265,778</w:t>
            </w: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0" w:right="0"/>
              <w:jc w:val="center"/>
              <w:rPr>
                <w:rFonts w:ascii="Times New Roman" w:hAnsi="Times New Roman" w:cs="Times New Roman" w:eastAsia="Times New Roman" w:hint="default"/>
                <w:sz w:val="15"/>
                <w:szCs w:val="15"/>
              </w:rPr>
            </w:pPr>
            <w:r>
              <w:rPr>
                <w:rFonts w:ascii="Times New Roman"/>
                <w:sz w:val="15"/>
              </w:rPr>
              <w:t>11,265,778</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69"/>
              <w:jc w:val="right"/>
              <w:rPr>
                <w:rFonts w:ascii="Times New Roman" w:hAnsi="Times New Roman" w:cs="Times New Roman" w:eastAsia="Times New Roman" w:hint="default"/>
                <w:sz w:val="15"/>
                <w:szCs w:val="15"/>
              </w:rPr>
            </w:pPr>
            <w:r>
              <w:rPr>
                <w:rFonts w:ascii="Times New Roman"/>
                <w:spacing w:val="-1"/>
                <w:sz w:val="15"/>
              </w:rPr>
              <w:t>61.67</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7" w:right="0"/>
              <w:jc w:val="center"/>
              <w:rPr>
                <w:rFonts w:ascii="Times New Roman" w:hAnsi="Times New Roman" w:cs="Times New Roman" w:eastAsia="Times New Roman" w:hint="default"/>
                <w:sz w:val="15"/>
                <w:szCs w:val="15"/>
              </w:rPr>
            </w:pPr>
            <w:r>
              <w:rPr>
                <w:rFonts w:ascii="Times New Roman"/>
                <w:sz w:val="15"/>
              </w:rPr>
              <w:t>61.67</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沈阳东软交通信息技术有限公司</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8"/>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3,535,000</w:t>
            </w:r>
          </w:p>
        </w:tc>
        <w:tc>
          <w:tcPr>
            <w:tcW w:w="1040" w:type="dxa"/>
            <w:tcBorders>
              <w:top w:val="nil" w:sz="6" w:space="0" w:color="auto"/>
              <w:left w:val="nil" w:sz="6" w:space="0" w:color="auto"/>
              <w:bottom w:val="nil" w:sz="6" w:space="0" w:color="auto"/>
              <w:right w:val="nil" w:sz="6" w:space="0" w:color="auto"/>
            </w:tcBorders>
          </w:tcPr>
          <w:p>
            <w:pP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0"/>
              <w:jc w:val="right"/>
              <w:rPr>
                <w:rFonts w:ascii="Times New Roman" w:hAnsi="Times New Roman" w:cs="Times New Roman" w:eastAsia="Times New Roman" w:hint="default"/>
                <w:sz w:val="15"/>
                <w:szCs w:val="15"/>
              </w:rPr>
            </w:pPr>
            <w:r>
              <w:rPr>
                <w:rFonts w:ascii="Times New Roman"/>
                <w:spacing w:val="-1"/>
                <w:sz w:val="15"/>
              </w:rPr>
              <w:t>3,535,000</w:t>
            </w: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00" w:right="0"/>
              <w:jc w:val="center"/>
              <w:rPr>
                <w:rFonts w:ascii="Times New Roman" w:hAnsi="Times New Roman" w:cs="Times New Roman" w:eastAsia="Times New Roman" w:hint="default"/>
                <w:sz w:val="15"/>
                <w:szCs w:val="15"/>
              </w:rPr>
            </w:pPr>
            <w:r>
              <w:rPr>
                <w:rFonts w:ascii="Times New Roman"/>
                <w:sz w:val="15"/>
              </w:rPr>
              <w:t>3,535,000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69"/>
              <w:jc w:val="right"/>
              <w:rPr>
                <w:rFonts w:ascii="Times New Roman" w:hAnsi="Times New Roman" w:cs="Times New Roman" w:eastAsia="Times New Roman" w:hint="default"/>
                <w:sz w:val="15"/>
                <w:szCs w:val="15"/>
              </w:rPr>
            </w:pPr>
            <w:r>
              <w:rPr>
                <w:rFonts w:ascii="Times New Roman"/>
                <w:spacing w:val="-1"/>
                <w:sz w:val="15"/>
              </w:rPr>
              <w:t>50.50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7" w:right="0"/>
              <w:jc w:val="center"/>
              <w:rPr>
                <w:rFonts w:ascii="Times New Roman" w:hAnsi="Times New Roman" w:cs="Times New Roman" w:eastAsia="Times New Roman" w:hint="default"/>
                <w:sz w:val="15"/>
                <w:szCs w:val="15"/>
              </w:rPr>
            </w:pPr>
            <w:r>
              <w:rPr>
                <w:rFonts w:ascii="Times New Roman"/>
                <w:sz w:val="15"/>
              </w:rPr>
              <w:t>50.50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东软集团南京有限公司</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8"/>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12,000,000</w:t>
            </w:r>
          </w:p>
        </w:tc>
        <w:tc>
          <w:tcPr>
            <w:tcW w:w="1040" w:type="dxa"/>
            <w:tcBorders>
              <w:top w:val="nil" w:sz="6" w:space="0" w:color="auto"/>
              <w:left w:val="nil" w:sz="6" w:space="0" w:color="auto"/>
              <w:bottom w:val="nil" w:sz="6" w:space="0" w:color="auto"/>
              <w:right w:val="nil" w:sz="6" w:space="0" w:color="auto"/>
            </w:tcBorders>
          </w:tcPr>
          <w:p>
            <w:pP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0"/>
              <w:jc w:val="right"/>
              <w:rPr>
                <w:rFonts w:ascii="Times New Roman" w:hAnsi="Times New Roman" w:cs="Times New Roman" w:eastAsia="Times New Roman" w:hint="default"/>
                <w:sz w:val="15"/>
                <w:szCs w:val="15"/>
              </w:rPr>
            </w:pPr>
            <w:r>
              <w:rPr>
                <w:rFonts w:ascii="Times New Roman"/>
                <w:spacing w:val="-1"/>
                <w:sz w:val="15"/>
              </w:rPr>
              <w:t>12,000,000</w:t>
            </w: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5" w:right="0"/>
              <w:jc w:val="center"/>
              <w:rPr>
                <w:rFonts w:ascii="Times New Roman" w:hAnsi="Times New Roman" w:cs="Times New Roman" w:eastAsia="Times New Roman" w:hint="default"/>
                <w:sz w:val="15"/>
                <w:szCs w:val="15"/>
              </w:rPr>
            </w:pPr>
            <w:r>
              <w:rPr>
                <w:rFonts w:ascii="Times New Roman"/>
                <w:sz w:val="15"/>
              </w:rPr>
              <w:t>12,000,000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东软集团（郑州）有限公司</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8"/>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10,000,000</w:t>
            </w:r>
          </w:p>
        </w:tc>
        <w:tc>
          <w:tcPr>
            <w:tcW w:w="1040" w:type="dxa"/>
            <w:tcBorders>
              <w:top w:val="nil" w:sz="6" w:space="0" w:color="auto"/>
              <w:left w:val="nil" w:sz="6" w:space="0" w:color="auto"/>
              <w:bottom w:val="nil" w:sz="6" w:space="0" w:color="auto"/>
              <w:right w:val="nil" w:sz="6" w:space="0" w:color="auto"/>
            </w:tcBorders>
          </w:tcPr>
          <w:p>
            <w:pP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0"/>
              <w:jc w:val="right"/>
              <w:rPr>
                <w:rFonts w:ascii="Times New Roman" w:hAnsi="Times New Roman" w:cs="Times New Roman" w:eastAsia="Times New Roman" w:hint="default"/>
                <w:sz w:val="15"/>
                <w:szCs w:val="15"/>
              </w:rPr>
            </w:pPr>
            <w:r>
              <w:rPr>
                <w:rFonts w:ascii="Times New Roman"/>
                <w:spacing w:val="-1"/>
                <w:sz w:val="15"/>
              </w:rPr>
              <w:t>10,000,000</w:t>
            </w: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5" w:right="0"/>
              <w:jc w:val="center"/>
              <w:rPr>
                <w:rFonts w:ascii="Times New Roman" w:hAnsi="Times New Roman" w:cs="Times New Roman" w:eastAsia="Times New Roman" w:hint="default"/>
                <w:sz w:val="15"/>
                <w:szCs w:val="15"/>
              </w:rPr>
            </w:pPr>
            <w:r>
              <w:rPr>
                <w:rFonts w:ascii="Times New Roman"/>
                <w:sz w:val="15"/>
              </w:rPr>
              <w:t>10,000,000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东软集团（南昌）有限公司</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8"/>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20,000,000</w:t>
            </w:r>
          </w:p>
        </w:tc>
        <w:tc>
          <w:tcPr>
            <w:tcW w:w="1040" w:type="dxa"/>
            <w:tcBorders>
              <w:top w:val="nil" w:sz="6" w:space="0" w:color="auto"/>
              <w:left w:val="nil" w:sz="6" w:space="0" w:color="auto"/>
              <w:bottom w:val="nil" w:sz="6" w:space="0" w:color="auto"/>
              <w:right w:val="nil" w:sz="6" w:space="0" w:color="auto"/>
            </w:tcBorders>
          </w:tcPr>
          <w:p>
            <w:pP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0"/>
              <w:jc w:val="right"/>
              <w:rPr>
                <w:rFonts w:ascii="Times New Roman" w:hAnsi="Times New Roman" w:cs="Times New Roman" w:eastAsia="Times New Roman" w:hint="default"/>
                <w:sz w:val="15"/>
                <w:szCs w:val="15"/>
              </w:rPr>
            </w:pPr>
            <w:r>
              <w:rPr>
                <w:rFonts w:ascii="Times New Roman"/>
                <w:spacing w:val="-1"/>
                <w:sz w:val="15"/>
              </w:rPr>
              <w:t>20,000,000</w:t>
            </w: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5" w:right="0"/>
              <w:jc w:val="center"/>
              <w:rPr>
                <w:rFonts w:ascii="Times New Roman" w:hAnsi="Times New Roman" w:cs="Times New Roman" w:eastAsia="Times New Roman" w:hint="default"/>
                <w:sz w:val="15"/>
                <w:szCs w:val="15"/>
              </w:rPr>
            </w:pPr>
            <w:r>
              <w:rPr>
                <w:rFonts w:ascii="Times New Roman"/>
                <w:sz w:val="15"/>
              </w:rPr>
              <w:t>20,000,000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山东东软系统集成有限公司</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8"/>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15,000,000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4"/>
              <w:jc w:val="right"/>
              <w:rPr>
                <w:rFonts w:ascii="Times New Roman" w:hAnsi="Times New Roman" w:cs="Times New Roman" w:eastAsia="Times New Roman" w:hint="default"/>
                <w:sz w:val="15"/>
                <w:szCs w:val="15"/>
              </w:rPr>
            </w:pPr>
            <w:r>
              <w:rPr>
                <w:rFonts w:ascii="Times New Roman"/>
                <w:spacing w:val="-1"/>
                <w:sz w:val="15"/>
              </w:rPr>
              <w:t>15,000,000</w:t>
            </w:r>
          </w:p>
        </w:tc>
        <w:tc>
          <w:tcPr>
            <w:tcW w:w="936" w:type="dxa"/>
            <w:tcBorders>
              <w:top w:val="nil" w:sz="6" w:space="0" w:color="auto"/>
              <w:left w:val="nil" w:sz="6" w:space="0" w:color="auto"/>
              <w:bottom w:val="nil" w:sz="6" w:space="0" w:color="auto"/>
              <w:right w:val="nil" w:sz="6" w:space="0" w:color="auto"/>
            </w:tcBorders>
          </w:tcPr>
          <w:p>
            <w:pP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5" w:right="0"/>
              <w:jc w:val="center"/>
              <w:rPr>
                <w:rFonts w:ascii="Times New Roman" w:hAnsi="Times New Roman" w:cs="Times New Roman" w:eastAsia="Times New Roman" w:hint="default"/>
                <w:sz w:val="15"/>
                <w:szCs w:val="15"/>
              </w:rPr>
            </w:pPr>
            <w:r>
              <w:rPr>
                <w:rFonts w:ascii="Times New Roman"/>
                <w:sz w:val="15"/>
              </w:rPr>
              <w:t>15,000,000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7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大连东软金融信息技术有限公司</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58"/>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13,491,850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4"/>
              <w:jc w:val="right"/>
              <w:rPr>
                <w:rFonts w:ascii="Times New Roman" w:hAnsi="Times New Roman" w:cs="Times New Roman" w:eastAsia="Times New Roman" w:hint="default"/>
                <w:sz w:val="15"/>
                <w:szCs w:val="15"/>
              </w:rPr>
            </w:pPr>
            <w:r>
              <w:rPr>
                <w:rFonts w:ascii="Times New Roman"/>
                <w:spacing w:val="-1"/>
                <w:sz w:val="15"/>
              </w:rPr>
              <w:t>13,491,850</w:t>
            </w:r>
          </w:p>
        </w:tc>
        <w:tc>
          <w:tcPr>
            <w:tcW w:w="936" w:type="dxa"/>
            <w:tcBorders>
              <w:top w:val="nil" w:sz="6" w:space="0" w:color="auto"/>
              <w:left w:val="nil" w:sz="6" w:space="0" w:color="auto"/>
              <w:bottom w:val="nil" w:sz="6" w:space="0" w:color="auto"/>
              <w:right w:val="nil" w:sz="6" w:space="0" w:color="auto"/>
            </w:tcBorders>
          </w:tcPr>
          <w:p>
            <w:pPr/>
          </w:p>
        </w:tc>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5" w:right="0"/>
              <w:jc w:val="center"/>
              <w:rPr>
                <w:rFonts w:ascii="Times New Roman" w:hAnsi="Times New Roman" w:cs="Times New Roman" w:eastAsia="Times New Roman" w:hint="default"/>
                <w:sz w:val="15"/>
                <w:szCs w:val="15"/>
              </w:rPr>
            </w:pPr>
            <w:r>
              <w:rPr>
                <w:rFonts w:ascii="Times New Roman"/>
                <w:sz w:val="15"/>
              </w:rPr>
              <w:t>13,491,850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69"/>
              <w:jc w:val="right"/>
              <w:rPr>
                <w:rFonts w:ascii="Times New Roman" w:hAnsi="Times New Roman" w:cs="Times New Roman" w:eastAsia="Times New Roman" w:hint="default"/>
                <w:sz w:val="15"/>
                <w:szCs w:val="15"/>
              </w:rPr>
            </w:pPr>
            <w:r>
              <w:rPr>
                <w:rFonts w:ascii="Times New Roman"/>
                <w:spacing w:val="-1"/>
                <w:sz w:val="15"/>
              </w:rPr>
              <w:t>69.00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7" w:right="0"/>
              <w:jc w:val="center"/>
              <w:rPr>
                <w:rFonts w:ascii="Times New Roman" w:hAnsi="Times New Roman" w:cs="Times New Roman" w:eastAsia="Times New Roman" w:hint="default"/>
                <w:sz w:val="15"/>
                <w:szCs w:val="15"/>
              </w:rPr>
            </w:pPr>
            <w:r>
              <w:rPr>
                <w:rFonts w:ascii="Times New Roman"/>
                <w:sz w:val="15"/>
              </w:rPr>
              <w:t>69.00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01" w:hRule="exact"/>
        </w:trPr>
        <w:tc>
          <w:tcPr>
            <w:tcW w:w="2718"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沈阳东软博安软件有限公司</w:t>
            </w:r>
          </w:p>
        </w:tc>
        <w:tc>
          <w:tcPr>
            <w:tcW w:w="764"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right="158"/>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12,416,895</w:t>
            </w:r>
          </w:p>
        </w:tc>
        <w:tc>
          <w:tcPr>
            <w:tcW w:w="1040"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94"/>
              <w:jc w:val="right"/>
              <w:rPr>
                <w:rFonts w:ascii="Times New Roman" w:hAnsi="Times New Roman" w:cs="Times New Roman" w:eastAsia="Times New Roman" w:hint="default"/>
                <w:sz w:val="15"/>
                <w:szCs w:val="15"/>
              </w:rPr>
            </w:pPr>
            <w:r>
              <w:rPr>
                <w:rFonts w:ascii="Times New Roman"/>
                <w:spacing w:val="-1"/>
                <w:sz w:val="15"/>
              </w:rPr>
              <w:t>12,416,895</w:t>
            </w:r>
          </w:p>
        </w:tc>
        <w:tc>
          <w:tcPr>
            <w:tcW w:w="936" w:type="dxa"/>
            <w:tcBorders>
              <w:top w:val="nil" w:sz="6" w:space="0" w:color="auto"/>
              <w:left w:val="nil" w:sz="6" w:space="0" w:color="auto"/>
              <w:bottom w:val="single" w:sz="12" w:space="0" w:color="000000"/>
              <w:right w:val="nil" w:sz="6" w:space="0" w:color="auto"/>
            </w:tcBorders>
          </w:tcPr>
          <w:p>
            <w:pPr/>
          </w:p>
        </w:tc>
        <w:tc>
          <w:tcPr>
            <w:tcW w:w="920"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left="25" w:right="0"/>
              <w:jc w:val="center"/>
              <w:rPr>
                <w:rFonts w:ascii="Times New Roman" w:hAnsi="Times New Roman" w:cs="Times New Roman" w:eastAsia="Times New Roman" w:hint="default"/>
                <w:sz w:val="15"/>
                <w:szCs w:val="15"/>
              </w:rPr>
            </w:pPr>
            <w:r>
              <w:rPr>
                <w:rFonts w:ascii="Times New Roman"/>
                <w:sz w:val="15"/>
              </w:rPr>
              <w:t>12,416,895</w:t>
            </w:r>
          </w:p>
        </w:tc>
        <w:tc>
          <w:tcPr>
            <w:tcW w:w="865"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269"/>
              <w:jc w:val="right"/>
              <w:rPr>
                <w:rFonts w:ascii="Times New Roman" w:hAnsi="Times New Roman" w:cs="Times New Roman" w:eastAsia="Times New Roman" w:hint="default"/>
                <w:sz w:val="15"/>
                <w:szCs w:val="15"/>
              </w:rPr>
            </w:pPr>
            <w:r>
              <w:rPr>
                <w:rFonts w:ascii="Times New Roman"/>
                <w:spacing w:val="-1"/>
                <w:sz w:val="15"/>
              </w:rPr>
              <w:t>60.00</w:t>
            </w:r>
          </w:p>
        </w:tc>
        <w:tc>
          <w:tcPr>
            <w:tcW w:w="986"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left="17" w:right="0"/>
              <w:jc w:val="center"/>
              <w:rPr>
                <w:rFonts w:ascii="Times New Roman" w:hAnsi="Times New Roman" w:cs="Times New Roman" w:eastAsia="Times New Roman" w:hint="default"/>
                <w:sz w:val="15"/>
                <w:szCs w:val="15"/>
              </w:rPr>
            </w:pPr>
            <w:r>
              <w:rPr>
                <w:rFonts w:ascii="Times New Roman"/>
                <w:sz w:val="15"/>
              </w:rPr>
              <w:t>60.00</w:t>
            </w:r>
          </w:p>
        </w:tc>
        <w:tc>
          <w:tcPr>
            <w:tcW w:w="1458" w:type="dxa"/>
            <w:tcBorders>
              <w:top w:val="nil" w:sz="6" w:space="0" w:color="auto"/>
              <w:left w:val="nil" w:sz="6" w:space="0" w:color="auto"/>
              <w:bottom w:val="single" w:sz="12" w:space="0" w:color="000000"/>
              <w:right w:val="nil" w:sz="6" w:space="0" w:color="auto"/>
            </w:tcBorders>
          </w:tcPr>
          <w:p>
            <w:pPr/>
          </w:p>
        </w:tc>
        <w:tc>
          <w:tcPr>
            <w:tcW w:w="837" w:type="dxa"/>
            <w:tcBorders>
              <w:top w:val="nil" w:sz="6" w:space="0" w:color="auto"/>
              <w:left w:val="nil" w:sz="6" w:space="0" w:color="auto"/>
              <w:bottom w:val="single" w:sz="12" w:space="0" w:color="000000"/>
              <w:right w:val="nil" w:sz="6" w:space="0" w:color="auto"/>
            </w:tcBorders>
          </w:tcPr>
          <w:p>
            <w:pPr/>
          </w:p>
        </w:tc>
        <w:tc>
          <w:tcPr>
            <w:tcW w:w="884" w:type="dxa"/>
            <w:tcBorders>
              <w:top w:val="nil" w:sz="6" w:space="0" w:color="auto"/>
              <w:left w:val="nil" w:sz="6" w:space="0" w:color="auto"/>
              <w:bottom w:val="single" w:sz="12" w:space="0" w:color="000000"/>
              <w:right w:val="nil" w:sz="6" w:space="0" w:color="auto"/>
            </w:tcBorders>
          </w:tcPr>
          <w:p>
            <w:pPr/>
          </w:p>
        </w:tc>
        <w:tc>
          <w:tcPr>
            <w:tcW w:w="874" w:type="dxa"/>
            <w:tcBorders>
              <w:top w:val="nil" w:sz="6" w:space="0" w:color="auto"/>
              <w:left w:val="nil" w:sz="6" w:space="0" w:color="auto"/>
              <w:bottom w:val="single" w:sz="12" w:space="0" w:color="000000"/>
              <w:right w:val="nil" w:sz="6" w:space="0" w:color="auto"/>
            </w:tcBorders>
          </w:tcPr>
          <w:p>
            <w:pPr/>
          </w:p>
        </w:tc>
      </w:tr>
    </w:tbl>
    <w:p>
      <w:pPr>
        <w:spacing w:after="0"/>
        <w:sectPr>
          <w:headerReference w:type="default" r:id="rId417"/>
          <w:footerReference w:type="default" r:id="rId418"/>
          <w:pgSz w:w="16840" w:h="11910" w:orient="landscape"/>
          <w:pgMar w:header="883" w:footer="999" w:top="1600" w:bottom="1180" w:left="1300" w:right="1280"/>
          <w:pgNumType w:start="103"/>
        </w:sectPr>
      </w:pPr>
    </w:p>
    <w:p>
      <w:pPr>
        <w:spacing w:line="240" w:lineRule="auto" w:before="11"/>
        <w:rPr>
          <w:rFonts w:ascii="Times New Roman" w:hAnsi="Times New Roman" w:cs="Times New Roman" w:eastAsia="Times New Roman" w:hint="default"/>
          <w:sz w:val="28"/>
          <w:szCs w:val="28"/>
        </w:rPr>
      </w:pPr>
      <w:r>
        <w:rPr/>
        <w:pict>
          <v:group style="position:absolute;margin-left:101.511002pt;margin-top:89.879997pt;width:671.1pt;height:429pt;mso-position-horizontal-relative:page;mso-position-vertical-relative:page;z-index:-1100464" coordorigin="2030,1798" coordsize="13422,8580">
            <v:group style="position:absolute;left:2049;top:1813;width:13376;height:2" coordorigin="2049,1813" coordsize="13376,2">
              <v:shape style="position:absolute;left:2049;top:1813;width:13376;height:2" coordorigin="2049,1813" coordsize="13376,0" path="m2049,1813l15425,1813e" filled="false" stroked="true" strokeweight="1.5pt" strokecolor="#000000">
                <v:path arrowok="t"/>
              </v:shape>
              <v:shape style="position:absolute;left:4668;top:1799;width:9930;height:1198" type="#_x0000_t75" stroked="false">
                <v:imagedata r:id="rId421" o:title=""/>
              </v:shape>
              <v:shape style="position:absolute;left:2030;top:2948;width:13422;height:7429" type="#_x0000_t75" stroked="false">
                <v:imagedata r:id="rId422" o:title=""/>
              </v:shape>
            </v:group>
            <w10:wrap type="none"/>
          </v:group>
        </w:pict>
      </w:r>
    </w:p>
    <w:tbl>
      <w:tblPr>
        <w:tblW w:w="0" w:type="auto"/>
        <w:jc w:val="left"/>
        <w:tblInd w:w="735" w:type="dxa"/>
        <w:tblLayout w:type="fixed"/>
        <w:tblCellMar>
          <w:top w:w="0" w:type="dxa"/>
          <w:left w:w="0" w:type="dxa"/>
          <w:bottom w:w="0" w:type="dxa"/>
          <w:right w:w="0" w:type="dxa"/>
        </w:tblCellMar>
        <w:tblLook w:val="01E0"/>
      </w:tblPr>
      <w:tblGrid>
        <w:gridCol w:w="2418"/>
        <w:gridCol w:w="1064"/>
        <w:gridCol w:w="1108"/>
        <w:gridCol w:w="1023"/>
        <w:gridCol w:w="921"/>
        <w:gridCol w:w="951"/>
        <w:gridCol w:w="865"/>
        <w:gridCol w:w="986"/>
        <w:gridCol w:w="1458"/>
        <w:gridCol w:w="837"/>
        <w:gridCol w:w="884"/>
        <w:gridCol w:w="874"/>
      </w:tblGrid>
      <w:tr>
        <w:trPr>
          <w:trHeight w:val="844"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11"/>
              <w:ind w:left="963" w:right="0"/>
              <w:jc w:val="left"/>
              <w:rPr>
                <w:rFonts w:ascii="宋体" w:hAnsi="宋体" w:cs="宋体" w:eastAsia="宋体" w:hint="default"/>
                <w:sz w:val="15"/>
                <w:szCs w:val="15"/>
              </w:rPr>
            </w:pPr>
            <w:r>
              <w:rPr>
                <w:rFonts w:ascii="宋体" w:hAnsi="宋体" w:cs="宋体" w:eastAsia="宋体" w:hint="default"/>
                <w:sz w:val="15"/>
                <w:szCs w:val="15"/>
              </w:rPr>
              <w:t>被投资单位</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11"/>
              <w:ind w:left="140" w:right="0"/>
              <w:jc w:val="center"/>
              <w:rPr>
                <w:rFonts w:ascii="宋体" w:hAnsi="宋体" w:cs="宋体" w:eastAsia="宋体" w:hint="default"/>
                <w:sz w:val="15"/>
                <w:szCs w:val="15"/>
              </w:rPr>
            </w:pPr>
            <w:r>
              <w:rPr>
                <w:rFonts w:ascii="宋体" w:hAnsi="宋体" w:cs="宋体" w:eastAsia="宋体" w:hint="default"/>
                <w:sz w:val="15"/>
                <w:szCs w:val="15"/>
              </w:rPr>
              <w:t>核算方法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11"/>
              <w:ind w:left="161" w:right="0"/>
              <w:jc w:val="left"/>
              <w:rPr>
                <w:rFonts w:ascii="宋体" w:hAnsi="宋体" w:cs="宋体" w:eastAsia="宋体" w:hint="default"/>
                <w:sz w:val="15"/>
                <w:szCs w:val="15"/>
              </w:rPr>
            </w:pPr>
            <w:r>
              <w:rPr>
                <w:rFonts w:ascii="宋体" w:hAnsi="宋体" w:cs="宋体" w:eastAsia="宋体" w:hint="default"/>
                <w:sz w:val="15"/>
                <w:szCs w:val="15"/>
              </w:rPr>
              <w:t>投资成本</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11"/>
              <w:ind w:left="185"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11"/>
              <w:ind w:right="95"/>
              <w:jc w:val="center"/>
              <w:rPr>
                <w:rFonts w:ascii="宋体" w:hAnsi="宋体" w:cs="宋体" w:eastAsia="宋体" w:hint="default"/>
                <w:sz w:val="15"/>
                <w:szCs w:val="15"/>
              </w:rPr>
            </w:pPr>
            <w:r>
              <w:rPr>
                <w:rFonts w:ascii="宋体" w:hAnsi="宋体" w:cs="宋体" w:eastAsia="宋体" w:hint="default"/>
                <w:sz w:val="15"/>
                <w:szCs w:val="15"/>
              </w:rPr>
              <w:t>增减变动</w:t>
            </w: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11"/>
              <w:ind w:right="44"/>
              <w:jc w:val="center"/>
              <w:rPr>
                <w:rFonts w:ascii="宋体" w:hAnsi="宋体" w:cs="宋体" w:eastAsia="宋体" w:hint="default"/>
                <w:sz w:val="15"/>
                <w:szCs w:val="15"/>
              </w:rPr>
            </w:pPr>
            <w:r>
              <w:rPr>
                <w:rFonts w:ascii="宋体" w:hAnsi="宋体" w:cs="宋体" w:eastAsia="宋体" w:hint="default"/>
                <w:sz w:val="15"/>
                <w:szCs w:val="15"/>
              </w:rPr>
              <w:t>期末余额</w:t>
            </w:r>
          </w:p>
        </w:tc>
        <w:tc>
          <w:tcPr>
            <w:tcW w:w="865" w:type="dxa"/>
            <w:tcBorders>
              <w:top w:val="nil" w:sz="6" w:space="0" w:color="auto"/>
              <w:left w:val="nil" w:sz="6" w:space="0" w:color="auto"/>
              <w:bottom w:val="nil" w:sz="6" w:space="0" w:color="auto"/>
              <w:right w:val="nil" w:sz="6" w:space="0" w:color="auto"/>
            </w:tcBorders>
          </w:tcPr>
          <w:p>
            <w:pPr>
              <w:pStyle w:val="TableParagraph"/>
              <w:spacing w:line="463" w:lineRule="auto" w:before="53"/>
              <w:ind w:left="133" w:right="-19" w:hanging="24"/>
              <w:jc w:val="left"/>
              <w:rPr>
                <w:rFonts w:ascii="宋体" w:hAnsi="宋体" w:cs="宋体" w:eastAsia="宋体" w:hint="default"/>
                <w:sz w:val="15"/>
                <w:szCs w:val="15"/>
              </w:rPr>
            </w:pPr>
            <w:r>
              <w:rPr>
                <w:rFonts w:ascii="宋体" w:hAnsi="宋体" w:cs="宋体" w:eastAsia="宋体" w:hint="default"/>
                <w:sz w:val="15"/>
                <w:szCs w:val="15"/>
              </w:rPr>
              <w:t>在被投资单 位持股比例</w:t>
            </w:r>
          </w:p>
        </w:tc>
        <w:tc>
          <w:tcPr>
            <w:tcW w:w="986" w:type="dxa"/>
            <w:tcBorders>
              <w:top w:val="nil" w:sz="6" w:space="0" w:color="auto"/>
              <w:left w:val="nil" w:sz="6" w:space="0" w:color="auto"/>
              <w:bottom w:val="nil" w:sz="6" w:space="0" w:color="auto"/>
              <w:right w:val="nil" w:sz="6" w:space="0" w:color="auto"/>
            </w:tcBorders>
          </w:tcPr>
          <w:p>
            <w:pPr>
              <w:pStyle w:val="TableParagraph"/>
              <w:spacing w:line="390" w:lineRule="atLeast" w:before="49"/>
              <w:ind w:right="8" w:firstLine="37"/>
              <w:jc w:val="left"/>
              <w:rPr>
                <w:rFonts w:ascii="Times New Roman" w:hAnsi="Times New Roman" w:cs="Times New Roman" w:eastAsia="Times New Roman" w:hint="default"/>
                <w:sz w:val="15"/>
                <w:szCs w:val="15"/>
              </w:rPr>
            </w:pPr>
            <w:r>
              <w:rPr>
                <w:rFonts w:ascii="宋体" w:hAnsi="宋体" w:cs="宋体" w:eastAsia="宋体" w:hint="default"/>
                <w:sz w:val="15"/>
                <w:szCs w:val="15"/>
              </w:rPr>
              <w:t>在被投资单位 表决权比例</w:t>
            </w:r>
            <w:r>
              <w:rPr>
                <w:rFonts w:ascii="Times New Roman" w:hAnsi="Times New Roman" w:cs="Times New Roman" w:eastAsia="Times New Roman" w:hint="default"/>
                <w:sz w:val="15"/>
                <w:szCs w:val="15"/>
              </w:rPr>
              <w:t>(%)</w:t>
            </w:r>
          </w:p>
        </w:tc>
        <w:tc>
          <w:tcPr>
            <w:tcW w:w="1458" w:type="dxa"/>
            <w:tcBorders>
              <w:top w:val="nil" w:sz="6" w:space="0" w:color="auto"/>
              <w:left w:val="nil" w:sz="6" w:space="0" w:color="auto"/>
              <w:bottom w:val="nil" w:sz="6" w:space="0" w:color="auto"/>
              <w:right w:val="nil" w:sz="6" w:space="0" w:color="auto"/>
            </w:tcBorders>
          </w:tcPr>
          <w:p>
            <w:pPr>
              <w:pStyle w:val="TableParagraph"/>
              <w:spacing w:line="463" w:lineRule="auto" w:before="53"/>
              <w:ind w:left="124" w:right="95" w:hanging="114"/>
              <w:jc w:val="left"/>
              <w:rPr>
                <w:rFonts w:ascii="宋体" w:hAnsi="宋体" w:cs="宋体" w:eastAsia="宋体" w:hint="default"/>
                <w:sz w:val="15"/>
                <w:szCs w:val="15"/>
              </w:rPr>
            </w:pPr>
            <w:r>
              <w:rPr>
                <w:rFonts w:ascii="宋体" w:hAnsi="宋体" w:cs="宋体" w:eastAsia="宋体" w:hint="default"/>
                <w:sz w:val="15"/>
                <w:szCs w:val="15"/>
              </w:rPr>
              <w:t>在被投资单位持股比 例与表决权比例不</w:t>
            </w:r>
          </w:p>
        </w:tc>
        <w:tc>
          <w:tcPr>
            <w:tcW w:w="83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11"/>
              <w:ind w:left="97" w:right="0"/>
              <w:jc w:val="left"/>
              <w:rPr>
                <w:rFonts w:ascii="宋体" w:hAnsi="宋体" w:cs="宋体" w:eastAsia="宋体" w:hint="default"/>
                <w:sz w:val="15"/>
                <w:szCs w:val="15"/>
              </w:rPr>
            </w:pPr>
            <w:r>
              <w:rPr>
                <w:rFonts w:ascii="宋体" w:hAnsi="宋体" w:cs="宋体" w:eastAsia="宋体" w:hint="default"/>
                <w:sz w:val="15"/>
                <w:szCs w:val="15"/>
              </w:rPr>
              <w:t>减值准备</w:t>
            </w:r>
          </w:p>
        </w:tc>
        <w:tc>
          <w:tcPr>
            <w:tcW w:w="884" w:type="dxa"/>
            <w:tcBorders>
              <w:top w:val="nil" w:sz="6" w:space="0" w:color="auto"/>
              <w:left w:val="nil" w:sz="6" w:space="0" w:color="auto"/>
              <w:bottom w:val="nil" w:sz="6" w:space="0" w:color="auto"/>
              <w:right w:val="nil" w:sz="6" w:space="0" w:color="auto"/>
            </w:tcBorders>
          </w:tcPr>
          <w:p>
            <w:pPr>
              <w:pStyle w:val="TableParagraph"/>
              <w:spacing w:line="380" w:lineRule="atLeast" w:before="59"/>
              <w:ind w:left="139" w:right="142"/>
              <w:jc w:val="left"/>
              <w:rPr>
                <w:rFonts w:ascii="宋体" w:hAnsi="宋体" w:cs="宋体" w:eastAsia="宋体" w:hint="default"/>
                <w:sz w:val="15"/>
                <w:szCs w:val="15"/>
              </w:rPr>
            </w:pPr>
            <w:r>
              <w:rPr>
                <w:rFonts w:ascii="宋体" w:hAnsi="宋体" w:cs="宋体" w:eastAsia="宋体" w:hint="default"/>
                <w:sz w:val="15"/>
                <w:szCs w:val="15"/>
              </w:rPr>
              <w:t>本期计提 减值准备</w:t>
            </w:r>
          </w:p>
        </w:tc>
        <w:tc>
          <w:tcPr>
            <w:tcW w:w="874" w:type="dxa"/>
            <w:tcBorders>
              <w:top w:val="nil" w:sz="6" w:space="0" w:color="auto"/>
              <w:left w:val="nil" w:sz="6" w:space="0" w:color="auto"/>
              <w:bottom w:val="nil" w:sz="6" w:space="0" w:color="auto"/>
              <w:right w:val="nil" w:sz="6" w:space="0" w:color="auto"/>
            </w:tcBorders>
          </w:tcPr>
          <w:p>
            <w:pPr>
              <w:pStyle w:val="TableParagraph"/>
              <w:spacing w:line="380" w:lineRule="atLeast" w:before="59"/>
              <w:ind w:left="294" w:right="127" w:hanging="150"/>
              <w:jc w:val="left"/>
              <w:rPr>
                <w:rFonts w:ascii="宋体" w:hAnsi="宋体" w:cs="宋体" w:eastAsia="宋体" w:hint="default"/>
                <w:sz w:val="15"/>
                <w:szCs w:val="15"/>
              </w:rPr>
            </w:pPr>
            <w:r>
              <w:rPr>
                <w:rFonts w:ascii="宋体" w:hAnsi="宋体" w:cs="宋体" w:eastAsia="宋体" w:hint="default"/>
                <w:sz w:val="15"/>
                <w:szCs w:val="15"/>
              </w:rPr>
              <w:t>本期现金 红利</w:t>
            </w:r>
          </w:p>
        </w:tc>
      </w:tr>
      <w:tr>
        <w:trPr>
          <w:trHeight w:val="294" w:hRule="exact"/>
        </w:trPr>
        <w:tc>
          <w:tcPr>
            <w:tcW w:w="2418"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08" w:type="dxa"/>
            <w:tcBorders>
              <w:top w:val="nil" w:sz="6" w:space="0" w:color="auto"/>
              <w:left w:val="nil" w:sz="6" w:space="0" w:color="auto"/>
              <w:bottom w:val="nil" w:sz="6" w:space="0" w:color="auto"/>
              <w:right w:val="nil" w:sz="6" w:space="0" w:color="auto"/>
            </w:tcBorders>
          </w:tcPr>
          <w:p>
            <w:pPr/>
          </w:p>
        </w:tc>
        <w:tc>
          <w:tcPr>
            <w:tcW w:w="1023" w:type="dxa"/>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1"/>
              <w:jc w:val="right"/>
              <w:rPr>
                <w:rFonts w:ascii="Times New Roman" w:hAnsi="Times New Roman" w:cs="Times New Roman" w:eastAsia="Times New Roman" w:hint="default"/>
                <w:sz w:val="15"/>
                <w:szCs w:val="15"/>
              </w:rPr>
            </w:pPr>
            <w:r>
              <w:rPr>
                <w:rFonts w:ascii="Times New Roman"/>
                <w:sz w:val="15"/>
              </w:rPr>
              <w:t>(%)</w:t>
            </w:r>
          </w:p>
        </w:tc>
        <w:tc>
          <w:tcPr>
            <w:tcW w:w="986"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Style w:val="TableParagraph"/>
              <w:spacing w:line="166" w:lineRule="exact"/>
              <w:ind w:left="350" w:right="0"/>
              <w:jc w:val="left"/>
              <w:rPr>
                <w:rFonts w:ascii="宋体" w:hAnsi="宋体" w:cs="宋体" w:eastAsia="宋体" w:hint="default"/>
                <w:sz w:val="15"/>
                <w:szCs w:val="15"/>
              </w:rPr>
            </w:pPr>
            <w:r>
              <w:rPr>
                <w:rFonts w:ascii="宋体" w:hAnsi="宋体" w:cs="宋体" w:eastAsia="宋体" w:hint="default"/>
                <w:sz w:val="15"/>
                <w:szCs w:val="15"/>
              </w:rPr>
              <w:t>一致的说明</w:t>
            </w: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南京东软系统集成有限公司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12,000,000</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12,000,000</w:t>
            </w: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56" w:right="0"/>
              <w:jc w:val="center"/>
              <w:rPr>
                <w:rFonts w:ascii="Times New Roman" w:hAnsi="Times New Roman" w:cs="Times New Roman" w:eastAsia="Times New Roman" w:hint="default"/>
                <w:sz w:val="15"/>
                <w:szCs w:val="15"/>
              </w:rPr>
            </w:pPr>
            <w:r>
              <w:rPr>
                <w:rFonts w:ascii="Times New Roman"/>
                <w:sz w:val="15"/>
              </w:rPr>
              <w:t>12,000,000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东软（香港）有限公司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7,037,915</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7,037,915</w:t>
            </w: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30" w:right="0"/>
              <w:jc w:val="center"/>
              <w:rPr>
                <w:rFonts w:ascii="Times New Roman" w:hAnsi="Times New Roman" w:cs="Times New Roman" w:eastAsia="Times New Roman" w:hint="default"/>
                <w:sz w:val="15"/>
                <w:szCs w:val="15"/>
              </w:rPr>
            </w:pPr>
            <w:r>
              <w:rPr>
                <w:rFonts w:ascii="Times New Roman"/>
                <w:sz w:val="15"/>
              </w:rPr>
              <w:t>7,037,915</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成都东软系统集成有限公司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20,000,000</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20,000,000</w:t>
            </w: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56" w:right="0"/>
              <w:jc w:val="center"/>
              <w:rPr>
                <w:rFonts w:ascii="Times New Roman" w:hAnsi="Times New Roman" w:cs="Times New Roman" w:eastAsia="Times New Roman" w:hint="default"/>
                <w:sz w:val="15"/>
                <w:szCs w:val="15"/>
              </w:rPr>
            </w:pPr>
            <w:r>
              <w:rPr>
                <w:rFonts w:ascii="Times New Roman"/>
                <w:sz w:val="15"/>
              </w:rPr>
              <w:t>20,000,000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秦皇岛东软软件有限公司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8,500,000</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8,500,000</w:t>
            </w: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30" w:right="0"/>
              <w:jc w:val="center"/>
              <w:rPr>
                <w:rFonts w:ascii="Times New Roman" w:hAnsi="Times New Roman" w:cs="Times New Roman" w:eastAsia="Times New Roman" w:hint="default"/>
                <w:sz w:val="15"/>
                <w:szCs w:val="15"/>
              </w:rPr>
            </w:pPr>
            <w:r>
              <w:rPr>
                <w:rFonts w:ascii="Times New Roman"/>
                <w:sz w:val="15"/>
              </w:rPr>
              <w:t>8,500,000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69"/>
              <w:jc w:val="right"/>
              <w:rPr>
                <w:rFonts w:ascii="Times New Roman" w:hAnsi="Times New Roman" w:cs="Times New Roman" w:eastAsia="Times New Roman" w:hint="default"/>
                <w:sz w:val="15"/>
                <w:szCs w:val="15"/>
              </w:rPr>
            </w:pPr>
            <w:r>
              <w:rPr>
                <w:rFonts w:ascii="Times New Roman"/>
                <w:spacing w:val="-1"/>
                <w:sz w:val="15"/>
              </w:rPr>
              <w:t>85.00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7" w:right="0"/>
              <w:jc w:val="center"/>
              <w:rPr>
                <w:rFonts w:ascii="Times New Roman" w:hAnsi="Times New Roman" w:cs="Times New Roman" w:eastAsia="Times New Roman" w:hint="default"/>
                <w:sz w:val="15"/>
                <w:szCs w:val="15"/>
              </w:rPr>
            </w:pPr>
            <w:r>
              <w:rPr>
                <w:rFonts w:ascii="Times New Roman"/>
                <w:sz w:val="15"/>
              </w:rPr>
              <w:t>85.00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73" w:right="0"/>
              <w:jc w:val="center"/>
              <w:rPr>
                <w:rFonts w:ascii="Times New Roman" w:hAnsi="Times New Roman" w:cs="Times New Roman" w:eastAsia="Times New Roman" w:hint="default"/>
                <w:sz w:val="15"/>
                <w:szCs w:val="15"/>
              </w:rPr>
            </w:pPr>
            <w:r>
              <w:rPr>
                <w:rFonts w:ascii="Times New Roman"/>
                <w:sz w:val="15"/>
              </w:rPr>
              <w:t>983,224</w:t>
            </w: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上海东软时代数码技术有限公司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20,000,000</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20,000,000</w:t>
            </w: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56" w:right="0"/>
              <w:jc w:val="center"/>
              <w:rPr>
                <w:rFonts w:ascii="Times New Roman" w:hAnsi="Times New Roman" w:cs="Times New Roman" w:eastAsia="Times New Roman" w:hint="default"/>
                <w:sz w:val="15"/>
                <w:szCs w:val="15"/>
              </w:rPr>
            </w:pPr>
            <w:r>
              <w:rPr>
                <w:rFonts w:ascii="Times New Roman"/>
                <w:sz w:val="15"/>
              </w:rPr>
              <w:t>20,000,000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东软（日本）有限公司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w w:val="95"/>
                <w:sz w:val="15"/>
              </w:rPr>
              <w:t>11,826,901</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w w:val="95"/>
                <w:sz w:val="15"/>
              </w:rPr>
              <w:t>11,826,901</w:t>
            </w: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61" w:right="0"/>
              <w:jc w:val="center"/>
              <w:rPr>
                <w:rFonts w:ascii="Times New Roman" w:hAnsi="Times New Roman" w:cs="Times New Roman" w:eastAsia="Times New Roman" w:hint="default"/>
                <w:sz w:val="15"/>
                <w:szCs w:val="15"/>
              </w:rPr>
            </w:pPr>
            <w:r>
              <w:rPr>
                <w:rFonts w:ascii="Times New Roman"/>
                <w:sz w:val="15"/>
              </w:rPr>
              <w:t>11,826,901</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61" w:right="0"/>
              <w:jc w:val="center"/>
              <w:rPr>
                <w:rFonts w:ascii="Times New Roman" w:hAnsi="Times New Roman" w:cs="Times New Roman" w:eastAsia="Times New Roman" w:hint="default"/>
                <w:sz w:val="15"/>
                <w:szCs w:val="15"/>
              </w:rPr>
            </w:pPr>
            <w:r>
              <w:rPr>
                <w:rFonts w:ascii="Times New Roman"/>
                <w:sz w:val="15"/>
              </w:rPr>
              <w:t>1,493,307</w:t>
            </w: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广东东软软件有限公司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20,000,000</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20,000,000</w:t>
            </w: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56" w:right="0"/>
              <w:jc w:val="center"/>
              <w:rPr>
                <w:rFonts w:ascii="Times New Roman" w:hAnsi="Times New Roman" w:cs="Times New Roman" w:eastAsia="Times New Roman" w:hint="default"/>
                <w:sz w:val="15"/>
                <w:szCs w:val="15"/>
              </w:rPr>
            </w:pPr>
            <w:r>
              <w:rPr>
                <w:rFonts w:ascii="Times New Roman"/>
                <w:sz w:val="15"/>
              </w:rPr>
              <w:t>20,000,000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西安东软系统集成有限公司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22,502,469</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22,502,469</w:t>
            </w: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56" w:right="0"/>
              <w:jc w:val="center"/>
              <w:rPr>
                <w:rFonts w:ascii="Times New Roman" w:hAnsi="Times New Roman" w:cs="Times New Roman" w:eastAsia="Times New Roman" w:hint="default"/>
                <w:sz w:val="15"/>
                <w:szCs w:val="15"/>
              </w:rPr>
            </w:pPr>
            <w:r>
              <w:rPr>
                <w:rFonts w:ascii="Times New Roman"/>
                <w:sz w:val="15"/>
              </w:rPr>
              <w:t>22,502,469</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武汉东软信息技术有限公司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15,000,000</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15,000,000</w:t>
            </w: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56" w:right="0"/>
              <w:jc w:val="center"/>
              <w:rPr>
                <w:rFonts w:ascii="Times New Roman" w:hAnsi="Times New Roman" w:cs="Times New Roman" w:eastAsia="Times New Roman" w:hint="default"/>
                <w:sz w:val="15"/>
                <w:szCs w:val="15"/>
              </w:rPr>
            </w:pPr>
            <w:r>
              <w:rPr>
                <w:rFonts w:ascii="Times New Roman"/>
                <w:sz w:val="15"/>
              </w:rPr>
              <w:t>15,000,000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北京兰瑞科创信息技术有限公司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9,454,820</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9,454,820</w:t>
            </w: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30" w:right="0"/>
              <w:jc w:val="center"/>
              <w:rPr>
                <w:rFonts w:ascii="Times New Roman" w:hAnsi="Times New Roman" w:cs="Times New Roman" w:eastAsia="Times New Roman" w:hint="default"/>
                <w:sz w:val="15"/>
                <w:szCs w:val="15"/>
              </w:rPr>
            </w:pPr>
            <w:r>
              <w:rPr>
                <w:rFonts w:ascii="Times New Roman"/>
                <w:sz w:val="15"/>
              </w:rPr>
              <w:t>9,454,820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东软集团（北京）有限公司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71" w:right="0"/>
              <w:jc w:val="left"/>
              <w:rPr>
                <w:rFonts w:ascii="Times New Roman" w:hAnsi="Times New Roman" w:cs="Times New Roman" w:eastAsia="Times New Roman" w:hint="default"/>
                <w:sz w:val="15"/>
                <w:szCs w:val="15"/>
              </w:rPr>
            </w:pPr>
            <w:r>
              <w:rPr>
                <w:rFonts w:ascii="Times New Roman"/>
                <w:sz w:val="15"/>
              </w:rPr>
              <w:t>249,396,361</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64,396,361</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
              <w:jc w:val="center"/>
              <w:rPr>
                <w:rFonts w:ascii="Times New Roman" w:hAnsi="Times New Roman" w:cs="Times New Roman" w:eastAsia="Times New Roman" w:hint="default"/>
                <w:sz w:val="15"/>
                <w:szCs w:val="15"/>
              </w:rPr>
            </w:pPr>
            <w:r>
              <w:rPr>
                <w:rFonts w:ascii="Times New Roman"/>
                <w:sz w:val="15"/>
              </w:rPr>
              <w:t>185,000,000</w:t>
            </w: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7"/>
              <w:jc w:val="center"/>
              <w:rPr>
                <w:rFonts w:ascii="Times New Roman" w:hAnsi="Times New Roman" w:cs="Times New Roman" w:eastAsia="Times New Roman" w:hint="default"/>
                <w:sz w:val="15"/>
                <w:szCs w:val="15"/>
              </w:rPr>
            </w:pPr>
            <w:r>
              <w:rPr>
                <w:rFonts w:ascii="Times New Roman"/>
                <w:sz w:val="15"/>
              </w:rPr>
              <w:t>249,396,361</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沈阳东软物业管理有限公司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1,000,000</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1,000,000</w:t>
            </w: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30" w:right="0"/>
              <w:jc w:val="center"/>
              <w:rPr>
                <w:rFonts w:ascii="Times New Roman" w:hAnsi="Times New Roman" w:cs="Times New Roman" w:eastAsia="Times New Roman" w:hint="default"/>
                <w:sz w:val="15"/>
                <w:szCs w:val="15"/>
              </w:rPr>
            </w:pPr>
            <w:r>
              <w:rPr>
                <w:rFonts w:ascii="Times New Roman"/>
                <w:sz w:val="15"/>
              </w:rPr>
              <w:t>1,000,000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东软集团（成都）有限公司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1,000,000</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1,000,000</w:t>
            </w: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30" w:right="0"/>
              <w:jc w:val="center"/>
              <w:rPr>
                <w:rFonts w:ascii="Times New Roman" w:hAnsi="Times New Roman" w:cs="Times New Roman" w:eastAsia="Times New Roman" w:hint="default"/>
                <w:sz w:val="15"/>
                <w:szCs w:val="15"/>
              </w:rPr>
            </w:pPr>
            <w:r>
              <w:rPr>
                <w:rFonts w:ascii="Times New Roman"/>
                <w:sz w:val="15"/>
              </w:rPr>
              <w:t>1,000,000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沈阳东软信息技术服务有限公司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71" w:right="0"/>
              <w:jc w:val="left"/>
              <w:rPr>
                <w:rFonts w:ascii="Times New Roman" w:hAnsi="Times New Roman" w:cs="Times New Roman" w:eastAsia="Times New Roman" w:hint="default"/>
                <w:sz w:val="15"/>
                <w:szCs w:val="15"/>
              </w:rPr>
            </w:pPr>
            <w:r>
              <w:rPr>
                <w:rFonts w:ascii="Times New Roman"/>
                <w:sz w:val="15"/>
              </w:rPr>
              <w:t>310,000,000</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310,000,000</w:t>
            </w: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7"/>
              <w:jc w:val="center"/>
              <w:rPr>
                <w:rFonts w:ascii="Times New Roman" w:hAnsi="Times New Roman" w:cs="Times New Roman" w:eastAsia="Times New Roman" w:hint="default"/>
                <w:sz w:val="15"/>
                <w:szCs w:val="15"/>
              </w:rPr>
            </w:pPr>
            <w:r>
              <w:rPr>
                <w:rFonts w:ascii="Times New Roman"/>
                <w:sz w:val="15"/>
              </w:rPr>
              <w:t>310,000,000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东软集团（大连）有限公司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71" w:right="0"/>
              <w:jc w:val="left"/>
              <w:rPr>
                <w:rFonts w:ascii="Times New Roman" w:hAnsi="Times New Roman" w:cs="Times New Roman" w:eastAsia="Times New Roman" w:hint="default"/>
                <w:sz w:val="15"/>
                <w:szCs w:val="15"/>
              </w:rPr>
            </w:pPr>
            <w:r>
              <w:rPr>
                <w:rFonts w:ascii="Times New Roman"/>
                <w:sz w:val="15"/>
              </w:rPr>
              <w:t>100,000,000</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100,000,000</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
              <w:jc w:val="center"/>
              <w:rPr>
                <w:rFonts w:ascii="Times New Roman" w:hAnsi="Times New Roman" w:cs="Times New Roman" w:eastAsia="Times New Roman" w:hint="default"/>
                <w:sz w:val="15"/>
                <w:szCs w:val="15"/>
              </w:rPr>
            </w:pPr>
            <w:r>
              <w:rPr>
                <w:rFonts w:ascii="Times New Roman"/>
                <w:sz w:val="15"/>
              </w:rPr>
              <w:t>200,000,000</w:t>
            </w: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
              <w:jc w:val="center"/>
              <w:rPr>
                <w:rFonts w:ascii="Times New Roman" w:hAnsi="Times New Roman" w:cs="Times New Roman" w:eastAsia="Times New Roman" w:hint="default"/>
                <w:sz w:val="15"/>
                <w:szCs w:val="15"/>
              </w:rPr>
            </w:pPr>
            <w:r>
              <w:rPr>
                <w:rFonts w:ascii="Times New Roman"/>
                <w:sz w:val="15"/>
              </w:rPr>
              <w:t>300,000,000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东软集团（上海）有限公司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71" w:right="0"/>
              <w:jc w:val="left"/>
              <w:rPr>
                <w:rFonts w:ascii="Times New Roman" w:hAnsi="Times New Roman" w:cs="Times New Roman" w:eastAsia="Times New Roman" w:hint="default"/>
                <w:sz w:val="15"/>
                <w:szCs w:val="15"/>
              </w:rPr>
            </w:pPr>
            <w:r>
              <w:rPr>
                <w:rFonts w:ascii="Times New Roman"/>
                <w:sz w:val="15"/>
              </w:rPr>
              <w:t>100,000,000</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100,000,000</w:t>
            </w: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7"/>
              <w:jc w:val="center"/>
              <w:rPr>
                <w:rFonts w:ascii="Times New Roman" w:hAnsi="Times New Roman" w:cs="Times New Roman" w:eastAsia="Times New Roman" w:hint="default"/>
                <w:sz w:val="15"/>
                <w:szCs w:val="15"/>
              </w:rPr>
            </w:pPr>
            <w:r>
              <w:rPr>
                <w:rFonts w:ascii="Times New Roman"/>
                <w:sz w:val="15"/>
              </w:rPr>
              <w:t>100,000,000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东软集团（广州）有限公司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71" w:right="0"/>
              <w:jc w:val="left"/>
              <w:rPr>
                <w:rFonts w:ascii="Times New Roman" w:hAnsi="Times New Roman" w:cs="Times New Roman" w:eastAsia="Times New Roman" w:hint="default"/>
                <w:sz w:val="15"/>
                <w:szCs w:val="15"/>
              </w:rPr>
            </w:pPr>
            <w:r>
              <w:rPr>
                <w:rFonts w:ascii="Times New Roman"/>
                <w:sz w:val="15"/>
              </w:rPr>
              <w:t>100,000,000</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100,000,000</w:t>
            </w: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7"/>
              <w:jc w:val="center"/>
              <w:rPr>
                <w:rFonts w:ascii="Times New Roman" w:hAnsi="Times New Roman" w:cs="Times New Roman" w:eastAsia="Times New Roman" w:hint="default"/>
                <w:sz w:val="15"/>
                <w:szCs w:val="15"/>
              </w:rPr>
            </w:pPr>
            <w:r>
              <w:rPr>
                <w:rFonts w:ascii="Times New Roman"/>
                <w:sz w:val="15"/>
              </w:rPr>
              <w:t>100,000,000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90" w:hRule="exact"/>
        </w:trPr>
        <w:tc>
          <w:tcPr>
            <w:tcW w:w="241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沈阳东软系统集成技术有限公司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20,000,000</w:t>
            </w:r>
          </w:p>
        </w:tc>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20,000,000</w:t>
            </w:r>
          </w:p>
        </w:tc>
        <w:tc>
          <w:tcPr>
            <w:tcW w:w="921"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56" w:right="0"/>
              <w:jc w:val="center"/>
              <w:rPr>
                <w:rFonts w:ascii="Times New Roman" w:hAnsi="Times New Roman" w:cs="Times New Roman" w:eastAsia="Times New Roman" w:hint="default"/>
                <w:sz w:val="15"/>
                <w:szCs w:val="15"/>
              </w:rPr>
            </w:pPr>
            <w:r>
              <w:rPr>
                <w:rFonts w:ascii="Times New Roman"/>
                <w:sz w:val="15"/>
              </w:rPr>
              <w:t>20,000,000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37" w:type="dxa"/>
            <w:tcBorders>
              <w:top w:val="nil" w:sz="6" w:space="0" w:color="auto"/>
              <w:left w:val="nil" w:sz="6" w:space="0" w:color="auto"/>
              <w:bottom w:val="nil" w:sz="6" w:space="0" w:color="auto"/>
              <w:right w:val="nil" w:sz="6" w:space="0" w:color="auto"/>
            </w:tcBorders>
          </w:tcPr>
          <w:p>
            <w:pPr/>
          </w:p>
        </w:tc>
        <w:tc>
          <w:tcPr>
            <w:tcW w:w="884" w:type="dxa"/>
            <w:tcBorders>
              <w:top w:val="nil" w:sz="6" w:space="0" w:color="auto"/>
              <w:left w:val="nil" w:sz="6" w:space="0" w:color="auto"/>
              <w:bottom w:val="nil" w:sz="6" w:space="0" w:color="auto"/>
              <w:right w:val="nil" w:sz="6" w:space="0" w:color="auto"/>
            </w:tcBorders>
          </w:tcPr>
          <w:p>
            <w:pPr/>
          </w:p>
        </w:tc>
        <w:tc>
          <w:tcPr>
            <w:tcW w:w="874" w:type="dxa"/>
            <w:tcBorders>
              <w:top w:val="nil" w:sz="6" w:space="0" w:color="auto"/>
              <w:left w:val="nil" w:sz="6" w:space="0" w:color="auto"/>
              <w:bottom w:val="nil" w:sz="6" w:space="0" w:color="auto"/>
              <w:right w:val="nil" w:sz="6" w:space="0" w:color="auto"/>
            </w:tcBorders>
          </w:tcPr>
          <w:p>
            <w:pPr/>
          </w:p>
        </w:tc>
      </w:tr>
      <w:tr>
        <w:trPr>
          <w:trHeight w:val="301" w:hRule="exact"/>
        </w:trPr>
        <w:tc>
          <w:tcPr>
            <w:tcW w:w="2418"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5" w:right="0"/>
              <w:jc w:val="left"/>
              <w:rPr>
                <w:rFonts w:ascii="宋体" w:hAnsi="宋体" w:cs="宋体" w:eastAsia="宋体" w:hint="default"/>
                <w:sz w:val="15"/>
                <w:szCs w:val="15"/>
              </w:rPr>
            </w:pPr>
            <w:r>
              <w:rPr>
                <w:rFonts w:ascii="宋体" w:hAnsi="宋体" w:cs="宋体" w:eastAsia="宋体" w:hint="default"/>
                <w:sz w:val="15"/>
                <w:szCs w:val="15"/>
              </w:rPr>
              <w:t>东软科技有限公司</w:t>
            </w:r>
          </w:p>
        </w:tc>
        <w:tc>
          <w:tcPr>
            <w:tcW w:w="1064" w:type="dxa"/>
            <w:tcBorders>
              <w:top w:val="nil" w:sz="6" w:space="0" w:color="auto"/>
              <w:left w:val="nil" w:sz="6" w:space="0" w:color="auto"/>
              <w:bottom w:val="single" w:sz="12" w:space="0" w:color="000000"/>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63,329,610</w:t>
            </w:r>
          </w:p>
        </w:tc>
        <w:tc>
          <w:tcPr>
            <w:tcW w:w="1023"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77"/>
              <w:jc w:val="right"/>
              <w:rPr>
                <w:rFonts w:ascii="Times New Roman" w:hAnsi="Times New Roman" w:cs="Times New Roman" w:eastAsia="Times New Roman" w:hint="default"/>
                <w:sz w:val="15"/>
                <w:szCs w:val="15"/>
              </w:rPr>
            </w:pPr>
            <w:r>
              <w:rPr>
                <w:rFonts w:ascii="Times New Roman"/>
                <w:spacing w:val="-1"/>
                <w:sz w:val="15"/>
              </w:rPr>
              <w:t>63,329,610</w:t>
            </w:r>
          </w:p>
        </w:tc>
        <w:tc>
          <w:tcPr>
            <w:tcW w:w="921" w:type="dxa"/>
            <w:tcBorders>
              <w:top w:val="nil" w:sz="6" w:space="0" w:color="auto"/>
              <w:left w:val="nil" w:sz="6" w:space="0" w:color="auto"/>
              <w:bottom w:val="single" w:sz="12" w:space="0" w:color="000000"/>
              <w:right w:val="nil" w:sz="6" w:space="0" w:color="auto"/>
            </w:tcBorders>
          </w:tcPr>
          <w:p>
            <w:pPr/>
          </w:p>
        </w:tc>
        <w:tc>
          <w:tcPr>
            <w:tcW w:w="951"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left="56" w:right="0"/>
              <w:jc w:val="center"/>
              <w:rPr>
                <w:rFonts w:ascii="Times New Roman" w:hAnsi="Times New Roman" w:cs="Times New Roman" w:eastAsia="Times New Roman" w:hint="default"/>
                <w:sz w:val="15"/>
                <w:szCs w:val="15"/>
              </w:rPr>
            </w:pPr>
            <w:r>
              <w:rPr>
                <w:rFonts w:ascii="Times New Roman"/>
                <w:sz w:val="15"/>
              </w:rPr>
              <w:t>63,329,610</w:t>
            </w:r>
          </w:p>
        </w:tc>
        <w:tc>
          <w:tcPr>
            <w:tcW w:w="865"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230"/>
              <w:jc w:val="right"/>
              <w:rPr>
                <w:rFonts w:ascii="Times New Roman" w:hAnsi="Times New Roman" w:cs="Times New Roman" w:eastAsia="Times New Roman" w:hint="default"/>
                <w:sz w:val="15"/>
                <w:szCs w:val="15"/>
              </w:rPr>
            </w:pPr>
            <w:r>
              <w:rPr>
                <w:rFonts w:ascii="Times New Roman"/>
                <w:spacing w:val="-1"/>
                <w:sz w:val="15"/>
              </w:rPr>
              <w:t>100.00</w:t>
            </w:r>
          </w:p>
        </w:tc>
        <w:tc>
          <w:tcPr>
            <w:tcW w:w="986"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left="18" w:right="0"/>
              <w:jc w:val="center"/>
              <w:rPr>
                <w:rFonts w:ascii="Times New Roman" w:hAnsi="Times New Roman" w:cs="Times New Roman" w:eastAsia="Times New Roman" w:hint="default"/>
                <w:sz w:val="15"/>
                <w:szCs w:val="15"/>
              </w:rPr>
            </w:pPr>
            <w:r>
              <w:rPr>
                <w:rFonts w:ascii="Times New Roman"/>
                <w:sz w:val="15"/>
              </w:rPr>
              <w:t>100.00</w:t>
            </w:r>
          </w:p>
        </w:tc>
        <w:tc>
          <w:tcPr>
            <w:tcW w:w="1458" w:type="dxa"/>
            <w:tcBorders>
              <w:top w:val="nil" w:sz="6" w:space="0" w:color="auto"/>
              <w:left w:val="nil" w:sz="6" w:space="0" w:color="auto"/>
              <w:bottom w:val="single" w:sz="12" w:space="0" w:color="000000"/>
              <w:right w:val="nil" w:sz="6" w:space="0" w:color="auto"/>
            </w:tcBorders>
          </w:tcPr>
          <w:p>
            <w:pPr/>
          </w:p>
        </w:tc>
        <w:tc>
          <w:tcPr>
            <w:tcW w:w="837" w:type="dxa"/>
            <w:tcBorders>
              <w:top w:val="nil" w:sz="6" w:space="0" w:color="auto"/>
              <w:left w:val="nil" w:sz="6" w:space="0" w:color="auto"/>
              <w:bottom w:val="single" w:sz="12" w:space="0" w:color="000000"/>
              <w:right w:val="nil" w:sz="6" w:space="0" w:color="auto"/>
            </w:tcBorders>
          </w:tcPr>
          <w:p>
            <w:pPr/>
          </w:p>
        </w:tc>
        <w:tc>
          <w:tcPr>
            <w:tcW w:w="884" w:type="dxa"/>
            <w:tcBorders>
              <w:top w:val="nil" w:sz="6" w:space="0" w:color="auto"/>
              <w:left w:val="nil" w:sz="6" w:space="0" w:color="auto"/>
              <w:bottom w:val="single" w:sz="12" w:space="0" w:color="000000"/>
              <w:right w:val="nil" w:sz="6" w:space="0" w:color="auto"/>
            </w:tcBorders>
          </w:tcPr>
          <w:p>
            <w:pPr/>
          </w:p>
        </w:tc>
        <w:tc>
          <w:tcPr>
            <w:tcW w:w="874" w:type="dxa"/>
            <w:tcBorders>
              <w:top w:val="nil" w:sz="6" w:space="0" w:color="auto"/>
              <w:left w:val="nil" w:sz="6" w:space="0" w:color="auto"/>
              <w:bottom w:val="single" w:sz="12" w:space="0" w:color="000000"/>
              <w:right w:val="nil" w:sz="6" w:space="0" w:color="auto"/>
            </w:tcBorders>
          </w:tcPr>
          <w:p>
            <w:pPr/>
          </w:p>
        </w:tc>
      </w:tr>
    </w:tbl>
    <w:p>
      <w:pPr>
        <w:spacing w:after="0"/>
        <w:sectPr>
          <w:pgSz w:w="16840" w:h="11910" w:orient="landscape"/>
          <w:pgMar w:header="883" w:footer="999" w:top="1600" w:bottom="1180" w:left="1300" w:right="1280"/>
        </w:sectPr>
      </w:pPr>
    </w:p>
    <w:p>
      <w:pPr>
        <w:spacing w:line="240" w:lineRule="auto" w:before="11"/>
        <w:rPr>
          <w:rFonts w:ascii="Times New Roman" w:hAnsi="Times New Roman" w:cs="Times New Roman" w:eastAsia="Times New Roman" w:hint="default"/>
          <w:sz w:val="28"/>
          <w:szCs w:val="28"/>
        </w:rPr>
      </w:pPr>
      <w:r>
        <w:rPr/>
        <w:pict>
          <v:group style="position:absolute;margin-left:101.000999pt;margin-top:89.879997pt;width:671.65pt;height:411pt;mso-position-horizontal-relative:page;mso-position-vertical-relative:page;z-index:-1100440" coordorigin="2020,1798" coordsize="13433,8220">
            <v:group style="position:absolute;left:2049;top:1813;width:13376;height:2" coordorigin="2049,1813" coordsize="13376,2">
              <v:shape style="position:absolute;left:2049;top:1813;width:13376;height:2" coordorigin="2049,1813" coordsize="13376,0" path="m2049,1813l15425,1813e" filled="false" stroked="true" strokeweight="1.5pt" strokecolor="#000000">
                <v:path arrowok="t"/>
              </v:shape>
              <v:shape style="position:absolute;left:4668;top:1799;width:9930;height:1198" type="#_x0000_t75" stroked="false">
                <v:imagedata r:id="rId421" o:title=""/>
              </v:shape>
            </v:group>
            <v:group style="position:absolute;left:2035;top:10003;width:2662;height:2" coordorigin="2035,10003" coordsize="2662,2">
              <v:shape style="position:absolute;left:2035;top:10003;width:2662;height:2" coordorigin="2035,10003" coordsize="2662,0" path="m2035,10003l4697,10003e" filled="false" stroked="true" strokeweight="1.5pt" strokecolor="#000000">
                <v:path arrowok="t"/>
              </v:shape>
            </v:group>
            <v:group style="position:absolute;left:4697;top:10003;width:711;height:2" coordorigin="4697,10003" coordsize="711,2">
              <v:shape style="position:absolute;left:4697;top:10003;width:711;height:2" coordorigin="4697,10003" coordsize="711,0" path="m4697,10003l5407,10003e" filled="false" stroked="true" strokeweight="1.5pt" strokecolor="#000000">
                <v:path arrowok="t"/>
              </v:shape>
            </v:group>
            <v:group style="position:absolute;left:5407;top:10003;width:1136;height:2" coordorigin="5407,10003" coordsize="1136,2">
              <v:shape style="position:absolute;left:5407;top:10003;width:1136;height:2" coordorigin="5407,10003" coordsize="1136,0" path="m5407,10003l6542,10003e" filled="false" stroked="true" strokeweight="1.5pt" strokecolor="#000000">
                <v:path arrowok="t"/>
              </v:shape>
            </v:group>
            <v:group style="position:absolute;left:6542;top:10003;width:1130;height:2" coordorigin="6542,10003" coordsize="1130,2">
              <v:shape style="position:absolute;left:6542;top:10003;width:1130;height:2" coordorigin="6542,10003" coordsize="1130,0" path="m6542,10003l7671,10003e" filled="false" stroked="true" strokeweight="1.5pt" strokecolor="#000000">
                <v:path arrowok="t"/>
              </v:shape>
            </v:group>
            <v:group style="position:absolute;left:7671;top:10003;width:854;height:2" coordorigin="7671,10003" coordsize="854,2">
              <v:shape style="position:absolute;left:7671;top:10003;width:854;height:2" coordorigin="7671,10003" coordsize="854,0" path="m7671,10003l8525,10003e" filled="false" stroked="true" strokeweight="1.5pt" strokecolor="#000000">
                <v:path arrowok="t"/>
              </v:shape>
            </v:group>
            <v:group style="position:absolute;left:8525;top:10003;width:990;height:2" coordorigin="8525,10003" coordsize="990,2">
              <v:shape style="position:absolute;left:8525;top:10003;width:990;height:2" coordorigin="8525,10003" coordsize="990,0" path="m8525,10003l9515,10003e" filled="false" stroked="true" strokeweight="1.5pt" strokecolor="#000000">
                <v:path arrowok="t"/>
              </v:shape>
            </v:group>
            <v:group style="position:absolute;left:9515;top:10003;width:858;height:2" coordorigin="9515,10003" coordsize="858,2">
              <v:shape style="position:absolute;left:9515;top:10003;width:858;height:2" coordorigin="9515,10003" coordsize="858,0" path="m9515,10003l10373,10003e" filled="false" stroked="true" strokeweight="1.5pt" strokecolor="#000000">
                <v:path arrowok="t"/>
              </v:shape>
            </v:group>
            <v:group style="position:absolute;left:10373;top:10003;width:964;height:2" coordorigin="10373,10003" coordsize="964,2">
              <v:shape style="position:absolute;left:10373;top:10003;width:964;height:2" coordorigin="10373,10003" coordsize="964,0" path="m10373,10003l11336,10003e" filled="false" stroked="true" strokeweight="1.5pt" strokecolor="#000000">
                <v:path arrowok="t"/>
              </v:shape>
            </v:group>
            <v:group style="position:absolute;left:11336;top:10003;width:1463;height:2" coordorigin="11336,10003" coordsize="1463,2">
              <v:shape style="position:absolute;left:11336;top:10003;width:1463;height:2" coordorigin="11336,10003" coordsize="1463,0" path="m11336,10003l12799,10003e" filled="false" stroked="true" strokeweight="1.5pt" strokecolor="#000000">
                <v:path arrowok="t"/>
              </v:shape>
            </v:group>
            <v:group style="position:absolute;left:12799;top:10003;width:845;height:2" coordorigin="12799,10003" coordsize="845,2">
              <v:shape style="position:absolute;left:12799;top:10003;width:845;height:2" coordorigin="12799,10003" coordsize="845,0" path="m12799,10003l13644,10003e" filled="false" stroked="true" strokeweight="1.5pt" strokecolor="#000000">
                <v:path arrowok="t"/>
              </v:shape>
            </v:group>
            <v:group style="position:absolute;left:13644;top:10003;width:916;height:2" coordorigin="13644,10003" coordsize="916,2">
              <v:shape style="position:absolute;left:13644;top:10003;width:916;height:2" coordorigin="13644,10003" coordsize="916,0" path="m13644,10003l14559,10003e" filled="false" stroked="true" strokeweight="1.5pt" strokecolor="#000000">
                <v:path arrowok="t"/>
              </v:shape>
              <v:shape style="position:absolute;left:2030;top:2948;width:13422;height:7039" type="#_x0000_t75" stroked="false">
                <v:imagedata r:id="rId423" o:title=""/>
              </v:shape>
            </v:group>
            <v:group style="position:absolute;left:14559;top:10003;width:866;height:2" coordorigin="14559,10003" coordsize="866,2">
              <v:shape style="position:absolute;left:14559;top:10003;width:866;height:2" coordorigin="14559,10003" coordsize="866,0" path="m14559,10003l15425,10003e" filled="false" stroked="true" strokeweight="1.5pt" strokecolor="#000000">
                <v:path arrowok="t"/>
              </v:shape>
            </v:group>
            <w10:wrap type="none"/>
          </v:group>
        </w:pict>
      </w:r>
    </w:p>
    <w:tbl>
      <w:tblPr>
        <w:tblW w:w="0" w:type="auto"/>
        <w:jc w:val="left"/>
        <w:tblInd w:w="715" w:type="dxa"/>
        <w:tblLayout w:type="fixed"/>
        <w:tblCellMar>
          <w:top w:w="0" w:type="dxa"/>
          <w:left w:w="0" w:type="dxa"/>
          <w:bottom w:w="0" w:type="dxa"/>
          <w:right w:w="0" w:type="dxa"/>
        </w:tblCellMar>
        <w:tblLook w:val="01E0"/>
      </w:tblPr>
      <w:tblGrid>
        <w:gridCol w:w="2437"/>
        <w:gridCol w:w="1064"/>
        <w:gridCol w:w="1108"/>
        <w:gridCol w:w="1040"/>
        <w:gridCol w:w="904"/>
        <w:gridCol w:w="951"/>
        <w:gridCol w:w="865"/>
        <w:gridCol w:w="986"/>
        <w:gridCol w:w="1458"/>
        <w:gridCol w:w="844"/>
        <w:gridCol w:w="877"/>
        <w:gridCol w:w="802"/>
      </w:tblGrid>
      <w:tr>
        <w:trPr>
          <w:trHeight w:val="844"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11"/>
              <w:ind w:left="982" w:right="0"/>
              <w:jc w:val="left"/>
              <w:rPr>
                <w:rFonts w:ascii="宋体" w:hAnsi="宋体" w:cs="宋体" w:eastAsia="宋体" w:hint="default"/>
                <w:sz w:val="15"/>
                <w:szCs w:val="15"/>
              </w:rPr>
            </w:pPr>
            <w:r>
              <w:rPr>
                <w:rFonts w:ascii="宋体" w:hAnsi="宋体" w:cs="宋体" w:eastAsia="宋体" w:hint="default"/>
                <w:sz w:val="15"/>
                <w:szCs w:val="15"/>
              </w:rPr>
              <w:t>被投资单位</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11"/>
              <w:ind w:left="140" w:right="0"/>
              <w:jc w:val="center"/>
              <w:rPr>
                <w:rFonts w:ascii="宋体" w:hAnsi="宋体" w:cs="宋体" w:eastAsia="宋体" w:hint="default"/>
                <w:sz w:val="15"/>
                <w:szCs w:val="15"/>
              </w:rPr>
            </w:pPr>
            <w:r>
              <w:rPr>
                <w:rFonts w:ascii="宋体" w:hAnsi="宋体" w:cs="宋体" w:eastAsia="宋体" w:hint="default"/>
                <w:sz w:val="15"/>
                <w:szCs w:val="15"/>
              </w:rPr>
              <w:t>核算方法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11"/>
              <w:ind w:left="161" w:right="0"/>
              <w:jc w:val="left"/>
              <w:rPr>
                <w:rFonts w:ascii="宋体" w:hAnsi="宋体" w:cs="宋体" w:eastAsia="宋体" w:hint="default"/>
                <w:sz w:val="15"/>
                <w:szCs w:val="15"/>
              </w:rPr>
            </w:pPr>
            <w:r>
              <w:rPr>
                <w:rFonts w:ascii="宋体" w:hAnsi="宋体" w:cs="宋体" w:eastAsia="宋体" w:hint="default"/>
                <w:sz w:val="15"/>
                <w:szCs w:val="15"/>
              </w:rPr>
              <w:t>投资成本</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11"/>
              <w:ind w:left="185"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11"/>
              <w:ind w:left="95" w:right="0"/>
              <w:jc w:val="left"/>
              <w:rPr>
                <w:rFonts w:ascii="宋体" w:hAnsi="宋体" w:cs="宋体" w:eastAsia="宋体" w:hint="default"/>
                <w:sz w:val="15"/>
                <w:szCs w:val="15"/>
              </w:rPr>
            </w:pPr>
            <w:r>
              <w:rPr>
                <w:rFonts w:ascii="宋体" w:hAnsi="宋体" w:cs="宋体" w:eastAsia="宋体" w:hint="default"/>
                <w:sz w:val="15"/>
                <w:szCs w:val="15"/>
              </w:rPr>
              <w:t>增减变动</w:t>
            </w: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11"/>
              <w:ind w:left="153" w:right="0"/>
              <w:jc w:val="left"/>
              <w:rPr>
                <w:rFonts w:ascii="宋体" w:hAnsi="宋体" w:cs="宋体" w:eastAsia="宋体" w:hint="default"/>
                <w:sz w:val="15"/>
                <w:szCs w:val="15"/>
              </w:rPr>
            </w:pPr>
            <w:r>
              <w:rPr>
                <w:rFonts w:ascii="宋体" w:hAnsi="宋体" w:cs="宋体" w:eastAsia="宋体" w:hint="default"/>
                <w:sz w:val="15"/>
                <w:szCs w:val="15"/>
              </w:rPr>
              <w:t>期末余额</w:t>
            </w:r>
          </w:p>
        </w:tc>
        <w:tc>
          <w:tcPr>
            <w:tcW w:w="865" w:type="dxa"/>
            <w:tcBorders>
              <w:top w:val="nil" w:sz="6" w:space="0" w:color="auto"/>
              <w:left w:val="nil" w:sz="6" w:space="0" w:color="auto"/>
              <w:bottom w:val="nil" w:sz="6" w:space="0" w:color="auto"/>
              <w:right w:val="nil" w:sz="6" w:space="0" w:color="auto"/>
            </w:tcBorders>
          </w:tcPr>
          <w:p>
            <w:pPr>
              <w:pStyle w:val="TableParagraph"/>
              <w:spacing w:line="463" w:lineRule="auto" w:before="53"/>
              <w:ind w:left="133" w:right="-19" w:hanging="24"/>
              <w:jc w:val="left"/>
              <w:rPr>
                <w:rFonts w:ascii="宋体" w:hAnsi="宋体" w:cs="宋体" w:eastAsia="宋体" w:hint="default"/>
                <w:sz w:val="15"/>
                <w:szCs w:val="15"/>
              </w:rPr>
            </w:pPr>
            <w:r>
              <w:rPr>
                <w:rFonts w:ascii="宋体" w:hAnsi="宋体" w:cs="宋体" w:eastAsia="宋体" w:hint="default"/>
                <w:sz w:val="15"/>
                <w:szCs w:val="15"/>
              </w:rPr>
              <w:t>在被投资单 位持股比例</w:t>
            </w:r>
          </w:p>
        </w:tc>
        <w:tc>
          <w:tcPr>
            <w:tcW w:w="986" w:type="dxa"/>
            <w:tcBorders>
              <w:top w:val="nil" w:sz="6" w:space="0" w:color="auto"/>
              <w:left w:val="nil" w:sz="6" w:space="0" w:color="auto"/>
              <w:bottom w:val="nil" w:sz="6" w:space="0" w:color="auto"/>
              <w:right w:val="nil" w:sz="6" w:space="0" w:color="auto"/>
            </w:tcBorders>
          </w:tcPr>
          <w:p>
            <w:pPr>
              <w:pStyle w:val="TableParagraph"/>
              <w:spacing w:line="390" w:lineRule="atLeast" w:before="49"/>
              <w:ind w:right="8" w:firstLine="37"/>
              <w:jc w:val="left"/>
              <w:rPr>
                <w:rFonts w:ascii="Times New Roman" w:hAnsi="Times New Roman" w:cs="Times New Roman" w:eastAsia="Times New Roman" w:hint="default"/>
                <w:sz w:val="15"/>
                <w:szCs w:val="15"/>
              </w:rPr>
            </w:pPr>
            <w:r>
              <w:rPr>
                <w:rFonts w:ascii="宋体" w:hAnsi="宋体" w:cs="宋体" w:eastAsia="宋体" w:hint="default"/>
                <w:sz w:val="15"/>
                <w:szCs w:val="15"/>
              </w:rPr>
              <w:t>在被投资单位 表决权比例</w:t>
            </w:r>
            <w:r>
              <w:rPr>
                <w:rFonts w:ascii="Times New Roman" w:hAnsi="Times New Roman" w:cs="Times New Roman" w:eastAsia="Times New Roman" w:hint="default"/>
                <w:sz w:val="15"/>
                <w:szCs w:val="15"/>
              </w:rPr>
              <w:t>(%)</w:t>
            </w:r>
          </w:p>
        </w:tc>
        <w:tc>
          <w:tcPr>
            <w:tcW w:w="1458" w:type="dxa"/>
            <w:tcBorders>
              <w:top w:val="nil" w:sz="6" w:space="0" w:color="auto"/>
              <w:left w:val="nil" w:sz="6" w:space="0" w:color="auto"/>
              <w:bottom w:val="nil" w:sz="6" w:space="0" w:color="auto"/>
              <w:right w:val="nil" w:sz="6" w:space="0" w:color="auto"/>
            </w:tcBorders>
          </w:tcPr>
          <w:p>
            <w:pPr>
              <w:pStyle w:val="TableParagraph"/>
              <w:spacing w:line="463" w:lineRule="auto" w:before="53"/>
              <w:ind w:left="124" w:right="95" w:hanging="114"/>
              <w:jc w:val="left"/>
              <w:rPr>
                <w:rFonts w:ascii="宋体" w:hAnsi="宋体" w:cs="宋体" w:eastAsia="宋体" w:hint="default"/>
                <w:sz w:val="15"/>
                <w:szCs w:val="15"/>
              </w:rPr>
            </w:pPr>
            <w:r>
              <w:rPr>
                <w:rFonts w:ascii="宋体" w:hAnsi="宋体" w:cs="宋体" w:eastAsia="宋体" w:hint="default"/>
                <w:sz w:val="15"/>
                <w:szCs w:val="15"/>
              </w:rPr>
              <w:t>在被投资单位持股比 例与表决权比例不</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11"/>
              <w:ind w:right="145"/>
              <w:jc w:val="right"/>
              <w:rPr>
                <w:rFonts w:ascii="宋体" w:hAnsi="宋体" w:cs="宋体" w:eastAsia="宋体" w:hint="default"/>
                <w:sz w:val="15"/>
                <w:szCs w:val="15"/>
              </w:rPr>
            </w:pPr>
            <w:r>
              <w:rPr>
                <w:rFonts w:ascii="宋体" w:hAnsi="宋体" w:cs="宋体" w:eastAsia="宋体" w:hint="default"/>
                <w:sz w:val="15"/>
                <w:szCs w:val="15"/>
              </w:rPr>
              <w:t>减值准备</w:t>
            </w:r>
          </w:p>
        </w:tc>
        <w:tc>
          <w:tcPr>
            <w:tcW w:w="877" w:type="dxa"/>
            <w:tcBorders>
              <w:top w:val="nil" w:sz="6" w:space="0" w:color="auto"/>
              <w:left w:val="nil" w:sz="6" w:space="0" w:color="auto"/>
              <w:bottom w:val="nil" w:sz="6" w:space="0" w:color="auto"/>
              <w:right w:val="nil" w:sz="6" w:space="0" w:color="auto"/>
            </w:tcBorders>
          </w:tcPr>
          <w:p>
            <w:pPr>
              <w:pStyle w:val="TableParagraph"/>
              <w:spacing w:line="380" w:lineRule="atLeast" w:before="59"/>
              <w:ind w:left="132" w:right="142"/>
              <w:jc w:val="left"/>
              <w:rPr>
                <w:rFonts w:ascii="宋体" w:hAnsi="宋体" w:cs="宋体" w:eastAsia="宋体" w:hint="default"/>
                <w:sz w:val="15"/>
                <w:szCs w:val="15"/>
              </w:rPr>
            </w:pPr>
            <w:r>
              <w:rPr>
                <w:rFonts w:ascii="宋体" w:hAnsi="宋体" w:cs="宋体" w:eastAsia="宋体" w:hint="default"/>
                <w:sz w:val="15"/>
                <w:szCs w:val="15"/>
              </w:rPr>
              <w:t>本期计提 减值准备</w:t>
            </w:r>
          </w:p>
        </w:tc>
        <w:tc>
          <w:tcPr>
            <w:tcW w:w="802" w:type="dxa"/>
            <w:tcBorders>
              <w:top w:val="nil" w:sz="6" w:space="0" w:color="auto"/>
              <w:left w:val="nil" w:sz="6" w:space="0" w:color="auto"/>
              <w:bottom w:val="nil" w:sz="6" w:space="0" w:color="auto"/>
              <w:right w:val="nil" w:sz="6" w:space="0" w:color="auto"/>
            </w:tcBorders>
          </w:tcPr>
          <w:p>
            <w:pPr>
              <w:pStyle w:val="TableParagraph"/>
              <w:spacing w:line="380" w:lineRule="atLeast" w:before="59"/>
              <w:ind w:left="294" w:right="55" w:hanging="150"/>
              <w:jc w:val="left"/>
              <w:rPr>
                <w:rFonts w:ascii="宋体" w:hAnsi="宋体" w:cs="宋体" w:eastAsia="宋体" w:hint="default"/>
                <w:sz w:val="15"/>
                <w:szCs w:val="15"/>
              </w:rPr>
            </w:pPr>
            <w:r>
              <w:rPr>
                <w:rFonts w:ascii="宋体" w:hAnsi="宋体" w:cs="宋体" w:eastAsia="宋体" w:hint="default"/>
                <w:sz w:val="15"/>
                <w:szCs w:val="15"/>
              </w:rPr>
              <w:t>本期现金 红利</w:t>
            </w:r>
          </w:p>
        </w:tc>
      </w:tr>
      <w:tr>
        <w:trPr>
          <w:trHeight w:val="294" w:hRule="exact"/>
        </w:trPr>
        <w:tc>
          <w:tcPr>
            <w:tcW w:w="2437" w:type="dxa"/>
            <w:tcBorders>
              <w:top w:val="nil" w:sz="6" w:space="0" w:color="auto"/>
              <w:left w:val="nil" w:sz="6" w:space="0" w:color="auto"/>
              <w:bottom w:val="nil" w:sz="6" w:space="0" w:color="auto"/>
              <w:right w:val="nil" w:sz="6" w:space="0" w:color="auto"/>
            </w:tcBorders>
          </w:tcPr>
          <w:p>
            <w:pPr/>
          </w:p>
        </w:tc>
        <w:tc>
          <w:tcPr>
            <w:tcW w:w="1064" w:type="dxa"/>
            <w:tcBorders>
              <w:top w:val="nil" w:sz="6" w:space="0" w:color="auto"/>
              <w:left w:val="nil" w:sz="6" w:space="0" w:color="auto"/>
              <w:bottom w:val="nil" w:sz="6" w:space="0" w:color="auto"/>
              <w:right w:val="nil" w:sz="6" w:space="0" w:color="auto"/>
            </w:tcBorders>
          </w:tcPr>
          <w:p>
            <w:pPr/>
          </w:p>
        </w:tc>
        <w:tc>
          <w:tcPr>
            <w:tcW w:w="1108"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
        </w:tc>
        <w:tc>
          <w:tcPr>
            <w:tcW w:w="904"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95" w:right="0"/>
              <w:jc w:val="left"/>
              <w:rPr>
                <w:rFonts w:ascii="Times New Roman" w:hAnsi="Times New Roman" w:cs="Times New Roman" w:eastAsia="Times New Roman" w:hint="default"/>
                <w:sz w:val="15"/>
                <w:szCs w:val="15"/>
              </w:rPr>
            </w:pPr>
            <w:r>
              <w:rPr>
                <w:rFonts w:ascii="Times New Roman"/>
                <w:sz w:val="15"/>
              </w:rPr>
              <w:t>(%)</w:t>
            </w:r>
          </w:p>
        </w:tc>
        <w:tc>
          <w:tcPr>
            <w:tcW w:w="986"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Style w:val="TableParagraph"/>
              <w:spacing w:line="166" w:lineRule="exact"/>
              <w:ind w:left="350" w:right="0"/>
              <w:jc w:val="left"/>
              <w:rPr>
                <w:rFonts w:ascii="宋体" w:hAnsi="宋体" w:cs="宋体" w:eastAsia="宋体" w:hint="default"/>
                <w:sz w:val="15"/>
                <w:szCs w:val="15"/>
              </w:rPr>
            </w:pPr>
            <w:r>
              <w:rPr>
                <w:rFonts w:ascii="宋体" w:hAnsi="宋体" w:cs="宋体" w:eastAsia="宋体" w:hint="default"/>
                <w:sz w:val="15"/>
                <w:szCs w:val="15"/>
              </w:rPr>
              <w:t>一致的说明</w:t>
            </w:r>
          </w:p>
        </w:tc>
        <w:tc>
          <w:tcPr>
            <w:tcW w:w="844"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r>
      <w:tr>
        <w:trPr>
          <w:trHeight w:val="39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5"/>
                <w:szCs w:val="15"/>
              </w:rPr>
            </w:pPr>
            <w:r>
              <w:rPr>
                <w:rFonts w:ascii="宋体" w:hAnsi="宋体" w:cs="宋体" w:eastAsia="宋体" w:hint="default"/>
                <w:sz w:val="15"/>
                <w:szCs w:val="15"/>
              </w:rPr>
              <w:t>辽宁东软创业投资有限公司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80,552,833</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4"/>
              <w:jc w:val="right"/>
              <w:rPr>
                <w:rFonts w:ascii="Times New Roman" w:hAnsi="Times New Roman" w:cs="Times New Roman" w:eastAsia="Times New Roman" w:hint="default"/>
                <w:sz w:val="15"/>
                <w:szCs w:val="15"/>
              </w:rPr>
            </w:pPr>
            <w:r>
              <w:rPr>
                <w:rFonts w:ascii="Times New Roman"/>
                <w:spacing w:val="-1"/>
                <w:sz w:val="15"/>
              </w:rPr>
              <w:t>80,552,833</w:t>
            </w:r>
          </w:p>
        </w:tc>
        <w:tc>
          <w:tcPr>
            <w:tcW w:w="904"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80,552,833</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55" w:right="0"/>
              <w:jc w:val="left"/>
              <w:rPr>
                <w:rFonts w:ascii="Times New Roman" w:hAnsi="Times New Roman" w:cs="Times New Roman" w:eastAsia="Times New Roman" w:hint="default"/>
                <w:sz w:val="15"/>
                <w:szCs w:val="15"/>
              </w:rPr>
            </w:pPr>
            <w:r>
              <w:rPr>
                <w:rFonts w:ascii="Times New Roman"/>
                <w:sz w:val="15"/>
              </w:rPr>
              <w:t>71.43</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13"/>
              <w:jc w:val="right"/>
              <w:rPr>
                <w:rFonts w:ascii="Times New Roman" w:hAnsi="Times New Roman" w:cs="Times New Roman" w:eastAsia="Times New Roman" w:hint="default"/>
                <w:sz w:val="15"/>
                <w:szCs w:val="15"/>
              </w:rPr>
            </w:pPr>
            <w:r>
              <w:rPr>
                <w:rFonts w:ascii="Times New Roman"/>
                <w:spacing w:val="-1"/>
                <w:sz w:val="15"/>
              </w:rPr>
              <w:t>71.43</w:t>
            </w:r>
          </w:p>
        </w:tc>
        <w:tc>
          <w:tcPr>
            <w:tcW w:w="1458"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66" w:right="0"/>
              <w:jc w:val="left"/>
              <w:rPr>
                <w:rFonts w:ascii="Times New Roman" w:hAnsi="Times New Roman" w:cs="Times New Roman" w:eastAsia="Times New Roman" w:hint="default"/>
                <w:sz w:val="15"/>
                <w:szCs w:val="15"/>
              </w:rPr>
            </w:pPr>
            <w:r>
              <w:rPr>
                <w:rFonts w:ascii="Times New Roman"/>
                <w:sz w:val="15"/>
              </w:rPr>
              <w:t>3,571,429</w:t>
            </w:r>
          </w:p>
        </w:tc>
      </w:tr>
      <w:tr>
        <w:trPr>
          <w:trHeight w:val="39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5"/>
                <w:szCs w:val="15"/>
              </w:rPr>
            </w:pPr>
            <w:r>
              <w:rPr>
                <w:rFonts w:ascii="宋体" w:hAnsi="宋体" w:cs="宋体" w:eastAsia="宋体" w:hint="default"/>
                <w:sz w:val="15"/>
                <w:szCs w:val="15"/>
              </w:rPr>
              <w:t>杭州东软软件有限公司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500,000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4"/>
              <w:jc w:val="right"/>
              <w:rPr>
                <w:rFonts w:ascii="Times New Roman" w:hAnsi="Times New Roman" w:cs="Times New Roman" w:eastAsia="Times New Roman" w:hint="default"/>
                <w:sz w:val="15"/>
                <w:szCs w:val="15"/>
              </w:rPr>
            </w:pPr>
            <w:r>
              <w:rPr>
                <w:rFonts w:ascii="Times New Roman"/>
                <w:spacing w:val="-1"/>
                <w:sz w:val="15"/>
              </w:rPr>
              <w:t>500,000</w:t>
            </w:r>
          </w:p>
        </w:tc>
        <w:tc>
          <w:tcPr>
            <w:tcW w:w="904"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500,000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78" w:right="0"/>
              <w:jc w:val="left"/>
              <w:rPr>
                <w:rFonts w:ascii="Times New Roman" w:hAnsi="Times New Roman" w:cs="Times New Roman" w:eastAsia="Times New Roman" w:hint="default"/>
                <w:sz w:val="15"/>
                <w:szCs w:val="15"/>
              </w:rPr>
            </w:pPr>
            <w:r>
              <w:rPr>
                <w:rFonts w:ascii="Times New Roman"/>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74"/>
              <w:jc w:val="right"/>
              <w:rPr>
                <w:rFonts w:ascii="Times New Roman" w:hAnsi="Times New Roman" w:cs="Times New Roman" w:eastAsia="Times New Roman" w:hint="default"/>
                <w:sz w:val="15"/>
                <w:szCs w:val="15"/>
              </w:rPr>
            </w:pPr>
            <w:r>
              <w:rPr>
                <w:rFonts w:ascii="Times New Roman"/>
                <w:spacing w:val="-1"/>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r>
      <w:tr>
        <w:trPr>
          <w:trHeight w:val="39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5"/>
                <w:szCs w:val="15"/>
              </w:rPr>
            </w:pPr>
            <w:r>
              <w:rPr>
                <w:rFonts w:ascii="宋体" w:hAnsi="宋体" w:cs="宋体" w:eastAsia="宋体" w:hint="default"/>
                <w:sz w:val="15"/>
                <w:szCs w:val="15"/>
              </w:rPr>
              <w:t>东软（欧洲）有限公司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71" w:right="0"/>
              <w:jc w:val="left"/>
              <w:rPr>
                <w:rFonts w:ascii="Times New Roman" w:hAnsi="Times New Roman" w:cs="Times New Roman" w:eastAsia="Times New Roman" w:hint="default"/>
                <w:sz w:val="15"/>
                <w:szCs w:val="15"/>
              </w:rPr>
            </w:pPr>
            <w:r>
              <w:rPr>
                <w:rFonts w:ascii="Times New Roman"/>
                <w:sz w:val="15"/>
              </w:rPr>
              <w:t>220,908,545</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3"/>
              <w:jc w:val="right"/>
              <w:rPr>
                <w:rFonts w:ascii="Times New Roman" w:hAnsi="Times New Roman" w:cs="Times New Roman" w:eastAsia="Times New Roman" w:hint="default"/>
                <w:sz w:val="15"/>
                <w:szCs w:val="15"/>
              </w:rPr>
            </w:pPr>
            <w:r>
              <w:rPr>
                <w:rFonts w:ascii="Times New Roman"/>
                <w:spacing w:val="-1"/>
                <w:sz w:val="15"/>
              </w:rPr>
              <w:t>192,985,447</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38" w:right="0"/>
              <w:jc w:val="left"/>
              <w:rPr>
                <w:rFonts w:ascii="Times New Roman" w:hAnsi="Times New Roman" w:cs="Times New Roman" w:eastAsia="Times New Roman" w:hint="default"/>
                <w:sz w:val="15"/>
                <w:szCs w:val="15"/>
              </w:rPr>
            </w:pPr>
            <w:r>
              <w:rPr>
                <w:rFonts w:ascii="Times New Roman"/>
                <w:sz w:val="15"/>
              </w:rPr>
              <w:t>66,675,555</w:t>
            </w: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259,661,002</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78" w:right="0"/>
              <w:jc w:val="left"/>
              <w:rPr>
                <w:rFonts w:ascii="Times New Roman" w:hAnsi="Times New Roman" w:cs="Times New Roman" w:eastAsia="Times New Roman" w:hint="default"/>
                <w:sz w:val="15"/>
                <w:szCs w:val="15"/>
              </w:rPr>
            </w:pPr>
            <w:r>
              <w:rPr>
                <w:rFonts w:ascii="Times New Roman"/>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74"/>
              <w:jc w:val="right"/>
              <w:rPr>
                <w:rFonts w:ascii="Times New Roman" w:hAnsi="Times New Roman" w:cs="Times New Roman" w:eastAsia="Times New Roman" w:hint="default"/>
                <w:sz w:val="15"/>
                <w:szCs w:val="15"/>
              </w:rPr>
            </w:pPr>
            <w:r>
              <w:rPr>
                <w:rFonts w:ascii="Times New Roman"/>
                <w:spacing w:val="-1"/>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r>
      <w:tr>
        <w:trPr>
          <w:trHeight w:val="39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5"/>
                <w:szCs w:val="15"/>
              </w:rPr>
            </w:pPr>
            <w:r>
              <w:rPr>
                <w:rFonts w:ascii="宋体" w:hAnsi="宋体" w:cs="宋体" w:eastAsia="宋体" w:hint="default"/>
                <w:sz w:val="15"/>
                <w:szCs w:val="15"/>
              </w:rPr>
              <w:t>东软集团（天津）有限公司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20,000,000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4"/>
              <w:jc w:val="right"/>
              <w:rPr>
                <w:rFonts w:ascii="Times New Roman" w:hAnsi="Times New Roman" w:cs="Times New Roman" w:eastAsia="Times New Roman" w:hint="default"/>
                <w:sz w:val="15"/>
                <w:szCs w:val="15"/>
              </w:rPr>
            </w:pPr>
            <w:r>
              <w:rPr>
                <w:rFonts w:ascii="Times New Roman"/>
                <w:spacing w:val="-1"/>
                <w:sz w:val="15"/>
              </w:rPr>
              <w:t>20,000,000</w:t>
            </w:r>
          </w:p>
        </w:tc>
        <w:tc>
          <w:tcPr>
            <w:tcW w:w="904"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20,000,000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78" w:right="0"/>
              <w:jc w:val="left"/>
              <w:rPr>
                <w:rFonts w:ascii="Times New Roman" w:hAnsi="Times New Roman" w:cs="Times New Roman" w:eastAsia="Times New Roman" w:hint="default"/>
                <w:sz w:val="15"/>
                <w:szCs w:val="15"/>
              </w:rPr>
            </w:pPr>
            <w:r>
              <w:rPr>
                <w:rFonts w:ascii="Times New Roman"/>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74"/>
              <w:jc w:val="right"/>
              <w:rPr>
                <w:rFonts w:ascii="Times New Roman" w:hAnsi="Times New Roman" w:cs="Times New Roman" w:eastAsia="Times New Roman" w:hint="default"/>
                <w:sz w:val="15"/>
                <w:szCs w:val="15"/>
              </w:rPr>
            </w:pPr>
            <w:r>
              <w:rPr>
                <w:rFonts w:ascii="Times New Roman"/>
                <w:spacing w:val="-1"/>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r>
      <w:tr>
        <w:trPr>
          <w:trHeight w:val="39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5"/>
                <w:szCs w:val="15"/>
              </w:rPr>
            </w:pPr>
            <w:r>
              <w:rPr>
                <w:rFonts w:ascii="宋体" w:hAnsi="宋体" w:cs="宋体" w:eastAsia="宋体" w:hint="default"/>
                <w:sz w:val="15"/>
                <w:szCs w:val="15"/>
              </w:rPr>
              <w:t>东软集团（唐山）有限公司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30,000,000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4"/>
              <w:jc w:val="right"/>
              <w:rPr>
                <w:rFonts w:ascii="Times New Roman" w:hAnsi="Times New Roman" w:cs="Times New Roman" w:eastAsia="Times New Roman" w:hint="default"/>
                <w:sz w:val="15"/>
                <w:szCs w:val="15"/>
              </w:rPr>
            </w:pPr>
            <w:r>
              <w:rPr>
                <w:rFonts w:ascii="Times New Roman"/>
                <w:spacing w:val="-1"/>
                <w:sz w:val="15"/>
              </w:rPr>
              <w:t>30,000,000</w:t>
            </w:r>
          </w:p>
        </w:tc>
        <w:tc>
          <w:tcPr>
            <w:tcW w:w="904"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30,000,000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78" w:right="0"/>
              <w:jc w:val="left"/>
              <w:rPr>
                <w:rFonts w:ascii="Times New Roman" w:hAnsi="Times New Roman" w:cs="Times New Roman" w:eastAsia="Times New Roman" w:hint="default"/>
                <w:sz w:val="15"/>
                <w:szCs w:val="15"/>
              </w:rPr>
            </w:pPr>
            <w:r>
              <w:rPr>
                <w:rFonts w:ascii="Times New Roman"/>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74"/>
              <w:jc w:val="right"/>
              <w:rPr>
                <w:rFonts w:ascii="Times New Roman" w:hAnsi="Times New Roman" w:cs="Times New Roman" w:eastAsia="Times New Roman" w:hint="default"/>
                <w:sz w:val="15"/>
                <w:szCs w:val="15"/>
              </w:rPr>
            </w:pPr>
            <w:r>
              <w:rPr>
                <w:rFonts w:ascii="Times New Roman"/>
                <w:spacing w:val="-1"/>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r>
      <w:tr>
        <w:trPr>
          <w:trHeight w:val="39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5"/>
                <w:szCs w:val="15"/>
              </w:rPr>
            </w:pPr>
            <w:r>
              <w:rPr>
                <w:rFonts w:ascii="宋体" w:hAnsi="宋体" w:cs="宋体" w:eastAsia="宋体" w:hint="default"/>
                <w:sz w:val="15"/>
                <w:szCs w:val="15"/>
              </w:rPr>
              <w:t>东软集团（海南）有限公司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71" w:right="0"/>
              <w:jc w:val="left"/>
              <w:rPr>
                <w:rFonts w:ascii="Times New Roman" w:hAnsi="Times New Roman" w:cs="Times New Roman" w:eastAsia="Times New Roman" w:hint="default"/>
                <w:sz w:val="15"/>
                <w:szCs w:val="15"/>
              </w:rPr>
            </w:pPr>
            <w:r>
              <w:rPr>
                <w:rFonts w:ascii="Times New Roman"/>
                <w:sz w:val="15"/>
              </w:rPr>
              <w:t>100,000,000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3"/>
              <w:jc w:val="right"/>
              <w:rPr>
                <w:rFonts w:ascii="Times New Roman" w:hAnsi="Times New Roman" w:cs="Times New Roman" w:eastAsia="Times New Roman" w:hint="default"/>
                <w:sz w:val="15"/>
                <w:szCs w:val="15"/>
              </w:rPr>
            </w:pPr>
            <w:r>
              <w:rPr>
                <w:rFonts w:ascii="Times New Roman"/>
                <w:spacing w:val="-1"/>
                <w:sz w:val="15"/>
              </w:rPr>
              <w:t>100,000,000</w:t>
            </w:r>
          </w:p>
        </w:tc>
        <w:tc>
          <w:tcPr>
            <w:tcW w:w="904"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100,000,000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78" w:right="0"/>
              <w:jc w:val="left"/>
              <w:rPr>
                <w:rFonts w:ascii="Times New Roman" w:hAnsi="Times New Roman" w:cs="Times New Roman" w:eastAsia="Times New Roman" w:hint="default"/>
                <w:sz w:val="15"/>
                <w:szCs w:val="15"/>
              </w:rPr>
            </w:pPr>
            <w:r>
              <w:rPr>
                <w:rFonts w:ascii="Times New Roman"/>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74"/>
              <w:jc w:val="right"/>
              <w:rPr>
                <w:rFonts w:ascii="Times New Roman" w:hAnsi="Times New Roman" w:cs="Times New Roman" w:eastAsia="Times New Roman" w:hint="default"/>
                <w:sz w:val="15"/>
                <w:szCs w:val="15"/>
              </w:rPr>
            </w:pPr>
            <w:r>
              <w:rPr>
                <w:rFonts w:ascii="Times New Roman"/>
                <w:spacing w:val="-1"/>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r>
      <w:tr>
        <w:trPr>
          <w:trHeight w:val="39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5"/>
                <w:szCs w:val="15"/>
              </w:rPr>
            </w:pPr>
            <w:r>
              <w:rPr>
                <w:rFonts w:ascii="宋体" w:hAnsi="宋体" w:cs="宋体" w:eastAsia="宋体" w:hint="default"/>
                <w:sz w:val="15"/>
                <w:szCs w:val="15"/>
              </w:rPr>
              <w:t>东软集团（无锡）有限公司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20,000,000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4"/>
              <w:jc w:val="right"/>
              <w:rPr>
                <w:rFonts w:ascii="Times New Roman" w:hAnsi="Times New Roman" w:cs="Times New Roman" w:eastAsia="Times New Roman" w:hint="default"/>
                <w:sz w:val="15"/>
                <w:szCs w:val="15"/>
              </w:rPr>
            </w:pPr>
            <w:r>
              <w:rPr>
                <w:rFonts w:ascii="Times New Roman"/>
                <w:spacing w:val="-1"/>
                <w:sz w:val="15"/>
              </w:rPr>
              <w:t>20,000,000</w:t>
            </w:r>
          </w:p>
        </w:tc>
        <w:tc>
          <w:tcPr>
            <w:tcW w:w="904"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20,000,000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78" w:right="0"/>
              <w:jc w:val="left"/>
              <w:rPr>
                <w:rFonts w:ascii="Times New Roman" w:hAnsi="Times New Roman" w:cs="Times New Roman" w:eastAsia="Times New Roman" w:hint="default"/>
                <w:sz w:val="15"/>
                <w:szCs w:val="15"/>
              </w:rPr>
            </w:pPr>
            <w:r>
              <w:rPr>
                <w:rFonts w:ascii="Times New Roman"/>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74"/>
              <w:jc w:val="right"/>
              <w:rPr>
                <w:rFonts w:ascii="Times New Roman" w:hAnsi="Times New Roman" w:cs="Times New Roman" w:eastAsia="Times New Roman" w:hint="default"/>
                <w:sz w:val="15"/>
                <w:szCs w:val="15"/>
              </w:rPr>
            </w:pPr>
            <w:r>
              <w:rPr>
                <w:rFonts w:ascii="Times New Roman"/>
                <w:spacing w:val="-1"/>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r>
      <w:tr>
        <w:trPr>
          <w:trHeight w:val="39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5"/>
                <w:szCs w:val="15"/>
              </w:rPr>
            </w:pPr>
            <w:r>
              <w:rPr>
                <w:rFonts w:ascii="宋体" w:hAnsi="宋体" w:cs="宋体" w:eastAsia="宋体" w:hint="default"/>
                <w:sz w:val="15"/>
                <w:szCs w:val="15"/>
              </w:rPr>
              <w:t>东软集团（芜湖）有限公司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10,000,000</w:t>
            </w:r>
          </w:p>
        </w:tc>
        <w:tc>
          <w:tcPr>
            <w:tcW w:w="1040" w:type="dxa"/>
            <w:tcBorders>
              <w:top w:val="nil" w:sz="6" w:space="0" w:color="auto"/>
              <w:left w:val="nil" w:sz="6" w:space="0" w:color="auto"/>
              <w:bottom w:val="nil" w:sz="6" w:space="0" w:color="auto"/>
              <w:right w:val="nil" w:sz="6" w:space="0" w:color="auto"/>
            </w:tcBorders>
          </w:tcPr>
          <w:p>
            <w:pP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38" w:right="0"/>
              <w:jc w:val="left"/>
              <w:rPr>
                <w:rFonts w:ascii="Times New Roman" w:hAnsi="Times New Roman" w:cs="Times New Roman" w:eastAsia="Times New Roman" w:hint="default"/>
                <w:sz w:val="15"/>
                <w:szCs w:val="15"/>
              </w:rPr>
            </w:pPr>
            <w:r>
              <w:rPr>
                <w:rFonts w:ascii="Times New Roman"/>
                <w:sz w:val="15"/>
              </w:rPr>
              <w:t>10,000,000</w:t>
            </w: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10,000,000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78" w:right="0"/>
              <w:jc w:val="left"/>
              <w:rPr>
                <w:rFonts w:ascii="Times New Roman" w:hAnsi="Times New Roman" w:cs="Times New Roman" w:eastAsia="Times New Roman" w:hint="default"/>
                <w:sz w:val="15"/>
                <w:szCs w:val="15"/>
              </w:rPr>
            </w:pPr>
            <w:r>
              <w:rPr>
                <w:rFonts w:ascii="Times New Roman"/>
                <w:sz w:val="15"/>
              </w:rPr>
              <w:t>100.00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74"/>
              <w:jc w:val="right"/>
              <w:rPr>
                <w:rFonts w:ascii="Times New Roman" w:hAnsi="Times New Roman" w:cs="Times New Roman" w:eastAsia="Times New Roman" w:hint="default"/>
                <w:sz w:val="15"/>
                <w:szCs w:val="15"/>
              </w:rPr>
            </w:pPr>
            <w:r>
              <w:rPr>
                <w:rFonts w:ascii="Times New Roman"/>
                <w:spacing w:val="-1"/>
                <w:sz w:val="15"/>
              </w:rPr>
              <w:t>100.00</w:t>
            </w:r>
          </w:p>
        </w:tc>
        <w:tc>
          <w:tcPr>
            <w:tcW w:w="1458"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r>
      <w:tr>
        <w:trPr>
          <w:trHeight w:val="39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5"/>
                <w:szCs w:val="15"/>
              </w:rPr>
            </w:pPr>
            <w:r>
              <w:rPr>
                <w:rFonts w:ascii="宋体" w:hAnsi="宋体" w:cs="宋体" w:eastAsia="宋体" w:hint="default"/>
                <w:sz w:val="15"/>
                <w:szCs w:val="15"/>
              </w:rPr>
              <w:t>广东东软时尚数字技术有限公司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22,500,000</w:t>
            </w:r>
          </w:p>
        </w:tc>
        <w:tc>
          <w:tcPr>
            <w:tcW w:w="1040" w:type="dxa"/>
            <w:tcBorders>
              <w:top w:val="nil" w:sz="6" w:space="0" w:color="auto"/>
              <w:left w:val="nil" w:sz="6" w:space="0" w:color="auto"/>
              <w:bottom w:val="nil" w:sz="6" w:space="0" w:color="auto"/>
              <w:right w:val="nil" w:sz="6" w:space="0" w:color="auto"/>
            </w:tcBorders>
          </w:tcPr>
          <w:p>
            <w:pP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38" w:right="0"/>
              <w:jc w:val="left"/>
              <w:rPr>
                <w:rFonts w:ascii="Times New Roman" w:hAnsi="Times New Roman" w:cs="Times New Roman" w:eastAsia="Times New Roman" w:hint="default"/>
                <w:sz w:val="15"/>
                <w:szCs w:val="15"/>
              </w:rPr>
            </w:pPr>
            <w:r>
              <w:rPr>
                <w:rFonts w:ascii="Times New Roman"/>
                <w:sz w:val="15"/>
              </w:rPr>
              <w:t>22,500,000</w:t>
            </w: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22,500,000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15" w:right="0"/>
              <w:jc w:val="left"/>
              <w:rPr>
                <w:rFonts w:ascii="Times New Roman" w:hAnsi="Times New Roman" w:cs="Times New Roman" w:eastAsia="Times New Roman" w:hint="default"/>
                <w:sz w:val="15"/>
                <w:szCs w:val="15"/>
              </w:rPr>
            </w:pPr>
            <w:r>
              <w:rPr>
                <w:rFonts w:ascii="Times New Roman"/>
                <w:sz w:val="15"/>
              </w:rPr>
              <w:t>60.00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13"/>
              <w:jc w:val="right"/>
              <w:rPr>
                <w:rFonts w:ascii="Times New Roman" w:hAnsi="Times New Roman" w:cs="Times New Roman" w:eastAsia="Times New Roman" w:hint="default"/>
                <w:sz w:val="15"/>
                <w:szCs w:val="15"/>
              </w:rPr>
            </w:pPr>
            <w:r>
              <w:rPr>
                <w:rFonts w:ascii="Times New Roman"/>
                <w:spacing w:val="-1"/>
                <w:sz w:val="15"/>
              </w:rPr>
              <w:t>60.00</w:t>
            </w:r>
          </w:p>
        </w:tc>
        <w:tc>
          <w:tcPr>
            <w:tcW w:w="1458"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r>
      <w:tr>
        <w:trPr>
          <w:trHeight w:val="39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5"/>
                <w:szCs w:val="15"/>
              </w:rPr>
            </w:pPr>
            <w:r>
              <w:rPr>
                <w:rFonts w:ascii="宋体" w:hAnsi="宋体" w:cs="宋体" w:eastAsia="宋体" w:hint="default"/>
                <w:sz w:val="15"/>
                <w:szCs w:val="15"/>
              </w:rPr>
              <w:t>东众通信技术有限公司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3,000,000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3"/>
              <w:jc w:val="right"/>
              <w:rPr>
                <w:rFonts w:ascii="Times New Roman" w:hAnsi="Times New Roman" w:cs="Times New Roman" w:eastAsia="Times New Roman" w:hint="default"/>
                <w:sz w:val="15"/>
                <w:szCs w:val="15"/>
              </w:rPr>
            </w:pPr>
            <w:r>
              <w:rPr>
                <w:rFonts w:ascii="Times New Roman"/>
                <w:spacing w:val="-1"/>
                <w:sz w:val="15"/>
              </w:rPr>
              <w:t>3,000,000</w:t>
            </w:r>
          </w:p>
        </w:tc>
        <w:tc>
          <w:tcPr>
            <w:tcW w:w="904"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3,000,000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15" w:right="0"/>
              <w:jc w:val="left"/>
              <w:rPr>
                <w:rFonts w:ascii="Times New Roman" w:hAnsi="Times New Roman" w:cs="Times New Roman" w:eastAsia="Times New Roman" w:hint="default"/>
                <w:sz w:val="15"/>
                <w:szCs w:val="15"/>
              </w:rPr>
            </w:pPr>
            <w:r>
              <w:rPr>
                <w:rFonts w:ascii="Times New Roman"/>
                <w:sz w:val="15"/>
              </w:rPr>
              <w:t>10.00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13"/>
              <w:jc w:val="right"/>
              <w:rPr>
                <w:rFonts w:ascii="Times New Roman" w:hAnsi="Times New Roman" w:cs="Times New Roman" w:eastAsia="Times New Roman" w:hint="default"/>
                <w:sz w:val="15"/>
                <w:szCs w:val="15"/>
              </w:rPr>
            </w:pPr>
            <w:r>
              <w:rPr>
                <w:rFonts w:ascii="Times New Roman"/>
                <w:spacing w:val="-1"/>
                <w:sz w:val="15"/>
              </w:rPr>
              <w:t>10.00</w:t>
            </w:r>
          </w:p>
        </w:tc>
        <w:tc>
          <w:tcPr>
            <w:tcW w:w="1458"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0"/>
              <w:jc w:val="right"/>
              <w:rPr>
                <w:rFonts w:ascii="Times New Roman" w:hAnsi="Times New Roman" w:cs="Times New Roman" w:eastAsia="Times New Roman" w:hint="default"/>
                <w:sz w:val="15"/>
                <w:szCs w:val="15"/>
              </w:rPr>
            </w:pPr>
            <w:r>
              <w:rPr>
                <w:rFonts w:ascii="Times New Roman"/>
                <w:spacing w:val="-1"/>
                <w:sz w:val="15"/>
              </w:rPr>
              <w:t>3,000,000</w:t>
            </w: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r>
      <w:tr>
        <w:trPr>
          <w:trHeight w:val="39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5"/>
                <w:szCs w:val="15"/>
              </w:rPr>
            </w:pPr>
            <w:r>
              <w:rPr>
                <w:rFonts w:ascii="宋体" w:hAnsi="宋体" w:cs="宋体" w:eastAsia="宋体" w:hint="default"/>
                <w:sz w:val="15"/>
                <w:szCs w:val="15"/>
              </w:rPr>
              <w:t>沈阳火炬股份有限公司</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100,000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4"/>
              <w:jc w:val="right"/>
              <w:rPr>
                <w:rFonts w:ascii="Times New Roman" w:hAnsi="Times New Roman" w:cs="Times New Roman" w:eastAsia="Times New Roman" w:hint="default"/>
                <w:sz w:val="15"/>
                <w:szCs w:val="15"/>
              </w:rPr>
            </w:pPr>
            <w:r>
              <w:rPr>
                <w:rFonts w:ascii="Times New Roman"/>
                <w:spacing w:val="-1"/>
                <w:sz w:val="15"/>
              </w:rPr>
              <w:t>100,000</w:t>
            </w:r>
          </w:p>
        </w:tc>
        <w:tc>
          <w:tcPr>
            <w:tcW w:w="904"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100,000</w:t>
            </w:r>
          </w:p>
        </w:tc>
        <w:tc>
          <w:tcPr>
            <w:tcW w:w="865"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1"/>
              <w:jc w:val="right"/>
              <w:rPr>
                <w:rFonts w:ascii="Times New Roman" w:hAnsi="Times New Roman" w:cs="Times New Roman" w:eastAsia="Times New Roman" w:hint="default"/>
                <w:sz w:val="15"/>
                <w:szCs w:val="15"/>
              </w:rPr>
            </w:pPr>
            <w:r>
              <w:rPr>
                <w:rFonts w:ascii="Times New Roman"/>
                <w:spacing w:val="-1"/>
                <w:sz w:val="15"/>
              </w:rPr>
              <w:t>100,000</w:t>
            </w: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r>
      <w:tr>
        <w:trPr>
          <w:trHeight w:val="39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5"/>
                <w:szCs w:val="15"/>
              </w:rPr>
            </w:pPr>
            <w:r>
              <w:rPr>
                <w:rFonts w:ascii="宋体" w:hAnsi="宋体" w:cs="宋体" w:eastAsia="宋体" w:hint="default"/>
                <w:sz w:val="15"/>
                <w:szCs w:val="15"/>
              </w:rPr>
              <w:t>大连东软信息学院</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6,000,000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3"/>
              <w:jc w:val="right"/>
              <w:rPr>
                <w:rFonts w:ascii="Times New Roman" w:hAnsi="Times New Roman" w:cs="Times New Roman" w:eastAsia="Times New Roman" w:hint="default"/>
                <w:sz w:val="15"/>
                <w:szCs w:val="15"/>
              </w:rPr>
            </w:pPr>
            <w:r>
              <w:rPr>
                <w:rFonts w:ascii="Times New Roman"/>
                <w:spacing w:val="-1"/>
                <w:sz w:val="15"/>
              </w:rPr>
              <w:t>6,000,000</w:t>
            </w:r>
          </w:p>
        </w:tc>
        <w:tc>
          <w:tcPr>
            <w:tcW w:w="904"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6,000,000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52" w:right="0"/>
              <w:jc w:val="left"/>
              <w:rPr>
                <w:rFonts w:ascii="Times New Roman" w:hAnsi="Times New Roman" w:cs="Times New Roman" w:eastAsia="Times New Roman" w:hint="default"/>
                <w:sz w:val="15"/>
                <w:szCs w:val="15"/>
              </w:rPr>
            </w:pPr>
            <w:r>
              <w:rPr>
                <w:rFonts w:ascii="Times New Roman"/>
                <w:sz w:val="15"/>
              </w:rPr>
              <w:t>1.74</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49"/>
              <w:jc w:val="right"/>
              <w:rPr>
                <w:rFonts w:ascii="Times New Roman" w:hAnsi="Times New Roman" w:cs="Times New Roman" w:eastAsia="Times New Roman" w:hint="default"/>
                <w:sz w:val="15"/>
                <w:szCs w:val="15"/>
              </w:rPr>
            </w:pPr>
            <w:r>
              <w:rPr>
                <w:rFonts w:ascii="Times New Roman"/>
                <w:spacing w:val="-1"/>
                <w:sz w:val="15"/>
              </w:rPr>
              <w:t>1.74</w:t>
            </w:r>
          </w:p>
        </w:tc>
        <w:tc>
          <w:tcPr>
            <w:tcW w:w="1458"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r>
      <w:tr>
        <w:trPr>
          <w:trHeight w:val="39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5"/>
                <w:szCs w:val="15"/>
              </w:rPr>
            </w:pPr>
            <w:r>
              <w:rPr>
                <w:rFonts w:ascii="宋体" w:hAnsi="宋体" w:cs="宋体" w:eastAsia="宋体" w:hint="default"/>
                <w:sz w:val="15"/>
                <w:szCs w:val="15"/>
              </w:rPr>
              <w:t>大连东软信息技术职业学院</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3,600,000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3"/>
              <w:jc w:val="right"/>
              <w:rPr>
                <w:rFonts w:ascii="Times New Roman" w:hAnsi="Times New Roman" w:cs="Times New Roman" w:eastAsia="Times New Roman" w:hint="default"/>
                <w:sz w:val="15"/>
                <w:szCs w:val="15"/>
              </w:rPr>
            </w:pPr>
            <w:r>
              <w:rPr>
                <w:rFonts w:ascii="Times New Roman"/>
                <w:spacing w:val="-1"/>
                <w:sz w:val="15"/>
              </w:rPr>
              <w:t>3,600,000</w:t>
            </w:r>
          </w:p>
        </w:tc>
        <w:tc>
          <w:tcPr>
            <w:tcW w:w="904"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3,600,000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15" w:right="0"/>
              <w:jc w:val="left"/>
              <w:rPr>
                <w:rFonts w:ascii="Times New Roman" w:hAnsi="Times New Roman" w:cs="Times New Roman" w:eastAsia="Times New Roman" w:hint="default"/>
                <w:sz w:val="15"/>
                <w:szCs w:val="15"/>
              </w:rPr>
            </w:pPr>
            <w:r>
              <w:rPr>
                <w:rFonts w:ascii="Times New Roman"/>
                <w:sz w:val="15"/>
              </w:rPr>
              <w:t>60.00</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13"/>
              <w:jc w:val="right"/>
              <w:rPr>
                <w:rFonts w:ascii="Times New Roman" w:hAnsi="Times New Roman" w:cs="Times New Roman" w:eastAsia="Times New Roman" w:hint="default"/>
                <w:sz w:val="15"/>
                <w:szCs w:val="15"/>
              </w:rPr>
            </w:pPr>
            <w:r>
              <w:rPr>
                <w:rFonts w:ascii="Times New Roman"/>
                <w:spacing w:val="-1"/>
                <w:sz w:val="15"/>
              </w:rPr>
              <w:t>60.00</w:t>
            </w:r>
          </w:p>
        </w:tc>
        <w:tc>
          <w:tcPr>
            <w:tcW w:w="1458"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r>
      <w:tr>
        <w:trPr>
          <w:trHeight w:val="39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5"/>
                <w:szCs w:val="15"/>
              </w:rPr>
            </w:pPr>
            <w:r>
              <w:rPr>
                <w:rFonts w:ascii="宋体" w:hAnsi="宋体" w:cs="宋体" w:eastAsia="宋体" w:hint="default"/>
                <w:sz w:val="15"/>
                <w:szCs w:val="15"/>
              </w:rPr>
              <w:t>成都东软信息技术职业学院</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3,000,000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3"/>
              <w:jc w:val="right"/>
              <w:rPr>
                <w:rFonts w:ascii="Times New Roman" w:hAnsi="Times New Roman" w:cs="Times New Roman" w:eastAsia="Times New Roman" w:hint="default"/>
                <w:sz w:val="15"/>
                <w:szCs w:val="15"/>
              </w:rPr>
            </w:pPr>
            <w:r>
              <w:rPr>
                <w:rFonts w:ascii="Times New Roman"/>
                <w:spacing w:val="-1"/>
                <w:sz w:val="15"/>
              </w:rPr>
              <w:t>3,000,000</w:t>
            </w:r>
          </w:p>
        </w:tc>
        <w:tc>
          <w:tcPr>
            <w:tcW w:w="904"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3,000,000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15" w:right="0"/>
              <w:jc w:val="left"/>
              <w:rPr>
                <w:rFonts w:ascii="Times New Roman" w:hAnsi="Times New Roman" w:cs="Times New Roman" w:eastAsia="Times New Roman" w:hint="default"/>
                <w:sz w:val="15"/>
                <w:szCs w:val="15"/>
              </w:rPr>
            </w:pPr>
            <w:r>
              <w:rPr>
                <w:rFonts w:ascii="Times New Roman"/>
                <w:sz w:val="15"/>
              </w:rPr>
              <w:t>17.47</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13"/>
              <w:jc w:val="right"/>
              <w:rPr>
                <w:rFonts w:ascii="Times New Roman" w:hAnsi="Times New Roman" w:cs="Times New Roman" w:eastAsia="Times New Roman" w:hint="default"/>
                <w:sz w:val="15"/>
                <w:szCs w:val="15"/>
              </w:rPr>
            </w:pPr>
            <w:r>
              <w:rPr>
                <w:rFonts w:ascii="Times New Roman"/>
                <w:spacing w:val="-1"/>
                <w:sz w:val="15"/>
              </w:rPr>
              <w:t>17.47</w:t>
            </w:r>
          </w:p>
        </w:tc>
        <w:tc>
          <w:tcPr>
            <w:tcW w:w="1458"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0"/>
              <w:jc w:val="right"/>
              <w:rPr>
                <w:rFonts w:ascii="Times New Roman" w:hAnsi="Times New Roman" w:cs="Times New Roman" w:eastAsia="Times New Roman" w:hint="default"/>
                <w:sz w:val="15"/>
                <w:szCs w:val="15"/>
              </w:rPr>
            </w:pPr>
            <w:r>
              <w:rPr>
                <w:rFonts w:ascii="Times New Roman"/>
                <w:spacing w:val="-1"/>
                <w:sz w:val="15"/>
              </w:rPr>
              <w:t>1,200,000</w:t>
            </w: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r>
      <w:tr>
        <w:trPr>
          <w:trHeight w:val="390"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5"/>
                <w:szCs w:val="15"/>
              </w:rPr>
            </w:pPr>
            <w:r>
              <w:rPr>
                <w:rFonts w:ascii="宋体" w:hAnsi="宋体" w:cs="宋体" w:eastAsia="宋体" w:hint="default"/>
                <w:sz w:val="15"/>
                <w:szCs w:val="15"/>
              </w:rPr>
              <w:t>南海东软信息技术职业学院</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3,000,000</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3"/>
              <w:jc w:val="right"/>
              <w:rPr>
                <w:rFonts w:ascii="Times New Roman" w:hAnsi="Times New Roman" w:cs="Times New Roman" w:eastAsia="Times New Roman" w:hint="default"/>
                <w:sz w:val="15"/>
                <w:szCs w:val="15"/>
              </w:rPr>
            </w:pPr>
            <w:r>
              <w:rPr>
                <w:rFonts w:ascii="Times New Roman"/>
                <w:spacing w:val="-1"/>
                <w:sz w:val="15"/>
              </w:rPr>
              <w:t>3,000,000</w:t>
            </w:r>
          </w:p>
        </w:tc>
        <w:tc>
          <w:tcPr>
            <w:tcW w:w="904" w:type="dxa"/>
            <w:tcBorders>
              <w:top w:val="nil" w:sz="6" w:space="0" w:color="auto"/>
              <w:left w:val="nil" w:sz="6" w:space="0" w:color="auto"/>
              <w:bottom w:val="nil" w:sz="6" w:space="0" w:color="auto"/>
              <w:right w:val="nil" w:sz="6" w:space="0" w:color="auto"/>
            </w:tcBorders>
          </w:tcPr>
          <w:p>
            <w:pP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3,000,000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15" w:right="0"/>
              <w:jc w:val="left"/>
              <w:rPr>
                <w:rFonts w:ascii="Times New Roman" w:hAnsi="Times New Roman" w:cs="Times New Roman" w:eastAsia="Times New Roman" w:hint="default"/>
                <w:sz w:val="15"/>
                <w:szCs w:val="15"/>
              </w:rPr>
            </w:pPr>
            <w:r>
              <w:rPr>
                <w:rFonts w:ascii="Times New Roman"/>
                <w:sz w:val="15"/>
              </w:rPr>
              <w:t>12.82</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13"/>
              <w:jc w:val="right"/>
              <w:rPr>
                <w:rFonts w:ascii="Times New Roman" w:hAnsi="Times New Roman" w:cs="Times New Roman" w:eastAsia="Times New Roman" w:hint="default"/>
                <w:sz w:val="15"/>
                <w:szCs w:val="15"/>
              </w:rPr>
            </w:pPr>
            <w:r>
              <w:rPr>
                <w:rFonts w:ascii="Times New Roman"/>
                <w:spacing w:val="-1"/>
                <w:sz w:val="15"/>
              </w:rPr>
              <w:t>12.82</w:t>
            </w:r>
          </w:p>
        </w:tc>
        <w:tc>
          <w:tcPr>
            <w:tcW w:w="1458"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r>
      <w:tr>
        <w:trPr>
          <w:trHeight w:val="378" w:hRule="exact"/>
        </w:trPr>
        <w:tc>
          <w:tcPr>
            <w:tcW w:w="2437"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5" w:right="0"/>
              <w:jc w:val="left"/>
              <w:rPr>
                <w:rFonts w:ascii="Times New Roman" w:hAnsi="Times New Roman" w:cs="Times New Roman" w:eastAsia="Times New Roman" w:hint="default"/>
                <w:sz w:val="15"/>
                <w:szCs w:val="15"/>
              </w:rPr>
            </w:pPr>
            <w:r>
              <w:rPr>
                <w:rFonts w:ascii="Times New Roman"/>
                <w:sz w:val="15"/>
              </w:rPr>
              <w:t>Appconomy,</w:t>
            </w:r>
            <w:r>
              <w:rPr>
                <w:rFonts w:ascii="Times New Roman"/>
                <w:spacing w:val="-18"/>
                <w:sz w:val="15"/>
              </w:rPr>
              <w:t> </w:t>
            </w:r>
            <w:r>
              <w:rPr>
                <w:rFonts w:ascii="Times New Roman"/>
                <w:sz w:val="15"/>
              </w:rPr>
              <w:t>Inc.</w:t>
            </w:r>
          </w:p>
        </w:tc>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39" w:right="0"/>
              <w:jc w:val="center"/>
              <w:rPr>
                <w:rFonts w:ascii="宋体" w:hAnsi="宋体" w:cs="宋体" w:eastAsia="宋体" w:hint="default"/>
                <w:sz w:val="15"/>
                <w:szCs w:val="15"/>
              </w:rPr>
            </w:pPr>
            <w:r>
              <w:rPr>
                <w:rFonts w:ascii="宋体" w:hAnsi="宋体" w:cs="宋体" w:eastAsia="宋体" w:hint="default"/>
                <w:sz w:val="15"/>
                <w:szCs w:val="15"/>
              </w:rPr>
              <w:t>成本法</w:t>
            </w:r>
          </w:p>
        </w:tc>
        <w:tc>
          <w:tcPr>
            <w:tcW w:w="110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3"/>
              <w:jc w:val="right"/>
              <w:rPr>
                <w:rFonts w:ascii="Times New Roman" w:hAnsi="Times New Roman" w:cs="Times New Roman" w:eastAsia="Times New Roman" w:hint="default"/>
                <w:sz w:val="15"/>
                <w:szCs w:val="15"/>
              </w:rPr>
            </w:pPr>
            <w:r>
              <w:rPr>
                <w:rFonts w:ascii="Times New Roman"/>
                <w:spacing w:val="-1"/>
                <w:sz w:val="15"/>
              </w:rPr>
              <w:t>24,934,400</w:t>
            </w:r>
          </w:p>
        </w:tc>
        <w:tc>
          <w:tcPr>
            <w:tcW w:w="1040" w:type="dxa"/>
            <w:tcBorders>
              <w:top w:val="nil" w:sz="6" w:space="0" w:color="auto"/>
              <w:left w:val="nil" w:sz="6" w:space="0" w:color="auto"/>
              <w:bottom w:val="nil" w:sz="6" w:space="0" w:color="auto"/>
              <w:right w:val="nil" w:sz="6" w:space="0" w:color="auto"/>
            </w:tcBorders>
          </w:tcPr>
          <w:p>
            <w:pP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38" w:right="0"/>
              <w:jc w:val="left"/>
              <w:rPr>
                <w:rFonts w:ascii="Times New Roman" w:hAnsi="Times New Roman" w:cs="Times New Roman" w:eastAsia="Times New Roman" w:hint="default"/>
                <w:sz w:val="15"/>
                <w:szCs w:val="15"/>
              </w:rPr>
            </w:pPr>
            <w:r>
              <w:rPr>
                <w:rFonts w:ascii="Times New Roman"/>
                <w:sz w:val="15"/>
              </w:rPr>
              <w:t>24,934,400</w:t>
            </w:r>
          </w:p>
        </w:tc>
        <w:tc>
          <w:tcPr>
            <w:tcW w:w="95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Times New Roman" w:hAnsi="Times New Roman" w:cs="Times New Roman" w:eastAsia="Times New Roman" w:hint="default"/>
                <w:sz w:val="15"/>
                <w:szCs w:val="15"/>
              </w:rPr>
            </w:pPr>
            <w:r>
              <w:rPr>
                <w:rFonts w:ascii="Times New Roman"/>
                <w:spacing w:val="-1"/>
                <w:sz w:val="15"/>
              </w:rPr>
              <w:t>24,934,400</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41" w:right="0"/>
              <w:jc w:val="left"/>
              <w:rPr>
                <w:rFonts w:ascii="Times New Roman" w:hAnsi="Times New Roman" w:cs="Times New Roman" w:eastAsia="Times New Roman" w:hint="default"/>
                <w:sz w:val="15"/>
                <w:szCs w:val="15"/>
              </w:rPr>
            </w:pPr>
            <w:r>
              <w:rPr>
                <w:rFonts w:ascii="Times New Roman"/>
                <w:sz w:val="15"/>
              </w:rPr>
              <w:t>13.3226</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52"/>
              <w:jc w:val="right"/>
              <w:rPr>
                <w:rFonts w:ascii="Times New Roman" w:hAnsi="Times New Roman" w:cs="Times New Roman" w:eastAsia="Times New Roman" w:hint="default"/>
                <w:sz w:val="15"/>
                <w:szCs w:val="15"/>
              </w:rPr>
            </w:pPr>
            <w:r>
              <w:rPr>
                <w:rFonts w:ascii="Times New Roman"/>
                <w:spacing w:val="-1"/>
                <w:sz w:val="15"/>
              </w:rPr>
              <w:t>13.3226</w:t>
            </w:r>
          </w:p>
        </w:tc>
        <w:tc>
          <w:tcPr>
            <w:tcW w:w="1458" w:type="dxa"/>
            <w:tcBorders>
              <w:top w:val="nil" w:sz="6" w:space="0" w:color="auto"/>
              <w:left w:val="nil" w:sz="6" w:space="0" w:color="auto"/>
              <w:bottom w:val="nil" w:sz="6" w:space="0" w:color="auto"/>
              <w:right w:val="nil" w:sz="6" w:space="0" w:color="auto"/>
            </w:tcBorders>
          </w:tcPr>
          <w:p>
            <w:pPr/>
          </w:p>
        </w:tc>
        <w:tc>
          <w:tcPr>
            <w:tcW w:w="844"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802" w:type="dxa"/>
            <w:tcBorders>
              <w:top w:val="nil" w:sz="6" w:space="0" w:color="auto"/>
              <w:left w:val="nil" w:sz="6" w:space="0" w:color="auto"/>
              <w:bottom w:val="nil" w:sz="6" w:space="0" w:color="auto"/>
              <w:right w:val="nil" w:sz="6" w:space="0" w:color="auto"/>
            </w:tcBorders>
          </w:tcPr>
          <w:p>
            <w:pPr/>
          </w:p>
        </w:tc>
      </w:tr>
    </w:tbl>
    <w:p>
      <w:pPr>
        <w:tabs>
          <w:tab w:pos="4312" w:val="left" w:leader="none"/>
          <w:tab w:pos="5444" w:val="left" w:leader="none"/>
          <w:tab w:pos="11640" w:val="left" w:leader="none"/>
          <w:tab w:pos="13417" w:val="left" w:leader="none"/>
        </w:tabs>
        <w:spacing w:before="75"/>
        <w:ind w:left="1698"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成本法小计</w:t>
        <w:tab/>
      </w:r>
      <w:r>
        <w:rPr>
          <w:rFonts w:ascii="Times New Roman" w:hAnsi="Times New Roman" w:cs="Times New Roman" w:eastAsia="Times New Roman" w:hint="default"/>
          <w:spacing w:val="-1"/>
          <w:sz w:val="15"/>
          <w:szCs w:val="15"/>
        </w:rPr>
        <w:t>1,841,060,413</w:t>
        <w:tab/>
        <w:t>1,514,777,640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565,910,733</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spacing w:val="-1"/>
          <w:sz w:val="15"/>
          <w:szCs w:val="15"/>
        </w:rPr>
        <w:t>2,080,688,373</w:t>
        <w:tab/>
        <w:t>4,300,000</w:t>
        <w:tab/>
        <w:t>6,047,960</w:t>
      </w:r>
    </w:p>
    <w:p>
      <w:pPr>
        <w:spacing w:line="240" w:lineRule="auto" w:before="11"/>
        <w:rPr>
          <w:rFonts w:ascii="Times New Roman" w:hAnsi="Times New Roman" w:cs="Times New Roman" w:eastAsia="Times New Roman" w:hint="default"/>
          <w:sz w:val="14"/>
          <w:szCs w:val="14"/>
        </w:rPr>
      </w:pPr>
    </w:p>
    <w:p>
      <w:pPr>
        <w:tabs>
          <w:tab w:pos="2222" w:val="left" w:leader="none"/>
          <w:tab w:pos="4312" w:val="left" w:leader="none"/>
          <w:tab w:pos="5444" w:val="left" w:leader="none"/>
          <w:tab w:pos="11640" w:val="left" w:leader="none"/>
          <w:tab w:pos="13417" w:val="left" w:leader="none"/>
        </w:tabs>
        <w:spacing w:before="0"/>
        <w:ind w:left="1773" w:right="0" w:firstLine="0"/>
        <w:jc w:val="left"/>
        <w:rPr>
          <w:rFonts w:ascii="Times New Roman" w:hAnsi="Times New Roman" w:cs="Times New Roman" w:eastAsia="Times New Roman" w:hint="default"/>
          <w:sz w:val="15"/>
          <w:szCs w:val="15"/>
        </w:rPr>
      </w:pPr>
      <w:r>
        <w:rPr>
          <w:rFonts w:ascii="宋体" w:hAnsi="宋体" w:cs="宋体" w:eastAsia="宋体" w:hint="default"/>
          <w:position w:val="1"/>
          <w:sz w:val="15"/>
          <w:szCs w:val="15"/>
        </w:rPr>
        <w:t>合</w:t>
        <w:tab/>
        <w:t>计</w:t>
        <w:tab/>
      </w:r>
      <w:r>
        <w:rPr>
          <w:rFonts w:ascii="Times New Roman" w:hAnsi="Times New Roman" w:cs="Times New Roman" w:eastAsia="Times New Roman" w:hint="default"/>
          <w:spacing w:val="-1"/>
          <w:sz w:val="15"/>
          <w:szCs w:val="15"/>
        </w:rPr>
        <w:t>1,891,825,034</w:t>
        <w:tab/>
        <w:t>1,578,464,020</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
          <w:sz w:val="15"/>
          <w:szCs w:val="15"/>
        </w:rPr>
        <w:t>575,124,849</w:t>
      </w:r>
      <w:r>
        <w:rPr>
          <w:rFonts w:ascii="Times New Roman" w:hAnsi="Times New Roman" w:cs="Times New Roman" w:eastAsia="Times New Roman" w:hint="default"/>
          <w:sz w:val="15"/>
          <w:szCs w:val="15"/>
        </w:rPr>
        <w:t>    </w:t>
      </w:r>
      <w:r>
        <w:rPr>
          <w:rFonts w:ascii="Times New Roman" w:hAnsi="Times New Roman" w:cs="Times New Roman" w:eastAsia="Times New Roman" w:hint="default"/>
          <w:spacing w:val="16"/>
          <w:sz w:val="15"/>
          <w:szCs w:val="15"/>
        </w:rPr>
        <w:t> </w:t>
      </w:r>
      <w:r>
        <w:rPr>
          <w:rFonts w:ascii="Times New Roman" w:hAnsi="Times New Roman" w:cs="Times New Roman" w:eastAsia="Times New Roman" w:hint="default"/>
          <w:spacing w:val="-1"/>
          <w:sz w:val="15"/>
          <w:szCs w:val="15"/>
        </w:rPr>
        <w:t>2,153,588,869</w:t>
        <w:tab/>
        <w:t>4,300,000</w:t>
        <w:tab/>
        <w:t>6,047,960</w:t>
      </w:r>
    </w:p>
    <w:p>
      <w:pPr>
        <w:spacing w:after="0"/>
        <w:jc w:val="left"/>
        <w:rPr>
          <w:rFonts w:ascii="Times New Roman" w:hAnsi="Times New Roman" w:cs="Times New Roman" w:eastAsia="Times New Roman" w:hint="default"/>
          <w:sz w:val="15"/>
          <w:szCs w:val="15"/>
        </w:rPr>
        <w:sectPr>
          <w:pgSz w:w="16840" w:h="11910" w:orient="landscape"/>
          <w:pgMar w:header="883" w:footer="999" w:top="1600" w:bottom="1180" w:left="1300" w:right="1280"/>
        </w:sectPr>
      </w:pPr>
    </w:p>
    <w:p>
      <w:pPr>
        <w:spacing w:line="240" w:lineRule="auto" w:before="1"/>
        <w:rPr>
          <w:rFonts w:ascii="Times New Roman" w:hAnsi="Times New Roman" w:cs="Times New Roman" w:eastAsia="Times New Roman" w:hint="default"/>
          <w:sz w:val="9"/>
          <w:szCs w:val="9"/>
        </w:rPr>
      </w:pPr>
    </w:p>
    <w:p>
      <w:pPr>
        <w:pStyle w:val="Heading6"/>
        <w:tabs>
          <w:tab w:pos="1553" w:val="left" w:leader="none"/>
        </w:tabs>
        <w:spacing w:line="240" w:lineRule="auto"/>
        <w:ind w:left="825" w:right="243"/>
        <w:jc w:val="left"/>
        <w:rPr>
          <w:b w:val="0"/>
          <w:bCs w:val="0"/>
        </w:rPr>
      </w:pPr>
      <w:r>
        <w:rPr>
          <w:w w:val="95"/>
        </w:rPr>
        <w:t>(五)</w:t>
        <w:tab/>
      </w:r>
      <w:r>
        <w:rPr/>
        <w:t>应付债券</w:t>
      </w:r>
      <w:r>
        <w:rPr>
          <w:b w:val="0"/>
          <w:bCs w:val="0"/>
        </w:rPr>
      </w:r>
    </w:p>
    <w:p>
      <w:pPr>
        <w:spacing w:line="240" w:lineRule="auto" w:before="6"/>
        <w:rPr>
          <w:rFonts w:ascii="宋体" w:hAnsi="宋体" w:cs="宋体" w:eastAsia="宋体" w:hint="default"/>
          <w:b/>
          <w:bCs/>
          <w:sz w:val="2"/>
          <w:szCs w:val="2"/>
        </w:rPr>
      </w:pPr>
    </w:p>
    <w:p>
      <w:pPr>
        <w:spacing w:line="2020" w:lineRule="exact"/>
        <w:ind w:left="1408"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19.9pt;height:101.05pt;mso-position-horizontal-relative:char;mso-position-vertical-relative:line" coordorigin="0,0" coordsize="8398,2021">
            <v:group style="position:absolute;left:41;top:15;width:8338;height:2" coordorigin="41,15" coordsize="8338,2">
              <v:shape style="position:absolute;left:41;top:15;width:8338;height:2" coordorigin="41,15" coordsize="8338,0" path="m41,15l8378,15e" filled="false" stroked="true" strokeweight="1.5pt" strokecolor="#000000">
                <v:path arrowok="t"/>
              </v:shape>
            </v:group>
            <v:group style="position:absolute;left:26;top:2006;width:1296;height:2" coordorigin="26,2006" coordsize="1296,2">
              <v:shape style="position:absolute;left:26;top:2006;width:1296;height:2" coordorigin="26,2006" coordsize="1296,0" path="m26,2006l1322,2006e" filled="false" stroked="true" strokeweight="1.5pt" strokecolor="#000000">
                <v:path arrowok="t"/>
              </v:shape>
              <v:shape style="position:absolute;left:12;top:11;width:8386;height:2009" type="#_x0000_t75" stroked="false">
                <v:imagedata r:id="rId426" o:title=""/>
              </v:shape>
            </v:group>
            <v:group style="position:absolute;left:1322;top:2006;width:882;height:2" coordorigin="1322,2006" coordsize="882,2">
              <v:shape style="position:absolute;left:1322;top:2006;width:882;height:2" coordorigin="1322,2006" coordsize="882,0" path="m1322,2006l2204,2006e" filled="false" stroked="true" strokeweight="1.5pt" strokecolor="#000000">
                <v:path arrowok="t"/>
              </v:shape>
              <v:shape style="position:absolute;left:2176;top:791;width:67;height:1229" type="#_x0000_t75" stroked="false">
                <v:imagedata r:id="rId427" o:title=""/>
              </v:shape>
            </v:group>
            <v:group style="position:absolute;left:2204;top:2006;width:886;height:2" coordorigin="2204,2006" coordsize="886,2">
              <v:shape style="position:absolute;left:2204;top:2006;width:886;height:2" coordorigin="2204,2006" coordsize="886,0" path="m2204,2006l3090,2006e" filled="false" stroked="true" strokeweight="1.5pt" strokecolor="#000000">
                <v:path arrowok="t"/>
              </v:shape>
              <v:shape style="position:absolute;left:3061;top:791;width:67;height:1229" type="#_x0000_t75" stroked="false">
                <v:imagedata r:id="rId427" o:title=""/>
              </v:shape>
            </v:group>
            <v:group style="position:absolute;left:3090;top:2006;width:585;height:2" coordorigin="3090,2006" coordsize="585,2">
              <v:shape style="position:absolute;left:3090;top:2006;width:585;height:2" coordorigin="3090,2006" coordsize="585,0" path="m3090,2006l3674,2006e" filled="false" stroked="true" strokeweight="1.5pt" strokecolor="#000000">
                <v:path arrowok="t"/>
              </v:shape>
              <v:shape style="position:absolute;left:3646;top:791;width:67;height:1229" type="#_x0000_t75" stroked="false">
                <v:imagedata r:id="rId427" o:title=""/>
              </v:shape>
            </v:group>
            <v:group style="position:absolute;left:3674;top:2006;width:880;height:2" coordorigin="3674,2006" coordsize="880,2">
              <v:shape style="position:absolute;left:3674;top:2006;width:880;height:2" coordorigin="3674,2006" coordsize="880,0" path="m3674,2006l4554,2006e" filled="false" stroked="true" strokeweight="1.5pt" strokecolor="#000000">
                <v:path arrowok="t"/>
              </v:shape>
              <v:shape style="position:absolute;left:4525;top:791;width:67;height:1210" type="#_x0000_t75" stroked="false">
                <v:imagedata r:id="rId428" o:title=""/>
              </v:shape>
            </v:group>
            <v:group style="position:absolute;left:4554;top:2006;width:586;height:2" coordorigin="4554,2006" coordsize="586,2">
              <v:shape style="position:absolute;left:4554;top:2006;width:586;height:2" coordorigin="4554,2006" coordsize="586,0" path="m4554,2006l5140,2006e" filled="false" stroked="true" strokeweight="1.5pt" strokecolor="#000000">
                <v:path arrowok="t"/>
              </v:shape>
              <v:shape style="position:absolute;left:5111;top:791;width:67;height:1229" type="#_x0000_t75" stroked="false">
                <v:imagedata r:id="rId427" o:title=""/>
              </v:shape>
            </v:group>
            <v:group style="position:absolute;left:5140;top:2006;width:735;height:2" coordorigin="5140,2006" coordsize="735,2">
              <v:shape style="position:absolute;left:5140;top:2006;width:735;height:2" coordorigin="5140,2006" coordsize="735,0" path="m5140,2006l5874,2006e" filled="false" stroked="true" strokeweight="1.5pt" strokecolor="#000000">
                <v:path arrowok="t"/>
              </v:shape>
              <v:shape style="position:absolute;left:5845;top:791;width:67;height:1229" type="#_x0000_t75" stroked="false">
                <v:imagedata r:id="rId427" o:title=""/>
              </v:shape>
            </v:group>
            <v:group style="position:absolute;left:5874;top:2006;width:734;height:2" coordorigin="5874,2006" coordsize="734,2">
              <v:shape style="position:absolute;left:5874;top:2006;width:734;height:2" coordorigin="5874,2006" coordsize="734,0" path="m5874,2006l6607,2006e" filled="false" stroked="true" strokeweight="1.5pt" strokecolor="#000000">
                <v:path arrowok="t"/>
              </v:shape>
              <v:shape style="position:absolute;left:6578;top:791;width:67;height:1229" type="#_x0000_t75" stroked="false">
                <v:imagedata r:id="rId429" o:title=""/>
              </v:shape>
            </v:group>
            <v:group style="position:absolute;left:6607;top:2006;width:735;height:2" coordorigin="6607,2006" coordsize="735,2">
              <v:shape style="position:absolute;left:6607;top:2006;width:735;height:2" coordorigin="6607,2006" coordsize="735,0" path="m6607,2006l7342,2006e" filled="false" stroked="true" strokeweight="1.5pt" strokecolor="#000000">
                <v:path arrowok="t"/>
              </v:shape>
              <v:shape style="position:absolute;left:7313;top:791;width:67;height:1229" type="#_x0000_t75" stroked="false">
                <v:imagedata r:id="rId427" o:title=""/>
              </v:shape>
            </v:group>
            <v:group style="position:absolute;left:7342;top:2006;width:1037;height:2" coordorigin="7342,2006" coordsize="1037,2">
              <v:shape style="position:absolute;left:7342;top:2006;width:1037;height:2" coordorigin="7342,2006" coordsize="1037,0" path="m7342,2006l8378,2006e" filled="false" stroked="true" strokeweight="1.5pt" strokecolor="#000000">
                <v:path arrowok="t"/>
              </v:shape>
              <v:shape style="position:absolute;left:3209;top:269;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债券</w:t>
                      </w:r>
                      <w:r>
                        <w:rPr>
                          <w:rFonts w:ascii="宋体" w:hAnsi="宋体" w:cs="宋体" w:eastAsia="宋体" w:hint="default"/>
                          <w:sz w:val="13"/>
                          <w:szCs w:val="13"/>
                        </w:rPr>
                      </w:r>
                    </w:p>
                  </w:txbxContent>
                </v:textbox>
                <w10:wrap type="none"/>
              </v:shape>
              <v:shape style="position:absolute;left:4609;top:269;width:1049;height:130" type="#_x0000_t202" filled="false" stroked="false">
                <v:textbox inset="0,0,0,0">
                  <w:txbxContent>
                    <w:p>
                      <w:pPr>
                        <w:tabs>
                          <w:tab w:pos="659"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年初应</w:t>
                        <w:tab/>
                        <w:t>本期应</w:t>
                      </w:r>
                      <w:r>
                        <w:rPr>
                          <w:rFonts w:ascii="宋体" w:hAnsi="宋体" w:cs="宋体" w:eastAsia="宋体" w:hint="default"/>
                          <w:sz w:val="13"/>
                          <w:szCs w:val="13"/>
                        </w:rPr>
                      </w:r>
                    </w:p>
                  </w:txbxContent>
                </v:textbox>
                <w10:wrap type="none"/>
              </v:shape>
              <v:shape style="position:absolute;left:6004;top:269;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本期已</w:t>
                      </w:r>
                      <w:r>
                        <w:rPr>
                          <w:rFonts w:ascii="宋体" w:hAnsi="宋体" w:cs="宋体" w:eastAsia="宋体" w:hint="default"/>
                          <w:sz w:val="13"/>
                          <w:szCs w:val="13"/>
                        </w:rPr>
                      </w:r>
                    </w:p>
                  </w:txbxContent>
                </v:textbox>
                <w10:wrap type="none"/>
              </v:shape>
              <v:shape style="position:absolute;left:6737;top:269;width:38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期末应</w:t>
                      </w:r>
                      <w:r>
                        <w:rPr>
                          <w:rFonts w:ascii="宋体" w:hAnsi="宋体" w:cs="宋体" w:eastAsia="宋体" w:hint="default"/>
                          <w:sz w:val="13"/>
                          <w:szCs w:val="13"/>
                        </w:rPr>
                      </w:r>
                    </w:p>
                  </w:txbxContent>
                </v:textbox>
                <w10:wrap type="none"/>
              </v:shape>
              <v:shape style="position:absolute;left:377;top:46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债券名称</w:t>
                      </w:r>
                      <w:r>
                        <w:rPr>
                          <w:rFonts w:ascii="宋体" w:hAnsi="宋体" w:cs="宋体" w:eastAsia="宋体" w:hint="default"/>
                          <w:sz w:val="13"/>
                          <w:szCs w:val="13"/>
                        </w:rPr>
                      </w:r>
                    </w:p>
                  </w:txbxContent>
                </v:textbox>
                <w10:wrap type="none"/>
              </v:shape>
              <v:shape style="position:absolute;left:1591;top:465;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面值</w:t>
                      </w:r>
                      <w:r>
                        <w:rPr>
                          <w:rFonts w:ascii="宋体" w:hAnsi="宋体" w:cs="宋体" w:eastAsia="宋体" w:hint="default"/>
                          <w:sz w:val="13"/>
                          <w:szCs w:val="13"/>
                        </w:rPr>
                      </w:r>
                    </w:p>
                  </w:txbxContent>
                </v:textbox>
                <w10:wrap type="none"/>
              </v:shape>
              <v:shape style="position:absolute;left:2345;top:46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发行日期</w:t>
                      </w:r>
                      <w:r>
                        <w:rPr>
                          <w:rFonts w:ascii="宋体" w:hAnsi="宋体" w:cs="宋体" w:eastAsia="宋体" w:hint="default"/>
                          <w:sz w:val="13"/>
                          <w:szCs w:val="13"/>
                        </w:rPr>
                      </w:r>
                    </w:p>
                  </w:txbxContent>
                </v:textbox>
                <w10:wrap type="none"/>
              </v:shape>
              <v:shape style="position:absolute;left:3812;top:46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发行金额</w:t>
                      </w:r>
                      <w:r>
                        <w:rPr>
                          <w:rFonts w:ascii="宋体" w:hAnsi="宋体" w:cs="宋体" w:eastAsia="宋体" w:hint="default"/>
                          <w:sz w:val="13"/>
                          <w:szCs w:val="13"/>
                        </w:rPr>
                      </w:r>
                    </w:p>
                  </w:txbxContent>
                </v:textbox>
                <w10:wrap type="none"/>
              </v:shape>
              <v:shape style="position:absolute;left:7555;top:46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期末余额</w:t>
                      </w:r>
                      <w:r>
                        <w:rPr>
                          <w:rFonts w:ascii="宋体" w:hAnsi="宋体" w:cs="宋体" w:eastAsia="宋体" w:hint="default"/>
                          <w:sz w:val="13"/>
                          <w:szCs w:val="13"/>
                        </w:rPr>
                      </w:r>
                    </w:p>
                  </w:txbxContent>
                </v:textbox>
                <w10:wrap type="none"/>
              </v:shape>
              <v:shape style="position:absolute;left:3209;top:659;width:3917;height:130" type="#_x0000_t202" filled="false" stroked="false">
                <v:textbox inset="0,0,0,0">
                  <w:txbxContent>
                    <w:p>
                      <w:pPr>
                        <w:tabs>
                          <w:tab w:pos="1400" w:val="left" w:leader="none"/>
                          <w:tab w:pos="2060" w:val="left" w:leader="none"/>
                          <w:tab w:pos="2794" w:val="left" w:leader="none"/>
                          <w:tab w:pos="3527"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期限</w:t>
                        <w:tab/>
                        <w:t>付利息</w:t>
                        <w:tab/>
                        <w:t>计利息</w:t>
                        <w:tab/>
                        <w:t>付利息</w:t>
                        <w:tab/>
                        <w:t>付利息</w:t>
                      </w:r>
                      <w:r>
                        <w:rPr>
                          <w:rFonts w:ascii="宋体" w:hAnsi="宋体" w:cs="宋体" w:eastAsia="宋体" w:hint="default"/>
                          <w:sz w:val="13"/>
                          <w:szCs w:val="13"/>
                        </w:rPr>
                      </w:r>
                    </w:p>
                  </w:txbxContent>
                </v:textbox>
                <w10:wrap type="none"/>
              </v:shape>
              <v:shape style="position:absolute;left:0;top:1037;width:2891;height:558" type="#_x0000_t202" filled="false" stroked="false">
                <v:textbox inset="0,0,0,0">
                  <w:txbxContent>
                    <w:p>
                      <w:pPr>
                        <w:spacing w:line="150" w:lineRule="exact" w:before="0"/>
                        <w:ind w:left="38" w:right="0" w:firstLine="0"/>
                        <w:jc w:val="left"/>
                        <w:rPr>
                          <w:rFonts w:ascii="宋体" w:hAnsi="宋体" w:cs="宋体" w:eastAsia="宋体" w:hint="default"/>
                          <w:sz w:val="15"/>
                          <w:szCs w:val="15"/>
                        </w:rPr>
                      </w:pPr>
                      <w:r>
                        <w:rPr>
                          <w:rFonts w:ascii="宋体" w:hAnsi="宋体" w:cs="宋体" w:eastAsia="宋体" w:hint="default"/>
                          <w:sz w:val="15"/>
                          <w:szCs w:val="15"/>
                        </w:rPr>
                        <w:t>东软集团股份有限</w:t>
                      </w:r>
                    </w:p>
                    <w:p>
                      <w:pPr>
                        <w:spacing w:line="240" w:lineRule="auto" w:before="1"/>
                        <w:rPr>
                          <w:rFonts w:ascii="宋体" w:hAnsi="宋体" w:cs="宋体" w:eastAsia="宋体" w:hint="default"/>
                          <w:b/>
                          <w:bCs/>
                          <w:sz w:val="15"/>
                          <w:szCs w:val="15"/>
                        </w:rPr>
                      </w:pPr>
                    </w:p>
                    <w:p>
                      <w:pPr>
                        <w:tabs>
                          <w:tab w:pos="1475" w:val="left" w:leader="none"/>
                        </w:tabs>
                        <w:spacing w:line="211" w:lineRule="exact" w:before="0"/>
                        <w:ind w:left="0" w:right="0" w:firstLine="0"/>
                        <w:jc w:val="left"/>
                        <w:rPr>
                          <w:rFonts w:ascii="Times New Roman" w:hAnsi="Times New Roman" w:cs="Times New Roman" w:eastAsia="Times New Roman" w:hint="default"/>
                          <w:sz w:val="13"/>
                          <w:szCs w:val="13"/>
                        </w:rPr>
                      </w:pPr>
                      <w:r>
                        <w:rPr>
                          <w:rFonts w:ascii="宋体" w:hAnsi="宋体" w:cs="宋体" w:eastAsia="宋体" w:hint="default"/>
                          <w:position w:val="1"/>
                          <w:sz w:val="15"/>
                          <w:szCs w:val="15"/>
                        </w:rPr>
                        <w:t>公司</w:t>
                      </w:r>
                      <w:r>
                        <w:rPr>
                          <w:rFonts w:ascii="宋体" w:hAnsi="宋体" w:cs="宋体" w:eastAsia="宋体" w:hint="default"/>
                          <w:spacing w:val="-55"/>
                          <w:position w:val="1"/>
                          <w:sz w:val="15"/>
                          <w:szCs w:val="15"/>
                        </w:rPr>
                        <w:t> </w:t>
                      </w:r>
                      <w:r>
                        <w:rPr>
                          <w:rFonts w:ascii="Times New Roman" w:hAnsi="Times New Roman" w:cs="Times New Roman" w:eastAsia="Times New Roman" w:hint="default"/>
                          <w:position w:val="1"/>
                          <w:sz w:val="15"/>
                          <w:szCs w:val="15"/>
                        </w:rPr>
                        <w:t>2011</w:t>
                      </w:r>
                      <w:r>
                        <w:rPr>
                          <w:rFonts w:ascii="Times New Roman" w:hAnsi="Times New Roman" w:cs="Times New Roman" w:eastAsia="Times New Roman" w:hint="default"/>
                          <w:spacing w:val="-17"/>
                          <w:position w:val="1"/>
                          <w:sz w:val="15"/>
                          <w:szCs w:val="15"/>
                        </w:rPr>
                        <w:t> </w:t>
                      </w:r>
                      <w:r>
                        <w:rPr>
                          <w:rFonts w:ascii="宋体" w:hAnsi="宋体" w:cs="宋体" w:eastAsia="宋体" w:hint="default"/>
                          <w:position w:val="1"/>
                          <w:sz w:val="15"/>
                          <w:szCs w:val="15"/>
                        </w:rPr>
                        <w:t>年度第一</w:t>
                        <w:tab/>
                      </w:r>
                      <w:r>
                        <w:rPr>
                          <w:rFonts w:ascii="Times New Roman" w:hAnsi="Times New Roman" w:cs="Times New Roman" w:eastAsia="Times New Roman" w:hint="default"/>
                          <w:sz w:val="13"/>
                          <w:szCs w:val="13"/>
                        </w:rPr>
                        <w:t>400,000,000    </w:t>
                      </w:r>
                      <w:r>
                        <w:rPr>
                          <w:rFonts w:ascii="Times New Roman" w:hAnsi="Times New Roman" w:cs="Times New Roman" w:eastAsia="Times New Roman" w:hint="default"/>
                          <w:spacing w:val="16"/>
                          <w:sz w:val="13"/>
                          <w:szCs w:val="13"/>
                        </w:rPr>
                        <w:t> </w:t>
                      </w:r>
                      <w:r>
                        <w:rPr>
                          <w:rFonts w:ascii="Times New Roman" w:hAnsi="Times New Roman" w:cs="Times New Roman" w:eastAsia="Times New Roman" w:hint="default"/>
                          <w:sz w:val="13"/>
                          <w:szCs w:val="13"/>
                        </w:rPr>
                        <w:t>2011.11.14</w:t>
                      </w:r>
                    </w:p>
                  </w:txbxContent>
                </v:textbox>
                <w10:wrap type="none"/>
              </v:shape>
              <v:shape style="position:absolute;left:3224;top:1450;width:227;height:137" type="#_x0000_t202" filled="false" stroked="false">
                <v:textbox inset="0,0,0,0">
                  <w:txbxContent>
                    <w:p>
                      <w:pPr>
                        <w:spacing w:line="137" w:lineRule="exact" w:before="0"/>
                        <w:ind w:left="0" w:right="0" w:firstLine="0"/>
                        <w:jc w:val="left"/>
                        <w:rPr>
                          <w:rFonts w:ascii="宋体" w:hAnsi="宋体" w:cs="宋体" w:eastAsia="宋体" w:hint="default"/>
                          <w:sz w:val="13"/>
                          <w:szCs w:val="13"/>
                        </w:rPr>
                      </w:pPr>
                      <w:r>
                        <w:rPr>
                          <w:rFonts w:ascii="Times New Roman" w:hAnsi="Times New Roman" w:cs="Times New Roman" w:eastAsia="Times New Roman" w:hint="default"/>
                          <w:sz w:val="13"/>
                          <w:szCs w:val="13"/>
                        </w:rPr>
                        <w:t>3</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年</w:t>
                      </w:r>
                    </w:p>
                  </w:txbxContent>
                </v:textbox>
                <w10:wrap type="none"/>
              </v:shape>
              <v:shape style="position:absolute;left:3826;top:1465;width:650;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400,000,000</w:t>
                      </w:r>
                      <w:r>
                        <w:rPr>
                          <w:rFonts w:ascii="Times New Roman"/>
                          <w:sz w:val="13"/>
                        </w:rPr>
                      </w:r>
                    </w:p>
                  </w:txbxContent>
                </v:textbox>
                <w10:wrap type="none"/>
              </v:shape>
              <v:shape style="position:absolute;left:5275;top:1465;width:519;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3,658,667</w:t>
                      </w:r>
                      <w:r>
                        <w:rPr>
                          <w:rFonts w:ascii="Times New Roman"/>
                          <w:sz w:val="13"/>
                        </w:rPr>
                      </w:r>
                    </w:p>
                  </w:txbxContent>
                </v:textbox>
                <w10:wrap type="none"/>
              </v:shape>
              <v:shape style="position:absolute;left:6743;top:1465;width:1397;height:130" type="#_x0000_t202" filled="false" stroked="false">
                <v:textbox inset="0,0,0,0">
                  <w:txbxContent>
                    <w:p>
                      <w:pPr>
                        <w:tabs>
                          <w:tab w:pos="747"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3,658,667</w:t>
                        <w:tab/>
                        <w:t>403,658,667</w:t>
                      </w:r>
                      <w:r>
                        <w:rPr>
                          <w:rFonts w:ascii="Times New Roman"/>
                          <w:sz w:val="13"/>
                        </w:rPr>
                      </w:r>
                    </w:p>
                  </w:txbxContent>
                </v:textbox>
                <w10:wrap type="none"/>
              </v:shape>
              <v:shape style="position:absolute;left:247;top:1817;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期中期票据</w:t>
                      </w:r>
                    </w:p>
                  </w:txbxContent>
                </v:textbox>
                <w10:wrap type="none"/>
              </v:shape>
            </v:group>
          </v:group>
        </w:pict>
      </w:r>
      <w:r>
        <w:rPr>
          <w:rFonts w:ascii="宋体" w:hAnsi="宋体" w:cs="宋体" w:eastAsia="宋体" w:hint="default"/>
          <w:position w:val="-39"/>
          <w:sz w:val="20"/>
          <w:szCs w:val="20"/>
        </w:rPr>
      </w:r>
    </w:p>
    <w:p>
      <w:pPr>
        <w:pStyle w:val="BodyText"/>
        <w:spacing w:line="240" w:lineRule="auto" w:before="94"/>
        <w:ind w:left="1574" w:right="243"/>
        <w:jc w:val="left"/>
      </w:pPr>
      <w:r>
        <w:rPr/>
        <w:t>报告期内，公司根据</w:t>
      </w:r>
      <w:r>
        <w:rPr>
          <w:spacing w:val="-74"/>
        </w:rPr>
        <w:t> </w:t>
      </w:r>
      <w:r>
        <w:rPr/>
        <w:t>2010</w:t>
      </w:r>
      <w:r>
        <w:rPr>
          <w:spacing w:val="-73"/>
        </w:rPr>
        <w:t> </w:t>
      </w:r>
      <w:r>
        <w:rPr/>
        <w:t>年度股东大会审议通过的《关于发行短期融资券、中期票</w:t>
      </w:r>
    </w:p>
    <w:p>
      <w:pPr>
        <w:pStyle w:val="BodyText"/>
        <w:spacing w:line="350" w:lineRule="auto" w:before="125"/>
        <w:ind w:left="1549" w:right="594"/>
        <w:jc w:val="left"/>
      </w:pPr>
      <w:r>
        <w:rPr>
          <w:spacing w:val="-22"/>
        </w:rPr>
        <w:t>据的议案》，于</w:t>
      </w:r>
      <w:r>
        <w:rPr>
          <w:spacing w:val="-52"/>
        </w:rPr>
        <w:t> </w:t>
      </w:r>
      <w:r>
        <w:rPr/>
        <w:t>2011</w:t>
      </w:r>
      <w:r>
        <w:rPr>
          <w:spacing w:val="-51"/>
        </w:rPr>
        <w:t> </w:t>
      </w:r>
      <w:r>
        <w:rPr/>
        <w:t>年</w:t>
      </w:r>
      <w:r>
        <w:rPr>
          <w:spacing w:val="-52"/>
        </w:rPr>
        <w:t> </w:t>
      </w:r>
      <w:r>
        <w:rPr>
          <w:spacing w:val="-1"/>
        </w:rPr>
        <w:t>11</w:t>
      </w:r>
      <w:r>
        <w:rPr>
          <w:spacing w:val="-51"/>
        </w:rPr>
        <w:t> </w:t>
      </w:r>
      <w:r>
        <w:rPr/>
        <w:t>月</w:t>
      </w:r>
      <w:r>
        <w:rPr>
          <w:spacing w:val="-53"/>
        </w:rPr>
        <w:t> </w:t>
      </w:r>
      <w:r>
        <w:rPr/>
        <w:t>11</w:t>
      </w:r>
      <w:r>
        <w:rPr>
          <w:spacing w:val="-51"/>
        </w:rPr>
        <w:t> </w:t>
      </w:r>
      <w:r>
        <w:rPr>
          <w:spacing w:val="-2"/>
        </w:rPr>
        <w:t>日通过簿记建档、集中配售的方式在全国银行间债券</w:t>
      </w:r>
      <w:r>
        <w:rPr/>
        <w:t> 市场公开发行了</w:t>
      </w:r>
      <w:r>
        <w:rPr>
          <w:spacing w:val="-47"/>
        </w:rPr>
        <w:t> </w:t>
      </w:r>
      <w:r>
        <w:rPr/>
        <w:t>2011</w:t>
      </w:r>
      <w:r>
        <w:rPr>
          <w:spacing w:val="-46"/>
        </w:rPr>
        <w:t> </w:t>
      </w:r>
      <w:r>
        <w:rPr>
          <w:spacing w:val="-1"/>
        </w:rPr>
        <w:t>年度第一期中期票据（简称：11</w:t>
      </w:r>
      <w:r>
        <w:rPr>
          <w:spacing w:val="-46"/>
        </w:rPr>
        <w:t> </w:t>
      </w:r>
      <w:r>
        <w:rPr>
          <w:spacing w:val="-1"/>
        </w:rPr>
        <w:t>东软</w:t>
      </w:r>
      <w:r>
        <w:rPr>
          <w:spacing w:val="-49"/>
        </w:rPr>
        <w:t> </w:t>
      </w:r>
      <w:r>
        <w:rPr>
          <w:spacing w:val="-7"/>
        </w:rPr>
        <w:t>MTN1，代码：1182321）。</w:t>
      </w:r>
      <w:r>
        <w:rPr/>
        <w:t> 本次发行的主承销商为兴业银行股份有限公司，实际发行总额为</w:t>
      </w:r>
      <w:r>
        <w:rPr>
          <w:spacing w:val="-72"/>
        </w:rPr>
        <w:t> </w:t>
      </w:r>
      <w:r>
        <w:rPr/>
        <w:t>4</w:t>
      </w:r>
      <w:r>
        <w:rPr>
          <w:spacing w:val="-72"/>
        </w:rPr>
        <w:t> </w:t>
      </w:r>
      <w:r>
        <w:rPr>
          <w:spacing w:val="-6"/>
        </w:rPr>
        <w:t>亿元人民币，期限</w:t>
      </w:r>
    </w:p>
    <w:p>
      <w:pPr>
        <w:pStyle w:val="BodyText"/>
        <w:spacing w:line="240" w:lineRule="auto" w:before="28"/>
        <w:ind w:left="1549" w:right="243"/>
        <w:jc w:val="left"/>
      </w:pPr>
      <w:r>
        <w:rPr/>
        <w:t>为</w:t>
      </w:r>
      <w:r>
        <w:rPr>
          <w:spacing w:val="-61"/>
        </w:rPr>
        <w:t> </w:t>
      </w:r>
      <w:r>
        <w:rPr/>
        <w:t>3</w:t>
      </w:r>
      <w:r>
        <w:rPr>
          <w:spacing w:val="-60"/>
        </w:rPr>
        <w:t> </w:t>
      </w:r>
      <w:r>
        <w:rPr/>
        <w:t>年，面值为每张</w:t>
      </w:r>
      <w:r>
        <w:rPr>
          <w:spacing w:val="-61"/>
        </w:rPr>
        <w:t> </w:t>
      </w:r>
      <w:r>
        <w:rPr/>
        <w:t>100</w:t>
      </w:r>
      <w:r>
        <w:rPr>
          <w:spacing w:val="-60"/>
        </w:rPr>
        <w:t> </w:t>
      </w:r>
      <w:r>
        <w:rPr/>
        <w:t>元，计息方式为附息固定，票面利率为</w:t>
      </w:r>
      <w:r>
        <w:rPr>
          <w:spacing w:val="-61"/>
        </w:rPr>
        <w:t> </w:t>
      </w:r>
      <w:r>
        <w:rPr/>
        <w:t>6.86%，募集资金已</w:t>
      </w:r>
    </w:p>
    <w:p>
      <w:pPr>
        <w:pStyle w:val="BodyText"/>
        <w:spacing w:line="350" w:lineRule="auto" w:before="125"/>
        <w:ind w:left="1549" w:right="243"/>
        <w:jc w:val="left"/>
      </w:pPr>
      <w:r>
        <w:rPr/>
        <w:t>于</w:t>
      </w:r>
      <w:r>
        <w:rPr>
          <w:spacing w:val="-54"/>
        </w:rPr>
        <w:t> </w:t>
      </w:r>
      <w:r>
        <w:rPr/>
        <w:t>2011</w:t>
      </w:r>
      <w:r>
        <w:rPr>
          <w:spacing w:val="-54"/>
        </w:rPr>
        <w:t> </w:t>
      </w:r>
      <w:r>
        <w:rPr/>
        <w:t>年</w:t>
      </w:r>
      <w:r>
        <w:rPr>
          <w:spacing w:val="-55"/>
        </w:rPr>
        <w:t> </w:t>
      </w:r>
      <w:r>
        <w:rPr/>
        <w:t>11</w:t>
      </w:r>
      <w:r>
        <w:rPr>
          <w:spacing w:val="-54"/>
        </w:rPr>
        <w:t> </w:t>
      </w:r>
      <w:r>
        <w:rPr/>
        <w:t>月</w:t>
      </w:r>
      <w:r>
        <w:rPr>
          <w:spacing w:val="-54"/>
        </w:rPr>
        <w:t> </w:t>
      </w:r>
      <w:r>
        <w:rPr/>
        <w:t>14</w:t>
      </w:r>
      <w:r>
        <w:rPr>
          <w:spacing w:val="-54"/>
        </w:rPr>
        <w:t> </w:t>
      </w:r>
      <w:r>
        <w:rPr/>
        <w:t>日全额到账，预提至年末利息为</w:t>
      </w:r>
      <w:r>
        <w:rPr>
          <w:spacing w:val="-54"/>
        </w:rPr>
        <w:t> </w:t>
      </w:r>
      <w:r>
        <w:rPr/>
        <w:t>366</w:t>
      </w:r>
      <w:r>
        <w:rPr>
          <w:spacing w:val="-54"/>
        </w:rPr>
        <w:t> </w:t>
      </w:r>
      <w:r>
        <w:rPr/>
        <w:t>万元。本次中期票据发行的</w:t>
      </w:r>
      <w:r>
        <w:rPr>
          <w:spacing w:val="-1"/>
        </w:rPr>
        <w:t> </w:t>
      </w:r>
      <w:r>
        <w:rPr>
          <w:spacing w:val="21"/>
        </w:rPr>
        <w:t>相关文</w:t>
      </w:r>
      <w:r>
        <w:rPr>
          <w:spacing w:val="-73"/>
        </w:rPr>
        <w:t> </w:t>
      </w:r>
      <w:r>
        <w:rPr>
          <w:spacing w:val="16"/>
        </w:rPr>
        <w:t>件详</w:t>
      </w:r>
      <w:r>
        <w:rPr>
          <w:spacing w:val="-73"/>
        </w:rPr>
        <w:t> </w:t>
      </w:r>
      <w:r>
        <w:rPr>
          <w:spacing w:val="21"/>
        </w:rPr>
        <w:t>见中国</w:t>
      </w:r>
      <w:r>
        <w:rPr>
          <w:spacing w:val="-73"/>
        </w:rPr>
        <w:t> </w:t>
      </w:r>
      <w:r>
        <w:rPr>
          <w:spacing w:val="16"/>
        </w:rPr>
        <w:t>货币</w:t>
      </w:r>
      <w:r>
        <w:rPr>
          <w:spacing w:val="-73"/>
        </w:rPr>
        <w:t> </w:t>
      </w:r>
      <w:r>
        <w:rPr>
          <w:spacing w:val="16"/>
        </w:rPr>
        <w:t>网（</w:t>
      </w:r>
      <w:r>
        <w:rPr>
          <w:spacing w:val="62"/>
        </w:rPr>
        <w:t> </w:t>
      </w:r>
      <w:hyperlink r:id="rId14">
        <w:r>
          <w:rPr/>
          <w:t>www.chinamoney.com.cn</w:t>
        </w:r>
      </w:hyperlink>
      <w:r>
        <w:rPr>
          <w:spacing w:val="31"/>
        </w:rPr>
        <w:t> </w:t>
      </w:r>
      <w:r>
        <w:rPr/>
        <w:t>）</w:t>
      </w:r>
      <w:r>
        <w:rPr>
          <w:spacing w:val="62"/>
        </w:rPr>
        <w:t> </w:t>
      </w:r>
      <w:r>
        <w:rPr>
          <w:spacing w:val="21"/>
        </w:rPr>
        <w:t>或中国</w:t>
      </w:r>
      <w:r>
        <w:rPr>
          <w:spacing w:val="-73"/>
        </w:rPr>
        <w:t> </w:t>
      </w:r>
      <w:r>
        <w:rPr>
          <w:spacing w:val="16"/>
        </w:rPr>
        <w:t>债券</w:t>
      </w:r>
      <w:r>
        <w:rPr>
          <w:spacing w:val="-73"/>
        </w:rPr>
        <w:t> </w:t>
      </w:r>
      <w:r>
        <w:rPr>
          <w:spacing w:val="21"/>
        </w:rPr>
        <w:t>信息网</w:t>
      </w:r>
      <w:r>
        <w:rPr>
          <w:spacing w:val="-73"/>
        </w:rPr>
        <w:t> </w:t>
      </w:r>
      <w:r>
        <w:rPr/>
      </w:r>
    </w:p>
    <w:p>
      <w:pPr>
        <w:pStyle w:val="BodyText"/>
        <w:spacing w:line="240" w:lineRule="auto" w:before="28"/>
        <w:ind w:left="1549" w:right="243"/>
        <w:jc w:val="left"/>
      </w:pPr>
      <w:hyperlink r:id="rId15">
        <w:r>
          <w:rPr>
            <w:spacing w:val="-1"/>
          </w:rPr>
          <w:t>（</w:t>
        </w:r>
        <w:r>
          <w:rPr/>
          <w:t>w</w:t>
        </w:r>
        <w:r>
          <w:rPr>
            <w:spacing w:val="-1"/>
          </w:rPr>
          <w:t>w</w:t>
        </w:r>
        <w:r>
          <w:rPr/>
          <w:t>w</w:t>
        </w:r>
        <w:r>
          <w:rPr>
            <w:spacing w:val="-1"/>
          </w:rPr>
          <w:t>.</w:t>
        </w:r>
        <w:r>
          <w:rPr/>
          <w:t>c</w:t>
        </w:r>
        <w:r>
          <w:rPr>
            <w:spacing w:val="-1"/>
          </w:rPr>
          <w:t>h</w:t>
        </w:r>
        <w:r>
          <w:rPr/>
          <w:t>i</w:t>
        </w:r>
        <w:r>
          <w:rPr>
            <w:spacing w:val="-1"/>
          </w:rPr>
          <w:t>na</w:t>
        </w:r>
        <w:r>
          <w:rPr/>
          <w:t>b</w:t>
        </w:r>
        <w:r>
          <w:rPr>
            <w:spacing w:val="-1"/>
          </w:rPr>
          <w:t>o</w:t>
        </w:r>
        <w:r>
          <w:rPr/>
          <w:t>n</w:t>
        </w:r>
        <w:r>
          <w:rPr>
            <w:spacing w:val="-1"/>
          </w:rPr>
          <w:t>d</w:t>
        </w:r>
        <w:r>
          <w:rPr/>
          <w:t>.</w:t>
        </w:r>
        <w:r>
          <w:rPr>
            <w:spacing w:val="-1"/>
          </w:rPr>
          <w:t>c</w:t>
        </w:r>
        <w:r>
          <w:rPr/>
          <w:t>o</w:t>
        </w:r>
        <w:r>
          <w:rPr>
            <w:spacing w:val="-1"/>
          </w:rPr>
          <w:t>m</w:t>
        </w:r>
        <w:r>
          <w:rPr/>
          <w:t>.</w:t>
        </w:r>
        <w:r>
          <w:rPr>
            <w:spacing w:val="-1"/>
          </w:rPr>
          <w:t>cn</w:t>
        </w:r>
      </w:hyperlink>
      <w:r>
        <w:rPr>
          <w:spacing w:val="-105"/>
        </w:rPr>
        <w:t>）</w:t>
      </w:r>
      <w:r>
        <w:rPr/>
        <w:t>。</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p>
      <w:pPr>
        <w:pStyle w:val="Heading6"/>
        <w:tabs>
          <w:tab w:pos="1553" w:val="left" w:leader="none"/>
          <w:tab w:pos="2095" w:val="left" w:leader="none"/>
        </w:tabs>
        <w:spacing w:line="340" w:lineRule="auto" w:before="0"/>
        <w:ind w:left="1557" w:right="6470" w:hanging="732"/>
        <w:jc w:val="left"/>
        <w:rPr>
          <w:b w:val="0"/>
          <w:bCs w:val="0"/>
        </w:rPr>
      </w:pPr>
      <w:r>
        <w:rPr/>
        <w:pict>
          <v:group style="position:absolute;margin-left:155.009995pt;margin-top:34.820236pt;width:390.45pt;height:82.5pt;mso-position-horizontal-relative:page;mso-position-vertical-relative:paragraph;z-index:-1099408" coordorigin="3100,696" coordsize="7809,1650">
            <v:group style="position:absolute;left:3130;top:711;width:5276;height:2" coordorigin="3130,711" coordsize="5276,2">
              <v:shape style="position:absolute;left:3130;top:711;width:5276;height:2" coordorigin="3130,711" coordsize="5276,0" path="m3130,711l8405,711e" filled="false" stroked="true" strokeweight="1.5pt" strokecolor="#000000">
                <v:path arrowok="t"/>
              </v:shape>
            </v:group>
            <v:group style="position:absolute;left:8405;top:711;width:2478;height:2" coordorigin="8405,711" coordsize="2478,2">
              <v:shape style="position:absolute;left:8405;top:711;width:2478;height:2" coordorigin="8405,711" coordsize="2478,0" path="m8405,711l10883,711e" filled="false" stroked="true" strokeweight="1.5pt" strokecolor="#000000">
                <v:path arrowok="t"/>
              </v:shape>
              <v:shape style="position:absolute;left:6031;top:698;width:2382;height:448" type="#_x0000_t75" stroked="false">
                <v:imagedata r:id="rId430" o:title=""/>
              </v:shape>
            </v:group>
            <v:group style="position:absolute;left:3115;top:2331;width:2945;height:2" coordorigin="3115,2331" coordsize="2945,2">
              <v:shape style="position:absolute;left:3115;top:2331;width:2945;height:2" coordorigin="3115,2331" coordsize="2945,0" path="m3115,2331l6060,2331e" filled="false" stroked="true" strokeweight="1.5pt" strokecolor="#000000">
                <v:path arrowok="t"/>
              </v:shape>
            </v:group>
            <v:group style="position:absolute;left:6060;top:2331;width:2315;height:2" coordorigin="6060,2331" coordsize="2315,2">
              <v:shape style="position:absolute;left:6060;top:2331;width:2315;height:2" coordorigin="6060,2331" coordsize="2315,0" path="m6060,2331l8375,2331e" filled="false" stroked="true" strokeweight="1.5pt" strokecolor="#000000">
                <v:path arrowok="t"/>
              </v:shape>
              <v:shape style="position:absolute;left:3110;top:1097;width:7799;height:1219" type="#_x0000_t75" stroked="false">
                <v:imagedata r:id="rId431" o:title=""/>
              </v:shape>
            </v:group>
            <v:group style="position:absolute;left:8375;top:2331;width:30;height:2" coordorigin="8375,2331" coordsize="30,2">
              <v:shape style="position:absolute;left:8375;top:2331;width:30;height:2" coordorigin="8375,2331" coordsize="30,0" path="m8375,2331l8405,2331e" filled="false" stroked="true" strokeweight="1.5pt" strokecolor="#000000">
                <v:path arrowok="t"/>
              </v:shape>
            </v:group>
            <v:group style="position:absolute;left:8405;top:2331;width:2478;height:2" coordorigin="8405,2331" coordsize="2478,2">
              <v:shape style="position:absolute;left:8405;top:2331;width:2478;height:2" coordorigin="8405,2331" coordsize="2478,0" path="m8405,2331l10883,2331e" filled="false" stroked="true" strokeweight="1.5pt" strokecolor="#000000">
                <v:path arrowok="t"/>
              </v:shape>
              <v:shape style="position:absolute;left:4237;top:90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4777;top:90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6862;top:90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9271;top:90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3238;top:130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主营业务收入</w:t>
                      </w:r>
                    </w:p>
                  </w:txbxContent>
                </v:textbox>
                <w10:wrap type="none"/>
              </v:shape>
              <v:shape style="position:absolute;left:7237;top:1328;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3,027,330,275</w:t>
                      </w:r>
                    </w:p>
                  </w:txbxContent>
                </v:textbox>
                <w10:wrap type="none"/>
              </v:shape>
              <v:shape style="position:absolute;left:9740;top:1328;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2,645,006,680</w:t>
                      </w:r>
                    </w:p>
                  </w:txbxContent>
                </v:textbox>
                <w10:wrap type="none"/>
              </v:shape>
              <v:shape style="position:absolute;left:3238;top:170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其他业务收入</w:t>
                      </w:r>
                    </w:p>
                  </w:txbxContent>
                </v:textbox>
                <w10:wrap type="none"/>
              </v:shape>
              <v:shape style="position:absolute;left:9965;top:172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15,980,200</w:t>
                      </w:r>
                    </w:p>
                  </w:txbxContent>
                </v:textbox>
                <w10:wrap type="none"/>
              </v:shape>
              <v:shape style="position:absolute;left:4417;top:210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7236;top:2128;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3,027,330,275</w:t>
                      </w:r>
                    </w:p>
                  </w:txbxContent>
                </v:textbox>
                <w10:wrap type="none"/>
              </v:shape>
              <v:shape style="position:absolute;left:9740;top:2128;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2,660,986,880</w:t>
                      </w:r>
                    </w:p>
                  </w:txbxContent>
                </v:textbox>
                <w10:wrap type="none"/>
              </v:shape>
            </v:group>
            <w10:wrap type="none"/>
          </v:group>
        </w:pict>
      </w:r>
      <w:r>
        <w:rPr>
          <w:w w:val="95"/>
        </w:rPr>
        <w:t>(六)</w:t>
        <w:tab/>
      </w:r>
      <w:r>
        <w:rPr/>
        <w:t>营业收入及营业成本</w:t>
      </w:r>
      <w:r>
        <w:rPr>
          <w:spacing w:val="1"/>
          <w:w w:val="99"/>
        </w:rPr>
        <w:t> </w:t>
      </w:r>
      <w:r>
        <w:rPr>
          <w:w w:val="95"/>
        </w:rPr>
        <w:t>1、</w:t>
        <w:tab/>
      </w:r>
      <w:r>
        <w:rPr/>
        <w:t>营业收入</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5"/>
          <w:szCs w:val="15"/>
        </w:rPr>
      </w:pPr>
    </w:p>
    <w:p>
      <w:pPr>
        <w:tabs>
          <w:tab w:pos="2095" w:val="left" w:leader="none"/>
        </w:tabs>
        <w:spacing w:before="35"/>
        <w:ind w:left="1557" w:right="243" w:firstLine="0"/>
        <w:jc w:val="left"/>
        <w:rPr>
          <w:rFonts w:ascii="宋体" w:hAnsi="宋体" w:cs="宋体" w:eastAsia="宋体" w:hint="default"/>
          <w:sz w:val="21"/>
          <w:szCs w:val="21"/>
        </w:rPr>
      </w:pPr>
      <w:r>
        <w:rPr>
          <w:rFonts w:ascii="宋体" w:hAnsi="宋体" w:cs="宋体" w:eastAsia="宋体" w:hint="default"/>
          <w:b/>
          <w:bCs/>
          <w:w w:val="95"/>
          <w:sz w:val="21"/>
          <w:szCs w:val="21"/>
        </w:rPr>
        <w:t>2、</w:t>
        <w:tab/>
      </w:r>
      <w:r>
        <w:rPr>
          <w:rFonts w:ascii="宋体" w:hAnsi="宋体" w:cs="宋体" w:eastAsia="宋体" w:hint="default"/>
          <w:b/>
          <w:bCs/>
          <w:sz w:val="21"/>
          <w:szCs w:val="21"/>
        </w:rPr>
        <w:t>营业成本</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p>
      <w:pPr>
        <w:spacing w:line="1650" w:lineRule="exact"/>
        <w:ind w:left="1420"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391.15pt;height:82.5pt;mso-position-horizontal-relative:char;mso-position-vertical-relative:line" coordorigin="0,0" coordsize="7823,1650">
            <v:group style="position:absolute;left:29;top:15;width:7766;height:2" coordorigin="29,15" coordsize="7766,2">
              <v:shape style="position:absolute;left:29;top:15;width:7766;height:2" coordorigin="29,15" coordsize="7766,0" path="m29,15l7795,15e" filled="false" stroked="true" strokeweight="1.5pt" strokecolor="#000000">
                <v:path arrowok="t"/>
              </v:shape>
              <v:shape style="position:absolute;left:2937;top:1;width:2389;height:448" type="#_x0000_t75" stroked="false">
                <v:imagedata r:id="rId432" o:title=""/>
              </v:shape>
            </v:group>
            <v:group style="position:absolute;left:15;top:1635;width:2951;height:2" coordorigin="15,1635" coordsize="2951,2">
              <v:shape style="position:absolute;left:15;top:1635;width:2951;height:2" coordorigin="15,1635" coordsize="2951,0" path="m15,1635l2966,1635e" filled="false" stroked="true" strokeweight="1.5pt" strokecolor="#000000">
                <v:path arrowok="t"/>
              </v:shape>
            </v:group>
            <v:group style="position:absolute;left:2966;top:1635;width:2322;height:2" coordorigin="2966,1635" coordsize="2322,2">
              <v:shape style="position:absolute;left:2966;top:1635;width:2322;height:2" coordorigin="2966,1635" coordsize="2322,0" path="m2966,1635l5288,1635e" filled="false" stroked="true" strokeweight="1.5pt" strokecolor="#000000">
                <v:path arrowok="t"/>
              </v:shape>
              <v:shape style="position:absolute;left:1;top:401;width:7822;height:1219" type="#_x0000_t75" stroked="false">
                <v:imagedata r:id="rId433" o:title=""/>
              </v:shape>
            </v:group>
            <v:group style="position:absolute;left:5288;top:1635;width:2507;height:2" coordorigin="5288,1635" coordsize="2507,2">
              <v:shape style="position:absolute;left:5288;top:1635;width:2507;height:2" coordorigin="5288,1635" coordsize="2507,0" path="m5288,1635l7795,1635e" filled="false" stroked="true" strokeweight="1.5pt" strokecolor="#000000">
                <v:path arrowok="t"/>
              </v:shape>
              <v:shape style="position:absolute;left:1139;top:21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1679;top:21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3771;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6183;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137;top:61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主营业务成本</w:t>
                      </w:r>
                    </w:p>
                  </w:txbxContent>
                </v:textbox>
                <w10:wrap type="none"/>
              </v:shape>
              <v:shape style="position:absolute;left:4150;top:63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2,193,319,213</w:t>
                      </w:r>
                    </w:p>
                  </w:txbxContent>
                </v:textbox>
                <w10:wrap type="none"/>
              </v:shape>
              <v:shape style="position:absolute;left:6652;top:63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1,952,280,277</w:t>
                      </w:r>
                    </w:p>
                  </w:txbxContent>
                </v:textbox>
                <w10:wrap type="none"/>
              </v:shape>
              <v:shape style="position:absolute;left:137;top:101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其他业务成本</w:t>
                      </w:r>
                    </w:p>
                  </w:txbxContent>
                </v:textbox>
                <w10:wrap type="none"/>
              </v:shape>
              <v:shape style="position:absolute;left:6877;top:103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10,274,417</w:t>
                      </w:r>
                    </w:p>
                  </w:txbxContent>
                </v:textbox>
                <w10:wrap type="none"/>
              </v:shape>
              <v:shape style="position:absolute;left:1319;top:141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149;top:143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2,193,319,213</w:t>
                      </w:r>
                    </w:p>
                  </w:txbxContent>
                </v:textbox>
                <w10:wrap type="none"/>
              </v:shape>
              <v:shape style="position:absolute;left:6652;top:143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1,962,554,694</w:t>
                      </w:r>
                    </w:p>
                  </w:txbxContent>
                </v:textbox>
                <w10:wrap type="none"/>
              </v:shape>
            </v:group>
          </v:group>
        </w:pict>
      </w:r>
      <w:r>
        <w:rPr>
          <w:rFonts w:ascii="宋体" w:hAnsi="宋体" w:cs="宋体" w:eastAsia="宋体" w:hint="default"/>
          <w:position w:val="-32"/>
          <w:sz w:val="20"/>
          <w:szCs w:val="20"/>
        </w:rPr>
      </w:r>
    </w:p>
    <w:p>
      <w:pPr>
        <w:spacing w:after="0" w:line="1650" w:lineRule="exact"/>
        <w:rPr>
          <w:rFonts w:ascii="宋体" w:hAnsi="宋体" w:cs="宋体" w:eastAsia="宋体" w:hint="default"/>
          <w:sz w:val="20"/>
          <w:szCs w:val="20"/>
        </w:rPr>
        <w:sectPr>
          <w:headerReference w:type="default" r:id="rId424"/>
          <w:footerReference w:type="default" r:id="rId425"/>
          <w:pgSz w:w="11910" w:h="16840"/>
          <w:pgMar w:header="883" w:footer="1003" w:top="1540" w:bottom="1200" w:left="1680" w:right="300"/>
          <w:pgNumType w:start="106"/>
        </w:sect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tabs>
          <w:tab w:pos="2095" w:val="left" w:leader="none"/>
        </w:tabs>
        <w:spacing w:before="0"/>
        <w:ind w:left="1557" w:right="86" w:firstLine="0"/>
        <w:jc w:val="left"/>
        <w:rPr>
          <w:rFonts w:ascii="宋体" w:hAnsi="宋体" w:cs="宋体" w:eastAsia="宋体" w:hint="default"/>
          <w:sz w:val="21"/>
          <w:szCs w:val="21"/>
        </w:rPr>
      </w:pPr>
      <w:r>
        <w:rPr/>
        <w:pict>
          <v:group style="position:absolute;margin-left:155.039993pt;margin-top:15.324424pt;width:391.05pt;height:120.55pt;mso-position-horizontal-relative:page;mso-position-vertical-relative:paragraph;z-index:-1098136" coordorigin="3101,306" coordsize="7821,2411">
            <v:group style="position:absolute;left:3130;top:321;width:5151;height:2" coordorigin="3130,321" coordsize="5151,2">
              <v:shape style="position:absolute;left:3130;top:321;width:5151;height:2" coordorigin="3130,321" coordsize="5151,0" path="m3130,321l8280,321e" filled="false" stroked="true" strokeweight="1.5pt" strokecolor="#000000">
                <v:path arrowok="t"/>
              </v:shape>
            </v:group>
            <v:group style="position:absolute;left:8280;top:321;width:2610;height:2" coordorigin="8280,321" coordsize="2610,2">
              <v:shape style="position:absolute;left:8280;top:321;width:2610;height:2" coordorigin="8280,321" coordsize="2610,0" path="m8280,321l10890,321e" filled="false" stroked="true" strokeweight="1.5pt" strokecolor="#000000">
                <v:path arrowok="t"/>
              </v:shape>
              <v:shape style="position:absolute;left:5437;top:308;width:2851;height:448" type="#_x0000_t75" stroked="false">
                <v:imagedata r:id="rId434" o:title=""/>
              </v:shape>
              <v:shape style="position:absolute;left:5437;top:698;width:5484;height:458" type="#_x0000_t75" stroked="false">
                <v:imagedata r:id="rId435" o:title=""/>
              </v:shape>
              <v:shape style="position:absolute;left:3101;top:1108;width:7820;height:1609" type="#_x0000_t75" stroked="false">
                <v:imagedata r:id="rId436" o:title=""/>
              </v:shape>
              <v:shape style="position:absolute;left:6503;top:5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9212;top:5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3940;top:71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4480;top:71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5856;top:92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7248;top:92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shape style="position:absolute;left:8586;top:92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w:t>
                      </w:r>
                    </w:p>
                  </w:txbxContent>
                </v:textbox>
                <w10:wrap type="none"/>
              </v:shape>
              <v:shape style="position:absolute;left:9904;top:92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营业成本</w:t>
                      </w:r>
                    </w:p>
                  </w:txbxContent>
                </v:textbox>
                <w10:wrap type="none"/>
              </v:shape>
            </v:group>
            <w10:wrap type="none"/>
          </v:group>
        </w:pict>
      </w:r>
      <w:r>
        <w:rPr>
          <w:rFonts w:ascii="宋体" w:hAnsi="宋体" w:cs="宋体" w:eastAsia="宋体" w:hint="default"/>
          <w:b/>
          <w:bCs/>
          <w:w w:val="95"/>
          <w:sz w:val="21"/>
          <w:szCs w:val="21"/>
        </w:rPr>
        <w:t>3、</w:t>
        <w:tab/>
      </w:r>
      <w:r>
        <w:rPr>
          <w:rFonts w:ascii="宋体" w:hAnsi="宋体" w:cs="宋体" w:eastAsia="宋体" w:hint="default"/>
          <w:b/>
          <w:bCs/>
          <w:sz w:val="21"/>
          <w:szCs w:val="21"/>
        </w:rPr>
        <w:t>营业收入及营业成本（分行业）</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2"/>
          <w:szCs w:val="12"/>
        </w:rPr>
      </w:pPr>
    </w:p>
    <w:tbl>
      <w:tblPr>
        <w:tblW w:w="0" w:type="auto"/>
        <w:jc w:val="left"/>
        <w:tblInd w:w="1435" w:type="dxa"/>
        <w:tblLayout w:type="fixed"/>
        <w:tblCellMar>
          <w:top w:w="0" w:type="dxa"/>
          <w:left w:w="0" w:type="dxa"/>
          <w:bottom w:w="0" w:type="dxa"/>
          <w:right w:w="0" w:type="dxa"/>
        </w:tblCellMar>
        <w:tblLook w:val="01E0"/>
      </w:tblPr>
      <w:tblGrid>
        <w:gridCol w:w="2493"/>
        <w:gridCol w:w="1375"/>
        <w:gridCol w:w="1338"/>
        <w:gridCol w:w="1318"/>
        <w:gridCol w:w="1252"/>
      </w:tblGrid>
      <w:tr>
        <w:trPr>
          <w:trHeight w:val="492" w:hRule="exact"/>
        </w:trPr>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系统集成、软件产品销售、</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right="126"/>
              <w:jc w:val="right"/>
              <w:rPr>
                <w:rFonts w:ascii="Times New Roman" w:hAnsi="Times New Roman" w:cs="Times New Roman" w:eastAsia="Times New Roman" w:hint="default"/>
                <w:sz w:val="18"/>
                <w:szCs w:val="18"/>
              </w:rPr>
            </w:pPr>
            <w:r>
              <w:rPr>
                <w:rFonts w:ascii="Times New Roman"/>
                <w:spacing w:val="-1"/>
                <w:sz w:val="18"/>
              </w:rPr>
              <w:t>2,956,396,915</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right="171"/>
              <w:jc w:val="right"/>
              <w:rPr>
                <w:rFonts w:ascii="Times New Roman" w:hAnsi="Times New Roman" w:cs="Times New Roman" w:eastAsia="Times New Roman" w:hint="default"/>
                <w:sz w:val="18"/>
                <w:szCs w:val="18"/>
              </w:rPr>
            </w:pPr>
            <w:r>
              <w:rPr>
                <w:rFonts w:ascii="Times New Roman"/>
                <w:spacing w:val="-1"/>
                <w:sz w:val="18"/>
              </w:rPr>
              <w:t>2,172,504,576</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2,580,884,178</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z w:val="18"/>
              </w:rPr>
              <w:t>1,932964,714</w:t>
            </w:r>
          </w:p>
        </w:tc>
      </w:tr>
      <w:tr>
        <w:trPr>
          <w:trHeight w:val="288" w:hRule="exact"/>
        </w:trPr>
        <w:tc>
          <w:tcPr>
            <w:tcW w:w="2493" w:type="dxa"/>
            <w:tcBorders>
              <w:top w:val="nil" w:sz="6" w:space="0" w:color="auto"/>
              <w:left w:val="nil" w:sz="6" w:space="0" w:color="auto"/>
              <w:bottom w:val="nil" w:sz="6" w:space="0" w:color="auto"/>
              <w:right w:val="nil" w:sz="6" w:space="0" w:color="auto"/>
            </w:tcBorders>
          </w:tcPr>
          <w:p>
            <w:pPr>
              <w:pStyle w:val="TableParagraph"/>
              <w:spacing w:line="178" w:lineRule="exact"/>
              <w:ind w:left="122" w:right="0"/>
              <w:jc w:val="left"/>
              <w:rPr>
                <w:rFonts w:ascii="宋体" w:hAnsi="宋体" w:cs="宋体" w:eastAsia="宋体" w:hint="default"/>
                <w:sz w:val="18"/>
                <w:szCs w:val="18"/>
              </w:rPr>
            </w:pPr>
            <w:r>
              <w:rPr>
                <w:rFonts w:ascii="宋体" w:hAnsi="宋体" w:cs="宋体" w:eastAsia="宋体" w:hint="default"/>
                <w:sz w:val="18"/>
                <w:szCs w:val="18"/>
              </w:rPr>
              <w:t>软件定制及其他劳务</w:t>
            </w:r>
          </w:p>
        </w:tc>
        <w:tc>
          <w:tcPr>
            <w:tcW w:w="1375" w:type="dxa"/>
            <w:tcBorders>
              <w:top w:val="nil" w:sz="6" w:space="0" w:color="auto"/>
              <w:left w:val="nil" w:sz="6" w:space="0" w:color="auto"/>
              <w:bottom w:val="nil" w:sz="6" w:space="0" w:color="auto"/>
              <w:right w:val="nil" w:sz="6" w:space="0" w:color="auto"/>
            </w:tcBorders>
          </w:tcPr>
          <w:p>
            <w:pPr/>
          </w:p>
        </w:tc>
        <w:tc>
          <w:tcPr>
            <w:tcW w:w="1338"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c>
          <w:tcPr>
            <w:tcW w:w="1252" w:type="dxa"/>
            <w:tcBorders>
              <w:top w:val="nil" w:sz="6" w:space="0" w:color="auto"/>
              <w:left w:val="nil" w:sz="6" w:space="0" w:color="auto"/>
              <w:bottom w:val="nil" w:sz="6" w:space="0" w:color="auto"/>
              <w:right w:val="nil" w:sz="6" w:space="0" w:color="auto"/>
            </w:tcBorders>
          </w:tcPr>
          <w:p>
            <w:pPr/>
          </w:p>
        </w:tc>
      </w:tr>
      <w:tr>
        <w:trPr>
          <w:trHeight w:val="410" w:hRule="exact"/>
        </w:trPr>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物业服务、租金</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26"/>
              <w:jc w:val="right"/>
              <w:rPr>
                <w:rFonts w:ascii="Times New Roman" w:hAnsi="Times New Roman" w:cs="Times New Roman" w:eastAsia="Times New Roman" w:hint="default"/>
                <w:sz w:val="18"/>
                <w:szCs w:val="18"/>
              </w:rPr>
            </w:pPr>
            <w:r>
              <w:rPr>
                <w:rFonts w:ascii="Times New Roman"/>
                <w:sz w:val="18"/>
              </w:rPr>
              <w:t>70,933,360</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71"/>
              <w:jc w:val="right"/>
              <w:rPr>
                <w:rFonts w:ascii="Times New Roman" w:hAnsi="Times New Roman" w:cs="Times New Roman" w:eastAsia="Times New Roman" w:hint="default"/>
                <w:sz w:val="18"/>
                <w:szCs w:val="18"/>
              </w:rPr>
            </w:pPr>
            <w:r>
              <w:rPr>
                <w:rFonts w:ascii="Times New Roman"/>
                <w:sz w:val="18"/>
              </w:rPr>
              <w:t>20,814,637</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6"/>
              <w:jc w:val="right"/>
              <w:rPr>
                <w:rFonts w:ascii="Times New Roman" w:hAnsi="Times New Roman" w:cs="Times New Roman" w:eastAsia="Times New Roman" w:hint="default"/>
                <w:sz w:val="18"/>
                <w:szCs w:val="18"/>
              </w:rPr>
            </w:pPr>
            <w:r>
              <w:rPr>
                <w:rFonts w:ascii="Times New Roman"/>
                <w:sz w:val="18"/>
              </w:rPr>
              <w:t>80,102,702</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06"/>
              <w:jc w:val="right"/>
              <w:rPr>
                <w:rFonts w:ascii="Times New Roman" w:hAnsi="Times New Roman" w:cs="Times New Roman" w:eastAsia="Times New Roman" w:hint="default"/>
                <w:sz w:val="18"/>
                <w:szCs w:val="18"/>
              </w:rPr>
            </w:pPr>
            <w:r>
              <w:rPr>
                <w:rFonts w:ascii="Times New Roman"/>
                <w:sz w:val="18"/>
              </w:rPr>
              <w:t>29,589,980</w:t>
            </w:r>
          </w:p>
        </w:tc>
      </w:tr>
      <w:tr>
        <w:trPr>
          <w:trHeight w:val="323" w:hRule="exact"/>
        </w:trPr>
        <w:tc>
          <w:tcPr>
            <w:tcW w:w="2493" w:type="dxa"/>
            <w:tcBorders>
              <w:top w:val="nil" w:sz="6" w:space="0" w:color="auto"/>
              <w:left w:val="nil" w:sz="6" w:space="0" w:color="auto"/>
              <w:bottom w:val="single" w:sz="12" w:space="0" w:color="000000"/>
              <w:right w:val="nil" w:sz="6" w:space="0" w:color="auto"/>
            </w:tcBorders>
          </w:tcPr>
          <w:p>
            <w:pPr>
              <w:pStyle w:val="TableParagraph"/>
              <w:tabs>
                <w:tab w:pos="449" w:val="left" w:leader="none"/>
              </w:tabs>
              <w:spacing w:line="240" w:lineRule="auto" w:before="45"/>
              <w:ind w:right="121"/>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375"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127"/>
              <w:jc w:val="right"/>
              <w:rPr>
                <w:rFonts w:ascii="Times New Roman" w:hAnsi="Times New Roman" w:cs="Times New Roman" w:eastAsia="Times New Roman" w:hint="default"/>
                <w:sz w:val="18"/>
                <w:szCs w:val="18"/>
              </w:rPr>
            </w:pPr>
            <w:r>
              <w:rPr>
                <w:rFonts w:ascii="Times New Roman"/>
                <w:spacing w:val="-1"/>
                <w:sz w:val="18"/>
              </w:rPr>
              <w:t>3,027,330,275</w:t>
            </w:r>
          </w:p>
        </w:tc>
        <w:tc>
          <w:tcPr>
            <w:tcW w:w="1338"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171"/>
              <w:jc w:val="right"/>
              <w:rPr>
                <w:rFonts w:ascii="Times New Roman" w:hAnsi="Times New Roman" w:cs="Times New Roman" w:eastAsia="Times New Roman" w:hint="default"/>
                <w:sz w:val="18"/>
                <w:szCs w:val="18"/>
              </w:rPr>
            </w:pPr>
            <w:r>
              <w:rPr>
                <w:rFonts w:ascii="Times New Roman"/>
                <w:spacing w:val="-1"/>
                <w:sz w:val="18"/>
              </w:rPr>
              <w:t>2,193,319,213</w:t>
            </w:r>
          </w:p>
        </w:tc>
        <w:tc>
          <w:tcPr>
            <w:tcW w:w="1318"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pacing w:val="-1"/>
                <w:sz w:val="18"/>
              </w:rPr>
              <w:t>2,660,986,880</w:t>
            </w:r>
          </w:p>
        </w:tc>
        <w:tc>
          <w:tcPr>
            <w:tcW w:w="1252" w:type="dxa"/>
            <w:tcBorders>
              <w:top w:val="nil" w:sz="6" w:space="0" w:color="auto"/>
              <w:left w:val="nil" w:sz="6" w:space="0" w:color="auto"/>
              <w:bottom w:val="single" w:sz="12" w:space="0" w:color="000000"/>
              <w:right w:val="nil" w:sz="6" w:space="0" w:color="auto"/>
            </w:tcBorders>
          </w:tcPr>
          <w:p>
            <w:pPr>
              <w:pStyle w:val="TableParagraph"/>
              <w:spacing w:line="240" w:lineRule="auto" w:before="97"/>
              <w:ind w:right="106"/>
              <w:jc w:val="right"/>
              <w:rPr>
                <w:rFonts w:ascii="Times New Roman" w:hAnsi="Times New Roman" w:cs="Times New Roman" w:eastAsia="Times New Roman" w:hint="default"/>
                <w:sz w:val="18"/>
                <w:szCs w:val="18"/>
              </w:rPr>
            </w:pPr>
            <w:r>
              <w:rPr>
                <w:rFonts w:ascii="Times New Roman"/>
                <w:spacing w:val="-1"/>
                <w:sz w:val="18"/>
              </w:rPr>
              <w:t>1,962,554,694</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tabs>
          <w:tab w:pos="2095" w:val="left" w:leader="none"/>
        </w:tabs>
        <w:spacing w:before="0"/>
        <w:ind w:left="1557" w:right="86" w:firstLine="0"/>
        <w:jc w:val="left"/>
        <w:rPr>
          <w:rFonts w:ascii="宋体" w:hAnsi="宋体" w:cs="宋体" w:eastAsia="宋体" w:hint="default"/>
          <w:sz w:val="21"/>
          <w:szCs w:val="21"/>
        </w:rPr>
      </w:pPr>
      <w:r>
        <w:rPr>
          <w:rFonts w:ascii="宋体" w:hAnsi="宋体" w:cs="宋体" w:eastAsia="宋体" w:hint="default"/>
          <w:b/>
          <w:bCs/>
          <w:w w:val="95"/>
          <w:sz w:val="21"/>
          <w:szCs w:val="21"/>
        </w:rPr>
        <w:t>4、</w:t>
        <w:tab/>
      </w:r>
      <w:r>
        <w:rPr>
          <w:rFonts w:ascii="宋体" w:hAnsi="宋体" w:cs="宋体" w:eastAsia="宋体" w:hint="default"/>
          <w:b/>
          <w:bCs/>
          <w:sz w:val="21"/>
          <w:szCs w:val="21"/>
        </w:rPr>
        <w:t>主营业务收入及主营业务成本（分行业）</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p>
      <w:pPr>
        <w:spacing w:line="2439" w:lineRule="exact"/>
        <w:ind w:left="1420" w:right="0" w:firstLine="0"/>
        <w:rPr>
          <w:rFonts w:ascii="宋体" w:hAnsi="宋体" w:cs="宋体" w:eastAsia="宋体" w:hint="default"/>
          <w:sz w:val="20"/>
          <w:szCs w:val="20"/>
        </w:rPr>
      </w:pPr>
      <w:r>
        <w:rPr>
          <w:rFonts w:ascii="宋体" w:hAnsi="宋体" w:cs="宋体" w:eastAsia="宋体" w:hint="default"/>
          <w:position w:val="-48"/>
          <w:sz w:val="20"/>
          <w:szCs w:val="20"/>
        </w:rPr>
        <w:pict>
          <v:group style="width:393.95pt;height:122pt;mso-position-horizontal-relative:char;mso-position-vertical-relative:line" coordorigin="0,0" coordsize="7879,2440">
            <v:group style="position:absolute;left:29;top:15;width:5151;height:2" coordorigin="29,15" coordsize="5151,2">
              <v:shape style="position:absolute;left:29;top:15;width:5151;height:2" coordorigin="29,15" coordsize="5151,0" path="m29,15l5180,15e" filled="false" stroked="true" strokeweight="1.5pt" strokecolor="#000000">
                <v:path arrowok="t"/>
              </v:shape>
            </v:group>
            <v:group style="position:absolute;left:5180;top:15;width:2666;height:2" coordorigin="5180,15" coordsize="2666,2">
              <v:shape style="position:absolute;left:5180;top:15;width:2666;height:2" coordorigin="5180,15" coordsize="2666,0" path="m5180,15l7845,15e" filled="false" stroked="true" strokeweight="1.5pt" strokecolor="#000000">
                <v:path arrowok="t"/>
              </v:shape>
              <v:shape style="position:absolute;left:2339;top:1;width:2849;height:448" type="#_x0000_t75" stroked="false">
                <v:imagedata r:id="rId437" o:title=""/>
              </v:shape>
              <v:shape style="position:absolute;left:2339;top:391;width:5539;height:457" type="#_x0000_t75" stroked="false">
                <v:imagedata r:id="rId438" o:title=""/>
              </v:shape>
            </v:group>
            <v:group style="position:absolute;left:15;top:2425;width:2354;height:2" coordorigin="15,2425" coordsize="2354,2">
              <v:shape style="position:absolute;left:15;top:2425;width:2354;height:2" coordorigin="15,2425" coordsize="2354,0" path="m15,2425l2368,2425e" filled="false" stroked="true" strokeweight="1.5pt" strokecolor="#000000">
                <v:path arrowok="t"/>
              </v:shape>
            </v:group>
            <v:group style="position:absolute;left:2368;top:2425;width:1437;height:2" coordorigin="2368,2425" coordsize="1437,2">
              <v:shape style="position:absolute;left:2368;top:2425;width:1437;height:2" coordorigin="2368,2425" coordsize="1437,0" path="m2368,2425l3805,2425e" filled="false" stroked="true" strokeweight="1.5pt" strokecolor="#000000">
                <v:path arrowok="t"/>
              </v:shape>
            </v:group>
            <v:group style="position:absolute;left:3805;top:2425;width:1346;height:2" coordorigin="3805,2425" coordsize="1346,2">
              <v:shape style="position:absolute;left:3805;top:2425;width:1346;height:2" coordorigin="3805,2425" coordsize="1346,0" path="m3805,2425l5150,2425e" filled="false" stroked="true" strokeweight="1.5pt" strokecolor="#000000">
                <v:path arrowok="t"/>
              </v:shape>
            </v:group>
            <v:group style="position:absolute;left:5150;top:2425;width:1347;height:2" coordorigin="5150,2425" coordsize="1347,2">
              <v:shape style="position:absolute;left:5150;top:2425;width:1347;height:2" coordorigin="5150,2425" coordsize="1347,0" path="m5150,2425l6496,2425e" filled="false" stroked="true" strokeweight="1.5pt" strokecolor="#000000">
                <v:path arrowok="t"/>
              </v:shape>
              <v:shape style="position:absolute;left:1;top:800;width:7878;height:1609" type="#_x0000_t75" stroked="false">
                <v:imagedata r:id="rId439" o:title=""/>
              </v:shape>
            </v:group>
            <v:group style="position:absolute;left:6496;top:2425;width:1349;height:2" coordorigin="6496,2425" coordsize="1349,2">
              <v:shape style="position:absolute;left:6496;top:2425;width:1349;height:2" coordorigin="6496,2425" coordsize="1349,0" path="m6496,2425l7845,2425e" filled="false" stroked="true" strokeweight="1.5pt" strokecolor="#000000">
                <v:path arrowok="t"/>
              </v:shape>
              <v:shape style="position:absolute;left:3404;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txbxContent>
                </v:textbox>
                <w10:wrap type="none"/>
              </v:shape>
              <v:shape style="position:absolute;left:6140;top:21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txbxContent>
                </v:textbox>
                <w10:wrap type="none"/>
              </v:shape>
              <v:shape style="position:absolute;left:841;top:41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1381;top:41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2551;top:61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主营业务收入</w:t>
                      </w:r>
                    </w:p>
                  </w:txbxContent>
                </v:textbox>
                <w10:wrap type="none"/>
              </v:shape>
              <v:shape style="position:absolute;left:3941;top:612;width:3772;height:180" type="#_x0000_t202" filled="false" stroked="false">
                <v:textbox inset="0,0,0,0">
                  <w:txbxContent>
                    <w:p>
                      <w:pPr>
                        <w:tabs>
                          <w:tab w:pos="1346" w:val="left" w:leader="none"/>
                          <w:tab w:pos="269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主营业务成本</w:t>
                        <w:tab/>
                        <w:t>主营业务收入</w:t>
                        <w:tab/>
                        <w:t>主营业务成本</w:t>
                      </w:r>
                    </w:p>
                  </w:txbxContent>
                </v:textbox>
                <w10:wrap type="none"/>
              </v:shape>
              <v:shape style="position:absolute;left:137;top:1012;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系统集成、软件产品销售、</w:t>
                      </w:r>
                    </w:p>
                  </w:txbxContent>
                </v:textbox>
                <w10:wrap type="none"/>
              </v:shape>
              <v:shape style="position:absolute;left:2667;top:122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2,956,396,915</w:t>
                      </w:r>
                    </w:p>
                  </w:txbxContent>
                </v:textbox>
                <w10:wrap type="none"/>
              </v:shape>
              <v:shape style="position:absolute;left:4012;top:122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2,172,504,576</w:t>
                      </w:r>
                    </w:p>
                  </w:txbxContent>
                </v:textbox>
                <w10:wrap type="none"/>
              </v:shape>
              <v:shape style="position:absolute;left:5357;top:1227;width:1037;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2,580,884,178</w:t>
                      </w:r>
                    </w:p>
                  </w:txbxContent>
                </v:textbox>
                <w10:wrap type="none"/>
              </v:shape>
              <v:shape style="position:absolute;left:6703;top:122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1,932,964,714</w:t>
                      </w:r>
                    </w:p>
                  </w:txbxContent>
                </v:textbox>
                <w10:wrap type="none"/>
              </v:shape>
              <v:shape style="position:absolute;left:137;top:1402;width:1620;height:58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软件定制及其他劳务</w:t>
                      </w:r>
                    </w:p>
                    <w:p>
                      <w:pPr>
                        <w:spacing w:line="240" w:lineRule="auto" w:before="8"/>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物业服务、租金</w:t>
                      </w:r>
                    </w:p>
                  </w:txbxContent>
                </v:textbox>
                <w10:wrap type="none"/>
              </v:shape>
              <v:shape style="position:absolute;left:2891;top:182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70,933,360</w:t>
                      </w:r>
                    </w:p>
                  </w:txbxContent>
                </v:textbox>
                <w10:wrap type="none"/>
              </v:shape>
              <v:shape style="position:absolute;left:4236;top:182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20,814,637</w:t>
                      </w:r>
                    </w:p>
                  </w:txbxContent>
                </v:textbox>
                <w10:wrap type="none"/>
              </v:shape>
              <v:shape style="position:absolute;left:5583;top:182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64,122,502</w:t>
                      </w:r>
                    </w:p>
                  </w:txbxContent>
                </v:textbox>
                <w10:wrap type="none"/>
              </v:shape>
              <v:shape style="position:absolute;left:6926;top:182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19,315,563</w:t>
                      </w:r>
                    </w:p>
                  </w:txbxContent>
                </v:textbox>
                <w10:wrap type="none"/>
              </v:shape>
              <v:shape style="position:absolute;left:886;top:2202;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2667;top:222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3,027,330,275</w:t>
                      </w:r>
                    </w:p>
                  </w:txbxContent>
                </v:textbox>
                <w10:wrap type="none"/>
              </v:shape>
              <v:shape style="position:absolute;left:4012;top:222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2,193,319,213</w:t>
                      </w:r>
                    </w:p>
                  </w:txbxContent>
                </v:textbox>
                <w10:wrap type="none"/>
              </v:shape>
              <v:shape style="position:absolute;left:5357;top:2222;width:1037;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2,645,006,680</w:t>
                      </w:r>
                    </w:p>
                  </w:txbxContent>
                </v:textbox>
                <w10:wrap type="none"/>
              </v:shape>
              <v:shape style="position:absolute;left:6703;top:2222;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1,952,280,277</w:t>
                      </w:r>
                    </w:p>
                  </w:txbxContent>
                </v:textbox>
                <w10:wrap type="none"/>
              </v:shape>
            </v:group>
          </v:group>
        </w:pict>
      </w:r>
      <w:r>
        <w:rPr>
          <w:rFonts w:ascii="宋体" w:hAnsi="宋体" w:cs="宋体" w:eastAsia="宋体" w:hint="default"/>
          <w:position w:val="-48"/>
          <w:sz w:val="20"/>
          <w:szCs w:val="20"/>
        </w:rPr>
      </w:r>
    </w:p>
    <w:p>
      <w:pPr>
        <w:tabs>
          <w:tab w:pos="2095" w:val="left" w:leader="none"/>
        </w:tabs>
        <w:spacing w:before="93"/>
        <w:ind w:left="1557" w:right="86" w:firstLine="0"/>
        <w:jc w:val="left"/>
        <w:rPr>
          <w:rFonts w:ascii="宋体" w:hAnsi="宋体" w:cs="宋体" w:eastAsia="宋体" w:hint="default"/>
          <w:sz w:val="21"/>
          <w:szCs w:val="21"/>
        </w:rPr>
      </w:pPr>
      <w:r>
        <w:rPr>
          <w:rFonts w:ascii="宋体" w:hAnsi="宋体" w:cs="宋体" w:eastAsia="宋体" w:hint="default"/>
          <w:b/>
          <w:bCs/>
          <w:w w:val="95"/>
          <w:sz w:val="21"/>
          <w:szCs w:val="21"/>
        </w:rPr>
        <w:t>5、</w:t>
        <w:tab/>
      </w:r>
      <w:r>
        <w:rPr>
          <w:rFonts w:ascii="宋体" w:hAnsi="宋体" w:cs="宋体" w:eastAsia="宋体" w:hint="default"/>
          <w:b/>
          <w:bCs/>
          <w:sz w:val="21"/>
          <w:szCs w:val="21"/>
        </w:rPr>
        <w:t>公司前五名客户的营业收入情况</w:t>
      </w:r>
      <w:r>
        <w:rPr>
          <w:rFonts w:ascii="宋体" w:hAnsi="宋体" w:cs="宋体" w:eastAsia="宋体" w:hint="default"/>
          <w:sz w:val="21"/>
          <w:szCs w:val="21"/>
        </w:rPr>
      </w:r>
    </w:p>
    <w:p>
      <w:pPr>
        <w:spacing w:line="240" w:lineRule="auto" w:before="6"/>
        <w:rPr>
          <w:rFonts w:ascii="宋体" w:hAnsi="宋体" w:cs="宋体" w:eastAsia="宋体" w:hint="default"/>
          <w:b/>
          <w:bCs/>
          <w:sz w:val="2"/>
          <w:szCs w:val="2"/>
        </w:rPr>
      </w:pPr>
    </w:p>
    <w:p>
      <w:pPr>
        <w:spacing w:line="2920" w:lineRule="exact"/>
        <w:ind w:left="1420" w:right="0" w:firstLine="0"/>
        <w:rPr>
          <w:rFonts w:ascii="宋体" w:hAnsi="宋体" w:cs="宋体" w:eastAsia="宋体" w:hint="default"/>
          <w:sz w:val="20"/>
          <w:szCs w:val="20"/>
        </w:rPr>
      </w:pPr>
      <w:r>
        <w:rPr>
          <w:rFonts w:ascii="宋体" w:hAnsi="宋体" w:cs="宋体" w:eastAsia="宋体" w:hint="default"/>
          <w:position w:val="-57"/>
          <w:sz w:val="20"/>
          <w:szCs w:val="20"/>
        </w:rPr>
        <w:pict>
          <v:group style="width:390.35pt;height:146.050pt;mso-position-horizontal-relative:char;mso-position-vertical-relative:line" coordorigin="0,0" coordsize="7807,2921">
            <v:group style="position:absolute;left:29;top:15;width:7749;height:2" coordorigin="29,15" coordsize="7749,2">
              <v:shape style="position:absolute;left:29;top:15;width:7749;height:2" coordorigin="29,15" coordsize="7749,0" path="m29,15l7778,15e" filled="false" stroked="true" strokeweight="1.5pt" strokecolor="#000000">
                <v:path arrowok="t"/>
              </v:shape>
              <v:shape style="position:absolute;left:3040;top:5;width:1915;height:451" type="#_x0000_t75" stroked="false">
                <v:imagedata r:id="rId440" o:title=""/>
              </v:shape>
            </v:group>
            <v:group style="position:absolute;left:15;top:2906;width:3051;height:2" coordorigin="15,2906" coordsize="3051,2">
              <v:shape style="position:absolute;left:15;top:2906;width:3051;height:2" coordorigin="15,2906" coordsize="3051,0" path="m15,2906l3065,2906e" filled="false" stroked="true" strokeweight="1.5pt" strokecolor="#000000">
                <v:path arrowok="t"/>
              </v:shape>
            </v:group>
            <v:group style="position:absolute;left:3065;top:2906;width:1856;height:2" coordorigin="3065,2906" coordsize="1856,2">
              <v:shape style="position:absolute;left:3065;top:2906;width:1856;height:2" coordorigin="3065,2906" coordsize="1856,0" path="m3065,2906l4921,2906e" filled="false" stroked="true" strokeweight="1.5pt" strokecolor="#000000">
                <v:path arrowok="t"/>
              </v:shape>
              <v:shape style="position:absolute;left:1;top:407;width:7806;height:2483" type="#_x0000_t75" stroked="false">
                <v:imagedata r:id="rId441" o:title=""/>
              </v:shape>
            </v:group>
            <v:group style="position:absolute;left:4921;top:2906;width:2858;height:2" coordorigin="4921,2906" coordsize="2858,2">
              <v:shape style="position:absolute;left:4921;top:2906;width:2858;height:2" coordorigin="4921,2906" coordsize="2858,0" path="m4921,2906l7778,2906e" filled="false" stroked="true" strokeweight="1.5pt" strokecolor="#000000">
                <v:path arrowok="t"/>
              </v:shape>
              <v:shape style="position:absolute;left:1189;top:2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客户名称</w:t>
                      </w:r>
                    </w:p>
                  </w:txbxContent>
                </v:textbox>
                <w10:wrap type="none"/>
              </v:shape>
              <v:shape style="position:absolute;left:3458;top:22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营业收入总额</w:t>
                      </w:r>
                    </w:p>
                  </w:txbxContent>
                </v:textbox>
                <w10:wrap type="none"/>
              </v:shape>
              <v:shape style="position:absolute;left:5135;top:222;width:243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占公司全部营业收入的比例</w:t>
                      </w:r>
                      <w:r>
                        <w:rPr>
                          <w:rFonts w:ascii="Times New Roman" w:hAnsi="Times New Roman" w:cs="Times New Roman" w:eastAsia="Times New Roman" w:hint="default"/>
                          <w:sz w:val="18"/>
                          <w:szCs w:val="18"/>
                        </w:rPr>
                        <w:t>(%)</w:t>
                      </w:r>
                    </w:p>
                  </w:txbxContent>
                </v:textbox>
                <w10:wrap type="none"/>
              </v:shape>
              <v:shape style="position:absolute;left:137;top:63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联通网通</w:t>
                      </w:r>
                    </w:p>
                  </w:txbxContent>
                </v:textbox>
                <w10:wrap type="none"/>
              </v:shape>
              <v:shape style="position:absolute;left:3982;top:65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189,545,537</w:t>
                      </w:r>
                    </w:p>
                  </w:txbxContent>
                </v:textbox>
                <w10:wrap type="none"/>
              </v:shape>
              <v:shape style="position:absolute;left:7420;top:65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6.26</w:t>
                      </w:r>
                    </w:p>
                  </w:txbxContent>
                </v:textbox>
                <w10:wrap type="none"/>
              </v:shape>
              <v:shape style="position:absolute;left:137;top:1043;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沈阳地铁有限公司</w:t>
                      </w:r>
                    </w:p>
                  </w:txbxContent>
                </v:textbox>
                <w10:wrap type="none"/>
              </v:shape>
              <v:shape style="position:absolute;left:3982;top:106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133,910,635</w:t>
                      </w:r>
                    </w:p>
                  </w:txbxContent>
                </v:textbox>
                <w10:wrap type="none"/>
              </v:shape>
              <v:shape style="position:absolute;left:7420;top:106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4.42</w:t>
                      </w:r>
                    </w:p>
                  </w:txbxContent>
                </v:textbox>
                <w10:wrap type="none"/>
              </v:shape>
              <v:shape style="position:absolute;left:137;top:14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阿尔派</w:t>
                      </w:r>
                    </w:p>
                  </w:txbxContent>
                </v:textbox>
                <w10:wrap type="none"/>
              </v:shape>
              <v:shape style="position:absolute;left:3982;top:147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105,840,835</w:t>
                      </w:r>
                    </w:p>
                  </w:txbxContent>
                </v:textbox>
                <w10:wrap type="none"/>
              </v:shape>
              <v:shape style="position:absolute;left:7420;top:147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3.50</w:t>
                      </w:r>
                    </w:p>
                  </w:txbxContent>
                </v:textbox>
                <w10:wrap type="none"/>
              </v:shape>
              <v:shape style="position:absolute;left:137;top:18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东芝公司</w:t>
                      </w:r>
                    </w:p>
                  </w:txbxContent>
                </v:textbox>
                <w10:wrap type="none"/>
              </v:shape>
              <v:shape style="position:absolute;left:3982;top:188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101,656,159</w:t>
                      </w:r>
                    </w:p>
                  </w:txbxContent>
                </v:textbox>
                <w10:wrap type="none"/>
              </v:shape>
              <v:shape style="position:absolute;left:7420;top:188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3.36</w:t>
                      </w:r>
                    </w:p>
                  </w:txbxContent>
                </v:textbox>
                <w10:wrap type="none"/>
              </v:shape>
              <v:shape style="position:absolute;left:137;top:227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诺西东软</w:t>
                      </w:r>
                    </w:p>
                  </w:txbxContent>
                </v:textbox>
                <w10:wrap type="none"/>
              </v:shape>
              <v:shape style="position:absolute;left:4072;top:229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72,210,985</w:t>
                      </w:r>
                    </w:p>
                  </w:txbxContent>
                </v:textbox>
                <w10:wrap type="none"/>
              </v:shape>
              <v:shape style="position:absolute;left:7420;top:229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2.39</w:t>
                      </w:r>
                    </w:p>
                  </w:txbxContent>
                </v:textbox>
                <w10:wrap type="none"/>
              </v:shape>
              <v:shape style="position:absolute;left:1279;top:268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3982;top:2702;width:90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603,164,151</w:t>
                      </w:r>
                    </w:p>
                  </w:txbxContent>
                </v:textbox>
                <w10:wrap type="none"/>
              </v:shape>
              <v:shape style="position:absolute;left:7330;top:2702;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19.93</w:t>
                      </w:r>
                    </w:p>
                  </w:txbxContent>
                </v:textbox>
                <w10:wrap type="none"/>
              </v:shape>
            </v:group>
          </v:group>
        </w:pict>
      </w:r>
      <w:r>
        <w:rPr>
          <w:rFonts w:ascii="宋体" w:hAnsi="宋体" w:cs="宋体" w:eastAsia="宋体" w:hint="default"/>
          <w:position w:val="-57"/>
          <w:sz w:val="20"/>
          <w:szCs w:val="20"/>
        </w:rPr>
      </w:r>
    </w:p>
    <w:p>
      <w:pPr>
        <w:spacing w:after="0" w:line="2920" w:lineRule="exact"/>
        <w:rPr>
          <w:rFonts w:ascii="宋体" w:hAnsi="宋体" w:cs="宋体" w:eastAsia="宋体" w:hint="default"/>
          <w:sz w:val="20"/>
          <w:szCs w:val="20"/>
        </w:rPr>
        <w:sectPr>
          <w:pgSz w:w="11910" w:h="16840"/>
          <w:pgMar w:header="883" w:footer="1003" w:top="1600" w:bottom="1200" w:left="1680" w:right="82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tbl>
      <w:tblPr>
        <w:tblW w:w="0" w:type="auto"/>
        <w:jc w:val="left"/>
        <w:tblInd w:w="790" w:type="dxa"/>
        <w:tblLayout w:type="fixed"/>
        <w:tblCellMar>
          <w:top w:w="0" w:type="dxa"/>
          <w:left w:w="0" w:type="dxa"/>
          <w:bottom w:w="0" w:type="dxa"/>
          <w:right w:w="0" w:type="dxa"/>
        </w:tblCellMar>
        <w:tblLook w:val="01E0"/>
      </w:tblPr>
      <w:tblGrid>
        <w:gridCol w:w="659"/>
        <w:gridCol w:w="4154"/>
        <w:gridCol w:w="1970"/>
        <w:gridCol w:w="1652"/>
      </w:tblGrid>
      <w:tr>
        <w:trPr>
          <w:trHeight w:val="756"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(七)</w:t>
            </w:r>
            <w:r>
              <w:rPr>
                <w:rFonts w:ascii="宋体" w:hAnsi="宋体" w:cs="宋体" w:eastAsia="宋体" w:hint="default"/>
                <w:sz w:val="21"/>
                <w:szCs w:val="21"/>
              </w:rPr>
            </w:r>
          </w:p>
        </w:tc>
        <w:tc>
          <w:tcPr>
            <w:tcW w:w="4154"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4" w:right="0"/>
              <w:jc w:val="left"/>
              <w:rPr>
                <w:rFonts w:ascii="宋体" w:hAnsi="宋体" w:cs="宋体" w:eastAsia="宋体" w:hint="default"/>
                <w:sz w:val="21"/>
                <w:szCs w:val="21"/>
              </w:rPr>
            </w:pPr>
            <w:r>
              <w:rPr>
                <w:rFonts w:ascii="宋体" w:hAnsi="宋体" w:cs="宋体" w:eastAsia="宋体" w:hint="default"/>
                <w:b/>
                <w:bCs/>
                <w:sz w:val="21"/>
                <w:szCs w:val="21"/>
              </w:rPr>
              <w:t>投资收益</w:t>
            </w:r>
            <w:r>
              <w:rPr>
                <w:rFonts w:ascii="宋体" w:hAnsi="宋体" w:cs="宋体" w:eastAsia="宋体" w:hint="default"/>
                <w:sz w:val="21"/>
                <w:szCs w:val="21"/>
              </w:rPr>
            </w:r>
          </w:p>
          <w:p>
            <w:pPr>
              <w:pStyle w:val="TableParagraph"/>
              <w:tabs>
                <w:tab w:pos="646" w:val="left" w:leader="none"/>
              </w:tabs>
              <w:spacing w:line="240" w:lineRule="auto" w:before="125"/>
              <w:ind w:left="107" w:right="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投资收益明细</w:t>
            </w:r>
            <w:r>
              <w:rPr>
                <w:rFonts w:ascii="宋体" w:hAnsi="宋体" w:cs="宋体" w:eastAsia="宋体" w:hint="default"/>
                <w:sz w:val="21"/>
                <w:szCs w:val="21"/>
              </w:rPr>
            </w:r>
          </w:p>
        </w:tc>
        <w:tc>
          <w:tcPr>
            <w:tcW w:w="3622" w:type="dxa"/>
            <w:gridSpan w:val="2"/>
            <w:tcBorders>
              <w:top w:val="nil" w:sz="6" w:space="0" w:color="auto"/>
              <w:left w:val="nil" w:sz="6" w:space="0" w:color="auto"/>
              <w:bottom w:val="single" w:sz="12" w:space="0" w:color="000000"/>
              <w:right w:val="nil" w:sz="6" w:space="0" w:color="auto"/>
            </w:tcBorders>
          </w:tcPr>
          <w:p>
            <w:pPr/>
          </w:p>
        </w:tc>
      </w:tr>
      <w:tr>
        <w:trPr>
          <w:trHeight w:val="502" w:hRule="exact"/>
        </w:trPr>
        <w:tc>
          <w:tcPr>
            <w:tcW w:w="659" w:type="dxa"/>
            <w:tcBorders>
              <w:top w:val="nil" w:sz="6" w:space="0" w:color="auto"/>
              <w:left w:val="nil" w:sz="6" w:space="0" w:color="auto"/>
              <w:bottom w:val="nil" w:sz="6" w:space="0" w:color="auto"/>
              <w:right w:val="nil" w:sz="6" w:space="0" w:color="auto"/>
            </w:tcBorders>
          </w:tcPr>
          <w:p>
            <w:pPr/>
          </w:p>
        </w:tc>
        <w:tc>
          <w:tcPr>
            <w:tcW w:w="4154" w:type="dxa"/>
            <w:tcBorders>
              <w:top w:val="single" w:sz="12" w:space="0" w:color="000000"/>
              <w:left w:val="nil" w:sz="6" w:space="0" w:color="auto"/>
              <w:bottom w:val="nil" w:sz="6" w:space="0" w:color="auto"/>
              <w:right w:val="nil" w:sz="6" w:space="0" w:color="auto"/>
            </w:tcBorders>
          </w:tcPr>
          <w:p>
            <w:pPr>
              <w:pStyle w:val="TableParagraph"/>
              <w:tabs>
                <w:tab w:pos="539" w:val="left" w:leader="none"/>
              </w:tabs>
              <w:spacing w:line="240" w:lineRule="auto" w:before="136"/>
              <w:ind w:right="117"/>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970"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445"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652"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346"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20" w:hRule="exact"/>
        </w:trPr>
        <w:tc>
          <w:tcPr>
            <w:tcW w:w="659" w:type="dxa"/>
            <w:tcBorders>
              <w:top w:val="nil" w:sz="6" w:space="0" w:color="auto"/>
              <w:left w:val="nil" w:sz="6" w:space="0" w:color="auto"/>
              <w:bottom w:val="nil" w:sz="6" w:space="0" w:color="auto"/>
              <w:right w:val="nil" w:sz="6" w:space="0" w:color="auto"/>
            </w:tcBorders>
          </w:tcPr>
          <w:p>
            <w:pPr/>
          </w:p>
        </w:tc>
        <w:tc>
          <w:tcPr>
            <w:tcW w:w="415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8"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344"/>
              <w:jc w:val="right"/>
              <w:rPr>
                <w:rFonts w:ascii="Times New Roman" w:hAnsi="Times New Roman" w:cs="Times New Roman" w:eastAsia="Times New Roman" w:hint="default"/>
                <w:sz w:val="18"/>
                <w:szCs w:val="18"/>
              </w:rPr>
            </w:pPr>
            <w:r>
              <w:rPr>
                <w:rFonts w:ascii="Times New Roman"/>
                <w:sz w:val="18"/>
              </w:rPr>
              <w:t>6,047,960</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4"/>
              <w:jc w:val="right"/>
              <w:rPr>
                <w:rFonts w:ascii="Times New Roman" w:hAnsi="Times New Roman" w:cs="Times New Roman" w:eastAsia="Times New Roman" w:hint="default"/>
                <w:sz w:val="18"/>
                <w:szCs w:val="18"/>
              </w:rPr>
            </w:pPr>
            <w:r>
              <w:rPr>
                <w:rFonts w:ascii="Times New Roman"/>
                <w:sz w:val="18"/>
              </w:rPr>
              <w:t>1,390,458</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1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44"/>
              <w:jc w:val="right"/>
              <w:rPr>
                <w:rFonts w:ascii="Times New Roman" w:hAnsi="Times New Roman" w:cs="Times New Roman" w:eastAsia="Times New Roman" w:hint="default"/>
                <w:sz w:val="18"/>
                <w:szCs w:val="18"/>
              </w:rPr>
            </w:pPr>
            <w:r>
              <w:rPr>
                <w:rFonts w:ascii="Times New Roman"/>
                <w:sz w:val="18"/>
              </w:rPr>
              <w:t>6,038,618</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sz w:val="18"/>
              </w:rPr>
              <w:t>7,719,289</w:t>
            </w:r>
          </w:p>
        </w:tc>
      </w:tr>
      <w:tr>
        <w:trPr>
          <w:trHeight w:val="1220" w:hRule="exact"/>
        </w:trPr>
        <w:tc>
          <w:tcPr>
            <w:tcW w:w="659" w:type="dxa"/>
            <w:tcBorders>
              <w:top w:val="nil" w:sz="6" w:space="0" w:color="auto"/>
              <w:left w:val="nil" w:sz="6" w:space="0" w:color="auto"/>
              <w:bottom w:val="nil" w:sz="6" w:space="0" w:color="auto"/>
              <w:right w:val="nil" w:sz="6" w:space="0" w:color="auto"/>
            </w:tcBorders>
          </w:tcPr>
          <w:p>
            <w:pPr/>
          </w:p>
        </w:tc>
        <w:tc>
          <w:tcPr>
            <w:tcW w:w="4154" w:type="dxa"/>
            <w:tcBorders>
              <w:top w:val="nil" w:sz="6" w:space="0" w:color="auto"/>
              <w:left w:val="nil" w:sz="6" w:space="0" w:color="auto"/>
              <w:bottom w:val="nil" w:sz="6" w:space="0" w:color="auto"/>
              <w:right w:val="nil" w:sz="6" w:space="0" w:color="auto"/>
            </w:tcBorders>
          </w:tcPr>
          <w:p>
            <w:pPr>
              <w:pStyle w:val="TableParagraph"/>
              <w:spacing w:line="417" w:lineRule="auto" w:before="49"/>
              <w:ind w:left="108" w:right="443"/>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 持有至到期投资期间取得的投资收益 持有可供出售金融资产等期间取得的投资收益</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344"/>
              <w:jc w:val="right"/>
              <w:rPr>
                <w:rFonts w:ascii="Times New Roman" w:hAnsi="Times New Roman" w:cs="Times New Roman" w:eastAsia="Times New Roman" w:hint="default"/>
                <w:sz w:val="18"/>
                <w:szCs w:val="18"/>
              </w:rPr>
            </w:pPr>
            <w:r>
              <w:rPr>
                <w:rFonts w:ascii="Times New Roman"/>
                <w:sz w:val="18"/>
              </w:rPr>
              <w:t>1,931,507</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4"/>
              <w:jc w:val="right"/>
              <w:rPr>
                <w:rFonts w:ascii="Times New Roman" w:hAnsi="Times New Roman" w:cs="Times New Roman" w:eastAsia="Times New Roman" w:hint="default"/>
                <w:sz w:val="18"/>
                <w:szCs w:val="18"/>
              </w:rPr>
            </w:pPr>
            <w:r>
              <w:rPr>
                <w:rFonts w:ascii="Times New Roman"/>
                <w:w w:val="95"/>
                <w:sz w:val="18"/>
              </w:rPr>
              <w:t>-18,327,854</w:t>
            </w:r>
            <w:r>
              <w:rPr>
                <w:rFonts w:ascii="Times New Roman"/>
                <w:sz w:val="18"/>
              </w:rPr>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15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8" w:right="0"/>
              <w:jc w:val="left"/>
              <w:rPr>
                <w:rFonts w:ascii="宋体" w:hAnsi="宋体" w:cs="宋体" w:eastAsia="宋体" w:hint="default"/>
                <w:sz w:val="18"/>
                <w:szCs w:val="18"/>
              </w:rPr>
            </w:pPr>
            <w:r>
              <w:rPr>
                <w:rFonts w:ascii="宋体" w:hAnsi="宋体" w:cs="宋体" w:eastAsia="宋体" w:hint="default"/>
                <w:sz w:val="18"/>
                <w:szCs w:val="18"/>
              </w:rPr>
              <w:t>处置交易性金融资产取得的投资收益</w:t>
            </w:r>
          </w:p>
        </w:tc>
        <w:tc>
          <w:tcPr>
            <w:tcW w:w="1970"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15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8" w:right="0"/>
              <w:jc w:val="left"/>
              <w:rPr>
                <w:rFonts w:ascii="宋体" w:hAnsi="宋体" w:cs="宋体" w:eastAsia="宋体" w:hint="default"/>
                <w:sz w:val="18"/>
                <w:szCs w:val="18"/>
              </w:rPr>
            </w:pPr>
            <w:r>
              <w:rPr>
                <w:rFonts w:ascii="宋体" w:hAnsi="宋体" w:cs="宋体" w:eastAsia="宋体" w:hint="default"/>
                <w:sz w:val="18"/>
                <w:szCs w:val="18"/>
              </w:rPr>
              <w:t>处置可供出售金融资产等取得的投资收益</w:t>
            </w:r>
          </w:p>
        </w:tc>
        <w:tc>
          <w:tcPr>
            <w:tcW w:w="1970"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154" w:type="dxa"/>
            <w:tcBorders>
              <w:top w:val="nil" w:sz="6" w:space="0" w:color="auto"/>
              <w:left w:val="nil" w:sz="6" w:space="0" w:color="auto"/>
              <w:bottom w:val="nil" w:sz="6" w:space="0" w:color="auto"/>
              <w:right w:val="nil" w:sz="6" w:space="0" w:color="auto"/>
            </w:tcBorders>
          </w:tcPr>
          <w:p>
            <w:pPr>
              <w:pStyle w:val="TableParagraph"/>
              <w:tabs>
                <w:tab w:pos="647" w:val="left" w:leader="none"/>
              </w:tabs>
              <w:spacing w:line="240" w:lineRule="auto" w:before="59"/>
              <w:ind w:left="108"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970"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
        </w:tc>
      </w:tr>
      <w:tr>
        <w:trPr>
          <w:trHeight w:val="338" w:hRule="exact"/>
        </w:trPr>
        <w:tc>
          <w:tcPr>
            <w:tcW w:w="659" w:type="dxa"/>
            <w:tcBorders>
              <w:top w:val="nil" w:sz="6" w:space="0" w:color="auto"/>
              <w:left w:val="nil" w:sz="6" w:space="0" w:color="auto"/>
              <w:bottom w:val="nil" w:sz="6" w:space="0" w:color="auto"/>
              <w:right w:val="nil" w:sz="6" w:space="0" w:color="auto"/>
            </w:tcBorders>
          </w:tcPr>
          <w:p>
            <w:pPr/>
          </w:p>
        </w:tc>
        <w:tc>
          <w:tcPr>
            <w:tcW w:w="4154" w:type="dxa"/>
            <w:tcBorders>
              <w:top w:val="nil" w:sz="6" w:space="0" w:color="auto"/>
              <w:left w:val="nil" w:sz="6" w:space="0" w:color="auto"/>
              <w:bottom w:val="single" w:sz="12" w:space="0" w:color="000000"/>
              <w:right w:val="nil" w:sz="6" w:space="0" w:color="auto"/>
            </w:tcBorders>
          </w:tcPr>
          <w:p>
            <w:pPr>
              <w:pStyle w:val="TableParagraph"/>
              <w:tabs>
                <w:tab w:pos="539" w:val="left" w:leader="none"/>
              </w:tabs>
              <w:spacing w:line="240" w:lineRule="auto" w:before="59"/>
              <w:ind w:right="117"/>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970"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344"/>
              <w:jc w:val="right"/>
              <w:rPr>
                <w:rFonts w:ascii="Times New Roman" w:hAnsi="Times New Roman" w:cs="Times New Roman" w:eastAsia="Times New Roman" w:hint="default"/>
                <w:sz w:val="18"/>
                <w:szCs w:val="18"/>
              </w:rPr>
            </w:pPr>
            <w:r>
              <w:rPr>
                <w:rFonts w:ascii="Times New Roman"/>
                <w:sz w:val="18"/>
              </w:rPr>
              <w:t>14,018,085</w:t>
            </w:r>
          </w:p>
        </w:tc>
        <w:tc>
          <w:tcPr>
            <w:tcW w:w="1652"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105"/>
              <w:jc w:val="right"/>
              <w:rPr>
                <w:rFonts w:ascii="Times New Roman" w:hAnsi="Times New Roman" w:cs="Times New Roman" w:eastAsia="Times New Roman" w:hint="default"/>
                <w:sz w:val="18"/>
                <w:szCs w:val="18"/>
              </w:rPr>
            </w:pPr>
            <w:r>
              <w:rPr>
                <w:rFonts w:ascii="Times New Roman"/>
                <w:w w:val="95"/>
                <w:sz w:val="18"/>
              </w:rPr>
              <w:t>-9,218,107</w:t>
            </w:r>
            <w:r>
              <w:rPr>
                <w:rFonts w:ascii="Times New Roman"/>
                <w:sz w:val="18"/>
              </w:rPr>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2095" w:val="left" w:leader="none"/>
        </w:tabs>
        <w:spacing w:before="35"/>
        <w:ind w:left="1557" w:right="512" w:firstLine="0"/>
        <w:jc w:val="left"/>
        <w:rPr>
          <w:rFonts w:ascii="宋体" w:hAnsi="宋体" w:cs="宋体" w:eastAsia="宋体" w:hint="default"/>
          <w:sz w:val="21"/>
          <w:szCs w:val="21"/>
        </w:rPr>
      </w:pPr>
      <w:r>
        <w:rPr/>
        <w:pict>
          <v:group style="position:absolute;margin-left:155.039993pt;margin-top:-230.186493pt;width:391.8pt;height:205.8pt;mso-position-horizontal-relative:page;mso-position-vertical-relative:paragraph;z-index:-1098112" coordorigin="3101,-4604" coordsize="7836,4116">
            <v:shape style="position:absolute;left:7134;top:-4604;width:1912;height:451" type="#_x0000_t75" stroked="false">
              <v:imagedata r:id="rId442" o:title=""/>
            </v:shape>
            <v:shape style="position:absolute;left:3101;top:-4201;width:7836;height:3713" type="#_x0000_t75" stroked="false">
              <v:imagedata r:id="rId443" o:title=""/>
            </v:shape>
            <w10:wrap type="none"/>
          </v:group>
        </w:pict>
      </w:r>
      <w:r>
        <w:rPr/>
        <w:pict>
          <v:group style="position:absolute;margin-left:155.520004pt;margin-top:17.073509pt;width:391.05pt;height:103.5pt;mso-position-horizontal-relative:page;mso-position-vertical-relative:paragraph;z-index:-1098088" coordorigin="3110,341" coordsize="7821,2070">
            <v:group style="position:absolute;left:3130;top:356;width:7782;height:2" coordorigin="3130,356" coordsize="7782,2">
              <v:shape style="position:absolute;left:3130;top:356;width:7782;height:2" coordorigin="3130,356" coordsize="7782,0" path="m3130,356l10912,356e" filled="false" stroked="true" strokeweight="1.5pt" strokecolor="#000000">
                <v:path arrowok="t"/>
              </v:shape>
              <v:shape style="position:absolute;left:5734;top:346;width:2563;height:451" type="#_x0000_t75" stroked="false">
                <v:imagedata r:id="rId444" o:title=""/>
              </v:shape>
              <v:shape style="position:absolute;left:3110;top:753;width:7820;height:1658" type="#_x0000_t75" stroked="false">
                <v:imagedata r:id="rId445" o:title=""/>
              </v:shape>
            </v:group>
            <w10:wrap type="none"/>
          </v:group>
        </w:pict>
      </w:r>
      <w:r>
        <w:rPr>
          <w:rFonts w:ascii="宋体" w:hAnsi="宋体" w:cs="宋体" w:eastAsia="宋体" w:hint="default"/>
          <w:b/>
          <w:bCs/>
          <w:w w:val="95"/>
          <w:sz w:val="21"/>
          <w:szCs w:val="21"/>
        </w:rPr>
        <w:t>2、</w:t>
        <w:tab/>
      </w:r>
      <w:r>
        <w:rPr>
          <w:rFonts w:ascii="宋体" w:hAnsi="宋体" w:cs="宋体" w:eastAsia="宋体" w:hint="default"/>
          <w:b/>
          <w:bCs/>
          <w:sz w:val="21"/>
          <w:szCs w:val="21"/>
        </w:rPr>
        <w:t>按成本法核算的长期股权投资收益</w:t>
      </w:r>
      <w:r>
        <w:rPr>
          <w:rFonts w:ascii="宋体" w:hAnsi="宋体" w:cs="宋体" w:eastAsia="宋体" w:hint="default"/>
          <w:sz w:val="21"/>
          <w:szCs w:val="21"/>
        </w:rPr>
      </w:r>
    </w:p>
    <w:p>
      <w:pPr>
        <w:spacing w:line="240" w:lineRule="auto" w:before="10"/>
        <w:rPr>
          <w:rFonts w:ascii="宋体" w:hAnsi="宋体" w:cs="宋体" w:eastAsia="宋体" w:hint="default"/>
          <w:b/>
          <w:bCs/>
          <w:sz w:val="11"/>
          <w:szCs w:val="11"/>
        </w:rPr>
      </w:pPr>
    </w:p>
    <w:tbl>
      <w:tblPr>
        <w:tblW w:w="0" w:type="auto"/>
        <w:jc w:val="left"/>
        <w:tblInd w:w="1435" w:type="dxa"/>
        <w:tblLayout w:type="fixed"/>
        <w:tblCellMar>
          <w:top w:w="0" w:type="dxa"/>
          <w:left w:w="0" w:type="dxa"/>
          <w:bottom w:w="0" w:type="dxa"/>
          <w:right w:w="0" w:type="dxa"/>
        </w:tblCellMar>
        <w:tblLook w:val="01E0"/>
      </w:tblPr>
      <w:tblGrid>
        <w:gridCol w:w="2654"/>
        <w:gridCol w:w="1492"/>
        <w:gridCol w:w="1006"/>
        <w:gridCol w:w="2644"/>
      </w:tblGrid>
      <w:tr>
        <w:trPr>
          <w:trHeight w:val="815" w:hRule="exact"/>
        </w:trPr>
        <w:tc>
          <w:tcPr>
            <w:tcW w:w="2654"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729" w:firstLine="758"/>
              <w:jc w:val="left"/>
              <w:rPr>
                <w:rFonts w:ascii="宋体" w:hAnsi="宋体" w:cs="宋体" w:eastAsia="宋体" w:hint="default"/>
                <w:sz w:val="18"/>
                <w:szCs w:val="18"/>
              </w:rPr>
            </w:pPr>
            <w:r>
              <w:rPr>
                <w:rFonts w:ascii="宋体" w:hAnsi="宋体" w:cs="宋体" w:eastAsia="宋体" w:hint="default"/>
                <w:sz w:val="18"/>
                <w:szCs w:val="18"/>
              </w:rPr>
              <w:t>被投资单位 东软（日本）有限公司</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71"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640" w:right="0"/>
              <w:jc w:val="left"/>
              <w:rPr>
                <w:rFonts w:ascii="Times New Roman" w:hAnsi="Times New Roman" w:cs="Times New Roman" w:eastAsia="Times New Roman" w:hint="default"/>
                <w:sz w:val="18"/>
                <w:szCs w:val="18"/>
              </w:rPr>
            </w:pPr>
            <w:r>
              <w:rPr>
                <w:rFonts w:ascii="Times New Roman"/>
                <w:sz w:val="18"/>
              </w:rPr>
              <w:t>1,493,307</w:t>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7" w:right="0" w:hanging="47"/>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77" w:right="0"/>
              <w:jc w:val="left"/>
              <w:rPr>
                <w:rFonts w:ascii="Times New Roman" w:hAnsi="Times New Roman" w:cs="Times New Roman" w:eastAsia="Times New Roman" w:hint="default"/>
                <w:sz w:val="18"/>
                <w:szCs w:val="18"/>
              </w:rPr>
            </w:pPr>
            <w:r>
              <w:rPr>
                <w:rFonts w:ascii="Times New Roman"/>
                <w:sz w:val="18"/>
              </w:rPr>
              <w:t>1,390,458</w:t>
            </w:r>
          </w:p>
        </w:tc>
        <w:tc>
          <w:tcPr>
            <w:tcW w:w="2644"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07" w:right="241" w:firstLine="133"/>
              <w:jc w:val="left"/>
              <w:rPr>
                <w:rFonts w:ascii="宋体" w:hAnsi="宋体" w:cs="宋体" w:eastAsia="宋体" w:hint="default"/>
                <w:sz w:val="18"/>
                <w:szCs w:val="18"/>
              </w:rPr>
            </w:pPr>
            <w:r>
              <w:rPr>
                <w:rFonts w:ascii="宋体" w:hAnsi="宋体" w:cs="宋体" w:eastAsia="宋体" w:hint="default"/>
                <w:sz w:val="18"/>
                <w:szCs w:val="18"/>
              </w:rPr>
              <w:t>本期比上期增减变动的原因 本公司收到分配的现金股利</w:t>
            </w:r>
          </w:p>
        </w:tc>
      </w:tr>
      <w:tr>
        <w:trPr>
          <w:trHeight w:val="410" w:hRule="exact"/>
        </w:trPr>
        <w:tc>
          <w:tcPr>
            <w:tcW w:w="26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辽宁东软创业投资有限公司</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0"/>
              <w:jc w:val="right"/>
              <w:rPr>
                <w:rFonts w:ascii="Times New Roman" w:hAnsi="Times New Roman" w:cs="Times New Roman" w:eastAsia="Times New Roman" w:hint="default"/>
                <w:sz w:val="18"/>
                <w:szCs w:val="18"/>
              </w:rPr>
            </w:pPr>
            <w:r>
              <w:rPr>
                <w:rFonts w:ascii="Times New Roman"/>
                <w:sz w:val="18"/>
              </w:rPr>
              <w:t>3,571,429</w:t>
            </w:r>
          </w:p>
        </w:tc>
        <w:tc>
          <w:tcPr>
            <w:tcW w:w="1006" w:type="dxa"/>
            <w:tcBorders>
              <w:top w:val="nil" w:sz="6" w:space="0" w:color="auto"/>
              <w:left w:val="nil" w:sz="6" w:space="0" w:color="auto"/>
              <w:bottom w:val="nil" w:sz="6" w:space="0" w:color="auto"/>
              <w:right w:val="nil" w:sz="6" w:space="0" w:color="auto"/>
            </w:tcBorders>
          </w:tcPr>
          <w:p>
            <w:pPr/>
          </w:p>
        </w:tc>
        <w:tc>
          <w:tcPr>
            <w:tcW w:w="264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8"/>
                <w:szCs w:val="18"/>
              </w:rPr>
            </w:pPr>
            <w:r>
              <w:rPr>
                <w:rFonts w:ascii="宋体" w:hAnsi="宋体" w:cs="宋体" w:eastAsia="宋体" w:hint="default"/>
                <w:sz w:val="18"/>
                <w:szCs w:val="18"/>
              </w:rPr>
              <w:t>本公司收到分配的现金股利</w:t>
            </w:r>
          </w:p>
        </w:tc>
      </w:tr>
      <w:tr>
        <w:trPr>
          <w:trHeight w:val="410" w:hRule="exact"/>
        </w:trPr>
        <w:tc>
          <w:tcPr>
            <w:tcW w:w="265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秦皇岛东软软件有限公司</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9"/>
              <w:jc w:val="right"/>
              <w:rPr>
                <w:rFonts w:ascii="Times New Roman" w:hAnsi="Times New Roman" w:cs="Times New Roman" w:eastAsia="Times New Roman" w:hint="default"/>
                <w:sz w:val="18"/>
                <w:szCs w:val="18"/>
              </w:rPr>
            </w:pPr>
            <w:r>
              <w:rPr>
                <w:rFonts w:ascii="Times New Roman"/>
                <w:sz w:val="18"/>
              </w:rPr>
              <w:t>983,224</w:t>
            </w:r>
          </w:p>
        </w:tc>
        <w:tc>
          <w:tcPr>
            <w:tcW w:w="1006" w:type="dxa"/>
            <w:tcBorders>
              <w:top w:val="nil" w:sz="6" w:space="0" w:color="auto"/>
              <w:left w:val="nil" w:sz="6" w:space="0" w:color="auto"/>
              <w:bottom w:val="nil" w:sz="6" w:space="0" w:color="auto"/>
              <w:right w:val="nil" w:sz="6" w:space="0" w:color="auto"/>
            </w:tcBorders>
          </w:tcPr>
          <w:p>
            <w:pPr/>
          </w:p>
        </w:tc>
        <w:tc>
          <w:tcPr>
            <w:tcW w:w="264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7" w:right="0"/>
              <w:jc w:val="left"/>
              <w:rPr>
                <w:rFonts w:ascii="宋体" w:hAnsi="宋体" w:cs="宋体" w:eastAsia="宋体" w:hint="default"/>
                <w:sz w:val="18"/>
                <w:szCs w:val="18"/>
              </w:rPr>
            </w:pPr>
            <w:r>
              <w:rPr>
                <w:rFonts w:ascii="宋体" w:hAnsi="宋体" w:cs="宋体" w:eastAsia="宋体" w:hint="default"/>
                <w:sz w:val="18"/>
                <w:szCs w:val="18"/>
              </w:rPr>
              <w:t>本公司收到分配的现金股利</w:t>
            </w:r>
          </w:p>
        </w:tc>
      </w:tr>
      <w:tr>
        <w:trPr>
          <w:trHeight w:val="328" w:hRule="exact"/>
        </w:trPr>
        <w:tc>
          <w:tcPr>
            <w:tcW w:w="2654" w:type="dxa"/>
            <w:tcBorders>
              <w:top w:val="nil" w:sz="6" w:space="0" w:color="auto"/>
              <w:left w:val="nil" w:sz="6" w:space="0" w:color="auto"/>
              <w:bottom w:val="single" w:sz="12" w:space="0" w:color="000000"/>
              <w:right w:val="nil" w:sz="6" w:space="0" w:color="auto"/>
            </w:tcBorders>
          </w:tcPr>
          <w:p>
            <w:pPr>
              <w:pStyle w:val="TableParagraph"/>
              <w:tabs>
                <w:tab w:pos="547" w:val="left" w:leader="none"/>
              </w:tabs>
              <w:spacing w:line="240" w:lineRule="auto" w:before="50"/>
              <w:ind w:left="7"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492"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28"/>
              <w:jc w:val="right"/>
              <w:rPr>
                <w:rFonts w:ascii="Times New Roman" w:hAnsi="Times New Roman" w:cs="Times New Roman" w:eastAsia="Times New Roman" w:hint="default"/>
                <w:sz w:val="18"/>
                <w:szCs w:val="18"/>
              </w:rPr>
            </w:pPr>
            <w:r>
              <w:rPr>
                <w:rFonts w:ascii="Times New Roman"/>
                <w:sz w:val="18"/>
              </w:rPr>
              <w:t>6,047,960</w:t>
            </w:r>
          </w:p>
        </w:tc>
        <w:tc>
          <w:tcPr>
            <w:tcW w:w="1006"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left="177" w:right="0"/>
              <w:jc w:val="left"/>
              <w:rPr>
                <w:rFonts w:ascii="Times New Roman" w:hAnsi="Times New Roman" w:cs="Times New Roman" w:eastAsia="Times New Roman" w:hint="default"/>
                <w:sz w:val="18"/>
                <w:szCs w:val="18"/>
              </w:rPr>
            </w:pPr>
            <w:r>
              <w:rPr>
                <w:rFonts w:ascii="Times New Roman"/>
                <w:sz w:val="18"/>
              </w:rPr>
              <w:t>1,390,458</w:t>
            </w:r>
          </w:p>
        </w:tc>
        <w:tc>
          <w:tcPr>
            <w:tcW w:w="2644"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tabs>
          <w:tab w:pos="2095" w:val="left" w:leader="none"/>
        </w:tabs>
        <w:spacing w:before="35"/>
        <w:ind w:left="1557" w:right="512" w:firstLine="0"/>
        <w:jc w:val="left"/>
        <w:rPr>
          <w:rFonts w:ascii="宋体" w:hAnsi="宋体" w:cs="宋体" w:eastAsia="宋体" w:hint="default"/>
          <w:sz w:val="21"/>
          <w:szCs w:val="21"/>
        </w:rPr>
      </w:pPr>
      <w:r>
        <w:rPr/>
        <w:pict>
          <v:group style="position:absolute;margin-left:155.520004pt;margin-top:17.073671pt;width:390.85pt;height:124.05pt;mso-position-horizontal-relative:page;mso-position-vertical-relative:paragraph;z-index:-1098064" coordorigin="3110,341" coordsize="7817,2481">
            <v:group style="position:absolute;left:3130;top:356;width:7776;height:2" coordorigin="3130,356" coordsize="7776,2">
              <v:shape style="position:absolute;left:3130;top:356;width:7776;height:2" coordorigin="3130,356" coordsize="7776,0" path="m3130,356l10906,356e" filled="false" stroked="true" strokeweight="1.5pt" strokecolor="#000000">
                <v:path arrowok="t"/>
              </v:shape>
              <v:shape style="position:absolute;left:6377;top:348;width:2010;height:446" type="#_x0000_t75" stroked="false">
                <v:imagedata r:id="rId446" o:title=""/>
              </v:shape>
              <v:shape style="position:absolute;left:3110;top:752;width:7817;height:2070" type="#_x0000_t75" stroked="false">
                <v:imagedata r:id="rId447" o:title=""/>
              </v:shape>
            </v:group>
            <w10:wrap type="none"/>
          </v:group>
        </w:pict>
      </w:r>
      <w:r>
        <w:rPr>
          <w:rFonts w:ascii="宋体" w:hAnsi="宋体" w:cs="宋体" w:eastAsia="宋体" w:hint="default"/>
          <w:b/>
          <w:bCs/>
          <w:w w:val="95"/>
          <w:sz w:val="21"/>
          <w:szCs w:val="21"/>
        </w:rPr>
        <w:t>3、</w:t>
        <w:tab/>
      </w:r>
      <w:r>
        <w:rPr>
          <w:rFonts w:ascii="宋体" w:hAnsi="宋体" w:cs="宋体" w:eastAsia="宋体" w:hint="default"/>
          <w:b/>
          <w:bCs/>
          <w:sz w:val="21"/>
          <w:szCs w:val="21"/>
        </w:rPr>
        <w:t>按权益法核算的长期股权投资收益</w:t>
      </w:r>
      <w:r>
        <w:rPr>
          <w:rFonts w:ascii="宋体" w:hAnsi="宋体" w:cs="宋体" w:eastAsia="宋体" w:hint="default"/>
          <w:sz w:val="21"/>
          <w:szCs w:val="21"/>
        </w:rPr>
      </w:r>
    </w:p>
    <w:p>
      <w:pPr>
        <w:spacing w:line="240" w:lineRule="auto" w:before="10"/>
        <w:rPr>
          <w:rFonts w:ascii="宋体" w:hAnsi="宋体" w:cs="宋体" w:eastAsia="宋体" w:hint="default"/>
          <w:b/>
          <w:bCs/>
          <w:sz w:val="11"/>
          <w:szCs w:val="11"/>
        </w:rPr>
      </w:pPr>
    </w:p>
    <w:tbl>
      <w:tblPr>
        <w:tblW w:w="0" w:type="auto"/>
        <w:jc w:val="left"/>
        <w:tblInd w:w="1435" w:type="dxa"/>
        <w:tblLayout w:type="fixed"/>
        <w:tblCellMar>
          <w:top w:w="0" w:type="dxa"/>
          <w:left w:w="0" w:type="dxa"/>
          <w:bottom w:w="0" w:type="dxa"/>
          <w:right w:w="0" w:type="dxa"/>
        </w:tblCellMar>
        <w:tblLook w:val="01E0"/>
      </w:tblPr>
      <w:tblGrid>
        <w:gridCol w:w="3209"/>
        <w:gridCol w:w="1089"/>
        <w:gridCol w:w="1015"/>
        <w:gridCol w:w="2478"/>
      </w:tblGrid>
      <w:tr>
        <w:trPr>
          <w:trHeight w:val="815" w:hRule="exact"/>
        </w:trPr>
        <w:tc>
          <w:tcPr>
            <w:tcW w:w="3209"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2" w:right="204" w:firstLine="1080"/>
              <w:jc w:val="left"/>
              <w:rPr>
                <w:rFonts w:ascii="宋体" w:hAnsi="宋体" w:cs="宋体" w:eastAsia="宋体" w:hint="default"/>
                <w:sz w:val="18"/>
                <w:szCs w:val="18"/>
              </w:rPr>
            </w:pPr>
            <w:r>
              <w:rPr>
                <w:rFonts w:ascii="宋体" w:hAnsi="宋体" w:cs="宋体" w:eastAsia="宋体" w:hint="default"/>
                <w:sz w:val="18"/>
                <w:szCs w:val="18"/>
              </w:rPr>
              <w:t>被投资单位 诺基亚西门子东软通信技术有限公司</w:t>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2" w:right="0" w:hanging="16"/>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222" w:right="0"/>
              <w:jc w:val="left"/>
              <w:rPr>
                <w:rFonts w:ascii="Times New Roman" w:hAnsi="Times New Roman" w:cs="Times New Roman" w:eastAsia="Times New Roman" w:hint="default"/>
                <w:sz w:val="18"/>
                <w:szCs w:val="18"/>
              </w:rPr>
            </w:pPr>
            <w:r>
              <w:rPr>
                <w:rFonts w:ascii="Times New Roman"/>
                <w:sz w:val="18"/>
              </w:rPr>
              <w:t>8,231,268</w:t>
            </w:r>
          </w:p>
        </w:tc>
        <w:tc>
          <w:tcPr>
            <w:tcW w:w="101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8" w:right="0" w:hanging="24"/>
              <w:jc w:val="left"/>
              <w:rPr>
                <w:rFonts w:ascii="宋体" w:hAnsi="宋体" w:cs="宋体" w:eastAsia="宋体" w:hint="default"/>
                <w:sz w:val="18"/>
                <w:szCs w:val="18"/>
              </w:rPr>
            </w:pPr>
            <w:r>
              <w:rPr>
                <w:rFonts w:ascii="宋体" w:hAnsi="宋体" w:cs="宋体" w:eastAsia="宋体" w:hint="default"/>
                <w:sz w:val="18"/>
                <w:szCs w:val="18"/>
              </w:rPr>
              <w:t>上期金额</w:t>
            </w: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18" w:right="0"/>
              <w:jc w:val="left"/>
              <w:rPr>
                <w:rFonts w:ascii="Times New Roman" w:hAnsi="Times New Roman" w:cs="Times New Roman" w:eastAsia="Times New Roman" w:hint="default"/>
                <w:sz w:val="18"/>
                <w:szCs w:val="18"/>
              </w:rPr>
            </w:pPr>
            <w:r>
              <w:rPr>
                <w:rFonts w:ascii="Times New Roman"/>
                <w:sz w:val="18"/>
              </w:rPr>
              <w:t>9,586,872</w:t>
            </w:r>
          </w:p>
        </w:tc>
        <w:tc>
          <w:tcPr>
            <w:tcW w:w="2478" w:type="dxa"/>
            <w:tcBorders>
              <w:top w:val="nil" w:sz="6" w:space="0" w:color="auto"/>
              <w:left w:val="nil" w:sz="6" w:space="0" w:color="auto"/>
              <w:bottom w:val="nil" w:sz="6" w:space="0" w:color="auto"/>
              <w:right w:val="nil" w:sz="6" w:space="0" w:color="auto"/>
            </w:tcBorders>
          </w:tcPr>
          <w:p>
            <w:pPr>
              <w:pStyle w:val="TableParagraph"/>
              <w:spacing w:line="417" w:lineRule="auto" w:before="44"/>
              <w:ind w:left="124" w:right="191"/>
              <w:jc w:val="left"/>
              <w:rPr>
                <w:rFonts w:ascii="宋体" w:hAnsi="宋体" w:cs="宋体" w:eastAsia="宋体" w:hint="default"/>
                <w:sz w:val="18"/>
                <w:szCs w:val="18"/>
              </w:rPr>
            </w:pPr>
            <w:r>
              <w:rPr>
                <w:rFonts w:ascii="宋体" w:hAnsi="宋体" w:cs="宋体" w:eastAsia="宋体" w:hint="default"/>
                <w:sz w:val="18"/>
                <w:szCs w:val="18"/>
              </w:rPr>
              <w:t>本期比上期增减变动的原因 被投资单位净利润变动影响</w:t>
            </w:r>
          </w:p>
        </w:tc>
      </w:tr>
      <w:tr>
        <w:trPr>
          <w:trHeight w:val="410" w:hRule="exact"/>
        </w:trPr>
        <w:tc>
          <w:tcPr>
            <w:tcW w:w="320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北京利博赛社保信息技术有限公司</w:t>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2"/>
              <w:jc w:val="right"/>
              <w:rPr>
                <w:rFonts w:ascii="Times New Roman" w:hAnsi="Times New Roman" w:cs="Times New Roman" w:eastAsia="Times New Roman" w:hint="default"/>
                <w:sz w:val="18"/>
                <w:szCs w:val="18"/>
              </w:rPr>
            </w:pPr>
            <w:r>
              <w:rPr>
                <w:rFonts w:ascii="Times New Roman"/>
                <w:w w:val="95"/>
                <w:sz w:val="18"/>
              </w:rPr>
              <w:t>-456,868</w:t>
            </w:r>
            <w:r>
              <w:rPr>
                <w:rFonts w:ascii="Times New Roman"/>
                <w:sz w:val="18"/>
              </w:rPr>
            </w:r>
          </w:p>
        </w:tc>
        <w:tc>
          <w:tcPr>
            <w:tcW w:w="101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2"/>
              <w:jc w:val="right"/>
              <w:rPr>
                <w:rFonts w:ascii="Times New Roman" w:hAnsi="Times New Roman" w:cs="Times New Roman" w:eastAsia="Times New Roman" w:hint="default"/>
                <w:sz w:val="18"/>
                <w:szCs w:val="18"/>
              </w:rPr>
            </w:pPr>
            <w:r>
              <w:rPr>
                <w:rFonts w:ascii="Times New Roman"/>
                <w:w w:val="95"/>
                <w:sz w:val="18"/>
              </w:rPr>
              <w:t>-1,542,774</w:t>
            </w:r>
            <w:r>
              <w:rPr>
                <w:rFonts w:ascii="Times New Roman"/>
                <w:sz w:val="18"/>
              </w:rPr>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66"/>
              <w:jc w:val="center"/>
              <w:rPr>
                <w:rFonts w:ascii="宋体" w:hAnsi="宋体" w:cs="宋体" w:eastAsia="宋体" w:hint="default"/>
                <w:sz w:val="18"/>
                <w:szCs w:val="18"/>
              </w:rPr>
            </w:pPr>
            <w:r>
              <w:rPr>
                <w:rFonts w:ascii="宋体" w:hAnsi="宋体" w:cs="宋体" w:eastAsia="宋体" w:hint="default"/>
                <w:sz w:val="18"/>
                <w:szCs w:val="18"/>
              </w:rPr>
              <w:t>被投资单位净利润变动影响</w:t>
            </w:r>
          </w:p>
        </w:tc>
      </w:tr>
      <w:tr>
        <w:trPr>
          <w:trHeight w:val="410" w:hRule="exact"/>
        </w:trPr>
        <w:tc>
          <w:tcPr>
            <w:tcW w:w="320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沈阳凯塔数据科技有限公司</w:t>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4"/>
              <w:jc w:val="right"/>
              <w:rPr>
                <w:rFonts w:ascii="Times New Roman" w:hAnsi="Times New Roman" w:cs="Times New Roman" w:eastAsia="Times New Roman" w:hint="default"/>
                <w:sz w:val="18"/>
                <w:szCs w:val="18"/>
              </w:rPr>
            </w:pPr>
            <w:r>
              <w:rPr>
                <w:rFonts w:ascii="Times New Roman"/>
                <w:w w:val="95"/>
                <w:sz w:val="18"/>
              </w:rPr>
              <w:t>-839,530</w:t>
            </w:r>
            <w:r>
              <w:rPr>
                <w:rFonts w:ascii="Times New Roman"/>
                <w:sz w:val="18"/>
              </w:rPr>
            </w:r>
          </w:p>
        </w:tc>
        <w:tc>
          <w:tcPr>
            <w:tcW w:w="101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22"/>
              <w:jc w:val="right"/>
              <w:rPr>
                <w:rFonts w:ascii="Times New Roman" w:hAnsi="Times New Roman" w:cs="Times New Roman" w:eastAsia="Times New Roman" w:hint="default"/>
                <w:sz w:val="18"/>
                <w:szCs w:val="18"/>
              </w:rPr>
            </w:pPr>
            <w:r>
              <w:rPr>
                <w:rFonts w:ascii="Times New Roman"/>
                <w:w w:val="95"/>
                <w:sz w:val="18"/>
              </w:rPr>
              <w:t>-324,809</w:t>
            </w:r>
            <w:r>
              <w:rPr>
                <w:rFonts w:ascii="Times New Roman"/>
                <w:sz w:val="18"/>
              </w:rPr>
            </w: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6"/>
              <w:jc w:val="center"/>
              <w:rPr>
                <w:rFonts w:ascii="宋体" w:hAnsi="宋体" w:cs="宋体" w:eastAsia="宋体" w:hint="default"/>
                <w:sz w:val="18"/>
                <w:szCs w:val="18"/>
              </w:rPr>
            </w:pPr>
            <w:r>
              <w:rPr>
                <w:rFonts w:ascii="宋体" w:hAnsi="宋体" w:cs="宋体" w:eastAsia="宋体" w:hint="default"/>
                <w:sz w:val="18"/>
                <w:szCs w:val="18"/>
              </w:rPr>
              <w:t>被投资单位净利润变动影响</w:t>
            </w:r>
          </w:p>
        </w:tc>
      </w:tr>
      <w:tr>
        <w:trPr>
          <w:trHeight w:val="410" w:hRule="exact"/>
        </w:trPr>
        <w:tc>
          <w:tcPr>
            <w:tcW w:w="320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沈阳东芝东软信息系统有限公司</w:t>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3"/>
              <w:jc w:val="right"/>
              <w:rPr>
                <w:rFonts w:ascii="Times New Roman" w:hAnsi="Times New Roman" w:cs="Times New Roman" w:eastAsia="Times New Roman" w:hint="default"/>
                <w:sz w:val="18"/>
                <w:szCs w:val="18"/>
              </w:rPr>
            </w:pPr>
            <w:r>
              <w:rPr>
                <w:rFonts w:ascii="Times New Roman"/>
                <w:w w:val="95"/>
                <w:sz w:val="18"/>
              </w:rPr>
              <w:t>-896,252</w:t>
            </w:r>
            <w:r>
              <w:rPr>
                <w:rFonts w:ascii="Times New Roman"/>
                <w:sz w:val="18"/>
              </w:rPr>
            </w:r>
          </w:p>
        </w:tc>
        <w:tc>
          <w:tcPr>
            <w:tcW w:w="1015" w:type="dxa"/>
            <w:tcBorders>
              <w:top w:val="nil" w:sz="6" w:space="0" w:color="auto"/>
              <w:left w:val="nil" w:sz="6" w:space="0" w:color="auto"/>
              <w:bottom w:val="nil" w:sz="6" w:space="0" w:color="auto"/>
              <w:right w:val="nil" w:sz="6" w:space="0" w:color="auto"/>
            </w:tcBorders>
          </w:tcPr>
          <w:p>
            <w:pPr/>
          </w:p>
        </w:tc>
        <w:tc>
          <w:tcPr>
            <w:tcW w:w="247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6"/>
              <w:jc w:val="center"/>
              <w:rPr>
                <w:rFonts w:ascii="宋体" w:hAnsi="宋体" w:cs="宋体" w:eastAsia="宋体" w:hint="default"/>
                <w:sz w:val="18"/>
                <w:szCs w:val="18"/>
              </w:rPr>
            </w:pPr>
            <w:r>
              <w:rPr>
                <w:rFonts w:ascii="宋体" w:hAnsi="宋体" w:cs="宋体" w:eastAsia="宋体" w:hint="default"/>
                <w:sz w:val="18"/>
                <w:szCs w:val="18"/>
              </w:rPr>
              <w:t>被投资单位净利润变动影响</w:t>
            </w:r>
          </w:p>
        </w:tc>
      </w:tr>
      <w:tr>
        <w:trPr>
          <w:trHeight w:val="329" w:hRule="exact"/>
        </w:trPr>
        <w:tc>
          <w:tcPr>
            <w:tcW w:w="3209" w:type="dxa"/>
            <w:tcBorders>
              <w:top w:val="nil" w:sz="6" w:space="0" w:color="auto"/>
              <w:left w:val="nil" w:sz="6" w:space="0" w:color="auto"/>
              <w:bottom w:val="single" w:sz="12" w:space="0" w:color="000000"/>
              <w:right w:val="nil" w:sz="6" w:space="0" w:color="auto"/>
            </w:tcBorders>
          </w:tcPr>
          <w:p>
            <w:pPr>
              <w:pStyle w:val="TableParagraph"/>
              <w:tabs>
                <w:tab w:pos="635" w:val="left" w:leader="none"/>
              </w:tabs>
              <w:spacing w:line="240" w:lineRule="auto" w:before="49"/>
              <w:ind w:left="96"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089"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42"/>
              <w:jc w:val="right"/>
              <w:rPr>
                <w:rFonts w:ascii="Times New Roman" w:hAnsi="Times New Roman" w:cs="Times New Roman" w:eastAsia="Times New Roman" w:hint="default"/>
                <w:sz w:val="18"/>
                <w:szCs w:val="18"/>
              </w:rPr>
            </w:pPr>
            <w:r>
              <w:rPr>
                <w:rFonts w:ascii="Times New Roman"/>
                <w:sz w:val="18"/>
              </w:rPr>
              <w:t>6,038,618</w:t>
            </w:r>
          </w:p>
        </w:tc>
        <w:tc>
          <w:tcPr>
            <w:tcW w:w="1015"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73"/>
              <w:jc w:val="right"/>
              <w:rPr>
                <w:rFonts w:ascii="Times New Roman" w:hAnsi="Times New Roman" w:cs="Times New Roman" w:eastAsia="Times New Roman" w:hint="default"/>
                <w:sz w:val="18"/>
                <w:szCs w:val="18"/>
              </w:rPr>
            </w:pPr>
            <w:r>
              <w:rPr>
                <w:rFonts w:ascii="Times New Roman"/>
                <w:sz w:val="18"/>
              </w:rPr>
              <w:t>7,719,289</w:t>
            </w:r>
          </w:p>
        </w:tc>
        <w:tc>
          <w:tcPr>
            <w:tcW w:w="2478"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83" w:footer="1003" w:top="1600" w:bottom="1200" w:left="1680" w:right="840"/>
        </w:sectPr>
      </w:pPr>
    </w:p>
    <w:p>
      <w:pPr>
        <w:spacing w:line="240" w:lineRule="auto" w:before="0"/>
        <w:rPr>
          <w:rFonts w:ascii="Times New Roman" w:hAnsi="Times New Roman" w:cs="Times New Roman" w:eastAsia="Times New Roman" w:hint="default"/>
          <w:sz w:val="5"/>
          <w:szCs w:val="5"/>
        </w:rPr>
      </w:pPr>
      <w:r>
        <w:rPr/>
        <w:pict>
          <v:group style="position:absolute;margin-left:155.039993pt;margin-top:100.410004pt;width:391.65pt;height:615.15pt;mso-position-horizontal-relative:page;mso-position-vertical-relative:page;z-index:-1098040" coordorigin="3101,2008" coordsize="7833,12303">
            <v:shape style="position:absolute;left:7569;top:2008;width:1740;height:446" type="#_x0000_t75" stroked="false">
              <v:imagedata r:id="rId448" o:title=""/>
            </v:shape>
            <v:shape style="position:absolute;left:3101;top:2406;width:7832;height:11905" type="#_x0000_t75" stroked="false">
              <v:imagedata r:id="rId449" o:title=""/>
            </v:shape>
            <w10:wrap type="none"/>
          </v:group>
        </w:pict>
      </w:r>
    </w:p>
    <w:tbl>
      <w:tblPr>
        <w:tblW w:w="0" w:type="auto"/>
        <w:jc w:val="left"/>
        <w:tblInd w:w="790" w:type="dxa"/>
        <w:tblLayout w:type="fixed"/>
        <w:tblCellMar>
          <w:top w:w="0" w:type="dxa"/>
          <w:left w:w="0" w:type="dxa"/>
          <w:bottom w:w="0" w:type="dxa"/>
          <w:right w:w="0" w:type="dxa"/>
        </w:tblCellMar>
        <w:tblLook w:val="01E0"/>
      </w:tblPr>
      <w:tblGrid>
        <w:gridCol w:w="659"/>
        <w:gridCol w:w="4654"/>
        <w:gridCol w:w="1703"/>
        <w:gridCol w:w="1420"/>
      </w:tblGrid>
      <w:tr>
        <w:trPr>
          <w:trHeight w:val="358" w:hRule="exact"/>
        </w:trPr>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(八)</w:t>
            </w:r>
            <w:r>
              <w:rPr>
                <w:rFonts w:ascii="宋体" w:hAnsi="宋体" w:cs="宋体" w:eastAsia="宋体" w:hint="default"/>
                <w:sz w:val="21"/>
                <w:szCs w:val="21"/>
              </w:rPr>
            </w:r>
          </w:p>
        </w:tc>
        <w:tc>
          <w:tcPr>
            <w:tcW w:w="4654"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4" w:right="0"/>
              <w:jc w:val="left"/>
              <w:rPr>
                <w:rFonts w:ascii="宋体" w:hAnsi="宋体" w:cs="宋体" w:eastAsia="宋体" w:hint="default"/>
                <w:sz w:val="21"/>
                <w:szCs w:val="21"/>
              </w:rPr>
            </w:pPr>
            <w:r>
              <w:rPr>
                <w:rFonts w:ascii="宋体" w:hAnsi="宋体" w:cs="宋体" w:eastAsia="宋体" w:hint="default"/>
                <w:b/>
                <w:bCs/>
                <w:sz w:val="21"/>
                <w:szCs w:val="21"/>
              </w:rPr>
              <w:t>现金流量表补充资料</w:t>
            </w:r>
            <w:r>
              <w:rPr>
                <w:rFonts w:ascii="宋体" w:hAnsi="宋体" w:cs="宋体" w:eastAsia="宋体" w:hint="default"/>
                <w:sz w:val="21"/>
                <w:szCs w:val="21"/>
              </w:rPr>
            </w:r>
          </w:p>
        </w:tc>
        <w:tc>
          <w:tcPr>
            <w:tcW w:w="3122" w:type="dxa"/>
            <w:gridSpan w:val="2"/>
            <w:tcBorders>
              <w:top w:val="nil" w:sz="6" w:space="0" w:color="auto"/>
              <w:left w:val="nil" w:sz="6" w:space="0" w:color="auto"/>
              <w:bottom w:val="single" w:sz="12" w:space="0" w:color="000000"/>
              <w:right w:val="nil" w:sz="6" w:space="0" w:color="auto"/>
            </w:tcBorders>
          </w:tcPr>
          <w:p>
            <w:pPr/>
          </w:p>
        </w:tc>
      </w:tr>
      <w:tr>
        <w:trPr>
          <w:trHeight w:val="502"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single" w:sz="12" w:space="0" w:color="000000"/>
              <w:left w:val="nil" w:sz="6" w:space="0" w:color="auto"/>
              <w:bottom w:val="nil" w:sz="6" w:space="0" w:color="auto"/>
              <w:right w:val="nil" w:sz="6" w:space="0" w:color="auto"/>
            </w:tcBorders>
          </w:tcPr>
          <w:p>
            <w:pPr>
              <w:pStyle w:val="TableParagraph"/>
              <w:tabs>
                <w:tab w:pos="539" w:val="left" w:leader="none"/>
              </w:tabs>
              <w:spacing w:line="240" w:lineRule="auto" w:before="136"/>
              <w:ind w:right="185"/>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703"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295"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420" w:type="dxa"/>
            <w:tcBorders>
              <w:top w:val="single" w:sz="12" w:space="0" w:color="000000"/>
              <w:left w:val="nil" w:sz="6" w:space="0" w:color="auto"/>
              <w:bottom w:val="nil" w:sz="6" w:space="0" w:color="auto"/>
              <w:right w:val="nil" w:sz="6" w:space="0" w:color="auto"/>
            </w:tcBorders>
          </w:tcPr>
          <w:p>
            <w:pPr>
              <w:pStyle w:val="TableParagraph"/>
              <w:spacing w:line="240" w:lineRule="auto" w:before="136"/>
              <w:ind w:left="247"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15"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1703"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r>
      <w:tr>
        <w:trPr>
          <w:trHeight w:val="415"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45"/>
              <w:jc w:val="right"/>
              <w:rPr>
                <w:rFonts w:ascii="Times New Roman" w:hAnsi="Times New Roman" w:cs="Times New Roman" w:eastAsia="Times New Roman" w:hint="default"/>
                <w:sz w:val="18"/>
                <w:szCs w:val="18"/>
              </w:rPr>
            </w:pPr>
            <w:r>
              <w:rPr>
                <w:rFonts w:ascii="Times New Roman"/>
                <w:sz w:val="18"/>
              </w:rPr>
              <w:t>347,932,350</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0"/>
              <w:jc w:val="right"/>
              <w:rPr>
                <w:rFonts w:ascii="Times New Roman" w:hAnsi="Times New Roman" w:cs="Times New Roman" w:eastAsia="Times New Roman" w:hint="default"/>
                <w:sz w:val="18"/>
                <w:szCs w:val="18"/>
              </w:rPr>
            </w:pPr>
            <w:r>
              <w:rPr>
                <w:rFonts w:ascii="Times New Roman"/>
                <w:sz w:val="18"/>
              </w:rPr>
              <w:t>292,656,574</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5"/>
              <w:jc w:val="right"/>
              <w:rPr>
                <w:rFonts w:ascii="Times New Roman" w:hAnsi="Times New Roman" w:cs="Times New Roman" w:eastAsia="Times New Roman" w:hint="default"/>
                <w:sz w:val="18"/>
                <w:szCs w:val="18"/>
              </w:rPr>
            </w:pPr>
            <w:r>
              <w:rPr>
                <w:rFonts w:ascii="Times New Roman"/>
                <w:sz w:val="18"/>
              </w:rPr>
              <w:t>12,104,692</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0"/>
              <w:jc w:val="right"/>
              <w:rPr>
                <w:rFonts w:ascii="Times New Roman" w:hAnsi="Times New Roman" w:cs="Times New Roman" w:eastAsia="Times New Roman" w:hint="default"/>
                <w:sz w:val="18"/>
                <w:szCs w:val="18"/>
              </w:rPr>
            </w:pPr>
            <w:r>
              <w:rPr>
                <w:rFonts w:ascii="Times New Roman"/>
                <w:w w:val="95"/>
                <w:sz w:val="18"/>
              </w:rPr>
              <w:t>-5,822,840</w:t>
            </w:r>
            <w:r>
              <w:rPr>
                <w:rFonts w:ascii="Times New Roman"/>
                <w:sz w:val="18"/>
              </w:rPr>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5"/>
              <w:jc w:val="right"/>
              <w:rPr>
                <w:rFonts w:ascii="Times New Roman" w:hAnsi="Times New Roman" w:cs="Times New Roman" w:eastAsia="Times New Roman" w:hint="default"/>
                <w:sz w:val="18"/>
                <w:szCs w:val="18"/>
              </w:rPr>
            </w:pPr>
            <w:r>
              <w:rPr>
                <w:rFonts w:ascii="Times New Roman"/>
                <w:sz w:val="18"/>
              </w:rPr>
              <w:t>52,414,605</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0"/>
              <w:jc w:val="right"/>
              <w:rPr>
                <w:rFonts w:ascii="Times New Roman" w:hAnsi="Times New Roman" w:cs="Times New Roman" w:eastAsia="Times New Roman" w:hint="default"/>
                <w:sz w:val="18"/>
                <w:szCs w:val="18"/>
              </w:rPr>
            </w:pPr>
            <w:r>
              <w:rPr>
                <w:rFonts w:ascii="Times New Roman"/>
                <w:sz w:val="18"/>
              </w:rPr>
              <w:t>82,469,050</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5"/>
              <w:jc w:val="right"/>
              <w:rPr>
                <w:rFonts w:ascii="Times New Roman" w:hAnsi="Times New Roman" w:cs="Times New Roman" w:eastAsia="Times New Roman" w:hint="default"/>
                <w:sz w:val="18"/>
                <w:szCs w:val="18"/>
              </w:rPr>
            </w:pPr>
            <w:r>
              <w:rPr>
                <w:rFonts w:ascii="Times New Roman"/>
                <w:sz w:val="18"/>
              </w:rPr>
              <w:t>6,689,718</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0"/>
              <w:jc w:val="right"/>
              <w:rPr>
                <w:rFonts w:ascii="Times New Roman" w:hAnsi="Times New Roman" w:cs="Times New Roman" w:eastAsia="Times New Roman" w:hint="default"/>
                <w:sz w:val="18"/>
                <w:szCs w:val="18"/>
              </w:rPr>
            </w:pPr>
            <w:r>
              <w:rPr>
                <w:rFonts w:ascii="Times New Roman"/>
                <w:sz w:val="18"/>
              </w:rPr>
              <w:t>6,636,218</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5"/>
              <w:jc w:val="right"/>
              <w:rPr>
                <w:rFonts w:ascii="Times New Roman" w:hAnsi="Times New Roman" w:cs="Times New Roman" w:eastAsia="Times New Roman" w:hint="default"/>
                <w:sz w:val="18"/>
                <w:szCs w:val="18"/>
              </w:rPr>
            </w:pPr>
            <w:r>
              <w:rPr>
                <w:rFonts w:ascii="Times New Roman"/>
                <w:sz w:val="18"/>
              </w:rPr>
              <w:t>3,618,351</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0"/>
              <w:jc w:val="right"/>
              <w:rPr>
                <w:rFonts w:ascii="Times New Roman" w:hAnsi="Times New Roman" w:cs="Times New Roman" w:eastAsia="Times New Roman" w:hint="default"/>
                <w:sz w:val="18"/>
                <w:szCs w:val="18"/>
              </w:rPr>
            </w:pPr>
            <w:r>
              <w:rPr>
                <w:rFonts w:ascii="Times New Roman"/>
                <w:sz w:val="18"/>
              </w:rPr>
              <w:t>4,412,407</w:t>
            </w:r>
          </w:p>
        </w:tc>
      </w:tr>
      <w:tr>
        <w:trPr>
          <w:trHeight w:val="305"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pacing w:val="-3"/>
                <w:sz w:val="18"/>
                <w:szCs w:val="18"/>
              </w:rPr>
              <w:t>处置固定资产、无形资产和其他长期资产的损失（收益</w:t>
            </w:r>
          </w:p>
        </w:tc>
        <w:tc>
          <w:tcPr>
            <w:tcW w:w="1703"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r>
      <w:tr>
        <w:trPr>
          <w:trHeight w:val="50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08" w:right="0"/>
              <w:jc w:val="left"/>
              <w:rPr>
                <w:rFonts w:ascii="宋体" w:hAnsi="宋体" w:cs="宋体" w:eastAsia="宋体" w:hint="default"/>
                <w:sz w:val="18"/>
                <w:szCs w:val="18"/>
              </w:rPr>
            </w:pPr>
            <w:r>
              <w:rPr>
                <w:rFonts w:ascii="宋体" w:hAnsi="宋体" w:cs="宋体" w:eastAsia="宋体" w:hint="default"/>
                <w:sz w:val="18"/>
                <w:szCs w:val="18"/>
              </w:rPr>
              <w:t>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3" w:type="dxa"/>
            <w:tcBorders>
              <w:top w:val="nil" w:sz="6" w:space="0" w:color="auto"/>
              <w:left w:val="nil" w:sz="6" w:space="0" w:color="auto"/>
              <w:bottom w:val="nil" w:sz="6" w:space="0" w:color="auto"/>
              <w:right w:val="nil" w:sz="6" w:space="0" w:color="auto"/>
            </w:tcBorders>
          </w:tcPr>
          <w:p>
            <w:pPr>
              <w:pStyle w:val="TableParagraph"/>
              <w:spacing w:line="204" w:lineRule="exact"/>
              <w:ind w:right="245"/>
              <w:jc w:val="right"/>
              <w:rPr>
                <w:rFonts w:ascii="Times New Roman" w:hAnsi="Times New Roman" w:cs="Times New Roman" w:eastAsia="Times New Roman" w:hint="default"/>
                <w:sz w:val="18"/>
                <w:szCs w:val="18"/>
              </w:rPr>
            </w:pPr>
            <w:r>
              <w:rPr>
                <w:rFonts w:ascii="Times New Roman"/>
                <w:sz w:val="18"/>
              </w:rPr>
              <w:t>253,794</w:t>
            </w:r>
          </w:p>
        </w:tc>
        <w:tc>
          <w:tcPr>
            <w:tcW w:w="1420" w:type="dxa"/>
            <w:tcBorders>
              <w:top w:val="nil" w:sz="6" w:space="0" w:color="auto"/>
              <w:left w:val="nil" w:sz="6" w:space="0" w:color="auto"/>
              <w:bottom w:val="nil" w:sz="6" w:space="0" w:color="auto"/>
              <w:right w:val="nil" w:sz="6" w:space="0" w:color="auto"/>
            </w:tcBorders>
          </w:tcPr>
          <w:p>
            <w:pPr>
              <w:pStyle w:val="TableParagraph"/>
              <w:spacing w:line="204" w:lineRule="exact"/>
              <w:ind w:right="40"/>
              <w:jc w:val="right"/>
              <w:rPr>
                <w:rFonts w:ascii="Times New Roman" w:hAnsi="Times New Roman" w:cs="Times New Roman" w:eastAsia="Times New Roman" w:hint="default"/>
                <w:sz w:val="18"/>
                <w:szCs w:val="18"/>
              </w:rPr>
            </w:pPr>
            <w:r>
              <w:rPr>
                <w:rFonts w:ascii="Times New Roman"/>
                <w:w w:val="95"/>
                <w:sz w:val="18"/>
              </w:rPr>
              <w:t>-4,435,825</w:t>
            </w:r>
            <w:r>
              <w:rPr>
                <w:rFonts w:ascii="Times New Roman"/>
                <w:sz w:val="18"/>
              </w:rPr>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3"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r>
      <w:tr>
        <w:trPr>
          <w:trHeight w:val="415"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45"/>
              <w:jc w:val="right"/>
              <w:rPr>
                <w:rFonts w:ascii="Times New Roman" w:hAnsi="Times New Roman" w:cs="Times New Roman" w:eastAsia="Times New Roman" w:hint="default"/>
                <w:sz w:val="18"/>
                <w:szCs w:val="18"/>
              </w:rPr>
            </w:pPr>
            <w:r>
              <w:rPr>
                <w:rFonts w:ascii="Times New Roman"/>
                <w:w w:val="95"/>
                <w:sz w:val="18"/>
              </w:rPr>
              <w:t>-950,557</w:t>
            </w:r>
            <w:r>
              <w:rPr>
                <w:rFonts w:ascii="Times New Roman"/>
                <w:sz w:val="18"/>
              </w:rPr>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1"/>
              <w:jc w:val="right"/>
              <w:rPr>
                <w:rFonts w:ascii="Times New Roman" w:hAnsi="Times New Roman" w:cs="Times New Roman" w:eastAsia="Times New Roman" w:hint="default"/>
                <w:sz w:val="18"/>
                <w:szCs w:val="18"/>
              </w:rPr>
            </w:pPr>
            <w:r>
              <w:rPr>
                <w:rFonts w:ascii="Times New Roman"/>
                <w:sz w:val="18"/>
              </w:rPr>
              <w:t>694,314</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5"/>
              <w:jc w:val="right"/>
              <w:rPr>
                <w:rFonts w:ascii="Times New Roman" w:hAnsi="Times New Roman" w:cs="Times New Roman" w:eastAsia="Times New Roman" w:hint="default"/>
                <w:sz w:val="18"/>
                <w:szCs w:val="18"/>
              </w:rPr>
            </w:pPr>
            <w:r>
              <w:rPr>
                <w:rFonts w:ascii="Times New Roman"/>
                <w:sz w:val="18"/>
              </w:rPr>
              <w:t>21,735,445</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0"/>
              <w:jc w:val="right"/>
              <w:rPr>
                <w:rFonts w:ascii="Times New Roman" w:hAnsi="Times New Roman" w:cs="Times New Roman" w:eastAsia="Times New Roman" w:hint="default"/>
                <w:sz w:val="18"/>
                <w:szCs w:val="18"/>
              </w:rPr>
            </w:pPr>
            <w:r>
              <w:rPr>
                <w:rFonts w:ascii="Times New Roman"/>
                <w:sz w:val="18"/>
              </w:rPr>
              <w:t>843,030</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5"/>
              <w:jc w:val="right"/>
              <w:rPr>
                <w:rFonts w:ascii="Times New Roman" w:hAnsi="Times New Roman" w:cs="Times New Roman" w:eastAsia="Times New Roman" w:hint="default"/>
                <w:sz w:val="18"/>
                <w:szCs w:val="18"/>
              </w:rPr>
            </w:pPr>
            <w:r>
              <w:rPr>
                <w:rFonts w:ascii="Times New Roman"/>
                <w:w w:val="95"/>
                <w:sz w:val="18"/>
              </w:rPr>
              <w:t>-14,018,085</w:t>
            </w:r>
            <w:r>
              <w:rPr>
                <w:rFonts w:ascii="Times New Roman"/>
                <w:sz w:val="18"/>
              </w:rPr>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0"/>
              <w:jc w:val="right"/>
              <w:rPr>
                <w:rFonts w:ascii="Times New Roman" w:hAnsi="Times New Roman" w:cs="Times New Roman" w:eastAsia="Times New Roman" w:hint="default"/>
                <w:sz w:val="18"/>
                <w:szCs w:val="18"/>
              </w:rPr>
            </w:pPr>
            <w:r>
              <w:rPr>
                <w:rFonts w:ascii="Times New Roman"/>
                <w:sz w:val="18"/>
              </w:rPr>
              <w:t>9,218,107</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5"/>
              <w:jc w:val="right"/>
              <w:rPr>
                <w:rFonts w:ascii="Times New Roman" w:hAnsi="Times New Roman" w:cs="Times New Roman" w:eastAsia="Times New Roman" w:hint="default"/>
                <w:sz w:val="18"/>
                <w:szCs w:val="18"/>
              </w:rPr>
            </w:pPr>
            <w:r>
              <w:rPr>
                <w:rFonts w:ascii="Times New Roman"/>
                <w:w w:val="95"/>
                <w:sz w:val="18"/>
              </w:rPr>
              <w:t>-7,872,536</w:t>
            </w:r>
            <w:r>
              <w:rPr>
                <w:rFonts w:ascii="Times New Roman"/>
                <w:sz w:val="18"/>
              </w:rPr>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0"/>
              <w:jc w:val="right"/>
              <w:rPr>
                <w:rFonts w:ascii="Times New Roman" w:hAnsi="Times New Roman" w:cs="Times New Roman" w:eastAsia="Times New Roman" w:hint="default"/>
                <w:sz w:val="18"/>
                <w:szCs w:val="18"/>
              </w:rPr>
            </w:pPr>
            <w:r>
              <w:rPr>
                <w:rFonts w:ascii="Times New Roman"/>
                <w:sz w:val="18"/>
              </w:rPr>
              <w:t>3,690,815</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5"/>
              <w:jc w:val="right"/>
              <w:rPr>
                <w:rFonts w:ascii="Times New Roman" w:hAnsi="Times New Roman" w:cs="Times New Roman" w:eastAsia="Times New Roman" w:hint="default"/>
                <w:sz w:val="18"/>
                <w:szCs w:val="18"/>
              </w:rPr>
            </w:pPr>
            <w:r>
              <w:rPr>
                <w:rFonts w:ascii="Times New Roman"/>
                <w:w w:val="95"/>
                <w:sz w:val="18"/>
              </w:rPr>
              <w:t>-10,618</w:t>
            </w:r>
            <w:r>
              <w:rPr>
                <w:rFonts w:ascii="Times New Roman"/>
                <w:sz w:val="18"/>
              </w:rPr>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0"/>
              <w:jc w:val="right"/>
              <w:rPr>
                <w:rFonts w:ascii="Times New Roman" w:hAnsi="Times New Roman" w:cs="Times New Roman" w:eastAsia="Times New Roman" w:hint="default"/>
                <w:sz w:val="18"/>
                <w:szCs w:val="18"/>
              </w:rPr>
            </w:pPr>
            <w:r>
              <w:rPr>
                <w:rFonts w:ascii="Times New Roman"/>
                <w:sz w:val="18"/>
              </w:rPr>
              <w:t>53,299</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5"/>
              <w:jc w:val="right"/>
              <w:rPr>
                <w:rFonts w:ascii="Times New Roman" w:hAnsi="Times New Roman" w:cs="Times New Roman" w:eastAsia="Times New Roman" w:hint="default"/>
                <w:sz w:val="18"/>
                <w:szCs w:val="18"/>
              </w:rPr>
            </w:pPr>
            <w:r>
              <w:rPr>
                <w:rFonts w:ascii="Times New Roman"/>
                <w:w w:val="95"/>
                <w:sz w:val="18"/>
              </w:rPr>
              <w:t>-59,795,034</w:t>
            </w:r>
            <w:r>
              <w:rPr>
                <w:rFonts w:ascii="Times New Roman"/>
                <w:sz w:val="18"/>
              </w:rPr>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0"/>
              <w:jc w:val="right"/>
              <w:rPr>
                <w:rFonts w:ascii="Times New Roman" w:hAnsi="Times New Roman" w:cs="Times New Roman" w:eastAsia="Times New Roman" w:hint="default"/>
                <w:sz w:val="18"/>
                <w:szCs w:val="18"/>
              </w:rPr>
            </w:pPr>
            <w:r>
              <w:rPr>
                <w:rFonts w:ascii="Times New Roman"/>
                <w:w w:val="95"/>
                <w:sz w:val="18"/>
              </w:rPr>
              <w:t>-95,164,312</w:t>
            </w:r>
            <w:r>
              <w:rPr>
                <w:rFonts w:ascii="Times New Roman"/>
                <w:sz w:val="18"/>
              </w:rPr>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5"/>
              <w:jc w:val="right"/>
              <w:rPr>
                <w:rFonts w:ascii="Times New Roman" w:hAnsi="Times New Roman" w:cs="Times New Roman" w:eastAsia="Times New Roman" w:hint="default"/>
                <w:sz w:val="18"/>
                <w:szCs w:val="18"/>
              </w:rPr>
            </w:pPr>
            <w:r>
              <w:rPr>
                <w:rFonts w:ascii="Times New Roman"/>
                <w:sz w:val="18"/>
              </w:rPr>
              <w:t>67,317,394</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1"/>
              <w:jc w:val="right"/>
              <w:rPr>
                <w:rFonts w:ascii="Times New Roman" w:hAnsi="Times New Roman" w:cs="Times New Roman" w:eastAsia="Times New Roman" w:hint="default"/>
                <w:sz w:val="18"/>
                <w:szCs w:val="18"/>
              </w:rPr>
            </w:pPr>
            <w:r>
              <w:rPr>
                <w:rFonts w:ascii="Times New Roman"/>
                <w:sz w:val="18"/>
              </w:rPr>
              <w:t>56,132,554</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10"/>
              <w:jc w:val="right"/>
              <w:rPr>
                <w:rFonts w:ascii="Times New Roman" w:hAnsi="Times New Roman" w:cs="Times New Roman" w:eastAsia="Times New Roman" w:hint="default"/>
                <w:sz w:val="18"/>
                <w:szCs w:val="18"/>
              </w:rPr>
            </w:pPr>
            <w:r>
              <w:rPr>
                <w:rFonts w:ascii="Times New Roman"/>
                <w:w w:val="95"/>
                <w:sz w:val="18"/>
              </w:rPr>
              <w:t>-12,943,913</w:t>
            </w:r>
            <w:r>
              <w:rPr>
                <w:rFonts w:ascii="Times New Roman"/>
                <w:sz w:val="18"/>
              </w:rPr>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0"/>
              <w:jc w:val="right"/>
              <w:rPr>
                <w:rFonts w:ascii="Times New Roman" w:hAnsi="Times New Roman" w:cs="Times New Roman" w:eastAsia="Times New Roman" w:hint="default"/>
                <w:sz w:val="18"/>
                <w:szCs w:val="18"/>
              </w:rPr>
            </w:pPr>
            <w:r>
              <w:rPr>
                <w:rFonts w:ascii="Times New Roman"/>
                <w:w w:val="95"/>
                <w:sz w:val="18"/>
              </w:rPr>
              <w:t>-33,079,263</w:t>
            </w:r>
            <w:r>
              <w:rPr>
                <w:rFonts w:ascii="Times New Roman"/>
                <w:sz w:val="18"/>
              </w:rPr>
            </w:r>
          </w:p>
        </w:tc>
      </w:tr>
      <w:tr>
        <w:trPr>
          <w:trHeight w:val="40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tabs>
                <w:tab w:pos="647" w:val="left" w:leader="none"/>
              </w:tabs>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703"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r>
      <w:tr>
        <w:trPr>
          <w:trHeight w:val="42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8"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45"/>
              <w:jc w:val="right"/>
              <w:rPr>
                <w:rFonts w:ascii="Times New Roman" w:hAnsi="Times New Roman" w:cs="Times New Roman" w:eastAsia="Times New Roman" w:hint="default"/>
                <w:sz w:val="18"/>
                <w:szCs w:val="18"/>
              </w:rPr>
            </w:pPr>
            <w:r>
              <w:rPr>
                <w:rFonts w:ascii="Times New Roman"/>
                <w:sz w:val="18"/>
              </w:rPr>
              <w:t>416,475,606</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40"/>
              <w:jc w:val="right"/>
              <w:rPr>
                <w:rFonts w:ascii="Times New Roman" w:hAnsi="Times New Roman" w:cs="Times New Roman" w:eastAsia="Times New Roman" w:hint="default"/>
                <w:sz w:val="18"/>
                <w:szCs w:val="18"/>
              </w:rPr>
            </w:pPr>
            <w:r>
              <w:rPr>
                <w:rFonts w:ascii="Times New Roman"/>
                <w:sz w:val="18"/>
              </w:rPr>
              <w:t>318,304,128</w:t>
            </w:r>
          </w:p>
        </w:tc>
      </w:tr>
      <w:tr>
        <w:trPr>
          <w:trHeight w:val="405"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1703"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r>
      <w:tr>
        <w:trPr>
          <w:trHeight w:val="405"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703"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8"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703"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8"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703"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r>
      <w:tr>
        <w:trPr>
          <w:trHeight w:val="415"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1703"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r>
      <w:tr>
        <w:trPr>
          <w:trHeight w:val="415"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8"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45"/>
              <w:jc w:val="right"/>
              <w:rPr>
                <w:rFonts w:ascii="Times New Roman" w:hAnsi="Times New Roman" w:cs="Times New Roman" w:eastAsia="Times New Roman" w:hint="default"/>
                <w:sz w:val="18"/>
                <w:szCs w:val="18"/>
              </w:rPr>
            </w:pPr>
            <w:r>
              <w:rPr>
                <w:rFonts w:ascii="Times New Roman"/>
                <w:sz w:val="18"/>
              </w:rPr>
              <w:t>831,393,669</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0"/>
              <w:jc w:val="right"/>
              <w:rPr>
                <w:rFonts w:ascii="Times New Roman" w:hAnsi="Times New Roman" w:cs="Times New Roman" w:eastAsia="Times New Roman" w:hint="default"/>
                <w:sz w:val="18"/>
                <w:szCs w:val="18"/>
              </w:rPr>
            </w:pPr>
            <w:r>
              <w:rPr>
                <w:rFonts w:ascii="Times New Roman"/>
                <w:sz w:val="18"/>
              </w:rPr>
              <w:t>932,706,502</w:t>
            </w: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8" w:right="0"/>
              <w:jc w:val="left"/>
              <w:rPr>
                <w:rFonts w:ascii="宋体" w:hAnsi="宋体" w:cs="宋体" w:eastAsia="宋体" w:hint="default"/>
                <w:sz w:val="18"/>
                <w:szCs w:val="18"/>
              </w:rPr>
            </w:pPr>
            <w:r>
              <w:rPr>
                <w:rFonts w:ascii="宋体" w:hAnsi="宋体" w:cs="宋体" w:eastAsia="宋体" w:hint="default"/>
                <w:sz w:val="18"/>
                <w:szCs w:val="18"/>
              </w:rPr>
              <w:t>减：现金的年初余额</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45"/>
              <w:jc w:val="right"/>
              <w:rPr>
                <w:rFonts w:ascii="Times New Roman" w:hAnsi="Times New Roman" w:cs="Times New Roman" w:eastAsia="Times New Roman" w:hint="default"/>
                <w:sz w:val="18"/>
                <w:szCs w:val="18"/>
              </w:rPr>
            </w:pPr>
            <w:r>
              <w:rPr>
                <w:rFonts w:ascii="Times New Roman"/>
                <w:sz w:val="18"/>
              </w:rPr>
              <w:t>932,706,502</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0"/>
              <w:jc w:val="right"/>
              <w:rPr>
                <w:rFonts w:ascii="Times New Roman" w:hAnsi="Times New Roman" w:cs="Times New Roman" w:eastAsia="Times New Roman" w:hint="default"/>
                <w:sz w:val="18"/>
                <w:szCs w:val="18"/>
              </w:rPr>
            </w:pPr>
            <w:r>
              <w:rPr>
                <w:rFonts w:ascii="Times New Roman"/>
                <w:sz w:val="18"/>
              </w:rPr>
              <w:t>992,075,818</w:t>
            </w:r>
          </w:p>
        </w:tc>
      </w:tr>
      <w:tr>
        <w:trPr>
          <w:trHeight w:val="40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8"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703"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r>
      <w:tr>
        <w:trPr>
          <w:trHeight w:val="410"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8" w:right="0"/>
              <w:jc w:val="left"/>
              <w:rPr>
                <w:rFonts w:ascii="宋体" w:hAnsi="宋体" w:cs="宋体" w:eastAsia="宋体" w:hint="default"/>
                <w:sz w:val="18"/>
                <w:szCs w:val="18"/>
              </w:rPr>
            </w:pPr>
            <w:r>
              <w:rPr>
                <w:rFonts w:ascii="宋体" w:hAnsi="宋体" w:cs="宋体" w:eastAsia="宋体" w:hint="default"/>
                <w:sz w:val="18"/>
                <w:szCs w:val="18"/>
              </w:rPr>
              <w:t>减：现金等价物的年初余额</w:t>
            </w:r>
          </w:p>
        </w:tc>
        <w:tc>
          <w:tcPr>
            <w:tcW w:w="1703"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
        </w:tc>
      </w:tr>
      <w:tr>
        <w:trPr>
          <w:trHeight w:val="338" w:hRule="exact"/>
        </w:trPr>
        <w:tc>
          <w:tcPr>
            <w:tcW w:w="659" w:type="dxa"/>
            <w:tcBorders>
              <w:top w:val="nil" w:sz="6" w:space="0" w:color="auto"/>
              <w:left w:val="nil" w:sz="6" w:space="0" w:color="auto"/>
              <w:bottom w:val="nil" w:sz="6" w:space="0" w:color="auto"/>
              <w:right w:val="nil" w:sz="6" w:space="0" w:color="auto"/>
            </w:tcBorders>
          </w:tcPr>
          <w:p>
            <w:pPr/>
          </w:p>
        </w:tc>
        <w:tc>
          <w:tcPr>
            <w:tcW w:w="4654" w:type="dxa"/>
            <w:tcBorders>
              <w:top w:val="nil" w:sz="6" w:space="0" w:color="auto"/>
              <w:left w:val="nil" w:sz="6" w:space="0" w:color="auto"/>
              <w:bottom w:val="single" w:sz="12" w:space="0" w:color="000000"/>
              <w:right w:val="nil" w:sz="6" w:space="0" w:color="auto"/>
            </w:tcBorders>
          </w:tcPr>
          <w:p>
            <w:pPr>
              <w:pStyle w:val="TableParagraph"/>
              <w:spacing w:line="240" w:lineRule="auto" w:before="59"/>
              <w:ind w:left="108"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703"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245"/>
              <w:jc w:val="right"/>
              <w:rPr>
                <w:rFonts w:ascii="Times New Roman" w:hAnsi="Times New Roman" w:cs="Times New Roman" w:eastAsia="Times New Roman" w:hint="default"/>
                <w:sz w:val="18"/>
                <w:szCs w:val="18"/>
              </w:rPr>
            </w:pPr>
            <w:r>
              <w:rPr>
                <w:rFonts w:ascii="Times New Roman"/>
                <w:w w:val="95"/>
                <w:sz w:val="18"/>
              </w:rPr>
              <w:t>-101,312,833</w:t>
            </w:r>
            <w:r>
              <w:rPr>
                <w:rFonts w:ascii="Times New Roman"/>
                <w:sz w:val="18"/>
              </w:rPr>
            </w:r>
          </w:p>
        </w:tc>
        <w:tc>
          <w:tcPr>
            <w:tcW w:w="1420"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40"/>
              <w:jc w:val="right"/>
              <w:rPr>
                <w:rFonts w:ascii="Times New Roman" w:hAnsi="Times New Roman" w:cs="Times New Roman" w:eastAsia="Times New Roman" w:hint="default"/>
                <w:sz w:val="18"/>
                <w:szCs w:val="18"/>
              </w:rPr>
            </w:pPr>
            <w:r>
              <w:rPr>
                <w:rFonts w:ascii="Times New Roman"/>
                <w:w w:val="95"/>
                <w:sz w:val="18"/>
              </w:rPr>
              <w:t>-59,369,316</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883" w:footer="1003" w:top="1600" w:bottom="1200" w:left="1680" w:right="840"/>
        </w:sectPr>
      </w:pPr>
    </w:p>
    <w:p>
      <w:pPr>
        <w:spacing w:before="93"/>
        <w:ind w:left="825" w:right="512" w:firstLine="0"/>
        <w:jc w:val="left"/>
        <w:rPr>
          <w:rFonts w:ascii="宋体" w:hAnsi="宋体" w:cs="宋体" w:eastAsia="宋体" w:hint="default"/>
          <w:sz w:val="21"/>
          <w:szCs w:val="21"/>
        </w:rPr>
      </w:pPr>
      <w:r>
        <w:rPr>
          <w:rFonts w:ascii="宋体" w:hAnsi="宋体" w:cs="宋体" w:eastAsia="宋体" w:hint="default"/>
          <w:b/>
          <w:bCs/>
          <w:sz w:val="21"/>
          <w:szCs w:val="21"/>
        </w:rPr>
        <w:t>十四、</w:t>
      </w:r>
      <w:r>
        <w:rPr>
          <w:rFonts w:ascii="宋体" w:hAnsi="宋体" w:cs="宋体" w:eastAsia="宋体" w:hint="default"/>
          <w:b/>
          <w:bCs/>
          <w:spacing w:val="-10"/>
          <w:sz w:val="21"/>
          <w:szCs w:val="21"/>
        </w:rPr>
        <w:t> </w:t>
      </w:r>
      <w:r>
        <w:rPr>
          <w:rFonts w:ascii="宋体" w:hAnsi="宋体" w:cs="宋体" w:eastAsia="宋体" w:hint="default"/>
          <w:b/>
          <w:bCs/>
          <w:sz w:val="21"/>
          <w:szCs w:val="21"/>
        </w:rPr>
        <w:t>补充资料</w:t>
      </w:r>
      <w:r>
        <w:rPr>
          <w:rFonts w:ascii="宋体" w:hAnsi="宋体" w:cs="宋体" w:eastAsia="宋体" w:hint="default"/>
          <w:sz w:val="21"/>
          <w:szCs w:val="21"/>
        </w:rPr>
      </w:r>
    </w:p>
    <w:p>
      <w:pPr>
        <w:tabs>
          <w:tab w:pos="1553" w:val="left" w:leader="none"/>
        </w:tabs>
        <w:spacing w:before="126"/>
        <w:ind w:left="825" w:right="512" w:firstLine="0"/>
        <w:jc w:val="left"/>
        <w:rPr>
          <w:rFonts w:ascii="宋体" w:hAnsi="宋体" w:cs="宋体" w:eastAsia="宋体" w:hint="default"/>
          <w:sz w:val="21"/>
          <w:szCs w:val="21"/>
        </w:rPr>
      </w:pPr>
      <w:r>
        <w:rPr>
          <w:rFonts w:ascii="宋体" w:hAnsi="宋体" w:cs="宋体" w:eastAsia="宋体" w:hint="default"/>
          <w:b/>
          <w:bCs/>
          <w:w w:val="95"/>
          <w:sz w:val="21"/>
          <w:szCs w:val="21"/>
        </w:rPr>
        <w:t>(一)</w:t>
        <w:tab/>
      </w:r>
      <w:r>
        <w:rPr>
          <w:rFonts w:ascii="宋体" w:hAnsi="宋体" w:cs="宋体" w:eastAsia="宋体" w:hint="default"/>
          <w:b/>
          <w:bCs/>
          <w:sz w:val="21"/>
          <w:szCs w:val="21"/>
        </w:rPr>
        <w:t>当期非经常性损益明细表</w:t>
      </w:r>
      <w:r>
        <w:rPr>
          <w:rFonts w:ascii="宋体" w:hAnsi="宋体" w:cs="宋体" w:eastAsia="宋体" w:hint="default"/>
          <w:sz w:val="21"/>
          <w:szCs w:val="21"/>
        </w:rPr>
      </w:r>
    </w:p>
    <w:p>
      <w:pPr>
        <w:spacing w:line="240" w:lineRule="auto" w:before="2"/>
        <w:rPr>
          <w:rFonts w:ascii="宋体" w:hAnsi="宋体" w:cs="宋体" w:eastAsia="宋体" w:hint="default"/>
          <w:b/>
          <w:bCs/>
          <w:sz w:val="15"/>
          <w:szCs w:val="15"/>
        </w:rPr>
      </w:pPr>
    </w:p>
    <w:p>
      <w:pPr>
        <w:tabs>
          <w:tab w:pos="4018" w:val="left" w:leader="none"/>
          <w:tab w:pos="6657" w:val="left" w:leader="none"/>
          <w:tab w:pos="8153" w:val="left" w:leader="none"/>
        </w:tabs>
        <w:spacing w:before="0"/>
        <w:ind w:left="3478" w:right="512" w:firstLine="0"/>
        <w:jc w:val="left"/>
        <w:rPr>
          <w:rFonts w:ascii="宋体" w:hAnsi="宋体" w:cs="宋体" w:eastAsia="宋体" w:hint="default"/>
          <w:sz w:val="18"/>
          <w:szCs w:val="18"/>
        </w:rPr>
      </w:pPr>
      <w:r>
        <w:rPr>
          <w:rFonts w:ascii="宋体" w:hAnsi="宋体" w:cs="宋体" w:eastAsia="宋体" w:hint="default"/>
          <w:sz w:val="18"/>
          <w:szCs w:val="18"/>
        </w:rPr>
        <w:t>项</w:t>
        <w:tab/>
        <w:t>目</w:t>
        <w:tab/>
        <w:t>本期金额</w:t>
        <w:tab/>
        <w:t>说明</w:t>
      </w:r>
    </w:p>
    <w:p>
      <w:pPr>
        <w:spacing w:line="240" w:lineRule="auto" w:before="13"/>
        <w:rPr>
          <w:rFonts w:ascii="宋体" w:hAnsi="宋体" w:cs="宋体" w:eastAsia="宋体" w:hint="default"/>
          <w:sz w:val="9"/>
          <w:szCs w:val="9"/>
        </w:rPr>
      </w:pPr>
    </w:p>
    <w:p>
      <w:pPr>
        <w:tabs>
          <w:tab w:pos="6889" w:val="left" w:leader="none"/>
          <w:tab w:pos="8176" w:val="left" w:leader="none"/>
        </w:tabs>
        <w:spacing w:before="44"/>
        <w:ind w:left="1557" w:right="512"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非流动资产处置损益</w:t>
        <w:tab/>
      </w:r>
      <w:r>
        <w:rPr>
          <w:rFonts w:ascii="Times New Roman" w:hAnsi="Times New Roman" w:cs="Times New Roman" w:eastAsia="Times New Roman" w:hint="default"/>
          <w:sz w:val="18"/>
          <w:szCs w:val="18"/>
        </w:rPr>
        <w:t>18,180,599</w:t>
        <w:tab/>
      </w:r>
      <w:r>
        <w:rPr>
          <w:rFonts w:ascii="宋体" w:hAnsi="宋体" w:cs="宋体" w:eastAsia="宋体" w:hint="default"/>
          <w:position w:val="1"/>
          <w:sz w:val="18"/>
          <w:szCs w:val="18"/>
        </w:rPr>
        <w:t>注</w:t>
      </w:r>
      <w:r>
        <w:rPr>
          <w:rFonts w:ascii="宋体" w:hAnsi="宋体" w:cs="宋体" w:eastAsia="宋体" w:hint="default"/>
          <w:spacing w:val="-46"/>
          <w:position w:val="1"/>
          <w:sz w:val="18"/>
          <w:szCs w:val="18"/>
        </w:rPr>
        <w:t> </w:t>
      </w: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z w:val="18"/>
          <w:szCs w:val="18"/>
        </w:rPr>
      </w:r>
    </w:p>
    <w:p>
      <w:pPr>
        <w:spacing w:before="150"/>
        <w:ind w:left="1557" w:right="512" w:firstLine="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p>
      <w:pPr>
        <w:spacing w:line="240" w:lineRule="auto" w:before="13"/>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40"/>
          <w:pgMar w:header="883" w:footer="1003" w:top="1600" w:bottom="1200" w:left="1680" w:right="840"/>
        </w:sectPr>
      </w:pPr>
    </w:p>
    <w:p>
      <w:pPr>
        <w:spacing w:line="408" w:lineRule="auto" w:before="44"/>
        <w:ind w:left="1557" w:right="-8" w:firstLine="0"/>
        <w:jc w:val="left"/>
        <w:rPr>
          <w:rFonts w:ascii="宋体" w:hAnsi="宋体" w:cs="宋体" w:eastAsia="宋体" w:hint="default"/>
          <w:sz w:val="18"/>
          <w:szCs w:val="18"/>
        </w:rPr>
      </w:pPr>
      <w:r>
        <w:rPr>
          <w:rFonts w:ascii="宋体" w:hAnsi="宋体" w:cs="宋体" w:eastAsia="宋体" w:hint="default"/>
          <w:spacing w:val="2"/>
          <w:sz w:val="18"/>
          <w:szCs w:val="18"/>
        </w:rPr>
        <w:t>计入当期损益的政府补助（与企业业务密切相关，按照国</w:t>
      </w:r>
      <w:r>
        <w:rPr>
          <w:rFonts w:ascii="宋体" w:hAnsi="宋体" w:cs="宋体" w:eastAsia="宋体" w:hint="default"/>
          <w:sz w:val="18"/>
          <w:szCs w:val="18"/>
        </w:rPr>
        <w:t> 家统一标准定额或定量享受的政府补助除外）</w:t>
      </w:r>
    </w:p>
    <w:p>
      <w:pPr>
        <w:spacing w:line="240" w:lineRule="auto" w:before="9"/>
        <w:rPr>
          <w:rFonts w:ascii="宋体" w:hAnsi="宋体" w:cs="宋体" w:eastAsia="宋体" w:hint="default"/>
          <w:sz w:val="18"/>
          <w:szCs w:val="18"/>
        </w:rPr>
      </w:pPr>
      <w:r>
        <w:rPr/>
        <w:br w:type="column"/>
      </w:r>
      <w:r>
        <w:rPr>
          <w:rFonts w:ascii="宋体"/>
          <w:sz w:val="18"/>
        </w:rPr>
      </w:r>
    </w:p>
    <w:p>
      <w:pPr>
        <w:tabs>
          <w:tab w:pos="2016" w:val="left" w:leader="none"/>
        </w:tabs>
        <w:spacing w:before="0"/>
        <w:ind w:left="638"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105,173,354</w:t>
        <w:tab/>
      </w:r>
      <w:r>
        <w:rPr>
          <w:rFonts w:ascii="宋体" w:hAnsi="宋体" w:cs="宋体" w:eastAsia="宋体" w:hint="default"/>
          <w:position w:val="1"/>
          <w:sz w:val="18"/>
          <w:szCs w:val="18"/>
        </w:rPr>
        <w:t>注</w:t>
      </w:r>
      <w:r>
        <w:rPr>
          <w:rFonts w:ascii="宋体" w:hAnsi="宋体" w:cs="宋体" w:eastAsia="宋体" w:hint="default"/>
          <w:spacing w:val="-46"/>
          <w:position w:val="1"/>
          <w:sz w:val="18"/>
          <w:szCs w:val="18"/>
        </w:rPr>
        <w:t> </w:t>
      </w:r>
      <w:r>
        <w:rPr>
          <w:rFonts w:ascii="Times New Roman" w:hAnsi="Times New Roman" w:cs="Times New Roman" w:eastAsia="Times New Roman" w:hint="default"/>
          <w:position w:val="1"/>
          <w:sz w:val="18"/>
          <w:szCs w:val="18"/>
        </w:rPr>
        <w:t>2</w:t>
      </w:r>
      <w:r>
        <w:rPr>
          <w:rFonts w:ascii="Times New Roman" w:hAnsi="Times New Roman" w:cs="Times New Roman" w:eastAsia="Times New Roman" w:hint="default"/>
          <w:sz w:val="18"/>
          <w:szCs w:val="18"/>
        </w:rPr>
      </w:r>
    </w:p>
    <w:p>
      <w:pPr>
        <w:spacing w:after="0"/>
        <w:jc w:val="left"/>
        <w:rPr>
          <w:rFonts w:ascii="Times New Roman" w:hAnsi="Times New Roman" w:cs="Times New Roman" w:eastAsia="Times New Roman" w:hint="default"/>
          <w:sz w:val="18"/>
          <w:szCs w:val="18"/>
        </w:rPr>
        <w:sectPr>
          <w:type w:val="continuous"/>
          <w:pgSz w:w="11910" w:h="16840"/>
          <w:pgMar w:top="1600" w:bottom="280" w:left="1680" w:right="840"/>
          <w:cols w:num="2" w:equalWidth="0">
            <w:col w:w="6120" w:space="40"/>
            <w:col w:w="3230"/>
          </w:cols>
        </w:sectPr>
      </w:pPr>
    </w:p>
    <w:p>
      <w:pPr>
        <w:tabs>
          <w:tab w:pos="6977" w:val="left" w:leader="none"/>
          <w:tab w:pos="8176" w:val="left" w:leader="none"/>
        </w:tabs>
        <w:spacing w:line="393" w:lineRule="auto" w:before="48"/>
        <w:ind w:left="1557" w:right="891" w:firstLine="0"/>
        <w:jc w:val="left"/>
        <w:rPr>
          <w:rFonts w:ascii="宋体" w:hAnsi="宋体" w:cs="宋体" w:eastAsia="宋体" w:hint="default"/>
          <w:sz w:val="18"/>
          <w:szCs w:val="18"/>
        </w:rPr>
      </w:pPr>
      <w:r>
        <w:rPr>
          <w:rFonts w:ascii="宋体" w:hAnsi="宋体" w:cs="宋体" w:eastAsia="宋体" w:hint="default"/>
          <w:position w:val="1"/>
          <w:sz w:val="18"/>
          <w:szCs w:val="18"/>
        </w:rPr>
        <w:t>计入当期损益的对非金融企业收取的资金占用费</w:t>
        <w:tab/>
      </w:r>
      <w:r>
        <w:rPr>
          <w:rFonts w:ascii="Times New Roman" w:hAnsi="Times New Roman" w:cs="Times New Roman" w:eastAsia="Times New Roman" w:hint="default"/>
          <w:sz w:val="18"/>
          <w:szCs w:val="18"/>
        </w:rPr>
        <w:t>9,946,738</w:t>
        <w:tab/>
      </w:r>
      <w:r>
        <w:rPr>
          <w:rFonts w:ascii="宋体" w:hAnsi="宋体" w:cs="宋体" w:eastAsia="宋体" w:hint="default"/>
          <w:position w:val="1"/>
          <w:sz w:val="18"/>
          <w:szCs w:val="18"/>
        </w:rPr>
        <w:t>注</w:t>
      </w:r>
      <w:r>
        <w:rPr>
          <w:rFonts w:ascii="宋体" w:hAnsi="宋体" w:cs="宋体" w:eastAsia="宋体" w:hint="default"/>
          <w:spacing w:val="-46"/>
          <w:position w:val="1"/>
          <w:sz w:val="18"/>
          <w:szCs w:val="18"/>
        </w:rPr>
        <w:t> </w:t>
      </w:r>
      <w:r>
        <w:rPr>
          <w:rFonts w:ascii="Times New Roman" w:hAnsi="Times New Roman" w:cs="Times New Roman" w:eastAsia="Times New Roman" w:hint="default"/>
          <w:position w:val="1"/>
          <w:sz w:val="18"/>
          <w:szCs w:val="18"/>
        </w:rPr>
        <w:t>3 </w:t>
      </w:r>
      <w:r>
        <w:rPr>
          <w:rFonts w:ascii="宋体" w:hAnsi="宋体" w:cs="宋体" w:eastAsia="宋体" w:hint="default"/>
          <w:spacing w:val="2"/>
          <w:sz w:val="18"/>
          <w:szCs w:val="18"/>
        </w:rPr>
        <w:t>企业取得子公司、联营企业及合营企业的投资成本小于取</w:t>
      </w:r>
      <w:r>
        <w:rPr>
          <w:rFonts w:ascii="宋体" w:hAnsi="宋体" w:cs="宋体" w:eastAsia="宋体" w:hint="default"/>
          <w:sz w:val="18"/>
          <w:szCs w:val="18"/>
        </w:rPr>
        <w:t> </w:t>
      </w:r>
      <w:r>
        <w:rPr>
          <w:rFonts w:ascii="宋体" w:hAnsi="宋体" w:cs="宋体" w:eastAsia="宋体" w:hint="default"/>
          <w:spacing w:val="2"/>
          <w:sz w:val="18"/>
          <w:szCs w:val="18"/>
        </w:rPr>
        <w:t>得投资时应享有被投资单位可辨认净资产公允价值产生的</w:t>
      </w:r>
    </w:p>
    <w:p>
      <w:pPr>
        <w:spacing w:before="49"/>
        <w:ind w:left="1557" w:right="512" w:firstLine="0"/>
        <w:jc w:val="left"/>
        <w:rPr>
          <w:rFonts w:ascii="宋体" w:hAnsi="宋体" w:cs="宋体" w:eastAsia="宋体" w:hint="default"/>
          <w:sz w:val="18"/>
          <w:szCs w:val="18"/>
        </w:rPr>
      </w:pPr>
      <w:r>
        <w:rPr>
          <w:rFonts w:ascii="宋体" w:hAnsi="宋体" w:cs="宋体" w:eastAsia="宋体" w:hint="default"/>
          <w:sz w:val="18"/>
          <w:szCs w:val="18"/>
        </w:rPr>
        <w:t>收益</w:t>
      </w:r>
    </w:p>
    <w:p>
      <w:pPr>
        <w:spacing w:line="240" w:lineRule="auto" w:before="4"/>
        <w:rPr>
          <w:rFonts w:ascii="宋体" w:hAnsi="宋体" w:cs="宋体" w:eastAsia="宋体" w:hint="default"/>
          <w:sz w:val="13"/>
          <w:szCs w:val="13"/>
        </w:rPr>
      </w:pPr>
    </w:p>
    <w:p>
      <w:pPr>
        <w:tabs>
          <w:tab w:pos="6889" w:val="left" w:leader="none"/>
          <w:tab w:pos="8176" w:val="left" w:leader="none"/>
        </w:tabs>
        <w:spacing w:before="0"/>
        <w:ind w:left="1557" w:right="512"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非货币性资产交换损益</w:t>
        <w:tab/>
      </w:r>
      <w:r>
        <w:rPr>
          <w:rFonts w:ascii="Times New Roman" w:hAnsi="Times New Roman" w:cs="Times New Roman" w:eastAsia="Times New Roman" w:hint="default"/>
          <w:sz w:val="18"/>
          <w:szCs w:val="18"/>
        </w:rPr>
        <w:t>24,934,400</w:t>
        <w:tab/>
      </w:r>
      <w:r>
        <w:rPr>
          <w:rFonts w:ascii="宋体" w:hAnsi="宋体" w:cs="宋体" w:eastAsia="宋体" w:hint="default"/>
          <w:position w:val="1"/>
          <w:sz w:val="18"/>
          <w:szCs w:val="18"/>
        </w:rPr>
        <w:t>注</w:t>
      </w:r>
      <w:r>
        <w:rPr>
          <w:rFonts w:ascii="宋体" w:hAnsi="宋体" w:cs="宋体" w:eastAsia="宋体" w:hint="default"/>
          <w:spacing w:val="-46"/>
          <w:position w:val="1"/>
          <w:sz w:val="18"/>
          <w:szCs w:val="18"/>
        </w:rPr>
        <w:t> </w:t>
      </w:r>
      <w:r>
        <w:rPr>
          <w:rFonts w:ascii="Times New Roman" w:hAnsi="Times New Roman" w:cs="Times New Roman" w:eastAsia="Times New Roman" w:hint="default"/>
          <w:position w:val="1"/>
          <w:sz w:val="18"/>
          <w:szCs w:val="18"/>
        </w:rPr>
        <w:t>4</w:t>
      </w:r>
      <w:r>
        <w:rPr>
          <w:rFonts w:ascii="Times New Roman" w:hAnsi="Times New Roman" w:cs="Times New Roman" w:eastAsia="Times New Roman" w:hint="default"/>
          <w:sz w:val="18"/>
          <w:szCs w:val="18"/>
        </w:rPr>
      </w:r>
    </w:p>
    <w:p>
      <w:pPr>
        <w:spacing w:line="412" w:lineRule="auto" w:before="151"/>
        <w:ind w:left="1557" w:right="3257" w:firstLine="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 </w:t>
      </w:r>
      <w:r>
        <w:rPr>
          <w:rFonts w:ascii="宋体" w:hAnsi="宋体" w:cs="宋体" w:eastAsia="宋体" w:hint="default"/>
          <w:spacing w:val="2"/>
          <w:sz w:val="18"/>
          <w:szCs w:val="18"/>
        </w:rPr>
        <w:t>因不可抗力因素，如遭受自然灾害而计提的各项资产减值</w:t>
      </w:r>
      <w:r>
        <w:rPr>
          <w:rFonts w:ascii="宋体" w:hAnsi="宋体" w:cs="宋体" w:eastAsia="宋体" w:hint="default"/>
          <w:sz w:val="18"/>
          <w:szCs w:val="18"/>
        </w:rPr>
        <w:t> 准备</w:t>
      </w:r>
    </w:p>
    <w:p>
      <w:pPr>
        <w:spacing w:line="415" w:lineRule="auto" w:before="44"/>
        <w:ind w:left="1557" w:right="3257" w:firstLine="0"/>
        <w:jc w:val="left"/>
        <w:rPr>
          <w:rFonts w:ascii="宋体" w:hAnsi="宋体" w:cs="宋体" w:eastAsia="宋体" w:hint="default"/>
          <w:sz w:val="18"/>
          <w:szCs w:val="18"/>
        </w:rPr>
      </w:pPr>
      <w:r>
        <w:rPr>
          <w:rFonts w:ascii="宋体" w:hAnsi="宋体" w:cs="宋体" w:eastAsia="宋体" w:hint="default"/>
          <w:sz w:val="18"/>
          <w:szCs w:val="18"/>
        </w:rPr>
        <w:t>债务重组损益 企业重组费用，如安置职工的支出、整合费用等 交易价格显失公允的交易产生的超过公允价值部分的损益 </w:t>
      </w:r>
      <w:r>
        <w:rPr>
          <w:rFonts w:ascii="宋体" w:hAnsi="宋体" w:cs="宋体" w:eastAsia="宋体" w:hint="default"/>
          <w:spacing w:val="2"/>
          <w:sz w:val="18"/>
          <w:szCs w:val="18"/>
        </w:rPr>
        <w:t>同一控制下企业合并产生的子公司期初至合并日的当期净</w:t>
      </w:r>
      <w:r>
        <w:rPr>
          <w:rFonts w:ascii="宋体" w:hAnsi="宋体" w:cs="宋体" w:eastAsia="宋体" w:hint="default"/>
          <w:sz w:val="18"/>
          <w:szCs w:val="18"/>
        </w:rPr>
        <w:t> 损益</w:t>
      </w:r>
    </w:p>
    <w:p>
      <w:pPr>
        <w:spacing w:line="417" w:lineRule="auto" w:before="42"/>
        <w:ind w:left="1557" w:right="3257" w:firstLine="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 </w:t>
      </w:r>
      <w:r>
        <w:rPr>
          <w:rFonts w:ascii="宋体" w:hAnsi="宋体" w:cs="宋体" w:eastAsia="宋体" w:hint="default"/>
          <w:spacing w:val="2"/>
          <w:sz w:val="18"/>
          <w:szCs w:val="18"/>
        </w:rPr>
        <w:t>除同公司正常经营业务相关的有效套期保值业务外，持有</w:t>
      </w:r>
    </w:p>
    <w:p>
      <w:pPr>
        <w:spacing w:after="0" w:line="417" w:lineRule="auto"/>
        <w:jc w:val="left"/>
        <w:rPr>
          <w:rFonts w:ascii="宋体" w:hAnsi="宋体" w:cs="宋体" w:eastAsia="宋体" w:hint="default"/>
          <w:sz w:val="18"/>
          <w:szCs w:val="18"/>
        </w:rPr>
        <w:sectPr>
          <w:type w:val="continuous"/>
          <w:pgSz w:w="11910" w:h="16840"/>
          <w:pgMar w:top="1600" w:bottom="280" w:left="1680" w:right="840"/>
        </w:sectPr>
      </w:pPr>
    </w:p>
    <w:p>
      <w:pPr>
        <w:spacing w:line="408" w:lineRule="auto" w:before="31"/>
        <w:ind w:left="1557" w:right="0" w:firstLine="0"/>
        <w:jc w:val="both"/>
        <w:rPr>
          <w:rFonts w:ascii="宋体" w:hAnsi="宋体" w:cs="宋体" w:eastAsia="宋体" w:hint="default"/>
          <w:sz w:val="18"/>
          <w:szCs w:val="18"/>
        </w:rPr>
      </w:pPr>
      <w:r>
        <w:rPr>
          <w:rFonts w:ascii="宋体" w:hAnsi="宋体" w:cs="宋体" w:eastAsia="宋体" w:hint="default"/>
          <w:spacing w:val="2"/>
          <w:sz w:val="18"/>
          <w:szCs w:val="18"/>
        </w:rPr>
        <w:t>交易性金融资产、交易性金融负债产生的公允价值变动损</w:t>
      </w:r>
      <w:r>
        <w:rPr>
          <w:rFonts w:ascii="宋体" w:hAnsi="宋体" w:cs="宋体" w:eastAsia="宋体" w:hint="default"/>
          <w:sz w:val="18"/>
          <w:szCs w:val="18"/>
        </w:rPr>
        <w:t> </w:t>
      </w:r>
      <w:r>
        <w:rPr>
          <w:rFonts w:ascii="宋体" w:hAnsi="宋体" w:cs="宋体" w:eastAsia="宋体" w:hint="default"/>
          <w:spacing w:val="2"/>
          <w:sz w:val="18"/>
          <w:szCs w:val="18"/>
        </w:rPr>
        <w:t>益，以及处置交易性金融资产、交易性金融负债和可供出</w:t>
      </w:r>
      <w:r>
        <w:rPr>
          <w:rFonts w:ascii="宋体" w:hAnsi="宋体" w:cs="宋体" w:eastAsia="宋体" w:hint="default"/>
          <w:sz w:val="18"/>
          <w:szCs w:val="18"/>
        </w:rPr>
        <w:t> 售金融资产取得的投资收益</w:t>
      </w:r>
    </w:p>
    <w:p>
      <w:pPr>
        <w:spacing w:line="240" w:lineRule="auto" w:before="8"/>
        <w:rPr>
          <w:rFonts w:ascii="宋体" w:hAnsi="宋体" w:cs="宋体" w:eastAsia="宋体" w:hint="default"/>
          <w:sz w:val="17"/>
          <w:szCs w:val="17"/>
        </w:rPr>
      </w:pPr>
      <w:r>
        <w:rPr/>
        <w:br w:type="column"/>
      </w:r>
      <w:r>
        <w:rPr>
          <w:rFonts w:ascii="宋体"/>
          <w:sz w:val="17"/>
        </w:rPr>
      </w:r>
    </w:p>
    <w:p>
      <w:pPr>
        <w:tabs>
          <w:tab w:pos="2016" w:val="left" w:leader="none"/>
        </w:tabs>
        <w:spacing w:before="0"/>
        <w:ind w:left="953"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950,557</w:t>
        <w:tab/>
      </w:r>
      <w:r>
        <w:rPr>
          <w:rFonts w:ascii="宋体" w:hAnsi="宋体" w:cs="宋体" w:eastAsia="宋体" w:hint="default"/>
          <w:position w:val="1"/>
          <w:sz w:val="18"/>
          <w:szCs w:val="18"/>
        </w:rPr>
        <w:t>注</w:t>
      </w:r>
      <w:r>
        <w:rPr>
          <w:rFonts w:ascii="宋体" w:hAnsi="宋体" w:cs="宋体" w:eastAsia="宋体" w:hint="default"/>
          <w:spacing w:val="-46"/>
          <w:position w:val="1"/>
          <w:sz w:val="18"/>
          <w:szCs w:val="18"/>
        </w:rPr>
        <w:t> </w:t>
      </w:r>
      <w:r>
        <w:rPr>
          <w:rFonts w:ascii="Times New Roman" w:hAnsi="Times New Roman" w:cs="Times New Roman" w:eastAsia="Times New Roman" w:hint="default"/>
          <w:position w:val="1"/>
          <w:sz w:val="18"/>
          <w:szCs w:val="18"/>
        </w:rPr>
        <w:t>5</w:t>
      </w:r>
      <w:r>
        <w:rPr>
          <w:rFonts w:ascii="Times New Roman" w:hAnsi="Times New Roman" w:cs="Times New Roman" w:eastAsia="Times New Roman" w:hint="default"/>
          <w:sz w:val="18"/>
          <w:szCs w:val="18"/>
        </w:rPr>
      </w:r>
    </w:p>
    <w:p>
      <w:pPr>
        <w:spacing w:after="0"/>
        <w:jc w:val="left"/>
        <w:rPr>
          <w:rFonts w:ascii="Times New Roman" w:hAnsi="Times New Roman" w:cs="Times New Roman" w:eastAsia="Times New Roman" w:hint="default"/>
          <w:sz w:val="18"/>
          <w:szCs w:val="18"/>
        </w:rPr>
        <w:sectPr>
          <w:type w:val="continuous"/>
          <w:pgSz w:w="11910" w:h="16840"/>
          <w:pgMar w:top="1600" w:bottom="280" w:left="1680" w:right="840"/>
          <w:cols w:num="2" w:equalWidth="0">
            <w:col w:w="6120" w:space="40"/>
            <w:col w:w="3230"/>
          </w:cols>
        </w:sectPr>
      </w:pPr>
    </w:p>
    <w:p>
      <w:pPr>
        <w:spacing w:line="412" w:lineRule="auto" w:before="49"/>
        <w:ind w:left="1557" w:right="3257" w:firstLine="0"/>
        <w:jc w:val="left"/>
        <w:rPr>
          <w:rFonts w:ascii="宋体" w:hAnsi="宋体" w:cs="宋体" w:eastAsia="宋体" w:hint="default"/>
          <w:sz w:val="18"/>
          <w:szCs w:val="18"/>
        </w:rPr>
      </w:pPr>
      <w:r>
        <w:rPr/>
        <w:pict>
          <v:group style="position:absolute;margin-left:155.009995pt;margin-top:120.059998pt;width:373.85pt;height:633pt;mso-position-horizontal-relative:page;mso-position-vertical-relative:page;z-index:-1098016" coordorigin="3100,2401" coordsize="7477,12660">
            <v:group style="position:absolute;left:3130;top:2416;width:7412;height:2" coordorigin="3130,2416" coordsize="7412,2">
              <v:shape style="position:absolute;left:3130;top:2416;width:7412;height:2" coordorigin="3130,2416" coordsize="7412,0" path="m3130,2416l10541,2416e" filled="false" stroked="true" strokeweight="1.5pt" strokecolor="#000000">
                <v:path arrowok="t"/>
              </v:shape>
              <v:shape style="position:absolute;left:7880;top:2408;width:1636;height:446" type="#_x0000_t75" stroked="false">
                <v:imagedata r:id="rId450" o:title=""/>
              </v:shape>
            </v:group>
            <v:group style="position:absolute;left:3115;top:15046;width:4788;height:2" coordorigin="3115,15046" coordsize="4788,2">
              <v:shape style="position:absolute;left:3115;top:15046;width:4788;height:2" coordorigin="3115,15046" coordsize="4788,0" path="m3115,15046l7903,15046e" filled="false" stroked="true" strokeweight="1.5pt" strokecolor="#000000">
                <v:path arrowok="t"/>
              </v:shape>
            </v:group>
            <v:group style="position:absolute;left:7903;top:15046;width:1580;height:2" coordorigin="7903,15046" coordsize="1580,2">
              <v:shape style="position:absolute;left:7903;top:15046;width:1580;height:2" coordorigin="7903,15046" coordsize="1580,0" path="m7903,15046l9482,15046e" filled="false" stroked="true" strokeweight="1.5pt" strokecolor="#000000">
                <v:path arrowok="t"/>
              </v:shape>
              <v:shape style="position:absolute;left:3101;top:2806;width:7476;height:12226" type="#_x0000_t75" stroked="false">
                <v:imagedata r:id="rId451" o:title=""/>
              </v:shape>
            </v:group>
            <v:group style="position:absolute;left:9482;top:15046;width:1059;height:2" coordorigin="9482,15046" coordsize="1059,2">
              <v:shape style="position:absolute;left:9482;top:15046;width:1059;height:2" coordorigin="9482,15046" coordsize="1059,0" path="m9482,15046l10541,15046e" filled="false" stroked="true" strokeweight="1.5pt" strokecolor="#000000">
                <v:path arrowok="t"/>
              </v:shape>
            </v:group>
            <w10:wrap type="none"/>
          </v:group>
        </w:pict>
      </w:r>
      <w:r>
        <w:rPr>
          <w:rFonts w:ascii="宋体" w:hAnsi="宋体" w:cs="宋体" w:eastAsia="宋体" w:hint="default"/>
          <w:sz w:val="18"/>
          <w:szCs w:val="18"/>
        </w:rPr>
        <w:t>单独进行减值测试的应收款项减值准备转回 对外委托贷款取得的损益 </w:t>
      </w:r>
      <w:r>
        <w:rPr>
          <w:rFonts w:ascii="宋体" w:hAnsi="宋体" w:cs="宋体" w:eastAsia="宋体" w:hint="default"/>
          <w:spacing w:val="2"/>
          <w:sz w:val="18"/>
          <w:szCs w:val="18"/>
        </w:rPr>
        <w:t>采用公允价值模式进行后续计量的投资性房地产公允价值</w:t>
      </w:r>
      <w:r>
        <w:rPr>
          <w:rFonts w:ascii="宋体" w:hAnsi="宋体" w:cs="宋体" w:eastAsia="宋体" w:hint="default"/>
          <w:sz w:val="18"/>
          <w:szCs w:val="18"/>
        </w:rPr>
        <w:t> 变动产生的损益 </w:t>
      </w:r>
      <w:r>
        <w:rPr>
          <w:rFonts w:ascii="宋体" w:hAnsi="宋体" w:cs="宋体" w:eastAsia="宋体" w:hint="default"/>
          <w:spacing w:val="2"/>
          <w:sz w:val="18"/>
          <w:szCs w:val="18"/>
        </w:rPr>
        <w:t>根据税收、会计等法律、法规的要求对当期损益进行一次</w:t>
      </w:r>
      <w:r>
        <w:rPr>
          <w:rFonts w:ascii="宋体" w:hAnsi="宋体" w:cs="宋体" w:eastAsia="宋体" w:hint="default"/>
          <w:sz w:val="18"/>
          <w:szCs w:val="18"/>
        </w:rPr>
        <w:t> 性调整对当期损益的影响</w:t>
      </w:r>
    </w:p>
    <w:p>
      <w:pPr>
        <w:spacing w:before="45"/>
        <w:ind w:left="1557" w:right="512" w:firstLine="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p>
      <w:pPr>
        <w:spacing w:line="240" w:lineRule="auto" w:before="4"/>
        <w:rPr>
          <w:rFonts w:ascii="宋体" w:hAnsi="宋体" w:cs="宋体" w:eastAsia="宋体" w:hint="default"/>
          <w:sz w:val="13"/>
          <w:szCs w:val="13"/>
        </w:rPr>
      </w:pPr>
    </w:p>
    <w:p>
      <w:pPr>
        <w:tabs>
          <w:tab w:pos="6979" w:val="left" w:leader="none"/>
        </w:tabs>
        <w:spacing w:before="0"/>
        <w:ind w:left="1557" w:right="512" w:firstLine="0"/>
        <w:jc w:val="left"/>
        <w:rPr>
          <w:rFonts w:ascii="Times New Roman" w:hAnsi="Times New Roman" w:cs="Times New Roman" w:eastAsia="Times New Roman" w:hint="default"/>
          <w:sz w:val="18"/>
          <w:szCs w:val="18"/>
        </w:rPr>
      </w:pPr>
      <w:r>
        <w:rPr>
          <w:rFonts w:ascii="宋体" w:hAnsi="宋体" w:cs="宋体" w:eastAsia="宋体" w:hint="default"/>
          <w:position w:val="1"/>
          <w:sz w:val="18"/>
          <w:szCs w:val="18"/>
        </w:rPr>
        <w:t>除上述各项之外的其他营业外收入和支出</w:t>
        <w:tab/>
      </w:r>
      <w:r>
        <w:rPr>
          <w:rFonts w:ascii="Times New Roman" w:hAnsi="Times New Roman" w:cs="Times New Roman" w:eastAsia="Times New Roman" w:hint="default"/>
          <w:sz w:val="18"/>
          <w:szCs w:val="18"/>
        </w:rPr>
        <w:t>1,313,927</w:t>
      </w:r>
    </w:p>
    <w:p>
      <w:pPr>
        <w:spacing w:after="0"/>
        <w:jc w:val="left"/>
        <w:rPr>
          <w:rFonts w:ascii="Times New Roman" w:hAnsi="Times New Roman" w:cs="Times New Roman" w:eastAsia="Times New Roman" w:hint="default"/>
          <w:sz w:val="18"/>
          <w:szCs w:val="18"/>
        </w:rPr>
        <w:sectPr>
          <w:type w:val="continuous"/>
          <w:pgSz w:w="11910" w:h="16840"/>
          <w:pgMar w:top="1600" w:bottom="280" w:left="1680" w:right="840"/>
        </w:sectPr>
      </w:pPr>
    </w:p>
    <w:p>
      <w:pPr>
        <w:spacing w:line="240" w:lineRule="auto" w:before="6"/>
        <w:rPr>
          <w:rFonts w:ascii="Times New Roman" w:hAnsi="Times New Roman" w:cs="Times New Roman" w:eastAsia="Times New Roman" w:hint="default"/>
          <w:sz w:val="15"/>
          <w:szCs w:val="15"/>
        </w:rPr>
      </w:pPr>
    </w:p>
    <w:tbl>
      <w:tblPr>
        <w:tblW w:w="0" w:type="auto"/>
        <w:jc w:val="left"/>
        <w:tblInd w:w="1435" w:type="dxa"/>
        <w:tblLayout w:type="fixed"/>
        <w:tblCellMar>
          <w:top w:w="0" w:type="dxa"/>
          <w:left w:w="0" w:type="dxa"/>
          <w:bottom w:w="0" w:type="dxa"/>
          <w:right w:w="0" w:type="dxa"/>
        </w:tblCellMar>
        <w:tblLook w:val="01E0"/>
      </w:tblPr>
      <w:tblGrid>
        <w:gridCol w:w="4202"/>
        <w:gridCol w:w="2290"/>
        <w:gridCol w:w="934"/>
      </w:tblGrid>
      <w:tr>
        <w:trPr>
          <w:trHeight w:val="815" w:hRule="exact"/>
        </w:trPr>
        <w:tc>
          <w:tcPr>
            <w:tcW w:w="4202" w:type="dxa"/>
            <w:tcBorders>
              <w:top w:val="nil" w:sz="6" w:space="0" w:color="auto"/>
              <w:left w:val="nil" w:sz="6" w:space="0" w:color="auto"/>
              <w:bottom w:val="nil" w:sz="6" w:space="0" w:color="auto"/>
              <w:right w:val="nil" w:sz="6" w:space="0" w:color="auto"/>
            </w:tcBorders>
          </w:tcPr>
          <w:p>
            <w:pPr>
              <w:pStyle w:val="TableParagraph"/>
              <w:tabs>
                <w:tab w:pos="2583" w:val="left" w:leader="none"/>
              </w:tabs>
              <w:spacing w:line="417" w:lineRule="auto" w:before="44"/>
              <w:ind w:left="122" w:right="1018" w:firstLine="1921"/>
              <w:jc w:val="left"/>
              <w:rPr>
                <w:rFonts w:ascii="宋体" w:hAnsi="宋体" w:cs="宋体" w:eastAsia="宋体" w:hint="default"/>
                <w:sz w:val="18"/>
                <w:szCs w:val="18"/>
              </w:rPr>
            </w:pPr>
            <w:r>
              <w:rPr>
                <w:rFonts w:ascii="宋体" w:hAnsi="宋体" w:cs="宋体" w:eastAsia="宋体" w:hint="default"/>
                <w:sz w:val="18"/>
                <w:szCs w:val="18"/>
              </w:rPr>
              <w:t>项</w:t>
              <w:tab/>
              <w:t>目 其他符合非经常性损益定义的损益项目</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20" w:right="0"/>
              <w:jc w:val="left"/>
              <w:rPr>
                <w:rFonts w:ascii="宋体" w:hAnsi="宋体" w:cs="宋体" w:eastAsia="宋体" w:hint="default"/>
                <w:sz w:val="18"/>
                <w:szCs w:val="18"/>
              </w:rPr>
            </w:pPr>
            <w:r>
              <w:rPr>
                <w:rFonts w:ascii="宋体" w:hAnsi="宋体" w:cs="宋体" w:eastAsia="宋体" w:hint="default"/>
                <w:sz w:val="18"/>
                <w:szCs w:val="18"/>
              </w:rPr>
              <w:t>本期金额</w:t>
            </w:r>
          </w:p>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1340" w:right="0"/>
              <w:jc w:val="left"/>
              <w:rPr>
                <w:rFonts w:ascii="Times New Roman" w:hAnsi="Times New Roman" w:cs="Times New Roman" w:eastAsia="Times New Roman" w:hint="default"/>
                <w:sz w:val="18"/>
                <w:szCs w:val="18"/>
              </w:rPr>
            </w:pPr>
            <w:r>
              <w:rPr>
                <w:rFonts w:ascii="Times New Roman"/>
                <w:sz w:val="18"/>
              </w:rPr>
              <w:t>1,221,899</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49" w:right="0" w:hanging="23"/>
              <w:jc w:val="left"/>
              <w:rPr>
                <w:rFonts w:ascii="宋体" w:hAnsi="宋体" w:cs="宋体" w:eastAsia="宋体" w:hint="default"/>
                <w:sz w:val="18"/>
                <w:szCs w:val="18"/>
              </w:rPr>
            </w:pPr>
            <w:r>
              <w:rPr>
                <w:rFonts w:ascii="宋体" w:hAnsi="宋体" w:cs="宋体" w:eastAsia="宋体" w:hint="default"/>
                <w:sz w:val="18"/>
                <w:szCs w:val="18"/>
              </w:rPr>
              <w:t>说明</w:t>
            </w:r>
          </w:p>
          <w:p>
            <w:pPr>
              <w:pStyle w:val="TableParagraph"/>
              <w:spacing w:line="240" w:lineRule="auto" w:before="2"/>
              <w:ind w:right="0"/>
              <w:jc w:val="left"/>
              <w:rPr>
                <w:rFonts w:ascii="Times New Roman" w:hAnsi="Times New Roman" w:cs="Times New Roman" w:eastAsia="Times New Roman" w:hint="default"/>
                <w:sz w:val="15"/>
                <w:szCs w:val="15"/>
              </w:rPr>
            </w:pPr>
          </w:p>
          <w:p>
            <w:pPr>
              <w:pStyle w:val="TableParagraph"/>
              <w:spacing w:line="240" w:lineRule="auto"/>
              <w:ind w:left="24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p>
        </w:tc>
      </w:tr>
      <w:tr>
        <w:trPr>
          <w:trHeight w:val="410" w:hRule="exact"/>
        </w:trPr>
        <w:tc>
          <w:tcPr>
            <w:tcW w:w="420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少数股东损益影响额</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4"/>
              <w:jc w:val="right"/>
              <w:rPr>
                <w:rFonts w:ascii="Times New Roman" w:hAnsi="Times New Roman" w:cs="Times New Roman" w:eastAsia="Times New Roman" w:hint="default"/>
                <w:sz w:val="18"/>
                <w:szCs w:val="18"/>
              </w:rPr>
            </w:pPr>
            <w:r>
              <w:rPr>
                <w:rFonts w:ascii="Times New Roman"/>
                <w:w w:val="95"/>
                <w:sz w:val="18"/>
              </w:rPr>
              <w:t>-11,201,619</w:t>
            </w:r>
            <w:r>
              <w:rPr>
                <w:rFonts w:ascii="Times New Roman"/>
                <w:sz w:val="18"/>
              </w:rPr>
            </w:r>
          </w:p>
        </w:tc>
        <w:tc>
          <w:tcPr>
            <w:tcW w:w="934" w:type="dxa"/>
            <w:tcBorders>
              <w:top w:val="nil" w:sz="6" w:space="0" w:color="auto"/>
              <w:left w:val="nil" w:sz="6" w:space="0" w:color="auto"/>
              <w:bottom w:val="nil" w:sz="6" w:space="0" w:color="auto"/>
              <w:right w:val="nil" w:sz="6" w:space="0" w:color="auto"/>
            </w:tcBorders>
          </w:tcPr>
          <w:p>
            <w:pPr/>
          </w:p>
        </w:tc>
      </w:tr>
      <w:tr>
        <w:trPr>
          <w:trHeight w:val="410" w:hRule="exact"/>
        </w:trPr>
        <w:tc>
          <w:tcPr>
            <w:tcW w:w="420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4"/>
              <w:jc w:val="right"/>
              <w:rPr>
                <w:rFonts w:ascii="Times New Roman" w:hAnsi="Times New Roman" w:cs="Times New Roman" w:eastAsia="Times New Roman" w:hint="default"/>
                <w:sz w:val="18"/>
                <w:szCs w:val="18"/>
              </w:rPr>
            </w:pPr>
            <w:r>
              <w:rPr>
                <w:rFonts w:ascii="Times New Roman"/>
                <w:w w:val="95"/>
                <w:sz w:val="18"/>
              </w:rPr>
              <w:t>-20,258,444</w:t>
            </w:r>
            <w:r>
              <w:rPr>
                <w:rFonts w:ascii="Times New Roman"/>
                <w:sz w:val="18"/>
              </w:rPr>
            </w:r>
          </w:p>
        </w:tc>
        <w:tc>
          <w:tcPr>
            <w:tcW w:w="934" w:type="dxa"/>
            <w:tcBorders>
              <w:top w:val="nil" w:sz="6" w:space="0" w:color="auto"/>
              <w:left w:val="nil" w:sz="6" w:space="0" w:color="auto"/>
              <w:bottom w:val="nil" w:sz="6" w:space="0" w:color="auto"/>
              <w:right w:val="nil" w:sz="6" w:space="0" w:color="auto"/>
            </w:tcBorders>
          </w:tcPr>
          <w:p>
            <w:pPr/>
          </w:p>
        </w:tc>
      </w:tr>
      <w:tr>
        <w:trPr>
          <w:trHeight w:val="328" w:hRule="exact"/>
        </w:trPr>
        <w:tc>
          <w:tcPr>
            <w:tcW w:w="4202" w:type="dxa"/>
            <w:tcBorders>
              <w:top w:val="nil" w:sz="6" w:space="0" w:color="auto"/>
              <w:left w:val="nil" w:sz="6" w:space="0" w:color="auto"/>
              <w:bottom w:val="single" w:sz="12" w:space="0" w:color="000000"/>
              <w:right w:val="nil" w:sz="6" w:space="0" w:color="auto"/>
            </w:tcBorders>
          </w:tcPr>
          <w:p>
            <w:pPr>
              <w:pStyle w:val="TableParagraph"/>
              <w:tabs>
                <w:tab w:pos="2673" w:val="left" w:leader="none"/>
              </w:tabs>
              <w:spacing w:line="240" w:lineRule="auto" w:before="50"/>
              <w:ind w:left="195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229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224"/>
              <w:jc w:val="right"/>
              <w:rPr>
                <w:rFonts w:ascii="Times New Roman" w:hAnsi="Times New Roman" w:cs="Times New Roman" w:eastAsia="Times New Roman" w:hint="default"/>
                <w:sz w:val="18"/>
                <w:szCs w:val="18"/>
              </w:rPr>
            </w:pPr>
            <w:r>
              <w:rPr>
                <w:rFonts w:ascii="Times New Roman"/>
                <w:spacing w:val="-1"/>
                <w:sz w:val="18"/>
              </w:rPr>
              <w:t>130,261,411</w:t>
            </w:r>
          </w:p>
        </w:tc>
        <w:tc>
          <w:tcPr>
            <w:tcW w:w="934" w:type="dxa"/>
            <w:tcBorders>
              <w:top w:val="nil" w:sz="6" w:space="0" w:color="auto"/>
              <w:left w:val="nil" w:sz="6" w:space="0" w:color="auto"/>
              <w:bottom w:val="single" w:sz="12" w:space="0" w:color="000000"/>
              <w:right w:val="nil" w:sz="6" w:space="0" w:color="auto"/>
            </w:tcBorders>
          </w:tcPr>
          <w:p>
            <w:pPr/>
          </w:p>
        </w:tc>
      </w:tr>
    </w:tbl>
    <w:p>
      <w:pPr>
        <w:pStyle w:val="BodyText"/>
        <w:spacing w:line="350" w:lineRule="auto" w:before="78"/>
        <w:ind w:left="1557" w:right="512"/>
        <w:jc w:val="left"/>
      </w:pPr>
      <w:r>
        <w:rPr/>
        <w:pict>
          <v:group style="position:absolute;margin-left:124.260002pt;margin-top:-106.236046pt;width:423.25pt;height:104pt;mso-position-horizontal-relative:page;mso-position-vertical-relative:paragraph;z-index:-1097656" coordorigin="2485,-2125" coordsize="8465,2080">
            <v:group style="position:absolute;left:2490;top:-2120;width:8456;height:2" coordorigin="2490,-2120" coordsize="8456,2">
              <v:shape style="position:absolute;left:2490;top:-2120;width:8456;height:2" coordorigin="2490,-2120" coordsize="8456,0" path="m2490,-2120l10945,-2120e" filled="false" stroked="true" strokeweight=".48pt" strokecolor="#000000">
                <v:path arrowok="t"/>
              </v:shape>
            </v:group>
            <v:group style="position:absolute;left:3130;top:-2100;width:7412;height:2" coordorigin="3130,-2100" coordsize="7412,2">
              <v:shape style="position:absolute;left:3130;top:-2100;width:7412;height:2" coordorigin="3130,-2100" coordsize="7412,0" path="m3130,-2100l10541,-2100e" filled="false" stroked="true" strokeweight="1.5pt" strokecolor="#000000">
                <v:path arrowok="t"/>
              </v:shape>
              <v:shape style="position:absolute;left:7878;top:-2110;width:1639;height:451" type="#_x0000_t75" stroked="false">
                <v:imagedata r:id="rId452" o:title=""/>
              </v:shape>
              <v:shape style="position:absolute;left:3101;top:-1708;width:7472;height:1663" type="#_x0000_t75" stroked="false">
                <v:imagedata r:id="rId453" o:title=""/>
              </v:shape>
            </v:group>
            <w10:wrap type="none"/>
          </v:group>
        </w:pict>
      </w:r>
      <w:r>
        <w:rPr/>
        <w:t>注</w:t>
      </w:r>
      <w:r>
        <w:rPr>
          <w:spacing w:val="-55"/>
        </w:rPr>
        <w:t> </w:t>
      </w:r>
      <w:r>
        <w:rPr/>
        <w:t>1：主要为本公司之子公司沈阳东软医疗系统有限公司资产转让形成的收益；</w:t>
      </w:r>
      <w:r>
        <w:rPr/>
        <w:t> 注</w:t>
      </w:r>
      <w:r>
        <w:rPr>
          <w:spacing w:val="-55"/>
        </w:rPr>
        <w:t> </w:t>
      </w:r>
      <w:r>
        <w:rPr/>
        <w:t>2：主要为计入损益的科研项目政府补助以及政府投资补贴；</w:t>
      </w:r>
    </w:p>
    <w:p>
      <w:pPr>
        <w:pStyle w:val="BodyText"/>
        <w:spacing w:line="348" w:lineRule="auto" w:before="28"/>
        <w:ind w:left="1557" w:right="147"/>
        <w:jc w:val="both"/>
      </w:pPr>
      <w:r>
        <w:rPr/>
        <w:t>注</w:t>
      </w:r>
      <w:r>
        <w:rPr>
          <w:spacing w:val="23"/>
        </w:rPr>
        <w:t> </w:t>
      </w:r>
      <w:r>
        <w:rPr>
          <w:spacing w:val="2"/>
        </w:rPr>
        <w:t>3：主要为收取成都东软信息技术职业学院资产转让款延期付款部分的资金占用</w:t>
      </w:r>
      <w:r>
        <w:rPr>
          <w:spacing w:val="-100"/>
        </w:rPr>
        <w:t> </w:t>
      </w:r>
      <w:r>
        <w:rPr>
          <w:spacing w:val="-100"/>
        </w:rPr>
      </w:r>
      <w:r>
        <w:rPr/>
        <w:t>费；</w:t>
      </w:r>
    </w:p>
    <w:p>
      <w:pPr>
        <w:pStyle w:val="BodyText"/>
        <w:spacing w:line="348" w:lineRule="auto" w:before="31"/>
        <w:ind w:left="1557" w:right="148"/>
        <w:jc w:val="both"/>
      </w:pPr>
      <w:r>
        <w:rPr/>
        <w:t>注</w:t>
      </w:r>
      <w:r>
        <w:rPr>
          <w:spacing w:val="-68"/>
        </w:rPr>
        <w:t> </w:t>
      </w:r>
      <w:r>
        <w:rPr/>
        <w:t>4：主要为本公司以无形资产-技术使用权出资认购</w:t>
      </w:r>
      <w:r>
        <w:rPr>
          <w:spacing w:val="-68"/>
        </w:rPr>
        <w:t> </w:t>
      </w:r>
      <w:r>
        <w:rPr/>
        <w:t>Appconomy,</w:t>
      </w:r>
      <w:r>
        <w:rPr>
          <w:spacing w:val="-68"/>
        </w:rPr>
        <w:t> </w:t>
      </w:r>
      <w:r>
        <w:rPr/>
        <w:t>Inc.股权确认的损</w:t>
      </w:r>
      <w:r>
        <w:rPr/>
        <w:t> </w:t>
      </w:r>
      <w:r>
        <w:rPr>
          <w:spacing w:val="-16"/>
        </w:rPr>
        <w:t>益，详见附注五、（四十七）；</w:t>
      </w:r>
    </w:p>
    <w:p>
      <w:pPr>
        <w:pStyle w:val="BodyText"/>
        <w:spacing w:line="240" w:lineRule="auto" w:before="30"/>
        <w:ind w:left="1557" w:right="0"/>
        <w:jc w:val="both"/>
      </w:pPr>
      <w:r>
        <w:rPr/>
        <w:t>注</w:t>
      </w:r>
      <w:r>
        <w:rPr>
          <w:spacing w:val="-55"/>
        </w:rPr>
        <w:t> </w:t>
      </w:r>
      <w:r>
        <w:rPr/>
        <w:t>5：主要为交易性金融资产、交易性金融负债公允价值变动损益。</w:t>
      </w:r>
    </w:p>
    <w:p>
      <w:pPr>
        <w:pStyle w:val="BodyText"/>
        <w:spacing w:line="350" w:lineRule="auto" w:before="126"/>
        <w:ind w:left="1557" w:right="147"/>
        <w:jc w:val="both"/>
      </w:pPr>
      <w:r>
        <w:rPr/>
        <w:t>注</w:t>
      </w:r>
      <w:r>
        <w:rPr>
          <w:spacing w:val="-53"/>
        </w:rPr>
        <w:t> </w:t>
      </w:r>
      <w:r>
        <w:rPr/>
        <w:t>6</w:t>
      </w:r>
      <w:r>
        <w:rPr>
          <w:spacing w:val="-93"/>
        </w:rPr>
        <w:t>：</w:t>
      </w:r>
      <w:r>
        <w:rPr/>
        <w:t>主要</w:t>
      </w:r>
      <w:r>
        <w:rPr>
          <w:spacing w:val="-2"/>
        </w:rPr>
        <w:t>为</w:t>
      </w:r>
      <w:r>
        <w:rPr/>
        <w:t>本期本公司收购北京利博赛社保信息技术有限公司</w:t>
      </w:r>
      <w:r>
        <w:rPr>
          <w:spacing w:val="-53"/>
        </w:rPr>
        <w:t> </w:t>
      </w:r>
      <w:r>
        <w:rPr/>
        <w:t>28.33%股权实现非同</w:t>
      </w:r>
      <w:r>
        <w:rPr/>
        <w:t> 一控制下企业合并时</w:t>
      </w:r>
      <w:r>
        <w:rPr>
          <w:spacing w:val="-93"/>
        </w:rPr>
        <w:t>，</w:t>
      </w:r>
      <w:r>
        <w:rPr>
          <w:spacing w:val="-2"/>
        </w:rPr>
        <w:t>对</w:t>
      </w:r>
      <w:r>
        <w:rPr/>
        <w:t>于购买日之前持有的被购买方的股权按照该股权在购买日的</w:t>
      </w:r>
      <w:r>
        <w:rPr/>
        <w:t> 公允价值进行重新计算</w:t>
      </w:r>
      <w:r>
        <w:rPr>
          <w:spacing w:val="-94"/>
        </w:rPr>
        <w:t>，</w:t>
      </w:r>
      <w:r>
        <w:rPr/>
        <w:t>公允价值与账面价值的差异及购买日前持有的被购买方的股</w:t>
      </w:r>
      <w:r>
        <w:rPr/>
        <w:t> 权涉及的其他综合收益确认合并报表当期投资收益，详见附注五</w:t>
      </w:r>
      <w:r>
        <w:rPr>
          <w:spacing w:val="-105"/>
        </w:rPr>
        <w:t>、</w:t>
      </w:r>
      <w:r>
        <w:rPr/>
        <w:t>（</w:t>
      </w:r>
      <w:r>
        <w:rPr>
          <w:spacing w:val="-2"/>
        </w:rPr>
        <w:t>四</w:t>
      </w:r>
      <w:r>
        <w:rPr/>
        <w:t>十五</w:t>
      </w:r>
      <w:r>
        <w:rPr>
          <w:spacing w:val="-105"/>
        </w:rPr>
        <w:t>）</w:t>
      </w:r>
      <w:r>
        <w:rPr/>
        <w:t>、1。</w:t>
      </w:r>
    </w:p>
    <w:p>
      <w:pPr>
        <w:spacing w:line="240" w:lineRule="auto" w:before="0"/>
        <w:rPr>
          <w:rFonts w:ascii="宋体" w:hAnsi="宋体" w:cs="宋体" w:eastAsia="宋体" w:hint="default"/>
          <w:sz w:val="20"/>
          <w:szCs w:val="20"/>
        </w:rPr>
      </w:pPr>
    </w:p>
    <w:p>
      <w:pPr>
        <w:pStyle w:val="Heading6"/>
        <w:tabs>
          <w:tab w:pos="1553" w:val="left" w:leader="none"/>
        </w:tabs>
        <w:spacing w:line="240" w:lineRule="auto" w:before="166"/>
        <w:ind w:left="825" w:right="512"/>
        <w:jc w:val="left"/>
        <w:rPr>
          <w:b w:val="0"/>
          <w:bCs w:val="0"/>
        </w:rPr>
      </w:pPr>
      <w:r>
        <w:rPr>
          <w:w w:val="95"/>
        </w:rPr>
        <w:t>(二)</w:t>
        <w:tab/>
      </w:r>
      <w:r>
        <w:rPr/>
        <w:t>净资产收益率及每股收益：</w:t>
      </w:r>
      <w:r>
        <w:rPr>
          <w:b w:val="0"/>
          <w:bCs w:val="0"/>
        </w:rPr>
      </w:r>
    </w:p>
    <w:p>
      <w:pPr>
        <w:spacing w:line="240" w:lineRule="auto" w:before="7"/>
        <w:rPr>
          <w:rFonts w:ascii="宋体" w:hAnsi="宋体" w:cs="宋体" w:eastAsia="宋体" w:hint="default"/>
          <w:b/>
          <w:bCs/>
          <w:sz w:val="2"/>
          <w:szCs w:val="2"/>
        </w:rPr>
      </w:pPr>
    </w:p>
    <w:p>
      <w:pPr>
        <w:spacing w:line="2089" w:lineRule="exact"/>
        <w:ind w:left="1420"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391.25pt;height:104.5pt;mso-position-horizontal-relative:char;mso-position-vertical-relative:line" coordorigin="0,0" coordsize="7825,2090">
            <v:group style="position:absolute;left:29;top:15;width:5152;height:2" coordorigin="29,15" coordsize="5152,2">
              <v:shape style="position:absolute;left:29;top:15;width:5152;height:2" coordorigin="29,15" coordsize="5152,0" path="m29,15l5181,15e" filled="false" stroked="true" strokeweight="1.5pt" strokecolor="#000000">
                <v:path arrowok="t"/>
              </v:shape>
            </v:group>
            <v:group style="position:absolute;left:5181;top:15;width:2625;height:2" coordorigin="5181,15" coordsize="2625,2">
              <v:shape style="position:absolute;left:5181;top:15;width:2625;height:2" coordorigin="5181,15" coordsize="2625,0" path="m5181,15l7805,15e" filled="false" stroked="true" strokeweight="1.5pt" strokecolor="#000000">
                <v:path arrowok="t"/>
              </v:shape>
              <v:shape style="position:absolute;left:3655;top:7;width:1529;height:446" type="#_x0000_t75" stroked="false">
                <v:imagedata r:id="rId454" o:title=""/>
              </v:shape>
              <v:shape style="position:absolute;left:3659;top:410;width:4165;height:449" type="#_x0000_t75" stroked="false">
                <v:imagedata r:id="rId455" o:title=""/>
              </v:shape>
            </v:group>
            <v:group style="position:absolute;left:15;top:2074;width:3664;height:2" coordorigin="15,2074" coordsize="3664,2">
              <v:shape style="position:absolute;left:15;top:2074;width:3664;height:2" coordorigin="15,2074" coordsize="3664,0" path="m15,2074l3679,2074e" filled="false" stroked="true" strokeweight="1.5pt" strokecolor="#000000">
                <v:path arrowok="t"/>
              </v:shape>
              <v:shape style="position:absolute;left:10;top:821;width:7814;height:1258" type="#_x0000_t75" stroked="false">
                <v:imagedata r:id="rId456" o:title=""/>
              </v:shape>
            </v:group>
            <v:group style="position:absolute;left:3679;top:2074;width:1473;height:2" coordorigin="3679,2074" coordsize="1473,2">
              <v:shape style="position:absolute;left:3679;top:2074;width:1473;height:2" coordorigin="3679,2074" coordsize="1473,0" path="m3679,2074l5151,2074e" filled="false" stroked="true" strokeweight="1.5pt" strokecolor="#000000">
                <v:path arrowok="t"/>
              </v:shape>
              <v:shape style="position:absolute;left:5131;top:1239;width:49;height:840" type="#_x0000_t75" stroked="false">
                <v:imagedata r:id="rId457" o:title=""/>
              </v:shape>
            </v:group>
            <v:group style="position:absolute;left:5151;top:2074;width:1300;height:2" coordorigin="5151,2074" coordsize="1300,2">
              <v:shape style="position:absolute;left:5151;top:2074;width:1300;height:2" coordorigin="5151,2074" coordsize="1300,0" path="m5151,2074l6451,2074e" filled="false" stroked="true" strokeweight="1.5pt" strokecolor="#000000">
                <v:path arrowok="t"/>
              </v:shape>
              <v:shape style="position:absolute;left:6431;top:1239;width:49;height:840" type="#_x0000_t75" stroked="false">
                <v:imagedata r:id="rId457" o:title=""/>
              </v:shape>
            </v:group>
            <v:group style="position:absolute;left:6451;top:2074;width:1355;height:2" coordorigin="6451,2074" coordsize="1355,2">
              <v:shape style="position:absolute;left:6451;top:2074;width:1355;height:2" coordorigin="6451,2074" coordsize="1355,0" path="m6451,2074l7805,2074e" filled="false" stroked="true" strokeweight="1.5pt" strokecolor="#000000">
                <v:path arrowok="t"/>
              </v:shape>
              <v:shape style="position:absolute;left:3879;top:22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净资产收益率</w:t>
                      </w:r>
                    </w:p>
                  </w:txbxContent>
                </v:textbox>
                <w10:wrap type="none"/>
              </v:shape>
              <v:shape style="position:absolute;left:5851;top:22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每股收益（元）</w:t>
                      </w:r>
                    </w:p>
                  </w:txbxContent>
                </v:textbox>
                <w10:wrap type="none"/>
              </v:shape>
              <v:shape style="position:absolute;left:1406;top:42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报告期利润</w:t>
                      </w:r>
                    </w:p>
                  </w:txbxContent>
                </v:textbox>
                <w10:wrap type="none"/>
              </v:shape>
              <v:shape style="position:absolute;left:3803;top:627;width:3845;height:190" type="#_x0000_t202" filled="false" stroked="false">
                <v:textbox inset="0,0,0,0">
                  <w:txbxContent>
                    <w:p>
                      <w:pPr>
                        <w:tabs>
                          <w:tab w:pos="1441" w:val="left" w:leader="none"/>
                          <w:tab w:pos="2764"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加权平均（</w:t>
                      </w:r>
                      <w:r>
                        <w:rPr>
                          <w:rFonts w:ascii="Times New Roman" w:hAnsi="Times New Roman" w:cs="Times New Roman" w:eastAsia="Times New Roman" w:hint="default"/>
                          <w:sz w:val="18"/>
                          <w:szCs w:val="18"/>
                        </w:rPr>
                        <w:t>%</w:t>
                      </w:r>
                      <w:r>
                        <w:rPr>
                          <w:rFonts w:ascii="宋体" w:hAnsi="宋体" w:cs="宋体" w:eastAsia="宋体" w:hint="default"/>
                          <w:sz w:val="18"/>
                          <w:szCs w:val="18"/>
                        </w:rPr>
                        <w:t>）</w:t>
                        <w:tab/>
                        <w:t>基本每股收益</w:t>
                        <w:tab/>
                        <w:t>稀释每股收益</w:t>
                      </w:r>
                    </w:p>
                  </w:txbxContent>
                </v:textbox>
                <w10:wrap type="none"/>
              </v:shape>
              <v:shape style="position:absolute;left:137;top:1042;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xbxContent>
                </v:textbox>
                <w10:wrap type="none"/>
              </v:shape>
              <v:shape style="position:absolute;left:4733;top:1061;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9.34</w:t>
                      </w:r>
                    </w:p>
                  </w:txbxContent>
                </v:textbox>
                <w10:wrap type="none"/>
              </v:shape>
              <v:shape style="position:absolute;left:5646;top:1061;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0.34</w:t>
                      </w:r>
                    </w:p>
                  </w:txbxContent>
                </v:textbox>
                <w10:wrap type="none"/>
              </v:shape>
              <v:shape style="position:absolute;left:6971;top:1061;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0.34</w:t>
                      </w:r>
                    </w:p>
                  </w:txbxContent>
                </v:textbox>
                <w10:wrap type="none"/>
              </v:shape>
              <v:shape style="position:absolute;left:137;top:1452;width:343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扣除非经常性损益后归属于母公司所有者的</w:t>
                      </w:r>
                    </w:p>
                  </w:txbxContent>
                </v:textbox>
                <w10:wrap type="none"/>
              </v:shape>
              <v:shape style="position:absolute;left:4733;top:1671;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6.42</w:t>
                      </w:r>
                    </w:p>
                  </w:txbxContent>
                </v:textbox>
                <w10:wrap type="none"/>
              </v:shape>
              <v:shape style="position:absolute;left:5646;top:1671;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0.23</w:t>
                      </w:r>
                    </w:p>
                  </w:txbxContent>
                </v:textbox>
                <w10:wrap type="none"/>
              </v:shape>
              <v:shape style="position:absolute;left:6971;top:1671;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0.23</w:t>
                      </w:r>
                    </w:p>
                  </w:txbxContent>
                </v:textbox>
                <w10:wrap type="none"/>
              </v:shape>
              <v:shape style="position:absolute;left:137;top:185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净利润</w:t>
                      </w:r>
                    </w:p>
                  </w:txbxContent>
                </v:textbox>
                <w10:wrap type="none"/>
              </v:shape>
            </v:group>
          </v:group>
        </w:pict>
      </w:r>
      <w:r>
        <w:rPr>
          <w:rFonts w:ascii="宋体" w:hAnsi="宋体" w:cs="宋体" w:eastAsia="宋体" w:hint="default"/>
          <w:position w:val="-41"/>
          <w:sz w:val="20"/>
          <w:szCs w:val="20"/>
        </w:rPr>
      </w:r>
    </w:p>
    <w:p>
      <w:pPr>
        <w:spacing w:after="0" w:line="2089" w:lineRule="exact"/>
        <w:rPr>
          <w:rFonts w:ascii="宋体" w:hAnsi="宋体" w:cs="宋体" w:eastAsia="宋体" w:hint="default"/>
          <w:sz w:val="20"/>
          <w:szCs w:val="20"/>
        </w:rPr>
        <w:sectPr>
          <w:pgSz w:w="11910" w:h="16840"/>
          <w:pgMar w:header="883" w:footer="1003" w:top="1540" w:bottom="1200" w:left="1680" w:right="840"/>
        </w:sectPr>
      </w:pPr>
    </w:p>
    <w:p>
      <w:pPr>
        <w:spacing w:line="240" w:lineRule="auto" w:before="7"/>
        <w:rPr>
          <w:rFonts w:ascii="宋体" w:hAnsi="宋体" w:cs="宋体" w:eastAsia="宋体" w:hint="default"/>
          <w:b/>
          <w:bCs/>
          <w:sz w:val="3"/>
          <w:szCs w:val="3"/>
        </w:rPr>
      </w:pPr>
    </w:p>
    <w:p>
      <w:pPr>
        <w:spacing w:line="20" w:lineRule="exact"/>
        <w:ind w:left="805" w:right="0" w:firstLine="0"/>
        <w:rPr>
          <w:rFonts w:ascii="宋体" w:hAnsi="宋体" w:cs="宋体" w:eastAsia="宋体" w:hint="default"/>
          <w:sz w:val="2"/>
          <w:szCs w:val="2"/>
        </w:rPr>
      </w:pPr>
      <w:r>
        <w:rPr>
          <w:rFonts w:ascii="宋体" w:hAnsi="宋体" w:cs="宋体" w:eastAsia="宋体" w:hint="default"/>
          <w:sz w:val="2"/>
          <w:szCs w:val="2"/>
        </w:rPr>
        <w:pict>
          <v:group style="width:423.25pt;height:.5pt;mso-position-horizontal-relative:char;mso-position-vertical-relative:line" coordorigin="0,0" coordsize="8465,10">
            <v:group style="position:absolute;left:5;top:5;width:8456;height:2" coordorigin="5,5" coordsize="8456,2">
              <v:shape style="position:absolute;left:5;top:5;width:8456;height:2" coordorigin="5,5" coordsize="8456,0" path="m5,5l8460,5e" filled="false" stroked="true" strokeweight=".48pt" strokecolor="#000000">
                <v:path arrowok="t"/>
              </v:shape>
            </v:group>
          </v:group>
        </w:pict>
      </w:r>
      <w:r>
        <w:rPr>
          <w:rFonts w:ascii="宋体" w:hAnsi="宋体" w:cs="宋体" w:eastAsia="宋体" w:hint="default"/>
          <w:sz w:val="2"/>
          <w:szCs w:val="2"/>
        </w:rPr>
      </w:r>
    </w:p>
    <w:p>
      <w:pPr>
        <w:tabs>
          <w:tab w:pos="1553" w:val="left" w:leader="none"/>
        </w:tabs>
        <w:spacing w:line="350" w:lineRule="auto" w:before="82"/>
        <w:ind w:left="1557" w:right="3424" w:hanging="732"/>
        <w:jc w:val="left"/>
        <w:rPr>
          <w:rFonts w:ascii="宋体" w:hAnsi="宋体" w:cs="宋体" w:eastAsia="宋体" w:hint="default"/>
          <w:sz w:val="21"/>
          <w:szCs w:val="21"/>
        </w:rPr>
      </w:pPr>
      <w:r>
        <w:rPr/>
        <w:pict>
          <v:group style="position:absolute;margin-left:155.039993pt;margin-top:39.463955pt;width:393.25pt;height:574.5pt;mso-position-horizontal-relative:page;mso-position-vertical-relative:paragraph;z-index:-1097608" coordorigin="3101,789" coordsize="7865,11490">
            <v:group style="position:absolute;left:3130;top:804;width:3938;height:2" coordorigin="3130,804" coordsize="3938,2">
              <v:shape style="position:absolute;left:3130;top:804;width:3938;height:2" coordorigin="3130,804" coordsize="3938,0" path="m3130,804l7067,804e" filled="false" stroked="true" strokeweight="1.5pt" strokecolor="#000000">
                <v:path arrowok="t"/>
              </v:shape>
            </v:group>
            <v:group style="position:absolute;left:7067;top:804;width:1602;height:2" coordorigin="7067,804" coordsize="1602,2">
              <v:shape style="position:absolute;left:7067;top:804;width:1602;height:2" coordorigin="7067,804" coordsize="1602,0" path="m7067,804l8669,804e" filled="false" stroked="true" strokeweight="1.5pt" strokecolor="#000000">
                <v:path arrowok="t"/>
              </v:shape>
            </v:group>
            <v:group style="position:absolute;left:8669;top:804;width:2265;height:2" coordorigin="8669,804" coordsize="2265,2">
              <v:shape style="position:absolute;left:8669;top:804;width:2265;height:2" coordorigin="8669,804" coordsize="2265,0" path="m8669,804l10933,804e" filled="false" stroked="true" strokeweight="1.5pt" strokecolor="#000000">
                <v:path arrowok="t"/>
              </v:shape>
              <v:shape style="position:absolute;left:5391;top:799;width:4628;height:840" type="#_x0000_t75" stroked="false">
                <v:imagedata r:id="rId458" o:title=""/>
              </v:shape>
              <v:shape style="position:absolute;left:3101;top:1596;width:7865;height:10683" type="#_x0000_t75" stroked="false">
                <v:imagedata r:id="rId459" o:title=""/>
              </v:shape>
            </v:group>
            <w10:wrap type="none"/>
          </v:group>
        </w:pict>
      </w:r>
      <w:r>
        <w:rPr>
          <w:rFonts w:ascii="宋体" w:hAnsi="宋体" w:cs="宋体" w:eastAsia="宋体" w:hint="default"/>
          <w:b/>
          <w:bCs/>
          <w:w w:val="95"/>
          <w:sz w:val="21"/>
          <w:szCs w:val="21"/>
        </w:rPr>
        <w:t>(三)</w:t>
        <w:tab/>
      </w:r>
      <w:r>
        <w:rPr>
          <w:rFonts w:ascii="宋体" w:hAnsi="宋体" w:cs="宋体" w:eastAsia="宋体" w:hint="default"/>
          <w:b/>
          <w:bCs/>
          <w:sz w:val="21"/>
          <w:szCs w:val="21"/>
        </w:rPr>
        <w:t>公司主要会计报表项目的异常情况及原因的说明</w:t>
      </w:r>
      <w:r>
        <w:rPr>
          <w:rFonts w:ascii="宋体" w:hAnsi="宋体" w:cs="宋体" w:eastAsia="宋体" w:hint="default"/>
          <w:b/>
          <w:bCs/>
          <w:w w:val="99"/>
          <w:sz w:val="21"/>
          <w:szCs w:val="21"/>
        </w:rPr>
        <w:t> </w:t>
      </w:r>
      <w:r>
        <w:rPr>
          <w:rFonts w:ascii="宋体" w:hAnsi="宋体" w:cs="宋体" w:eastAsia="宋体" w:hint="default"/>
          <w:sz w:val="21"/>
          <w:szCs w:val="21"/>
        </w:rPr>
        <w:t>金额异常或比较期间变动异常的报表项目</w:t>
      </w:r>
    </w:p>
    <w:p>
      <w:pPr>
        <w:spacing w:line="240" w:lineRule="auto" w:before="5"/>
        <w:rPr>
          <w:rFonts w:ascii="宋体" w:hAnsi="宋体" w:cs="宋体" w:eastAsia="宋体" w:hint="default"/>
          <w:sz w:val="4"/>
          <w:szCs w:val="4"/>
        </w:rPr>
      </w:pPr>
    </w:p>
    <w:tbl>
      <w:tblPr>
        <w:tblW w:w="0" w:type="auto"/>
        <w:jc w:val="left"/>
        <w:tblInd w:w="1435" w:type="dxa"/>
        <w:tblLayout w:type="fixed"/>
        <w:tblCellMar>
          <w:top w:w="0" w:type="dxa"/>
          <w:left w:w="0" w:type="dxa"/>
          <w:bottom w:w="0" w:type="dxa"/>
          <w:right w:w="0" w:type="dxa"/>
        </w:tblCellMar>
        <w:tblLook w:val="01E0"/>
      </w:tblPr>
      <w:tblGrid>
        <w:gridCol w:w="2292"/>
        <w:gridCol w:w="1673"/>
        <w:gridCol w:w="1622"/>
        <w:gridCol w:w="1320"/>
        <w:gridCol w:w="912"/>
      </w:tblGrid>
      <w:tr>
        <w:trPr>
          <w:trHeight w:val="495"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1" w:right="0"/>
              <w:jc w:val="center"/>
              <w:rPr>
                <w:rFonts w:ascii="宋体" w:hAnsi="宋体" w:cs="宋体" w:eastAsia="宋体" w:hint="default"/>
                <w:sz w:val="18"/>
                <w:szCs w:val="18"/>
              </w:rPr>
            </w:pPr>
            <w:r>
              <w:rPr>
                <w:rFonts w:ascii="宋体" w:hAnsi="宋体" w:cs="宋体" w:eastAsia="宋体" w:hint="default"/>
                <w:sz w:val="18"/>
                <w:szCs w:val="18"/>
              </w:rPr>
              <w:t>报表项目</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5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16"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3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变动比率</w:t>
            </w:r>
            <w:r>
              <w:rPr>
                <w:rFonts w:ascii="Times New Roman" w:hAnsi="Times New Roman" w:cs="Times New Roman" w:eastAsia="Times New Roman" w:hint="default"/>
                <w:sz w:val="18"/>
                <w:szCs w:val="18"/>
              </w:rPr>
              <w:t>(%)</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8" w:right="0"/>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300" w:hRule="exact"/>
        </w:trPr>
        <w:tc>
          <w:tcPr>
            <w:tcW w:w="2292"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Style w:val="TableParagraph"/>
              <w:spacing w:line="185" w:lineRule="exact"/>
              <w:ind w:left="189" w:right="0"/>
              <w:jc w:val="left"/>
              <w:rPr>
                <w:rFonts w:ascii="宋体" w:hAnsi="宋体" w:cs="宋体" w:eastAsia="宋体" w:hint="default"/>
                <w:sz w:val="18"/>
                <w:szCs w:val="18"/>
              </w:rPr>
            </w:pPr>
            <w:r>
              <w:rPr>
                <w:rFonts w:ascii="宋体" w:hAnsi="宋体" w:cs="宋体" w:eastAsia="宋体" w:hint="default"/>
                <w:sz w:val="18"/>
                <w:szCs w:val="18"/>
              </w:rPr>
              <w:t>（或本期金额）</w:t>
            </w:r>
          </w:p>
        </w:tc>
        <w:tc>
          <w:tcPr>
            <w:tcW w:w="1622" w:type="dxa"/>
            <w:tcBorders>
              <w:top w:val="nil" w:sz="6" w:space="0" w:color="auto"/>
              <w:left w:val="nil" w:sz="6" w:space="0" w:color="auto"/>
              <w:bottom w:val="nil" w:sz="6" w:space="0" w:color="auto"/>
              <w:right w:val="nil" w:sz="6" w:space="0" w:color="auto"/>
            </w:tcBorders>
          </w:tcPr>
          <w:p>
            <w:pPr>
              <w:pStyle w:val="TableParagraph"/>
              <w:spacing w:line="185" w:lineRule="exact"/>
              <w:ind w:left="146" w:right="0"/>
              <w:jc w:val="left"/>
              <w:rPr>
                <w:rFonts w:ascii="宋体" w:hAnsi="宋体" w:cs="宋体" w:eastAsia="宋体" w:hint="default"/>
                <w:sz w:val="18"/>
                <w:szCs w:val="18"/>
              </w:rPr>
            </w:pPr>
            <w:r>
              <w:rPr>
                <w:rFonts w:ascii="宋体" w:hAnsi="宋体" w:cs="宋体" w:eastAsia="宋体" w:hint="default"/>
                <w:sz w:val="18"/>
                <w:szCs w:val="18"/>
              </w:rPr>
              <w:t>（或上年金额）</w:t>
            </w:r>
          </w:p>
        </w:tc>
        <w:tc>
          <w:tcPr>
            <w:tcW w:w="1320" w:type="dxa"/>
            <w:tcBorders>
              <w:top w:val="nil" w:sz="6" w:space="0" w:color="auto"/>
              <w:left w:val="nil" w:sz="6" w:space="0" w:color="auto"/>
              <w:bottom w:val="nil" w:sz="6" w:space="0" w:color="auto"/>
              <w:right w:val="nil" w:sz="6" w:space="0" w:color="auto"/>
            </w:tcBorders>
          </w:tcPr>
          <w:p>
            <w:pPr/>
          </w:p>
        </w:tc>
        <w:tc>
          <w:tcPr>
            <w:tcW w:w="912" w:type="dxa"/>
            <w:tcBorders>
              <w:top w:val="nil" w:sz="6" w:space="0" w:color="auto"/>
              <w:left w:val="nil" w:sz="6" w:space="0" w:color="auto"/>
              <w:bottom w:val="nil" w:sz="6" w:space="0" w:color="auto"/>
              <w:right w:val="nil" w:sz="6" w:space="0" w:color="auto"/>
            </w:tcBorders>
          </w:tcPr>
          <w:p>
            <w:pPr/>
          </w:p>
        </w:tc>
      </w:tr>
      <w:tr>
        <w:trPr>
          <w:trHeight w:val="42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44"/>
              <w:jc w:val="right"/>
              <w:rPr>
                <w:rFonts w:ascii="Times New Roman" w:hAnsi="Times New Roman" w:cs="Times New Roman" w:eastAsia="Times New Roman" w:hint="default"/>
                <w:sz w:val="18"/>
                <w:szCs w:val="18"/>
              </w:rPr>
            </w:pPr>
            <w:r>
              <w:rPr>
                <w:rFonts w:ascii="Times New Roman"/>
                <w:sz w:val="18"/>
              </w:rPr>
              <w:t>36,215,245</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34"/>
              <w:jc w:val="right"/>
              <w:rPr>
                <w:rFonts w:ascii="Times New Roman" w:hAnsi="Times New Roman" w:cs="Times New Roman" w:eastAsia="Times New Roman" w:hint="default"/>
                <w:sz w:val="18"/>
                <w:szCs w:val="18"/>
              </w:rPr>
            </w:pPr>
            <w:r>
              <w:rPr>
                <w:rFonts w:ascii="Times New Roman"/>
                <w:sz w:val="18"/>
              </w:rPr>
              <w:t>12,798,400</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33"/>
              <w:jc w:val="right"/>
              <w:rPr>
                <w:rFonts w:ascii="Times New Roman" w:hAnsi="Times New Roman" w:cs="Times New Roman" w:eastAsia="Times New Roman" w:hint="default"/>
                <w:sz w:val="18"/>
                <w:szCs w:val="18"/>
              </w:rPr>
            </w:pPr>
            <w:r>
              <w:rPr>
                <w:rFonts w:ascii="Times New Roman"/>
                <w:sz w:val="18"/>
              </w:rPr>
              <w:t>182.97</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11"/>
              <w:ind w:left="79" w:right="0"/>
              <w:jc w:val="center"/>
              <w:rPr>
                <w:rFonts w:ascii="Times New Roman" w:hAnsi="Times New Roman" w:cs="Times New Roman" w:eastAsia="Times New Roman" w:hint="default"/>
                <w:sz w:val="18"/>
                <w:szCs w:val="18"/>
              </w:rPr>
            </w:pPr>
            <w:r>
              <w:rPr>
                <w:rFonts w:ascii="Times New Roman"/>
                <w:sz w:val="18"/>
              </w:rPr>
              <w:t>(1)</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14,262,836</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10,313,513</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sz w:val="18"/>
              </w:rPr>
              <w:t>38.29</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9" w:right="0"/>
              <w:jc w:val="center"/>
              <w:rPr>
                <w:rFonts w:ascii="Times New Roman" w:hAnsi="Times New Roman" w:cs="Times New Roman" w:eastAsia="Times New Roman" w:hint="default"/>
                <w:sz w:val="18"/>
                <w:szCs w:val="18"/>
              </w:rPr>
            </w:pPr>
            <w:r>
              <w:rPr>
                <w:rFonts w:ascii="Times New Roman"/>
                <w:sz w:val="18"/>
              </w:rPr>
              <w:t>(2)</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401,931,507</w:t>
            </w:r>
          </w:p>
        </w:tc>
        <w:tc>
          <w:tcPr>
            <w:tcW w:w="1622"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9" w:right="0"/>
              <w:jc w:val="center"/>
              <w:rPr>
                <w:rFonts w:ascii="Times New Roman" w:hAnsi="Times New Roman" w:cs="Times New Roman" w:eastAsia="Times New Roman" w:hint="default"/>
                <w:sz w:val="18"/>
                <w:szCs w:val="18"/>
              </w:rPr>
            </w:pPr>
            <w:r>
              <w:rPr>
                <w:rFonts w:ascii="Times New Roman"/>
                <w:sz w:val="18"/>
              </w:rPr>
              <w:t>(3)</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150,710,187</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283,406,306</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w w:val="95"/>
                <w:sz w:val="18"/>
              </w:rPr>
              <w:t>-46.82</w:t>
            </w:r>
            <w:r>
              <w:rPr>
                <w:rFonts w:ascii="Times New Roman"/>
                <w:sz w:val="18"/>
              </w:rPr>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8" w:right="0"/>
              <w:jc w:val="center"/>
              <w:rPr>
                <w:rFonts w:ascii="Times New Roman" w:hAnsi="Times New Roman" w:cs="Times New Roman" w:eastAsia="Times New Roman" w:hint="default"/>
                <w:sz w:val="18"/>
                <w:szCs w:val="18"/>
              </w:rPr>
            </w:pPr>
            <w:r>
              <w:rPr>
                <w:rFonts w:ascii="Times New Roman"/>
                <w:sz w:val="18"/>
              </w:rPr>
              <w:t>(4)</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307,799,158</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84,731,103</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sz w:val="18"/>
              </w:rPr>
              <w:t>263.27</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8" w:right="0"/>
              <w:jc w:val="center"/>
              <w:rPr>
                <w:rFonts w:ascii="Times New Roman" w:hAnsi="Times New Roman" w:cs="Times New Roman" w:eastAsia="Times New Roman" w:hint="default"/>
                <w:sz w:val="18"/>
                <w:szCs w:val="18"/>
              </w:rPr>
            </w:pPr>
            <w:r>
              <w:rPr>
                <w:rFonts w:ascii="Times New Roman"/>
                <w:sz w:val="18"/>
              </w:rPr>
              <w:t>(5)</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227,376,502</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144,880,456</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sz w:val="18"/>
              </w:rPr>
              <w:t>56.94</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8" w:right="0"/>
              <w:jc w:val="center"/>
              <w:rPr>
                <w:rFonts w:ascii="Times New Roman" w:hAnsi="Times New Roman" w:cs="Times New Roman" w:eastAsia="Times New Roman" w:hint="default"/>
                <w:sz w:val="18"/>
                <w:szCs w:val="18"/>
              </w:rPr>
            </w:pPr>
            <w:r>
              <w:rPr>
                <w:rFonts w:ascii="Times New Roman"/>
                <w:sz w:val="18"/>
              </w:rPr>
              <w:t>(6)</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470,000,000</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160,000,000</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sz w:val="18"/>
              </w:rPr>
              <w:t>193.75</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8" w:right="0"/>
              <w:jc w:val="center"/>
              <w:rPr>
                <w:rFonts w:ascii="Times New Roman" w:hAnsi="Times New Roman" w:cs="Times New Roman" w:eastAsia="Times New Roman" w:hint="default"/>
                <w:sz w:val="18"/>
                <w:szCs w:val="18"/>
              </w:rPr>
            </w:pPr>
            <w:r>
              <w:rPr>
                <w:rFonts w:ascii="Times New Roman"/>
                <w:sz w:val="18"/>
              </w:rPr>
              <w:t>(7)</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170,567</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1,227,304</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w w:val="95"/>
                <w:sz w:val="18"/>
              </w:rPr>
              <w:t>-86.10</w:t>
            </w:r>
            <w:r>
              <w:rPr>
                <w:rFonts w:ascii="Times New Roman"/>
                <w:sz w:val="18"/>
              </w:rPr>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8" w:right="0"/>
              <w:jc w:val="center"/>
              <w:rPr>
                <w:rFonts w:ascii="Times New Roman" w:hAnsi="Times New Roman" w:cs="Times New Roman" w:eastAsia="Times New Roman" w:hint="default"/>
                <w:sz w:val="18"/>
                <w:szCs w:val="18"/>
              </w:rPr>
            </w:pPr>
            <w:r>
              <w:rPr>
                <w:rFonts w:ascii="Times New Roman"/>
                <w:sz w:val="18"/>
              </w:rPr>
              <w:t>(8)</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83,204,957</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145,564,320</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w w:val="95"/>
                <w:sz w:val="18"/>
              </w:rPr>
              <w:t>-42.84</w:t>
            </w:r>
            <w:r>
              <w:rPr>
                <w:rFonts w:ascii="Times New Roman"/>
                <w:sz w:val="18"/>
              </w:rPr>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9" w:right="0"/>
              <w:jc w:val="center"/>
              <w:rPr>
                <w:rFonts w:ascii="Times New Roman" w:hAnsi="Times New Roman" w:cs="Times New Roman" w:eastAsia="Times New Roman" w:hint="default"/>
                <w:sz w:val="18"/>
                <w:szCs w:val="18"/>
              </w:rPr>
            </w:pPr>
            <w:r>
              <w:rPr>
                <w:rFonts w:ascii="Times New Roman"/>
                <w:sz w:val="18"/>
              </w:rPr>
              <w:t>(9)</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67,567,092</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685,326</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sz w:val="18"/>
              </w:rPr>
              <w:t>9759.12</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8" w:right="0"/>
              <w:jc w:val="center"/>
              <w:rPr>
                <w:rFonts w:ascii="Times New Roman" w:hAnsi="Times New Roman" w:cs="Times New Roman" w:eastAsia="Times New Roman" w:hint="default"/>
                <w:sz w:val="18"/>
                <w:szCs w:val="18"/>
              </w:rPr>
            </w:pPr>
            <w:r>
              <w:rPr>
                <w:rFonts w:ascii="Times New Roman"/>
                <w:sz w:val="18"/>
              </w:rPr>
              <w:t>(10)</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71,666</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21,336</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sz w:val="18"/>
              </w:rPr>
              <w:t>235.89</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8" w:right="0"/>
              <w:jc w:val="center"/>
              <w:rPr>
                <w:rFonts w:ascii="Times New Roman" w:hAnsi="Times New Roman" w:cs="Times New Roman" w:eastAsia="Times New Roman" w:hint="default"/>
                <w:sz w:val="18"/>
                <w:szCs w:val="18"/>
              </w:rPr>
            </w:pPr>
            <w:r>
              <w:rPr>
                <w:rFonts w:ascii="Times New Roman"/>
                <w:sz w:val="18"/>
              </w:rPr>
              <w:t>(11)</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673"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136,060,526</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8" w:right="0"/>
              <w:jc w:val="center"/>
              <w:rPr>
                <w:rFonts w:ascii="Times New Roman" w:hAnsi="Times New Roman" w:cs="Times New Roman" w:eastAsia="Times New Roman" w:hint="default"/>
                <w:sz w:val="18"/>
                <w:szCs w:val="18"/>
              </w:rPr>
            </w:pPr>
            <w:r>
              <w:rPr>
                <w:rFonts w:ascii="Times New Roman"/>
                <w:sz w:val="18"/>
              </w:rPr>
              <w:t>(12)</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403,658,667</w:t>
            </w:r>
          </w:p>
        </w:tc>
        <w:tc>
          <w:tcPr>
            <w:tcW w:w="1622" w:type="dxa"/>
            <w:tcBorders>
              <w:top w:val="nil" w:sz="6" w:space="0" w:color="auto"/>
              <w:left w:val="nil" w:sz="6" w:space="0" w:color="auto"/>
              <w:bottom w:val="nil" w:sz="6" w:space="0" w:color="auto"/>
              <w:right w:val="nil" w:sz="6" w:space="0" w:color="auto"/>
            </w:tcBorders>
          </w:tcPr>
          <w:p>
            <w:pPr/>
          </w:p>
        </w:tc>
        <w:tc>
          <w:tcPr>
            <w:tcW w:w="1320" w:type="dxa"/>
            <w:tcBorders>
              <w:top w:val="nil" w:sz="6" w:space="0" w:color="auto"/>
              <w:left w:val="nil" w:sz="6" w:space="0" w:color="auto"/>
              <w:bottom w:val="nil" w:sz="6" w:space="0" w:color="auto"/>
              <w:right w:val="nil" w:sz="6" w:space="0" w:color="auto"/>
            </w:tcBorders>
          </w:tcPr>
          <w:p>
            <w:pP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8" w:right="0"/>
              <w:jc w:val="center"/>
              <w:rPr>
                <w:rFonts w:ascii="Times New Roman" w:hAnsi="Times New Roman" w:cs="Times New Roman" w:eastAsia="Times New Roman" w:hint="default"/>
                <w:sz w:val="18"/>
                <w:szCs w:val="18"/>
              </w:rPr>
            </w:pPr>
            <w:r>
              <w:rPr>
                <w:rFonts w:ascii="Times New Roman"/>
                <w:sz w:val="18"/>
              </w:rPr>
              <w:t>(13)</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67"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pacing w:val="-1"/>
                <w:sz w:val="18"/>
              </w:rPr>
              <w:t>2,536,698,174</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pacing w:val="-1"/>
                <w:sz w:val="18"/>
              </w:rPr>
              <w:t>2,171,819,047</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sz w:val="18"/>
              </w:rPr>
              <w:t>16.80</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7" w:right="0"/>
              <w:jc w:val="center"/>
              <w:rPr>
                <w:rFonts w:ascii="Times New Roman" w:hAnsi="Times New Roman" w:cs="Times New Roman" w:eastAsia="Times New Roman" w:hint="default"/>
                <w:sz w:val="18"/>
                <w:szCs w:val="18"/>
              </w:rPr>
            </w:pPr>
            <w:r>
              <w:rPr>
                <w:rFonts w:ascii="Times New Roman"/>
                <w:sz w:val="18"/>
              </w:rPr>
              <w:t>(14)</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w w:val="95"/>
                <w:sz w:val="18"/>
              </w:rPr>
              <w:t>-48,565,779</w:t>
            </w:r>
            <w:r>
              <w:rPr>
                <w:rFonts w:ascii="Times New Roman"/>
                <w:sz w:val="18"/>
              </w:rPr>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w w:val="95"/>
                <w:sz w:val="18"/>
              </w:rPr>
              <w:t>-26,721,620</w:t>
            </w:r>
            <w:r>
              <w:rPr>
                <w:rFonts w:ascii="Times New Roman"/>
                <w:sz w:val="18"/>
              </w:rPr>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w w:val="95"/>
                <w:sz w:val="18"/>
              </w:rPr>
              <w:t>-81.75</w:t>
            </w:r>
            <w:r>
              <w:rPr>
                <w:rFonts w:ascii="Times New Roman"/>
                <w:sz w:val="18"/>
              </w:rPr>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7" w:right="0"/>
              <w:jc w:val="center"/>
              <w:rPr>
                <w:rFonts w:ascii="Times New Roman" w:hAnsi="Times New Roman" w:cs="Times New Roman" w:eastAsia="Times New Roman" w:hint="default"/>
                <w:sz w:val="18"/>
                <w:szCs w:val="18"/>
              </w:rPr>
            </w:pPr>
            <w:r>
              <w:rPr>
                <w:rFonts w:ascii="Times New Roman"/>
                <w:sz w:val="18"/>
              </w:rPr>
              <w:t>(15)</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pacing w:val="-1"/>
                <w:sz w:val="18"/>
              </w:rPr>
              <w:t>5,751,249,330</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pacing w:val="-1"/>
                <w:sz w:val="18"/>
              </w:rPr>
              <w:t>4,937,696,440</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sz w:val="18"/>
              </w:rPr>
              <w:t>16.48</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7" w:right="0"/>
              <w:jc w:val="center"/>
              <w:rPr>
                <w:rFonts w:ascii="Times New Roman" w:hAnsi="Times New Roman" w:cs="Times New Roman" w:eastAsia="Times New Roman" w:hint="default"/>
                <w:sz w:val="18"/>
                <w:szCs w:val="18"/>
              </w:rPr>
            </w:pPr>
            <w:r>
              <w:rPr>
                <w:rFonts w:ascii="Times New Roman"/>
                <w:sz w:val="18"/>
              </w:rPr>
              <w:t>(16)</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pacing w:val="-1"/>
                <w:sz w:val="18"/>
              </w:rPr>
              <w:t>4,004,998,405</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pacing w:val="-1"/>
                <w:sz w:val="18"/>
              </w:rPr>
              <w:t>3,383,628,845</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sz w:val="18"/>
              </w:rPr>
              <w:t>18.36</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7" w:right="0"/>
              <w:jc w:val="center"/>
              <w:rPr>
                <w:rFonts w:ascii="Times New Roman" w:hAnsi="Times New Roman" w:cs="Times New Roman" w:eastAsia="Times New Roman" w:hint="default"/>
                <w:sz w:val="18"/>
                <w:szCs w:val="18"/>
              </w:rPr>
            </w:pPr>
            <w:r>
              <w:rPr>
                <w:rFonts w:ascii="Times New Roman"/>
                <w:sz w:val="18"/>
              </w:rPr>
              <w:t>(17)</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497,920,161</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391,904,135</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sz w:val="18"/>
              </w:rPr>
              <w:t>27.05</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7" w:right="0"/>
              <w:jc w:val="center"/>
              <w:rPr>
                <w:rFonts w:ascii="Times New Roman" w:hAnsi="Times New Roman" w:cs="Times New Roman" w:eastAsia="Times New Roman" w:hint="default"/>
                <w:sz w:val="18"/>
                <w:szCs w:val="18"/>
              </w:rPr>
            </w:pPr>
            <w:r>
              <w:rPr>
                <w:rFonts w:ascii="Times New Roman"/>
                <w:sz w:val="18"/>
              </w:rPr>
              <w:t>(18)</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819,957,825</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713,916,675</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sz w:val="18"/>
              </w:rPr>
              <w:t>14.85</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7" w:right="0"/>
              <w:jc w:val="center"/>
              <w:rPr>
                <w:rFonts w:ascii="Times New Roman" w:hAnsi="Times New Roman" w:cs="Times New Roman" w:eastAsia="Times New Roman" w:hint="default"/>
                <w:sz w:val="18"/>
                <w:szCs w:val="18"/>
              </w:rPr>
            </w:pPr>
            <w:r>
              <w:rPr>
                <w:rFonts w:ascii="Times New Roman"/>
                <w:sz w:val="18"/>
              </w:rPr>
              <w:t>(19)</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23,649,196</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w w:val="95"/>
                <w:sz w:val="18"/>
              </w:rPr>
              <w:t>-356,749</w:t>
            </w:r>
            <w:r>
              <w:rPr>
                <w:rFonts w:ascii="Times New Roman"/>
                <w:sz w:val="18"/>
              </w:rPr>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sz w:val="18"/>
              </w:rPr>
              <w:t>6729.09</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8" w:right="0"/>
              <w:jc w:val="center"/>
              <w:rPr>
                <w:rFonts w:ascii="Times New Roman" w:hAnsi="Times New Roman" w:cs="Times New Roman" w:eastAsia="Times New Roman" w:hint="default"/>
                <w:sz w:val="18"/>
                <w:szCs w:val="18"/>
              </w:rPr>
            </w:pPr>
            <w:r>
              <w:rPr>
                <w:rFonts w:ascii="Times New Roman"/>
                <w:sz w:val="18"/>
              </w:rPr>
              <w:t>(20)</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41,405,012</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5,344,100</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sz w:val="18"/>
              </w:rPr>
              <w:t>674.78</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8" w:right="0"/>
              <w:jc w:val="center"/>
              <w:rPr>
                <w:rFonts w:ascii="Times New Roman" w:hAnsi="Times New Roman" w:cs="Times New Roman" w:eastAsia="Times New Roman" w:hint="default"/>
                <w:sz w:val="18"/>
                <w:szCs w:val="18"/>
              </w:rPr>
            </w:pPr>
            <w:r>
              <w:rPr>
                <w:rFonts w:ascii="Times New Roman"/>
                <w:sz w:val="18"/>
              </w:rPr>
              <w:t>(21)</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公允价值变动收益</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950,557</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w w:val="95"/>
                <w:sz w:val="18"/>
              </w:rPr>
              <w:t>-694,314</w:t>
            </w:r>
            <w:r>
              <w:rPr>
                <w:rFonts w:ascii="Times New Roman"/>
                <w:sz w:val="18"/>
              </w:rPr>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sz w:val="18"/>
              </w:rPr>
              <w:t>236.91</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7" w:right="0"/>
              <w:jc w:val="center"/>
              <w:rPr>
                <w:rFonts w:ascii="Times New Roman" w:hAnsi="Times New Roman" w:cs="Times New Roman" w:eastAsia="Times New Roman" w:hint="default"/>
                <w:sz w:val="18"/>
                <w:szCs w:val="18"/>
              </w:rPr>
            </w:pPr>
            <w:r>
              <w:rPr>
                <w:rFonts w:ascii="Times New Roman"/>
                <w:sz w:val="18"/>
              </w:rPr>
              <w:t>(22)</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188,085,954</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160,821,056</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sz w:val="18"/>
              </w:rPr>
              <w:t>16.95</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7" w:right="0"/>
              <w:jc w:val="center"/>
              <w:rPr>
                <w:rFonts w:ascii="Times New Roman" w:hAnsi="Times New Roman" w:cs="Times New Roman" w:eastAsia="Times New Roman" w:hint="default"/>
                <w:sz w:val="18"/>
                <w:szCs w:val="18"/>
              </w:rPr>
            </w:pPr>
            <w:r>
              <w:rPr>
                <w:rFonts w:ascii="Times New Roman"/>
                <w:sz w:val="18"/>
              </w:rPr>
              <w:t>(23)</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5,499,473</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8,207,608</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w w:val="95"/>
                <w:sz w:val="18"/>
              </w:rPr>
              <w:t>-33.00</w:t>
            </w:r>
            <w:r>
              <w:rPr>
                <w:rFonts w:ascii="Times New Roman"/>
                <w:sz w:val="18"/>
              </w:rPr>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7" w:right="0"/>
              <w:jc w:val="center"/>
              <w:rPr>
                <w:rFonts w:ascii="Times New Roman" w:hAnsi="Times New Roman" w:cs="Times New Roman" w:eastAsia="Times New Roman" w:hint="default"/>
                <w:sz w:val="18"/>
                <w:szCs w:val="18"/>
              </w:rPr>
            </w:pPr>
            <w:r>
              <w:rPr>
                <w:rFonts w:ascii="Times New Roman"/>
                <w:sz w:val="18"/>
              </w:rPr>
              <w:t>(24)</w:t>
            </w:r>
          </w:p>
        </w:tc>
      </w:tr>
      <w:tr>
        <w:trPr>
          <w:trHeight w:val="410" w:hRule="exact"/>
        </w:trPr>
        <w:tc>
          <w:tcPr>
            <w:tcW w:w="22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69,341,108</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52,802,832</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sz w:val="18"/>
              </w:rPr>
              <w:t>31.32</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78" w:right="0"/>
              <w:jc w:val="center"/>
              <w:rPr>
                <w:rFonts w:ascii="Times New Roman" w:hAnsi="Times New Roman" w:cs="Times New Roman" w:eastAsia="Times New Roman" w:hint="default"/>
                <w:sz w:val="18"/>
                <w:szCs w:val="18"/>
              </w:rPr>
            </w:pPr>
            <w:r>
              <w:rPr>
                <w:rFonts w:ascii="Times New Roman"/>
                <w:sz w:val="18"/>
              </w:rPr>
              <w:t>(25)</w:t>
            </w:r>
          </w:p>
        </w:tc>
      </w:tr>
      <w:tr>
        <w:trPr>
          <w:trHeight w:val="328" w:hRule="exact"/>
        </w:trPr>
        <w:tc>
          <w:tcPr>
            <w:tcW w:w="2292"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673"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44"/>
              <w:jc w:val="right"/>
              <w:rPr>
                <w:rFonts w:ascii="Times New Roman" w:hAnsi="Times New Roman" w:cs="Times New Roman" w:eastAsia="Times New Roman" w:hint="default"/>
                <w:sz w:val="18"/>
                <w:szCs w:val="18"/>
              </w:rPr>
            </w:pPr>
            <w:r>
              <w:rPr>
                <w:rFonts w:ascii="Times New Roman"/>
                <w:sz w:val="18"/>
              </w:rPr>
              <w:t>6,476,572</w:t>
            </w:r>
          </w:p>
        </w:tc>
        <w:tc>
          <w:tcPr>
            <w:tcW w:w="1622"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34"/>
              <w:jc w:val="right"/>
              <w:rPr>
                <w:rFonts w:ascii="Times New Roman" w:hAnsi="Times New Roman" w:cs="Times New Roman" w:eastAsia="Times New Roman" w:hint="default"/>
                <w:sz w:val="18"/>
                <w:szCs w:val="18"/>
              </w:rPr>
            </w:pPr>
            <w:r>
              <w:rPr>
                <w:rFonts w:ascii="Times New Roman"/>
                <w:sz w:val="18"/>
              </w:rPr>
              <w:t>22,627,318</w:t>
            </w:r>
          </w:p>
        </w:tc>
        <w:tc>
          <w:tcPr>
            <w:tcW w:w="1320"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right="133"/>
              <w:jc w:val="right"/>
              <w:rPr>
                <w:rFonts w:ascii="Times New Roman" w:hAnsi="Times New Roman" w:cs="Times New Roman" w:eastAsia="Times New Roman" w:hint="default"/>
                <w:sz w:val="18"/>
                <w:szCs w:val="18"/>
              </w:rPr>
            </w:pPr>
            <w:r>
              <w:rPr>
                <w:rFonts w:ascii="Times New Roman"/>
                <w:w w:val="95"/>
                <w:sz w:val="18"/>
              </w:rPr>
              <w:t>-71.38</w:t>
            </w:r>
            <w:r>
              <w:rPr>
                <w:rFonts w:ascii="Times New Roman"/>
                <w:sz w:val="18"/>
              </w:rPr>
            </w:r>
          </w:p>
        </w:tc>
        <w:tc>
          <w:tcPr>
            <w:tcW w:w="912" w:type="dxa"/>
            <w:tcBorders>
              <w:top w:val="nil" w:sz="6" w:space="0" w:color="auto"/>
              <w:left w:val="nil" w:sz="6" w:space="0" w:color="auto"/>
              <w:bottom w:val="single" w:sz="12" w:space="0" w:color="000000"/>
              <w:right w:val="nil" w:sz="6" w:space="0" w:color="auto"/>
            </w:tcBorders>
          </w:tcPr>
          <w:p>
            <w:pPr>
              <w:pStyle w:val="TableParagraph"/>
              <w:spacing w:line="240" w:lineRule="auto" w:before="101"/>
              <w:ind w:left="77" w:right="0"/>
              <w:jc w:val="center"/>
              <w:rPr>
                <w:rFonts w:ascii="Times New Roman" w:hAnsi="Times New Roman" w:cs="Times New Roman" w:eastAsia="Times New Roman" w:hint="default"/>
                <w:sz w:val="18"/>
                <w:szCs w:val="18"/>
              </w:rPr>
            </w:pPr>
            <w:r>
              <w:rPr>
                <w:rFonts w:ascii="Times New Roman"/>
                <w:sz w:val="18"/>
              </w:rPr>
              <w:t>(26)</w:t>
            </w:r>
          </w:p>
        </w:tc>
      </w:tr>
    </w:tbl>
    <w:p>
      <w:pPr>
        <w:spacing w:after="0" w:line="240" w:lineRule="auto"/>
        <w:jc w:val="center"/>
        <w:rPr>
          <w:rFonts w:ascii="Times New Roman" w:hAnsi="Times New Roman" w:cs="Times New Roman" w:eastAsia="Times New Roman" w:hint="default"/>
          <w:sz w:val="18"/>
          <w:szCs w:val="18"/>
        </w:rPr>
        <w:sectPr>
          <w:pgSz w:w="11910" w:h="16840"/>
          <w:pgMar w:header="883" w:footer="1003" w:top="1540" w:bottom="1200" w:left="1680" w:right="820"/>
        </w:sectPr>
      </w:pPr>
    </w:p>
    <w:p>
      <w:pPr>
        <w:spacing w:line="240" w:lineRule="auto" w:before="10"/>
        <w:rPr>
          <w:rFonts w:ascii="宋体" w:hAnsi="宋体" w:cs="宋体" w:eastAsia="宋体" w:hint="default"/>
          <w:sz w:val="8"/>
          <w:szCs w:val="8"/>
        </w:rPr>
      </w:pPr>
    </w:p>
    <w:p>
      <w:pPr>
        <w:pStyle w:val="Heading6"/>
        <w:spacing w:line="240" w:lineRule="auto"/>
        <w:ind w:left="1557" w:right="0"/>
        <w:jc w:val="both"/>
        <w:rPr>
          <w:b w:val="0"/>
          <w:bCs w:val="0"/>
        </w:rPr>
      </w:pPr>
      <w:r>
        <w:rPr/>
        <w:t>变动说明：</w:t>
      </w:r>
      <w:r>
        <w:rPr>
          <w:b w:val="0"/>
          <w:bCs w:val="0"/>
        </w:rPr>
      </w:r>
    </w:p>
    <w:p>
      <w:pPr>
        <w:pStyle w:val="BodyText"/>
        <w:spacing w:line="328" w:lineRule="auto" w:before="126"/>
        <w:ind w:left="1557" w:right="208" w:hanging="1"/>
        <w:jc w:val="both"/>
      </w:pPr>
      <w:r>
        <w:rPr/>
        <w:t>（</w:t>
      </w:r>
      <w:r>
        <w:rPr>
          <w:rFonts w:ascii="Times New Roman" w:hAnsi="Times New Roman" w:cs="Times New Roman" w:eastAsia="Times New Roman" w:hint="default"/>
        </w:rPr>
        <w:t>1</w:t>
      </w:r>
      <w:r>
        <w:rPr/>
        <w:t>）应收票据较年初增加 </w:t>
      </w:r>
      <w:r>
        <w:rPr>
          <w:rFonts w:ascii="Times New Roman" w:hAnsi="Times New Roman" w:cs="Times New Roman" w:eastAsia="Times New Roman" w:hint="default"/>
        </w:rPr>
        <w:t>2,342 </w:t>
      </w:r>
      <w:r>
        <w:rPr/>
        <w:t>万元，上升</w:t>
      </w:r>
      <w:r>
        <w:rPr>
          <w:spacing w:val="-68"/>
        </w:rPr>
        <w:t> </w:t>
      </w:r>
      <w:r>
        <w:rPr>
          <w:rFonts w:ascii="Times New Roman" w:hAnsi="Times New Roman" w:cs="Times New Roman" w:eastAsia="Times New Roman" w:hint="default"/>
        </w:rPr>
        <w:t>182.97%</w:t>
      </w:r>
      <w:r>
        <w:rPr/>
        <w:t>，主要由于报告期内收到客户 以银行承兑汇票形式的回款增加所致；</w:t>
      </w:r>
    </w:p>
    <w:p>
      <w:pPr>
        <w:pStyle w:val="BodyText"/>
        <w:spacing w:line="240" w:lineRule="auto" w:before="47"/>
        <w:ind w:left="1557" w:right="0"/>
        <w:jc w:val="both"/>
      </w:pPr>
      <w:r>
        <w:rPr>
          <w:spacing w:val="-4"/>
        </w:rPr>
        <w:t>（</w:t>
      </w:r>
      <w:r>
        <w:rPr>
          <w:rFonts w:ascii="Times New Roman" w:hAnsi="Times New Roman" w:cs="Times New Roman" w:eastAsia="Times New Roman" w:hint="default"/>
          <w:spacing w:val="-4"/>
        </w:rPr>
        <w:t>2</w:t>
      </w:r>
      <w:r>
        <w:rPr>
          <w:spacing w:val="-4"/>
        </w:rPr>
        <w:t>）其他流动资产较年初增加</w:t>
      </w:r>
      <w:r>
        <w:rPr>
          <w:spacing w:val="-53"/>
        </w:rPr>
        <w:t> </w:t>
      </w:r>
      <w:r>
        <w:rPr>
          <w:rFonts w:ascii="Times New Roman" w:hAnsi="Times New Roman" w:cs="Times New Roman" w:eastAsia="Times New Roman" w:hint="default"/>
        </w:rPr>
        <w:t>395</w:t>
      </w:r>
      <w:r>
        <w:rPr>
          <w:rFonts w:ascii="Times New Roman" w:hAnsi="Times New Roman" w:cs="Times New Roman" w:eastAsia="Times New Roman" w:hint="default"/>
          <w:spacing w:val="-1"/>
        </w:rPr>
        <w:t> </w:t>
      </w:r>
      <w:r>
        <w:rPr>
          <w:spacing w:val="-11"/>
        </w:rPr>
        <w:t>万元，上升</w:t>
      </w:r>
      <w:r>
        <w:rPr>
          <w:spacing w:val="-53"/>
        </w:rPr>
        <w:t> </w:t>
      </w:r>
      <w:r>
        <w:rPr>
          <w:rFonts w:ascii="Times New Roman" w:hAnsi="Times New Roman" w:cs="Times New Roman" w:eastAsia="Times New Roman" w:hint="default"/>
          <w:spacing w:val="-3"/>
        </w:rPr>
        <w:t>38.29%</w:t>
      </w:r>
      <w:r>
        <w:rPr>
          <w:spacing w:val="-3"/>
        </w:rPr>
        <w:t>，主要由于待摊费用增加所致；</w:t>
      </w:r>
    </w:p>
    <w:p>
      <w:pPr>
        <w:pStyle w:val="BodyText"/>
        <w:spacing w:line="240" w:lineRule="auto" w:before="110"/>
        <w:ind w:left="1557" w:right="0"/>
        <w:jc w:val="both"/>
      </w:pPr>
      <w:r>
        <w:rPr/>
        <w:t>（</w:t>
      </w:r>
      <w:r>
        <w:rPr>
          <w:rFonts w:ascii="Times New Roman" w:hAnsi="Times New Roman" w:cs="Times New Roman" w:eastAsia="Times New Roman" w:hint="default"/>
        </w:rPr>
        <w:t>3</w:t>
      </w:r>
      <w:r>
        <w:rPr/>
        <w:t>）持有至到期投资较年初增加</w:t>
      </w:r>
      <w:r>
        <w:rPr>
          <w:spacing w:val="-57"/>
        </w:rPr>
        <w:t> </w:t>
      </w:r>
      <w:r>
        <w:rPr>
          <w:rFonts w:ascii="Times New Roman" w:hAnsi="Times New Roman" w:cs="Times New Roman" w:eastAsia="Times New Roman" w:hint="default"/>
        </w:rPr>
        <w:t>40,193</w:t>
      </w:r>
      <w:r>
        <w:rPr>
          <w:rFonts w:ascii="Times New Roman" w:hAnsi="Times New Roman" w:cs="Times New Roman" w:eastAsia="Times New Roman" w:hint="default"/>
          <w:spacing w:val="-4"/>
        </w:rPr>
        <w:t> </w:t>
      </w:r>
      <w:r>
        <w:rPr/>
        <w:t>万元，主要本期购买银行理财产品所致；</w:t>
      </w:r>
    </w:p>
    <w:p>
      <w:pPr>
        <w:pStyle w:val="BodyText"/>
        <w:spacing w:line="331" w:lineRule="auto" w:before="109"/>
        <w:ind w:left="1557" w:right="207"/>
        <w:jc w:val="both"/>
      </w:pPr>
      <w:r>
        <w:rPr/>
        <w:t>（</w:t>
      </w:r>
      <w:r>
        <w:rPr>
          <w:rFonts w:ascii="Times New Roman" w:hAnsi="Times New Roman" w:cs="Times New Roman" w:eastAsia="Times New Roman" w:hint="default"/>
        </w:rPr>
        <w:t>4</w:t>
      </w:r>
      <w:r>
        <w:rPr/>
        <w:t>）长期应收款较年初减少 </w:t>
      </w:r>
      <w:r>
        <w:rPr>
          <w:rFonts w:ascii="Times New Roman" w:hAnsi="Times New Roman" w:cs="Times New Roman" w:eastAsia="Times New Roman" w:hint="default"/>
        </w:rPr>
        <w:t>13,270 </w:t>
      </w:r>
      <w:r>
        <w:rPr/>
        <w:t>万元，下降</w:t>
      </w:r>
      <w:r>
        <w:rPr>
          <w:spacing w:val="-67"/>
        </w:rPr>
        <w:t> </w:t>
      </w:r>
      <w:r>
        <w:rPr>
          <w:rFonts w:ascii="Times New Roman" w:hAnsi="Times New Roman" w:cs="Times New Roman" w:eastAsia="Times New Roman" w:hint="default"/>
        </w:rPr>
        <w:t>46.82%</w:t>
      </w:r>
      <w:r>
        <w:rPr/>
        <w:t>，主要由于报告期内收到成 </w:t>
      </w:r>
      <w:r>
        <w:rPr>
          <w:spacing w:val="-2"/>
        </w:rPr>
        <w:t>都东软信息技术职业学院（以下简称</w:t>
      </w:r>
      <w:r>
        <w:rPr>
          <w:rFonts w:ascii="Times New Roman" w:hAnsi="Times New Roman" w:cs="Times New Roman" w:eastAsia="Times New Roman" w:hint="default"/>
          <w:spacing w:val="-2"/>
        </w:rPr>
        <w:t>“</w:t>
      </w:r>
      <w:r>
        <w:rPr>
          <w:spacing w:val="-2"/>
        </w:rPr>
        <w:t>成都职业学院</w:t>
      </w:r>
      <w:r>
        <w:rPr>
          <w:rFonts w:ascii="Times New Roman" w:hAnsi="Times New Roman" w:cs="Times New Roman" w:eastAsia="Times New Roman" w:hint="default"/>
          <w:spacing w:val="-2"/>
        </w:rPr>
        <w:t>”</w:t>
      </w:r>
      <w:r>
        <w:rPr>
          <w:spacing w:val="-2"/>
        </w:rPr>
        <w:t>）支付的以前年度资产转让款所</w:t>
      </w:r>
      <w:r>
        <w:rPr>
          <w:spacing w:val="-99"/>
        </w:rPr>
        <w:t> </w:t>
      </w:r>
      <w:r>
        <w:rPr>
          <w:spacing w:val="-99"/>
        </w:rPr>
      </w:r>
      <w:r>
        <w:rPr/>
        <w:t>致；</w:t>
      </w:r>
    </w:p>
    <w:p>
      <w:pPr>
        <w:pStyle w:val="BodyText"/>
        <w:spacing w:line="328" w:lineRule="auto" w:before="45"/>
        <w:ind w:left="1557" w:right="207" w:hanging="1"/>
        <w:jc w:val="both"/>
      </w:pPr>
      <w:r>
        <w:rPr/>
        <w:t>（</w:t>
      </w:r>
      <w:r>
        <w:rPr>
          <w:rFonts w:ascii="Times New Roman" w:hAnsi="Times New Roman" w:cs="Times New Roman" w:eastAsia="Times New Roman" w:hint="default"/>
        </w:rPr>
        <w:t>5</w:t>
      </w:r>
      <w:r>
        <w:rPr/>
        <w:t>）在建工程较年初增加</w:t>
      </w:r>
      <w:r>
        <w:rPr>
          <w:spacing w:val="-58"/>
        </w:rPr>
        <w:t> </w:t>
      </w:r>
      <w:r>
        <w:rPr>
          <w:rFonts w:ascii="Times New Roman" w:hAnsi="Times New Roman" w:cs="Times New Roman" w:eastAsia="Times New Roman" w:hint="default"/>
        </w:rPr>
        <w:t>22,307</w:t>
      </w:r>
      <w:r>
        <w:rPr>
          <w:rFonts w:ascii="Times New Roman" w:hAnsi="Times New Roman" w:cs="Times New Roman" w:eastAsia="Times New Roman" w:hint="default"/>
          <w:spacing w:val="-5"/>
        </w:rPr>
        <w:t> </w:t>
      </w:r>
      <w:r>
        <w:rPr/>
        <w:t>万元，上升</w:t>
      </w:r>
      <w:r>
        <w:rPr>
          <w:spacing w:val="-58"/>
        </w:rPr>
        <w:t> </w:t>
      </w:r>
      <w:r>
        <w:rPr>
          <w:rFonts w:ascii="Times New Roman" w:hAnsi="Times New Roman" w:cs="Times New Roman" w:eastAsia="Times New Roman" w:hint="default"/>
        </w:rPr>
        <w:t>263.27%</w:t>
      </w:r>
      <w:r>
        <w:rPr/>
        <w:t>，主要由于报告期内新增北京 软件园等工程建设，以及继续投入上海软件园、广州软件园等工程建设所致；</w:t>
      </w:r>
    </w:p>
    <w:p>
      <w:pPr>
        <w:pStyle w:val="BodyText"/>
        <w:spacing w:line="336" w:lineRule="auto" w:before="48"/>
        <w:ind w:left="1557" w:right="93"/>
        <w:jc w:val="left"/>
      </w:pPr>
      <w:r>
        <w:rPr/>
        <w:t>（</w:t>
      </w:r>
      <w:r>
        <w:rPr>
          <w:rFonts w:ascii="Times New Roman" w:hAnsi="Times New Roman" w:cs="Times New Roman" w:eastAsia="Times New Roman" w:hint="default"/>
        </w:rPr>
        <w:t>6</w:t>
      </w:r>
      <w:r>
        <w:rPr/>
        <w:t>）商誉较年初增加</w:t>
      </w:r>
      <w:r>
        <w:rPr>
          <w:spacing w:val="-56"/>
        </w:rPr>
        <w:t> </w:t>
      </w:r>
      <w:r>
        <w:rPr>
          <w:rFonts w:ascii="Times New Roman" w:hAnsi="Times New Roman" w:cs="Times New Roman" w:eastAsia="Times New Roman" w:hint="default"/>
        </w:rPr>
        <w:t>8,250</w:t>
      </w:r>
      <w:r>
        <w:rPr>
          <w:rFonts w:ascii="Times New Roman" w:hAnsi="Times New Roman" w:cs="Times New Roman" w:eastAsia="Times New Roman" w:hint="default"/>
          <w:spacing w:val="-3"/>
        </w:rPr>
        <w:t> </w:t>
      </w:r>
      <w:r>
        <w:rPr/>
        <w:t>万元，上升</w:t>
      </w:r>
      <w:r>
        <w:rPr>
          <w:spacing w:val="-56"/>
        </w:rPr>
        <w:t> </w:t>
      </w:r>
      <w:r>
        <w:rPr>
          <w:rFonts w:ascii="Times New Roman" w:hAnsi="Times New Roman" w:cs="Times New Roman" w:eastAsia="Times New Roman" w:hint="default"/>
        </w:rPr>
        <w:t>56.94%</w:t>
      </w:r>
      <w:r>
        <w:rPr/>
        <w:t>，主要由于报告期内本公司之子公司 </w:t>
      </w:r>
      <w:r>
        <w:rPr>
          <w:spacing w:val="-3"/>
        </w:rPr>
        <w:t>东软集团（北京）有限公司购买北京望海康信科技有限公司（收购后更名为北京东软</w:t>
      </w:r>
      <w:r>
        <w:rPr>
          <w:spacing w:val="-90"/>
        </w:rPr>
        <w:t> </w:t>
      </w:r>
      <w:r>
        <w:rPr>
          <w:spacing w:val="-90"/>
        </w:rPr>
      </w:r>
      <w:r>
        <w:rPr>
          <w:spacing w:val="2"/>
        </w:rPr>
        <w:t>望海科技有限公司）</w:t>
      </w:r>
      <w:r>
        <w:rPr>
          <w:rFonts w:ascii="Times New Roman" w:hAnsi="Times New Roman" w:cs="Times New Roman" w:eastAsia="Times New Roman" w:hint="default"/>
          <w:spacing w:val="2"/>
        </w:rPr>
        <w:t>73.14%</w:t>
      </w:r>
      <w:r>
        <w:rPr>
          <w:spacing w:val="2"/>
        </w:rPr>
        <w:t>的股权，支付的对价高于应享有的可辨认净资产公允价</w:t>
      </w:r>
      <w:r>
        <w:rPr>
          <w:spacing w:val="-98"/>
        </w:rPr>
        <w:t> </w:t>
      </w:r>
      <w:r>
        <w:rPr>
          <w:spacing w:val="-98"/>
        </w:rPr>
      </w:r>
      <w:r>
        <w:rPr/>
        <w:t>值产生的商誉</w:t>
      </w:r>
      <w:r>
        <w:rPr>
          <w:spacing w:val="-60"/>
        </w:rPr>
        <w:t> </w:t>
      </w:r>
      <w:r>
        <w:rPr>
          <w:rFonts w:ascii="Times New Roman" w:hAnsi="Times New Roman" w:cs="Times New Roman" w:eastAsia="Times New Roman" w:hint="default"/>
          <w:spacing w:val="-1"/>
        </w:rPr>
        <w:t>9,995</w:t>
      </w:r>
      <w:r>
        <w:rPr>
          <w:rFonts w:ascii="Times New Roman" w:hAnsi="Times New Roman" w:cs="Times New Roman" w:eastAsia="Times New Roman" w:hint="default"/>
          <w:spacing w:val="-7"/>
        </w:rPr>
        <w:t> </w:t>
      </w:r>
      <w:r>
        <w:rPr>
          <w:spacing w:val="-5"/>
        </w:rPr>
        <w:t>万元。同时报告期内计提欧美并购业务的商誉减值损失</w:t>
      </w:r>
      <w:r>
        <w:rPr>
          <w:spacing w:val="-60"/>
        </w:rPr>
        <w:t> </w:t>
      </w:r>
      <w:r>
        <w:rPr>
          <w:rFonts w:ascii="Times New Roman" w:hAnsi="Times New Roman" w:cs="Times New Roman" w:eastAsia="Times New Roman" w:hint="default"/>
        </w:rPr>
        <w:t>898</w:t>
      </w:r>
      <w:r>
        <w:rPr>
          <w:rFonts w:ascii="Times New Roman" w:hAnsi="Times New Roman" w:cs="Times New Roman" w:eastAsia="Times New Roman" w:hint="default"/>
          <w:spacing w:val="-7"/>
        </w:rPr>
        <w:t> </w:t>
      </w:r>
      <w:r>
        <w:rPr/>
        <w:t>万元， 其余减少主要为汇率变动所致；</w:t>
      </w:r>
    </w:p>
    <w:p>
      <w:pPr>
        <w:pStyle w:val="BodyText"/>
        <w:spacing w:line="331" w:lineRule="auto" w:before="41"/>
        <w:ind w:left="1557" w:right="207" w:hanging="1"/>
        <w:jc w:val="both"/>
      </w:pPr>
      <w:r>
        <w:rPr/>
        <w:t>（</w:t>
      </w:r>
      <w:r>
        <w:rPr>
          <w:rFonts w:ascii="Times New Roman" w:hAnsi="Times New Roman" w:cs="Times New Roman" w:eastAsia="Times New Roman" w:hint="default"/>
        </w:rPr>
        <w:t>7</w:t>
      </w:r>
      <w:r>
        <w:rPr/>
        <w:t>）短期借款较年初增加</w:t>
      </w:r>
      <w:r>
        <w:rPr>
          <w:spacing w:val="-58"/>
        </w:rPr>
        <w:t> </w:t>
      </w:r>
      <w:r>
        <w:rPr>
          <w:rFonts w:ascii="Times New Roman" w:hAnsi="Times New Roman" w:cs="Times New Roman" w:eastAsia="Times New Roman" w:hint="default"/>
        </w:rPr>
        <w:t>31,000</w:t>
      </w:r>
      <w:r>
        <w:rPr>
          <w:rFonts w:ascii="Times New Roman" w:hAnsi="Times New Roman" w:cs="Times New Roman" w:eastAsia="Times New Roman" w:hint="default"/>
          <w:spacing w:val="-5"/>
        </w:rPr>
        <w:t> </w:t>
      </w:r>
      <w:r>
        <w:rPr/>
        <w:t>万元，上升</w:t>
      </w:r>
      <w:r>
        <w:rPr>
          <w:spacing w:val="-58"/>
        </w:rPr>
        <w:t> </w:t>
      </w:r>
      <w:r>
        <w:rPr>
          <w:rFonts w:ascii="Times New Roman" w:hAnsi="Times New Roman" w:cs="Times New Roman" w:eastAsia="Times New Roman" w:hint="default"/>
        </w:rPr>
        <w:t>193.75%</w:t>
      </w:r>
      <w:r>
        <w:rPr/>
        <w:t>，主要由于本公司较年初增加 </w:t>
      </w:r>
      <w:r>
        <w:rPr>
          <w:rFonts w:ascii="Times New Roman" w:hAnsi="Times New Roman" w:cs="Times New Roman" w:eastAsia="Times New Roman" w:hint="default"/>
          <w:spacing w:val="-1"/>
        </w:rPr>
        <w:t>12,000</w:t>
      </w:r>
      <w:r>
        <w:rPr>
          <w:rFonts w:ascii="Times New Roman" w:hAnsi="Times New Roman" w:cs="Times New Roman" w:eastAsia="Times New Roman" w:hint="default"/>
          <w:spacing w:val="23"/>
        </w:rPr>
        <w:t> </w:t>
      </w:r>
      <w:r>
        <w:rPr>
          <w:spacing w:val="-6"/>
        </w:rPr>
        <w:t>万元短期借款，以及本公司之子公司沈阳东软医疗系统有限公司（以下简称</w:t>
      </w:r>
      <w:r>
        <w:rPr>
          <w:rFonts w:ascii="Times New Roman" w:hAnsi="Times New Roman" w:cs="Times New Roman" w:eastAsia="Times New Roman" w:hint="default"/>
          <w:spacing w:val="-6"/>
        </w:rPr>
        <w:t>“</w:t>
      </w:r>
      <w:r>
        <w:rPr>
          <w:spacing w:val="-6"/>
        </w:rPr>
        <w:t>东</w:t>
      </w:r>
    </w:p>
    <w:p>
      <w:pPr>
        <w:pStyle w:val="BodyText"/>
        <w:spacing w:line="240" w:lineRule="auto" w:before="20"/>
        <w:ind w:left="1557" w:right="0"/>
        <w:jc w:val="both"/>
      </w:pPr>
      <w:r>
        <w:rPr/>
        <w:t>软医疗</w:t>
      </w:r>
      <w:r>
        <w:rPr>
          <w:rFonts w:ascii="Times New Roman" w:hAnsi="Times New Roman" w:cs="Times New Roman" w:eastAsia="Times New Roman" w:hint="default"/>
        </w:rPr>
        <w:t>”</w:t>
      </w:r>
      <w:r>
        <w:rPr/>
        <w:t>）较年初增加</w:t>
      </w:r>
      <w:r>
        <w:rPr>
          <w:spacing w:val="-56"/>
        </w:rPr>
        <w:t> </w:t>
      </w:r>
      <w:r>
        <w:rPr>
          <w:rFonts w:ascii="Times New Roman" w:hAnsi="Times New Roman" w:cs="Times New Roman" w:eastAsia="Times New Roman" w:hint="default"/>
        </w:rPr>
        <w:t>19,000</w:t>
      </w:r>
      <w:r>
        <w:rPr>
          <w:rFonts w:ascii="Times New Roman" w:hAnsi="Times New Roman" w:cs="Times New Roman" w:eastAsia="Times New Roman" w:hint="default"/>
          <w:spacing w:val="-3"/>
        </w:rPr>
        <w:t> </w:t>
      </w:r>
      <w:r>
        <w:rPr/>
        <w:t>万元短期借款所致；</w:t>
      </w:r>
    </w:p>
    <w:p>
      <w:pPr>
        <w:pStyle w:val="BodyText"/>
        <w:spacing w:line="336" w:lineRule="auto" w:before="109"/>
        <w:ind w:left="1557" w:right="208" w:hanging="1"/>
        <w:jc w:val="both"/>
      </w:pPr>
      <w:r>
        <w:rPr/>
        <w:t>（</w:t>
      </w:r>
      <w:r>
        <w:rPr>
          <w:rFonts w:ascii="Times New Roman" w:hAnsi="Times New Roman" w:cs="Times New Roman" w:eastAsia="Times New Roman" w:hint="default"/>
        </w:rPr>
        <w:t>8</w:t>
      </w:r>
      <w:r>
        <w:rPr/>
        <w:t>）交易性金融负债较年初减少 </w:t>
      </w:r>
      <w:r>
        <w:rPr>
          <w:rFonts w:ascii="Times New Roman" w:hAnsi="Times New Roman" w:cs="Times New Roman" w:eastAsia="Times New Roman" w:hint="default"/>
        </w:rPr>
        <w:t>106 </w:t>
      </w:r>
      <w:r>
        <w:rPr/>
        <w:t>万元，下降</w:t>
      </w:r>
      <w:r>
        <w:rPr>
          <w:spacing w:val="-66"/>
        </w:rPr>
        <w:t> </w:t>
      </w:r>
      <w:r>
        <w:rPr>
          <w:rFonts w:ascii="Times New Roman" w:hAnsi="Times New Roman" w:cs="Times New Roman" w:eastAsia="Times New Roman" w:hint="default"/>
        </w:rPr>
        <w:t>86.1%</w:t>
      </w:r>
      <w:r>
        <w:rPr/>
        <w:t>，主要由于本集团签订的外 </w:t>
      </w:r>
      <w:r>
        <w:rPr>
          <w:spacing w:val="-3"/>
        </w:rPr>
        <w:t>币远期结汇合同产生，外币远期结汇合同在报告期末根据公开市场汇率报价，分不同</w:t>
      </w:r>
      <w:r>
        <w:rPr>
          <w:spacing w:val="-89"/>
        </w:rPr>
        <w:t> </w:t>
      </w:r>
      <w:r>
        <w:rPr>
          <w:spacing w:val="-89"/>
        </w:rPr>
      </w:r>
      <w:r>
        <w:rPr>
          <w:spacing w:val="-5"/>
        </w:rPr>
        <w:t>外币币种分别计算，将预计浮动损失减少的</w:t>
      </w:r>
      <w:r>
        <w:rPr>
          <w:spacing w:val="-53"/>
        </w:rPr>
        <w:t> </w:t>
      </w:r>
      <w:r>
        <w:rPr>
          <w:rFonts w:ascii="Times New Roman" w:hAnsi="Times New Roman" w:cs="Times New Roman" w:eastAsia="Times New Roman" w:hint="default"/>
          <w:spacing w:val="-1"/>
        </w:rPr>
        <w:t>106 </w:t>
      </w:r>
      <w:r>
        <w:rPr/>
        <w:t>万元记入公允价值变动损益并减少交 易性金融负债；</w:t>
      </w:r>
    </w:p>
    <w:p>
      <w:pPr>
        <w:pStyle w:val="BodyText"/>
        <w:spacing w:line="328" w:lineRule="auto" w:before="42"/>
        <w:ind w:left="1557" w:right="208" w:hanging="1"/>
        <w:jc w:val="both"/>
      </w:pPr>
      <w:r>
        <w:rPr/>
        <w:t>（</w:t>
      </w:r>
      <w:r>
        <w:rPr>
          <w:rFonts w:ascii="Times New Roman" w:hAnsi="Times New Roman" w:cs="Times New Roman" w:eastAsia="Times New Roman" w:hint="default"/>
        </w:rPr>
        <w:t>9</w:t>
      </w:r>
      <w:r>
        <w:rPr/>
        <w:t>）应付票据较年初减少</w:t>
      </w:r>
      <w:r>
        <w:rPr>
          <w:spacing w:val="-58"/>
        </w:rPr>
        <w:t> </w:t>
      </w:r>
      <w:r>
        <w:rPr>
          <w:rFonts w:ascii="Times New Roman" w:hAnsi="Times New Roman" w:cs="Times New Roman" w:eastAsia="Times New Roman" w:hint="default"/>
        </w:rPr>
        <w:t>6,236</w:t>
      </w:r>
      <w:r>
        <w:rPr>
          <w:rFonts w:ascii="Times New Roman" w:hAnsi="Times New Roman" w:cs="Times New Roman" w:eastAsia="Times New Roman" w:hint="default"/>
          <w:spacing w:val="-5"/>
        </w:rPr>
        <w:t> </w:t>
      </w:r>
      <w:r>
        <w:rPr/>
        <w:t>万元，下降</w:t>
      </w:r>
      <w:r>
        <w:rPr>
          <w:spacing w:val="-58"/>
        </w:rPr>
        <w:t> </w:t>
      </w:r>
      <w:r>
        <w:rPr>
          <w:rFonts w:ascii="Times New Roman" w:hAnsi="Times New Roman" w:cs="Times New Roman" w:eastAsia="Times New Roman" w:hint="default"/>
        </w:rPr>
        <w:t>42.84%</w:t>
      </w:r>
      <w:r>
        <w:rPr/>
        <w:t>，主要由于年初银行承兑票据于 报告期内到期兑付所致；</w:t>
      </w:r>
    </w:p>
    <w:p>
      <w:pPr>
        <w:pStyle w:val="BodyText"/>
        <w:spacing w:line="331" w:lineRule="auto" w:before="47"/>
        <w:ind w:left="1557" w:right="208" w:hanging="1"/>
        <w:jc w:val="both"/>
      </w:pPr>
      <w:r>
        <w:rPr/>
        <w:t>（</w:t>
      </w:r>
      <w:r>
        <w:rPr>
          <w:rFonts w:ascii="Times New Roman" w:hAnsi="Times New Roman" w:cs="Times New Roman" w:eastAsia="Times New Roman" w:hint="default"/>
        </w:rPr>
        <w:t>10</w:t>
      </w:r>
      <w:r>
        <w:rPr/>
        <w:t>）应交税费较年初增加</w:t>
      </w:r>
      <w:r>
        <w:rPr>
          <w:spacing w:val="-74"/>
        </w:rPr>
        <w:t> </w:t>
      </w:r>
      <w:r>
        <w:rPr>
          <w:rFonts w:ascii="Times New Roman" w:hAnsi="Times New Roman" w:cs="Times New Roman" w:eastAsia="Times New Roman" w:hint="default"/>
        </w:rPr>
        <w:t>6,688</w:t>
      </w:r>
      <w:r>
        <w:rPr>
          <w:rFonts w:ascii="Times New Roman" w:hAnsi="Times New Roman" w:cs="Times New Roman" w:eastAsia="Times New Roman" w:hint="default"/>
          <w:spacing w:val="-21"/>
        </w:rPr>
        <w:t> </w:t>
      </w:r>
      <w:r>
        <w:rPr/>
        <w:t>万元，主要由于应交增值税及应交所得税同比增加 所致；</w:t>
      </w:r>
    </w:p>
    <w:p>
      <w:pPr>
        <w:pStyle w:val="BodyText"/>
        <w:spacing w:line="328" w:lineRule="auto" w:before="45"/>
        <w:ind w:left="1557" w:right="207"/>
        <w:jc w:val="both"/>
      </w:pPr>
      <w:r>
        <w:rPr/>
        <w:t>（</w:t>
      </w:r>
      <w:r>
        <w:rPr>
          <w:rFonts w:ascii="Times New Roman" w:hAnsi="Times New Roman" w:cs="Times New Roman" w:eastAsia="Times New Roman" w:hint="default"/>
        </w:rPr>
        <w:t>11</w:t>
      </w:r>
      <w:r>
        <w:rPr/>
        <w:t>）其他流动负债较年初增加</w:t>
      </w:r>
      <w:r>
        <w:rPr>
          <w:spacing w:val="-66"/>
        </w:rPr>
        <w:t> </w:t>
      </w:r>
      <w:r>
        <w:rPr>
          <w:rFonts w:ascii="Times New Roman" w:hAnsi="Times New Roman" w:cs="Times New Roman" w:eastAsia="Times New Roman" w:hint="default"/>
        </w:rPr>
        <w:t>5</w:t>
      </w:r>
      <w:r>
        <w:rPr>
          <w:rFonts w:ascii="Times New Roman" w:hAnsi="Times New Roman" w:cs="Times New Roman" w:eastAsia="Times New Roman" w:hint="default"/>
          <w:spacing w:val="-14"/>
        </w:rPr>
        <w:t> </w:t>
      </w:r>
      <w:r>
        <w:rPr>
          <w:spacing w:val="-4"/>
        </w:rPr>
        <w:t>万元，上升</w:t>
      </w:r>
      <w:r>
        <w:rPr>
          <w:spacing w:val="-66"/>
        </w:rPr>
        <w:t> </w:t>
      </w:r>
      <w:r>
        <w:rPr>
          <w:rFonts w:ascii="Times New Roman" w:hAnsi="Times New Roman" w:cs="Times New Roman" w:eastAsia="Times New Roman" w:hint="default"/>
        </w:rPr>
        <w:t>235.89%</w:t>
      </w:r>
      <w:r>
        <w:rPr/>
        <w:t>，主要由于预提费用同比增加 所致；</w:t>
      </w:r>
    </w:p>
    <w:p>
      <w:pPr>
        <w:pStyle w:val="BodyText"/>
        <w:spacing w:line="328" w:lineRule="auto" w:before="48"/>
        <w:ind w:left="1557" w:right="207"/>
        <w:jc w:val="both"/>
      </w:pPr>
      <w:r>
        <w:rPr/>
        <w:t>（</w:t>
      </w:r>
      <w:r>
        <w:rPr>
          <w:rFonts w:ascii="Times New Roman" w:hAnsi="Times New Roman" w:cs="Times New Roman" w:eastAsia="Times New Roman" w:hint="default"/>
        </w:rPr>
        <w:t>12</w:t>
      </w:r>
      <w:r>
        <w:rPr/>
        <w:t>）一年内到期的非流动负债较年初减少 </w:t>
      </w:r>
      <w:r>
        <w:rPr>
          <w:rFonts w:ascii="Times New Roman" w:hAnsi="Times New Roman" w:cs="Times New Roman" w:eastAsia="Times New Roman" w:hint="default"/>
        </w:rPr>
        <w:t>13,606 </w:t>
      </w:r>
      <w:r>
        <w:rPr/>
        <w:t>万元，下降</w:t>
      </w:r>
      <w:r>
        <w:rPr>
          <w:spacing w:val="-67"/>
        </w:rPr>
        <w:t> </w:t>
      </w:r>
      <w:r>
        <w:rPr>
          <w:rFonts w:ascii="Times New Roman" w:hAnsi="Times New Roman" w:cs="Times New Roman" w:eastAsia="Times New Roman" w:hint="default"/>
        </w:rPr>
        <w:t>100.00%</w:t>
      </w:r>
      <w:r>
        <w:rPr/>
        <w:t>，主要由于 </w:t>
      </w:r>
      <w:r>
        <w:rPr>
          <w:spacing w:val="-2"/>
        </w:rPr>
        <w:t>报告期内成都东软信息技术发展有限公司（以下简称</w:t>
      </w:r>
      <w:r>
        <w:rPr>
          <w:rFonts w:ascii="Times New Roman" w:hAnsi="Times New Roman" w:cs="Times New Roman" w:eastAsia="Times New Roman" w:hint="default"/>
          <w:spacing w:val="-2"/>
        </w:rPr>
        <w:t>“</w:t>
      </w:r>
      <w:r>
        <w:rPr>
          <w:spacing w:val="-2"/>
        </w:rPr>
        <w:t>成都东软发展</w:t>
      </w:r>
      <w:r>
        <w:rPr>
          <w:rFonts w:ascii="Times New Roman" w:hAnsi="Times New Roman" w:cs="Times New Roman" w:eastAsia="Times New Roman" w:hint="default"/>
          <w:spacing w:val="-2"/>
        </w:rPr>
        <w:t>”</w:t>
      </w:r>
      <w:r>
        <w:rPr>
          <w:spacing w:val="-2"/>
        </w:rPr>
        <w:t>）偿还政府无息</w:t>
      </w:r>
      <w:r>
        <w:rPr>
          <w:spacing w:val="-99"/>
        </w:rPr>
        <w:t> </w:t>
      </w:r>
      <w:r>
        <w:rPr>
          <w:spacing w:val="-99"/>
        </w:rPr>
      </w:r>
      <w:r>
        <w:rPr/>
        <w:t>贷款（即成都软件园三期基建项目政府无息贷款形式的专项资金）所致；</w:t>
      </w:r>
    </w:p>
    <w:p>
      <w:pPr>
        <w:spacing w:after="0" w:line="328" w:lineRule="auto"/>
        <w:jc w:val="both"/>
        <w:sectPr>
          <w:pgSz w:w="11910" w:h="16840"/>
          <w:pgMar w:header="883" w:footer="1003" w:top="1540" w:bottom="1200" w:left="1680" w:right="7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pStyle w:val="BodyText"/>
        <w:spacing w:line="240" w:lineRule="auto"/>
        <w:ind w:left="1557" w:right="0"/>
        <w:jc w:val="both"/>
      </w:pPr>
      <w:r>
        <w:rPr/>
        <w:t>（</w:t>
      </w:r>
      <w:r>
        <w:rPr>
          <w:rFonts w:ascii="Times New Roman" w:hAnsi="Times New Roman" w:cs="Times New Roman" w:eastAsia="Times New Roman" w:hint="default"/>
        </w:rPr>
        <w:t>13</w:t>
      </w:r>
      <w:r>
        <w:rPr/>
        <w:t>）应付债券较年初增加</w:t>
      </w:r>
      <w:r>
        <w:rPr>
          <w:spacing w:val="-38"/>
        </w:rPr>
        <w:t> </w:t>
      </w:r>
      <w:r>
        <w:rPr>
          <w:rFonts w:ascii="Times New Roman" w:hAnsi="Times New Roman" w:cs="Times New Roman" w:eastAsia="Times New Roman" w:hint="default"/>
        </w:rPr>
        <w:t>40,366</w:t>
      </w:r>
      <w:r>
        <w:rPr>
          <w:rFonts w:ascii="Times New Roman" w:hAnsi="Times New Roman" w:cs="Times New Roman" w:eastAsia="Times New Roman" w:hint="default"/>
          <w:spacing w:val="14"/>
        </w:rPr>
        <w:t> </w:t>
      </w:r>
      <w:r>
        <w:rPr/>
        <w:t>万元，主要由于报告期内本公司发行</w:t>
      </w:r>
      <w:r>
        <w:rPr>
          <w:spacing w:val="-38"/>
        </w:rPr>
        <w:t> </w:t>
      </w:r>
      <w:r>
        <w:rPr>
          <w:rFonts w:ascii="Times New Roman" w:hAnsi="Times New Roman" w:cs="Times New Roman" w:eastAsia="Times New Roman" w:hint="default"/>
        </w:rPr>
        <w:t>4</w:t>
      </w:r>
      <w:r>
        <w:rPr>
          <w:rFonts w:ascii="Times New Roman" w:hAnsi="Times New Roman" w:cs="Times New Roman" w:eastAsia="Times New Roman" w:hint="default"/>
          <w:spacing w:val="15"/>
        </w:rPr>
        <w:t> </w:t>
      </w:r>
      <w:r>
        <w:rPr/>
        <w:t>亿元中期</w:t>
      </w:r>
    </w:p>
    <w:p>
      <w:pPr>
        <w:pStyle w:val="BodyText"/>
        <w:spacing w:line="240" w:lineRule="auto" w:before="109"/>
        <w:ind w:left="1557" w:right="0"/>
        <w:jc w:val="both"/>
      </w:pPr>
      <w:r>
        <w:rPr/>
        <w:t>票据以及于年末预提的利息</w:t>
      </w:r>
      <w:r>
        <w:rPr>
          <w:spacing w:val="-55"/>
        </w:rPr>
        <w:t> </w:t>
      </w:r>
      <w:r>
        <w:rPr>
          <w:rFonts w:ascii="Times New Roman" w:hAnsi="Times New Roman" w:cs="Times New Roman" w:eastAsia="Times New Roman" w:hint="default"/>
        </w:rPr>
        <w:t>366</w:t>
      </w:r>
      <w:r>
        <w:rPr>
          <w:rFonts w:ascii="Times New Roman" w:hAnsi="Times New Roman" w:cs="Times New Roman" w:eastAsia="Times New Roman" w:hint="default"/>
          <w:spacing w:val="-2"/>
        </w:rPr>
        <w:t> </w:t>
      </w:r>
      <w:r>
        <w:rPr/>
        <w:t>万元所致；</w:t>
      </w:r>
    </w:p>
    <w:p>
      <w:pPr>
        <w:pStyle w:val="BodyText"/>
        <w:spacing w:line="331" w:lineRule="auto" w:before="109"/>
        <w:ind w:left="1557" w:right="148"/>
        <w:jc w:val="both"/>
      </w:pPr>
      <w:r>
        <w:rPr/>
        <w:t>（</w:t>
      </w:r>
      <w:r>
        <w:rPr>
          <w:rFonts w:ascii="Times New Roman" w:hAnsi="Times New Roman" w:cs="Times New Roman" w:eastAsia="Times New Roman" w:hint="default"/>
        </w:rPr>
        <w:t>14</w:t>
      </w:r>
      <w:r>
        <w:rPr/>
        <w:t>）未分配利润较年初增加</w:t>
      </w:r>
      <w:r>
        <w:rPr>
          <w:spacing w:val="-58"/>
        </w:rPr>
        <w:t> </w:t>
      </w:r>
      <w:r>
        <w:rPr>
          <w:rFonts w:ascii="Times New Roman" w:hAnsi="Times New Roman" w:cs="Times New Roman" w:eastAsia="Times New Roman" w:hint="default"/>
        </w:rPr>
        <w:t>36,488</w:t>
      </w:r>
      <w:r>
        <w:rPr>
          <w:rFonts w:ascii="Times New Roman" w:hAnsi="Times New Roman" w:cs="Times New Roman" w:eastAsia="Times New Roman" w:hint="default"/>
          <w:spacing w:val="-5"/>
        </w:rPr>
        <w:t> </w:t>
      </w:r>
      <w:r>
        <w:rPr/>
        <w:t>万元，上升</w:t>
      </w:r>
      <w:r>
        <w:rPr>
          <w:spacing w:val="-58"/>
        </w:rPr>
        <w:t> </w:t>
      </w:r>
      <w:r>
        <w:rPr>
          <w:rFonts w:ascii="Times New Roman" w:hAnsi="Times New Roman" w:cs="Times New Roman" w:eastAsia="Times New Roman" w:hint="default"/>
        </w:rPr>
        <w:t>16.80%</w:t>
      </w:r>
      <w:r>
        <w:rPr/>
        <w:t>，主要由于报告期内实现净 利润</w:t>
      </w:r>
      <w:r>
        <w:rPr>
          <w:spacing w:val="-54"/>
        </w:rPr>
        <w:t> </w:t>
      </w:r>
      <w:r>
        <w:rPr>
          <w:rFonts w:ascii="Times New Roman" w:hAnsi="Times New Roman" w:cs="Times New Roman" w:eastAsia="Times New Roman" w:hint="default"/>
        </w:rPr>
        <w:t>41,707</w:t>
      </w:r>
      <w:r>
        <w:rPr>
          <w:rFonts w:ascii="Times New Roman" w:hAnsi="Times New Roman" w:cs="Times New Roman" w:eastAsia="Times New Roman" w:hint="default"/>
          <w:spacing w:val="-2"/>
        </w:rPr>
        <w:t> </w:t>
      </w:r>
      <w:r>
        <w:rPr/>
        <w:t>万元所致；</w:t>
      </w:r>
    </w:p>
    <w:p>
      <w:pPr>
        <w:pStyle w:val="BodyText"/>
        <w:spacing w:line="331" w:lineRule="auto" w:before="20"/>
        <w:ind w:left="1557" w:right="147" w:hanging="1"/>
        <w:jc w:val="both"/>
      </w:pPr>
      <w:r>
        <w:rPr/>
        <w:t>（</w:t>
      </w:r>
      <w:r>
        <w:rPr>
          <w:rFonts w:ascii="Times New Roman" w:hAnsi="Times New Roman" w:cs="Times New Roman" w:eastAsia="Times New Roman" w:hint="default"/>
        </w:rPr>
        <w:t>15</w:t>
      </w:r>
      <w:r>
        <w:rPr/>
        <w:t>）外币报表折算差额较年初减少</w:t>
      </w:r>
      <w:r>
        <w:rPr>
          <w:spacing w:val="-56"/>
        </w:rPr>
        <w:t> </w:t>
      </w:r>
      <w:r>
        <w:rPr>
          <w:rFonts w:ascii="Times New Roman" w:hAnsi="Times New Roman" w:cs="Times New Roman" w:eastAsia="Times New Roman" w:hint="default"/>
        </w:rPr>
        <w:t>2,184</w:t>
      </w:r>
      <w:r>
        <w:rPr>
          <w:rFonts w:ascii="Times New Roman" w:hAnsi="Times New Roman" w:cs="Times New Roman" w:eastAsia="Times New Roman" w:hint="default"/>
          <w:spacing w:val="-3"/>
        </w:rPr>
        <w:t> </w:t>
      </w:r>
      <w:r>
        <w:rPr/>
        <w:t>万元，下降</w:t>
      </w:r>
      <w:r>
        <w:rPr>
          <w:spacing w:val="-56"/>
        </w:rPr>
        <w:t> </w:t>
      </w:r>
      <w:r>
        <w:rPr>
          <w:rFonts w:ascii="Times New Roman" w:hAnsi="Times New Roman" w:cs="Times New Roman" w:eastAsia="Times New Roman" w:hint="default"/>
        </w:rPr>
        <w:t>81.75%</w:t>
      </w:r>
      <w:r>
        <w:rPr/>
        <w:t>，</w:t>
      </w:r>
      <w:r>
        <w:rPr>
          <w:spacing w:val="-8"/>
        </w:rPr>
        <w:t> </w:t>
      </w:r>
      <w:r>
        <w:rPr/>
        <w:t>主要由于人民币兑</w:t>
      </w:r>
      <w:r>
        <w:rPr/>
        <w:t> </w:t>
      </w:r>
      <w:r>
        <w:rPr>
          <w:spacing w:val="-5"/>
        </w:rPr>
        <w:t>欧元汇率于年末升值较快，本公司之全资子公司东软（欧洲）有限公司（以下简称</w:t>
      </w:r>
      <w:r>
        <w:rPr>
          <w:rFonts w:ascii="Times New Roman" w:hAnsi="Times New Roman" w:cs="Times New Roman" w:eastAsia="Times New Roman" w:hint="default"/>
          <w:spacing w:val="-5"/>
        </w:rPr>
        <w:t>“</w:t>
      </w:r>
      <w:r>
        <w:rPr>
          <w:spacing w:val="-5"/>
        </w:rPr>
        <w:t>东</w:t>
      </w:r>
      <w:r>
        <w:rPr/>
        <w:t> </w:t>
      </w:r>
      <w:r>
        <w:rPr>
          <w:spacing w:val="-3"/>
        </w:rPr>
        <w:t>软欧洲</w:t>
      </w:r>
      <w:r>
        <w:rPr>
          <w:rFonts w:ascii="Times New Roman" w:hAnsi="Times New Roman" w:cs="Times New Roman" w:eastAsia="Times New Roman" w:hint="default"/>
          <w:spacing w:val="-3"/>
        </w:rPr>
        <w:t>”</w:t>
      </w:r>
      <w:r>
        <w:rPr>
          <w:spacing w:val="-3"/>
        </w:rPr>
        <w:t>）用于外币报表折算的年度平均汇率（</w:t>
      </w:r>
      <w:r>
        <w:rPr>
          <w:rFonts w:ascii="Times New Roman" w:hAnsi="Times New Roman" w:cs="Times New Roman" w:eastAsia="Times New Roman" w:hint="default"/>
          <w:spacing w:val="-3"/>
        </w:rPr>
        <w:t>9.0230</w:t>
      </w:r>
      <w:r>
        <w:rPr>
          <w:spacing w:val="-3"/>
        </w:rPr>
        <w:t>）与期末汇率（</w:t>
      </w:r>
      <w:r>
        <w:rPr>
          <w:rFonts w:ascii="Times New Roman" w:hAnsi="Times New Roman" w:cs="Times New Roman" w:eastAsia="Times New Roman" w:hint="default"/>
          <w:spacing w:val="-3"/>
        </w:rPr>
        <w:t>8.1625</w:t>
      </w:r>
      <w:r>
        <w:rPr>
          <w:spacing w:val="-3"/>
        </w:rPr>
        <w:t>）差异较</w:t>
      </w:r>
      <w:r>
        <w:rPr>
          <w:spacing w:val="-63"/>
        </w:rPr>
        <w:t> </w:t>
      </w:r>
      <w:r>
        <w:rPr>
          <w:spacing w:val="-63"/>
        </w:rPr>
      </w:r>
      <w:r>
        <w:rPr/>
        <w:t>大，使外币报表折算差额同比减少</w:t>
      </w:r>
      <w:r>
        <w:rPr>
          <w:spacing w:val="-56"/>
        </w:rPr>
        <w:t> </w:t>
      </w:r>
      <w:r>
        <w:rPr>
          <w:rFonts w:ascii="Times New Roman" w:hAnsi="Times New Roman" w:cs="Times New Roman" w:eastAsia="Times New Roman" w:hint="default"/>
        </w:rPr>
        <w:t>1,663</w:t>
      </w:r>
      <w:r>
        <w:rPr>
          <w:rFonts w:ascii="Times New Roman" w:hAnsi="Times New Roman" w:cs="Times New Roman" w:eastAsia="Times New Roman" w:hint="default"/>
          <w:spacing w:val="-3"/>
        </w:rPr>
        <w:t> </w:t>
      </w:r>
      <w:r>
        <w:rPr/>
        <w:t>万元所致；</w:t>
      </w:r>
    </w:p>
    <w:p>
      <w:pPr>
        <w:pStyle w:val="BodyText"/>
        <w:spacing w:line="331" w:lineRule="auto" w:before="20"/>
        <w:ind w:left="1557" w:right="148"/>
        <w:jc w:val="both"/>
      </w:pPr>
      <w:r>
        <w:rPr/>
        <w:t>（</w:t>
      </w:r>
      <w:r>
        <w:rPr>
          <w:rFonts w:ascii="Times New Roman" w:hAnsi="Times New Roman" w:cs="Times New Roman" w:eastAsia="Times New Roman" w:hint="default"/>
        </w:rPr>
        <w:t>16</w:t>
      </w:r>
      <w:r>
        <w:rPr/>
        <w:t>）营业收入较上年同期增加</w:t>
      </w:r>
      <w:r>
        <w:rPr>
          <w:spacing w:val="-58"/>
        </w:rPr>
        <w:t> </w:t>
      </w:r>
      <w:r>
        <w:rPr>
          <w:rFonts w:ascii="Times New Roman" w:hAnsi="Times New Roman" w:cs="Times New Roman" w:eastAsia="Times New Roman" w:hint="default"/>
        </w:rPr>
        <w:t>81,355</w:t>
      </w:r>
      <w:r>
        <w:rPr>
          <w:rFonts w:ascii="Times New Roman" w:hAnsi="Times New Roman" w:cs="Times New Roman" w:eastAsia="Times New Roman" w:hint="default"/>
          <w:spacing w:val="-5"/>
        </w:rPr>
        <w:t> </w:t>
      </w:r>
      <w:r>
        <w:rPr/>
        <w:t>万元，上升</w:t>
      </w:r>
      <w:r>
        <w:rPr>
          <w:spacing w:val="-58"/>
        </w:rPr>
        <w:t> </w:t>
      </w:r>
      <w:r>
        <w:rPr>
          <w:rFonts w:ascii="Times New Roman" w:hAnsi="Times New Roman" w:cs="Times New Roman" w:eastAsia="Times New Roman" w:hint="default"/>
        </w:rPr>
        <w:t>16.48%</w:t>
      </w:r>
      <w:r>
        <w:rPr/>
        <w:t>，主要由于报告期内公司 国内解决方案业务收入及国际软件业务收入较上年同期增长所致；</w:t>
      </w:r>
    </w:p>
    <w:p>
      <w:pPr>
        <w:pStyle w:val="BodyText"/>
        <w:spacing w:line="328" w:lineRule="auto" w:before="45"/>
        <w:ind w:left="1557" w:right="148"/>
        <w:jc w:val="both"/>
      </w:pPr>
      <w:r>
        <w:rPr/>
        <w:t>（</w:t>
      </w:r>
      <w:r>
        <w:rPr>
          <w:rFonts w:ascii="Times New Roman" w:hAnsi="Times New Roman" w:cs="Times New Roman" w:eastAsia="Times New Roman" w:hint="default"/>
        </w:rPr>
        <w:t>17</w:t>
      </w:r>
      <w:r>
        <w:rPr/>
        <w:t>）营业成本较上年同期增加 </w:t>
      </w:r>
      <w:r>
        <w:rPr>
          <w:rFonts w:ascii="Times New Roman" w:hAnsi="Times New Roman" w:cs="Times New Roman" w:eastAsia="Times New Roman" w:hint="default"/>
        </w:rPr>
        <w:t>62,137 </w:t>
      </w:r>
      <w:r>
        <w:rPr/>
        <w:t>万元，上升 </w:t>
      </w:r>
      <w:r>
        <w:rPr>
          <w:rFonts w:ascii="Times New Roman" w:hAnsi="Times New Roman" w:cs="Times New Roman" w:eastAsia="Times New Roman" w:hint="default"/>
        </w:rPr>
        <w:t>18.36%</w:t>
      </w:r>
      <w:r>
        <w:rPr/>
        <w:t>，</w:t>
      </w:r>
      <w:r>
        <w:rPr>
          <w:spacing w:val="-69"/>
        </w:rPr>
        <w:t> </w:t>
      </w:r>
      <w:r>
        <w:rPr/>
        <w:t>主要由于报告期内公</w:t>
      </w:r>
      <w:r>
        <w:rPr/>
        <w:t> 司营业收入同比上升的带动以及人工费用等成本增加所致；</w:t>
      </w:r>
    </w:p>
    <w:p>
      <w:pPr>
        <w:pStyle w:val="BodyText"/>
        <w:spacing w:line="328" w:lineRule="auto" w:before="48"/>
        <w:ind w:left="1557" w:right="148"/>
        <w:jc w:val="both"/>
      </w:pPr>
      <w:r>
        <w:rPr/>
        <w:t>（</w:t>
      </w:r>
      <w:r>
        <w:rPr>
          <w:rFonts w:ascii="Times New Roman" w:hAnsi="Times New Roman" w:cs="Times New Roman" w:eastAsia="Times New Roman" w:hint="default"/>
        </w:rPr>
        <w:t>18</w:t>
      </w:r>
      <w:r>
        <w:rPr/>
        <w:t>）销售费用较上年同期增加</w:t>
      </w:r>
      <w:r>
        <w:rPr>
          <w:spacing w:val="-58"/>
        </w:rPr>
        <w:t> </w:t>
      </w:r>
      <w:r>
        <w:rPr>
          <w:rFonts w:ascii="Times New Roman" w:hAnsi="Times New Roman" w:cs="Times New Roman" w:eastAsia="Times New Roman" w:hint="default"/>
        </w:rPr>
        <w:t>10,602</w:t>
      </w:r>
      <w:r>
        <w:rPr>
          <w:rFonts w:ascii="Times New Roman" w:hAnsi="Times New Roman" w:cs="Times New Roman" w:eastAsia="Times New Roman" w:hint="default"/>
          <w:spacing w:val="-5"/>
        </w:rPr>
        <w:t> </w:t>
      </w:r>
      <w:r>
        <w:rPr/>
        <w:t>万元，上升</w:t>
      </w:r>
      <w:r>
        <w:rPr>
          <w:spacing w:val="-58"/>
        </w:rPr>
        <w:t> </w:t>
      </w:r>
      <w:r>
        <w:rPr>
          <w:rFonts w:ascii="Times New Roman" w:hAnsi="Times New Roman" w:cs="Times New Roman" w:eastAsia="Times New Roman" w:hint="default"/>
        </w:rPr>
        <w:t>27.05%</w:t>
      </w:r>
      <w:r>
        <w:rPr/>
        <w:t>，主要由于随着公司业务 规模的不断扩大，市场开拓投入的增长所致；</w:t>
      </w:r>
    </w:p>
    <w:p>
      <w:pPr>
        <w:pStyle w:val="BodyText"/>
        <w:spacing w:line="331" w:lineRule="auto" w:before="47"/>
        <w:ind w:left="1557" w:right="148"/>
        <w:jc w:val="both"/>
      </w:pPr>
      <w:r>
        <w:rPr/>
        <w:t>（</w:t>
      </w:r>
      <w:r>
        <w:rPr>
          <w:rFonts w:ascii="Times New Roman" w:hAnsi="Times New Roman" w:cs="Times New Roman" w:eastAsia="Times New Roman" w:hint="default"/>
        </w:rPr>
        <w:t>19</w:t>
      </w:r>
      <w:r>
        <w:rPr/>
        <w:t>）管理费用较上年同期增加</w:t>
      </w:r>
      <w:r>
        <w:rPr>
          <w:spacing w:val="-59"/>
        </w:rPr>
        <w:t> </w:t>
      </w:r>
      <w:r>
        <w:rPr>
          <w:rFonts w:ascii="Times New Roman" w:hAnsi="Times New Roman" w:cs="Times New Roman" w:eastAsia="Times New Roman" w:hint="default"/>
        </w:rPr>
        <w:t>10,604</w:t>
      </w:r>
      <w:r>
        <w:rPr>
          <w:rFonts w:ascii="Times New Roman" w:hAnsi="Times New Roman" w:cs="Times New Roman" w:eastAsia="Times New Roman" w:hint="default"/>
          <w:spacing w:val="-6"/>
        </w:rPr>
        <w:t> </w:t>
      </w:r>
      <w:r>
        <w:rPr/>
        <w:t>万元，上升</w:t>
      </w:r>
      <w:r>
        <w:rPr>
          <w:spacing w:val="-59"/>
        </w:rPr>
        <w:t> </w:t>
      </w:r>
      <w:r>
        <w:rPr>
          <w:rFonts w:ascii="Times New Roman" w:hAnsi="Times New Roman" w:cs="Times New Roman" w:eastAsia="Times New Roman" w:hint="default"/>
        </w:rPr>
        <w:t>14.85%</w:t>
      </w:r>
      <w:r>
        <w:rPr/>
        <w:t>，主要由于人工费用、研 发费用等费用增加所致；</w:t>
      </w:r>
    </w:p>
    <w:p>
      <w:pPr>
        <w:pStyle w:val="BodyText"/>
        <w:spacing w:line="336" w:lineRule="auto" w:before="45"/>
        <w:ind w:left="1557" w:right="147"/>
        <w:jc w:val="both"/>
      </w:pPr>
      <w:r>
        <w:rPr/>
        <w:t>（</w:t>
      </w:r>
      <w:r>
        <w:rPr>
          <w:rFonts w:ascii="Times New Roman" w:hAnsi="Times New Roman" w:cs="Times New Roman" w:eastAsia="Times New Roman" w:hint="default"/>
        </w:rPr>
        <w:t>20</w:t>
      </w:r>
      <w:r>
        <w:rPr/>
        <w:t>）财务费用较上年同期增加 </w:t>
      </w:r>
      <w:r>
        <w:rPr>
          <w:rFonts w:ascii="Times New Roman" w:hAnsi="Times New Roman" w:cs="Times New Roman" w:eastAsia="Times New Roman" w:hint="default"/>
        </w:rPr>
        <w:t>2,401 </w:t>
      </w:r>
      <w:r>
        <w:rPr/>
        <w:t>万元，上升</w:t>
      </w:r>
      <w:r>
        <w:rPr>
          <w:spacing w:val="-68"/>
        </w:rPr>
        <w:t> </w:t>
      </w:r>
      <w:r>
        <w:rPr>
          <w:rFonts w:ascii="Times New Roman" w:hAnsi="Times New Roman" w:cs="Times New Roman" w:eastAsia="Times New Roman" w:hint="default"/>
        </w:rPr>
        <w:t>6729.09%</w:t>
      </w:r>
      <w:r>
        <w:rPr/>
        <w:t>，主要由于报告期内公 </w:t>
      </w:r>
      <w:r>
        <w:rPr>
          <w:spacing w:val="-3"/>
        </w:rPr>
        <w:t>司根据资金情况增加银行贷款，同时本公司报告期内发行中期票据于年底预提的利息</w:t>
      </w:r>
      <w:r>
        <w:rPr>
          <w:spacing w:val="-89"/>
        </w:rPr>
        <w:t> </w:t>
      </w:r>
      <w:r>
        <w:rPr>
          <w:spacing w:val="-89"/>
        </w:rPr>
      </w:r>
      <w:r>
        <w:rPr/>
        <w:t>及支付的承销费等，综合影响财务费用中利息支出和手续费支出同比增加</w:t>
      </w:r>
      <w:r>
        <w:rPr>
          <w:spacing w:val="-73"/>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0"/>
        </w:rPr>
        <w:t> </w:t>
      </w:r>
      <w:r>
        <w:rPr/>
        <w:t>万元 所致；</w:t>
      </w:r>
    </w:p>
    <w:p>
      <w:pPr>
        <w:pStyle w:val="BodyText"/>
        <w:spacing w:line="336" w:lineRule="auto" w:before="41"/>
        <w:ind w:left="1557" w:right="147"/>
        <w:jc w:val="both"/>
      </w:pPr>
      <w:r>
        <w:rPr/>
        <w:t>（</w:t>
      </w:r>
      <w:r>
        <w:rPr>
          <w:rFonts w:ascii="Times New Roman" w:hAnsi="Times New Roman" w:cs="Times New Roman" w:eastAsia="Times New Roman" w:hint="default"/>
        </w:rPr>
        <w:t>21</w:t>
      </w:r>
      <w:r>
        <w:rPr/>
        <w:t>）资产减值损失较上年同期增加</w:t>
      </w:r>
      <w:r>
        <w:rPr>
          <w:spacing w:val="-58"/>
        </w:rPr>
        <w:t> </w:t>
      </w:r>
      <w:r>
        <w:rPr>
          <w:rFonts w:ascii="Times New Roman" w:hAnsi="Times New Roman" w:cs="Times New Roman" w:eastAsia="Times New Roman" w:hint="default"/>
        </w:rPr>
        <w:t>3,606</w:t>
      </w:r>
      <w:r>
        <w:rPr>
          <w:rFonts w:ascii="Times New Roman" w:hAnsi="Times New Roman" w:cs="Times New Roman" w:eastAsia="Times New Roman" w:hint="default"/>
          <w:spacing w:val="-5"/>
        </w:rPr>
        <w:t> </w:t>
      </w:r>
      <w:r>
        <w:rPr/>
        <w:t>万元，上升</w:t>
      </w:r>
      <w:r>
        <w:rPr>
          <w:spacing w:val="-58"/>
        </w:rPr>
        <w:t> </w:t>
      </w:r>
      <w:r>
        <w:rPr>
          <w:rFonts w:ascii="Times New Roman" w:hAnsi="Times New Roman" w:cs="Times New Roman" w:eastAsia="Times New Roman" w:hint="default"/>
        </w:rPr>
        <w:t>674.78%</w:t>
      </w:r>
      <w:r>
        <w:rPr/>
        <w:t>，其中报告期末公司 </w:t>
      </w:r>
      <w:r>
        <w:rPr>
          <w:spacing w:val="-3"/>
        </w:rPr>
        <w:t>以应收账款余额及账龄为依据估计的应收账款减值损失同比增加，以及东软欧洲将预</w:t>
      </w:r>
      <w:r>
        <w:rPr>
          <w:spacing w:val="-89"/>
        </w:rPr>
        <w:t> </w:t>
      </w:r>
      <w:r>
        <w:rPr>
          <w:spacing w:val="-89"/>
        </w:rPr>
      </w:r>
      <w:r>
        <w:rPr/>
        <w:t>计不能收回的对</w:t>
      </w:r>
      <w:r>
        <w:rPr>
          <w:spacing w:val="-54"/>
        </w:rPr>
        <w:t> </w:t>
      </w:r>
      <w:r>
        <w:rPr>
          <w:rFonts w:ascii="Times New Roman" w:hAnsi="Times New Roman" w:cs="Times New Roman" w:eastAsia="Times New Roman" w:hint="default"/>
        </w:rPr>
        <w:t>Sesca</w:t>
      </w:r>
      <w:r>
        <w:rPr>
          <w:rFonts w:ascii="Times New Roman" w:hAnsi="Times New Roman" w:cs="Times New Roman" w:eastAsia="Times New Roman" w:hint="default"/>
          <w:spacing w:val="-1"/>
        </w:rPr>
        <w:t> </w:t>
      </w:r>
      <w:r>
        <w:rPr/>
        <w:t>的应收款项全额计提坏账损失</w:t>
      </w:r>
      <w:r>
        <w:rPr>
          <w:spacing w:val="-54"/>
        </w:rPr>
        <w:t> </w:t>
      </w:r>
      <w:r>
        <w:rPr>
          <w:rFonts w:ascii="Times New Roman" w:hAnsi="Times New Roman" w:cs="Times New Roman" w:eastAsia="Times New Roman" w:hint="default"/>
        </w:rPr>
        <w:t>885</w:t>
      </w:r>
      <w:r>
        <w:rPr>
          <w:rFonts w:ascii="Times New Roman" w:hAnsi="Times New Roman" w:cs="Times New Roman" w:eastAsia="Times New Roman" w:hint="default"/>
          <w:spacing w:val="-1"/>
        </w:rPr>
        <w:t> </w:t>
      </w:r>
      <w:r>
        <w:rPr>
          <w:spacing w:val="-4"/>
        </w:rPr>
        <w:t>万元；同时，上年同期成都</w:t>
      </w:r>
      <w:r>
        <w:rPr/>
        <w:t> </w:t>
      </w:r>
      <w:r>
        <w:rPr>
          <w:spacing w:val="2"/>
        </w:rPr>
        <w:t>东软发展根据实际情况判断转回了因四川地震专项计提的长期应收款坏账准备</w:t>
      </w:r>
      <w:r>
        <w:rPr>
          <w:spacing w:val="23"/>
        </w:rPr>
        <w:t> </w:t>
      </w:r>
      <w:r>
        <w:rPr>
          <w:rFonts w:ascii="Times New Roman" w:hAnsi="Times New Roman" w:cs="Times New Roman" w:eastAsia="Times New Roman" w:hint="default"/>
        </w:rPr>
        <w:t>660</w:t>
      </w:r>
      <w:r>
        <w:rPr>
          <w:rFonts w:ascii="Times New Roman" w:hAnsi="Times New Roman" w:cs="Times New Roman" w:eastAsia="Times New Roman" w:hint="default"/>
          <w:spacing w:val="-47"/>
        </w:rPr>
        <w:t> </w:t>
      </w:r>
      <w:r>
        <w:rPr>
          <w:rFonts w:ascii="Times New Roman" w:hAnsi="Times New Roman" w:cs="Times New Roman" w:eastAsia="Times New Roman" w:hint="default"/>
          <w:spacing w:val="-47"/>
        </w:rPr>
      </w:r>
      <w:r>
        <w:rPr/>
        <w:t>万元；</w:t>
      </w:r>
    </w:p>
    <w:p>
      <w:pPr>
        <w:pStyle w:val="BodyText"/>
        <w:spacing w:line="328" w:lineRule="auto" w:before="41"/>
        <w:ind w:left="1557" w:right="148" w:hanging="1"/>
        <w:jc w:val="both"/>
      </w:pPr>
      <w:r>
        <w:rPr/>
        <w:t>（</w:t>
      </w:r>
      <w:r>
        <w:rPr>
          <w:rFonts w:ascii="Times New Roman" w:hAnsi="Times New Roman" w:cs="Times New Roman" w:eastAsia="Times New Roman" w:hint="default"/>
        </w:rPr>
        <w:t>22</w:t>
      </w:r>
      <w:r>
        <w:rPr/>
        <w:t>）公允价值变动收益较上年同期增加</w:t>
      </w:r>
      <w:r>
        <w:rPr>
          <w:spacing w:val="-68"/>
        </w:rPr>
        <w:t> </w:t>
      </w:r>
      <w:r>
        <w:rPr>
          <w:rFonts w:ascii="Times New Roman" w:hAnsi="Times New Roman" w:cs="Times New Roman" w:eastAsia="Times New Roman" w:hint="default"/>
        </w:rPr>
        <w:t>164</w:t>
      </w:r>
      <w:r>
        <w:rPr>
          <w:rFonts w:ascii="Times New Roman" w:hAnsi="Times New Roman" w:cs="Times New Roman" w:eastAsia="Times New Roman" w:hint="default"/>
          <w:spacing w:val="-15"/>
        </w:rPr>
        <w:t> </w:t>
      </w:r>
      <w:r>
        <w:rPr>
          <w:spacing w:val="-4"/>
        </w:rPr>
        <w:t>万元，上升</w:t>
      </w:r>
      <w:r>
        <w:rPr>
          <w:spacing w:val="-68"/>
        </w:rPr>
        <w:t> </w:t>
      </w:r>
      <w:r>
        <w:rPr>
          <w:rFonts w:ascii="Times New Roman" w:hAnsi="Times New Roman" w:cs="Times New Roman" w:eastAsia="Times New Roman" w:hint="default"/>
        </w:rPr>
        <w:t>236.91%</w:t>
      </w:r>
      <w:r>
        <w:rPr/>
        <w:t>，主要由于外币远 期结汇合同公允价值变动所致；</w:t>
      </w:r>
    </w:p>
    <w:p>
      <w:pPr>
        <w:pStyle w:val="BodyText"/>
        <w:spacing w:line="328" w:lineRule="auto" w:before="48"/>
        <w:ind w:left="1557" w:right="147"/>
        <w:jc w:val="both"/>
      </w:pPr>
      <w:r>
        <w:rPr/>
        <w:t>（</w:t>
      </w:r>
      <w:r>
        <w:rPr>
          <w:rFonts w:ascii="Times New Roman" w:hAnsi="Times New Roman" w:cs="Times New Roman" w:eastAsia="Times New Roman" w:hint="default"/>
        </w:rPr>
        <w:t>23</w:t>
      </w:r>
      <w:r>
        <w:rPr/>
        <w:t>）营业外收入较上年同期增加 </w:t>
      </w:r>
      <w:r>
        <w:rPr>
          <w:rFonts w:ascii="Times New Roman" w:hAnsi="Times New Roman" w:cs="Times New Roman" w:eastAsia="Times New Roman" w:hint="default"/>
        </w:rPr>
        <w:t>2,726 </w:t>
      </w:r>
      <w:r>
        <w:rPr/>
        <w:t>万元，上升</w:t>
      </w:r>
      <w:r>
        <w:rPr>
          <w:spacing w:val="-67"/>
        </w:rPr>
        <w:t> </w:t>
      </w:r>
      <w:r>
        <w:rPr>
          <w:rFonts w:ascii="Times New Roman" w:hAnsi="Times New Roman" w:cs="Times New Roman" w:eastAsia="Times New Roman" w:hint="default"/>
        </w:rPr>
        <w:t>16.95%</w:t>
      </w:r>
      <w:r>
        <w:rPr/>
        <w:t>，主要由于报告期内本 公司用无形资产技术使用权出资购买 </w:t>
      </w:r>
      <w:r>
        <w:rPr>
          <w:rFonts w:ascii="Times New Roman" w:hAnsi="Times New Roman" w:cs="Times New Roman" w:eastAsia="Times New Roman" w:hint="default"/>
        </w:rPr>
        <w:t>Appconomy, Inc.</w:t>
      </w:r>
      <w:r>
        <w:rPr/>
        <w:t>股权确认营业外收入 </w:t>
      </w:r>
      <w:r>
        <w:rPr>
          <w:rFonts w:ascii="Times New Roman" w:hAnsi="Times New Roman" w:cs="Times New Roman" w:eastAsia="Times New Roman" w:hint="default"/>
        </w:rPr>
        <w:t>2,493</w:t>
      </w:r>
      <w:r>
        <w:rPr>
          <w:rFonts w:ascii="Times New Roman" w:hAnsi="Times New Roman" w:cs="Times New Roman" w:eastAsia="Times New Roman" w:hint="default"/>
          <w:spacing w:val="10"/>
        </w:rPr>
        <w:t> </w:t>
      </w:r>
      <w:r>
        <w:rPr/>
        <w:t>万 元；</w:t>
      </w:r>
    </w:p>
    <w:p>
      <w:pPr>
        <w:pStyle w:val="BodyText"/>
        <w:spacing w:line="328" w:lineRule="auto" w:before="48"/>
        <w:ind w:left="1557" w:right="148"/>
        <w:jc w:val="both"/>
      </w:pPr>
      <w:r>
        <w:rPr/>
        <w:t>（</w:t>
      </w:r>
      <w:r>
        <w:rPr>
          <w:rFonts w:ascii="Times New Roman" w:hAnsi="Times New Roman" w:cs="Times New Roman" w:eastAsia="Times New Roman" w:hint="default"/>
        </w:rPr>
        <w:t>24</w:t>
      </w:r>
      <w:r>
        <w:rPr/>
        <w:t>）营业外支出较上年同期减少 </w:t>
      </w:r>
      <w:r>
        <w:rPr>
          <w:rFonts w:ascii="Times New Roman" w:hAnsi="Times New Roman" w:cs="Times New Roman" w:eastAsia="Times New Roman" w:hint="default"/>
        </w:rPr>
        <w:t>271 </w:t>
      </w:r>
      <w:r>
        <w:rPr/>
        <w:t>万元，下降</w:t>
      </w:r>
      <w:r>
        <w:rPr>
          <w:spacing w:val="-67"/>
        </w:rPr>
        <w:t> </w:t>
      </w:r>
      <w:r>
        <w:rPr>
          <w:rFonts w:ascii="Times New Roman" w:hAnsi="Times New Roman" w:cs="Times New Roman" w:eastAsia="Times New Roman" w:hint="default"/>
        </w:rPr>
        <w:t>33.00%</w:t>
      </w:r>
      <w:r>
        <w:rPr/>
        <w:t>，主要由于上年同期东软 医疗支付诉讼赔款</w:t>
      </w:r>
      <w:r>
        <w:rPr>
          <w:spacing w:val="-54"/>
        </w:rPr>
        <w:t> </w:t>
      </w:r>
      <w:r>
        <w:rPr>
          <w:rFonts w:ascii="Times New Roman" w:hAnsi="Times New Roman" w:cs="Times New Roman" w:eastAsia="Times New Roman" w:hint="default"/>
        </w:rPr>
        <w:t>236</w:t>
      </w:r>
      <w:r>
        <w:rPr>
          <w:rFonts w:ascii="Times New Roman" w:hAnsi="Times New Roman" w:cs="Times New Roman" w:eastAsia="Times New Roman" w:hint="default"/>
          <w:spacing w:val="-2"/>
        </w:rPr>
        <w:t> </w:t>
      </w:r>
      <w:r>
        <w:rPr/>
        <w:t>万元；</w:t>
      </w:r>
    </w:p>
    <w:p>
      <w:pPr>
        <w:spacing w:after="0" w:line="328" w:lineRule="auto"/>
        <w:jc w:val="both"/>
        <w:sectPr>
          <w:pgSz w:w="11910" w:h="16840"/>
          <w:pgMar w:header="883" w:footer="1003" w:top="1540" w:bottom="1200" w:left="1680" w:right="84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pStyle w:val="BodyText"/>
        <w:spacing w:line="331" w:lineRule="auto"/>
        <w:ind w:left="1557" w:right="146"/>
        <w:jc w:val="both"/>
      </w:pPr>
      <w:r>
        <w:rPr/>
        <w:t>（</w:t>
      </w:r>
      <w:r>
        <w:rPr>
          <w:rFonts w:ascii="Times New Roman" w:hAnsi="Times New Roman" w:cs="Times New Roman" w:eastAsia="Times New Roman" w:hint="default"/>
        </w:rPr>
        <w:t>25</w:t>
      </w:r>
      <w:r>
        <w:rPr/>
        <w:t>）所得税费用较上年同期增加 </w:t>
      </w:r>
      <w:r>
        <w:rPr>
          <w:rFonts w:ascii="Times New Roman" w:hAnsi="Times New Roman" w:cs="Times New Roman" w:eastAsia="Times New Roman" w:hint="default"/>
        </w:rPr>
        <w:t>1,654 </w:t>
      </w:r>
      <w:r>
        <w:rPr/>
        <w:t>万元，上升</w:t>
      </w:r>
      <w:r>
        <w:rPr>
          <w:spacing w:val="-67"/>
        </w:rPr>
        <w:t> </w:t>
      </w:r>
      <w:r>
        <w:rPr>
          <w:rFonts w:ascii="Times New Roman" w:hAnsi="Times New Roman" w:cs="Times New Roman" w:eastAsia="Times New Roman" w:hint="default"/>
        </w:rPr>
        <w:t>31.32%</w:t>
      </w:r>
      <w:r>
        <w:rPr/>
        <w:t>，主要由于本公司之子 公司东软集团（大连）有限公司免税期已过，报告期内按应纳税所得额的</w:t>
      </w:r>
      <w:r>
        <w:rPr>
          <w:spacing w:val="33"/>
        </w:rPr>
        <w:t> </w:t>
      </w:r>
      <w:r>
        <w:rPr>
          <w:rFonts w:ascii="Times New Roman" w:hAnsi="Times New Roman" w:cs="Times New Roman" w:eastAsia="Times New Roman" w:hint="default"/>
        </w:rPr>
        <w:t>10%</w:t>
      </w:r>
      <w:r>
        <w:rPr/>
        <w:t>缴纳</w:t>
      </w:r>
      <w:r>
        <w:rPr>
          <w:spacing w:val="-100"/>
        </w:rPr>
        <w:t> </w:t>
      </w:r>
      <w:r>
        <w:rPr>
          <w:spacing w:val="-4"/>
        </w:rPr>
        <w:t>企业所得税，相应增加所得税费用</w:t>
      </w:r>
      <w:r>
        <w:rPr>
          <w:spacing w:val="-43"/>
        </w:rPr>
        <w:t> </w:t>
      </w:r>
      <w:r>
        <w:rPr>
          <w:rFonts w:ascii="Times New Roman" w:hAnsi="Times New Roman" w:cs="Times New Roman" w:eastAsia="Times New Roman" w:hint="default"/>
        </w:rPr>
        <w:t>948</w:t>
      </w:r>
      <w:r>
        <w:rPr>
          <w:rFonts w:ascii="Times New Roman" w:hAnsi="Times New Roman" w:cs="Times New Roman" w:eastAsia="Times New Roman" w:hint="default"/>
          <w:spacing w:val="10"/>
        </w:rPr>
        <w:t> </w:t>
      </w:r>
      <w:r>
        <w:rPr>
          <w:spacing w:val="-3"/>
        </w:rPr>
        <w:t>万元，以及本公司及盈利子公司应纳税所得额</w:t>
      </w:r>
      <w:r>
        <w:rPr>
          <w:spacing w:val="-103"/>
        </w:rPr>
        <w:t> </w:t>
      </w:r>
      <w:r>
        <w:rPr>
          <w:spacing w:val="-103"/>
        </w:rPr>
      </w:r>
      <w:r>
        <w:rPr/>
        <w:t>同比增加所致；</w:t>
      </w:r>
    </w:p>
    <w:p>
      <w:pPr>
        <w:pStyle w:val="BodyText"/>
        <w:spacing w:line="340" w:lineRule="auto" w:before="45"/>
        <w:ind w:left="1557" w:right="148" w:firstLine="105"/>
        <w:jc w:val="both"/>
      </w:pPr>
      <w:r>
        <w:rPr/>
        <w:t>（</w:t>
      </w:r>
      <w:r>
        <w:rPr>
          <w:rFonts w:ascii="Times New Roman" w:hAnsi="Times New Roman" w:cs="Times New Roman" w:eastAsia="Times New Roman" w:hint="default"/>
        </w:rPr>
        <w:t>26</w:t>
      </w:r>
      <w:r>
        <w:rPr/>
        <w:t>）少数股东损益较上年同期减少</w:t>
      </w:r>
      <w:r>
        <w:rPr>
          <w:spacing w:val="-58"/>
        </w:rPr>
        <w:t> </w:t>
      </w:r>
      <w:r>
        <w:rPr>
          <w:rFonts w:ascii="Times New Roman" w:hAnsi="Times New Roman" w:cs="Times New Roman" w:eastAsia="Times New Roman" w:hint="default"/>
        </w:rPr>
        <w:t>1,615</w:t>
      </w:r>
      <w:r>
        <w:rPr>
          <w:rFonts w:ascii="Times New Roman" w:hAnsi="Times New Roman" w:cs="Times New Roman" w:eastAsia="Times New Roman" w:hint="default"/>
          <w:spacing w:val="-5"/>
        </w:rPr>
        <w:t> </w:t>
      </w:r>
      <w:r>
        <w:rPr/>
        <w:t>万元，下降</w:t>
      </w:r>
      <w:r>
        <w:rPr>
          <w:spacing w:val="-58"/>
        </w:rPr>
        <w:t> </w:t>
      </w:r>
      <w:r>
        <w:rPr>
          <w:rFonts w:ascii="Times New Roman" w:hAnsi="Times New Roman" w:cs="Times New Roman" w:eastAsia="Times New Roman" w:hint="default"/>
        </w:rPr>
        <w:t>71.38%</w:t>
      </w:r>
      <w:r>
        <w:rPr/>
        <w:t>，主要由于上年同期 </w:t>
      </w:r>
      <w:r>
        <w:rPr>
          <w:spacing w:val="-3"/>
        </w:rPr>
        <w:t>成都东软发展资产向成都学院转让投资性房地产影响上年同期利润，使报告期内少数</w:t>
      </w:r>
      <w:r>
        <w:rPr>
          <w:spacing w:val="-89"/>
        </w:rPr>
        <w:t> </w:t>
      </w:r>
      <w:r>
        <w:rPr>
          <w:spacing w:val="-89"/>
        </w:rPr>
      </w:r>
      <w:r>
        <w:rPr/>
        <w:t>股东损益较上年同期减少所致。</w:t>
      </w:r>
    </w:p>
    <w:p>
      <w:pPr>
        <w:spacing w:line="240" w:lineRule="auto" w:before="0"/>
        <w:rPr>
          <w:rFonts w:ascii="宋体" w:hAnsi="宋体" w:cs="宋体" w:eastAsia="宋体" w:hint="default"/>
          <w:sz w:val="20"/>
          <w:szCs w:val="20"/>
        </w:rPr>
      </w:pPr>
    </w:p>
    <w:p>
      <w:pPr>
        <w:pStyle w:val="Heading6"/>
        <w:spacing w:line="240" w:lineRule="auto" w:before="174"/>
        <w:ind w:left="825" w:right="512"/>
        <w:jc w:val="left"/>
        <w:rPr>
          <w:b w:val="0"/>
          <w:bCs w:val="0"/>
        </w:rPr>
      </w:pPr>
      <w:r>
        <w:rPr/>
        <w:t>十五、</w:t>
      </w:r>
      <w:r>
        <w:rPr>
          <w:spacing w:val="-11"/>
        </w:rPr>
        <w:t> </w:t>
      </w:r>
      <w:r>
        <w:rPr/>
        <w:t>财务报表的批准报出</w:t>
      </w:r>
      <w:r>
        <w:rPr>
          <w:b w:val="0"/>
          <w:bCs w:val="0"/>
        </w:rPr>
      </w:r>
    </w:p>
    <w:p>
      <w:pPr>
        <w:pStyle w:val="BodyText"/>
        <w:spacing w:line="240" w:lineRule="auto" w:before="126"/>
        <w:ind w:left="1557" w:right="0"/>
        <w:jc w:val="both"/>
      </w:pPr>
      <w:r>
        <w:rPr/>
        <w:t>本财务报表业经公司董事会于</w:t>
      </w:r>
      <w:r>
        <w:rPr>
          <w:spacing w:val="-54"/>
        </w:rPr>
        <w:t> </w:t>
      </w:r>
      <w:r>
        <w:rPr>
          <w:rFonts w:ascii="Times New Roman" w:hAnsi="Times New Roman" w:cs="Times New Roman" w:eastAsia="Times New Roman" w:hint="default"/>
        </w:rPr>
        <w:t>2012</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29</w:t>
      </w:r>
      <w:r>
        <w:rPr>
          <w:rFonts w:ascii="Times New Roman" w:hAnsi="Times New Roman" w:cs="Times New Roman" w:eastAsia="Times New Roman" w:hint="default"/>
          <w:spacing w:val="-1"/>
        </w:rPr>
        <w:t> </w:t>
      </w:r>
      <w:r>
        <w:rPr/>
        <w:t>日批准报出。</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22"/>
          <w:szCs w:val="22"/>
        </w:rPr>
      </w:pPr>
    </w:p>
    <w:p>
      <w:pPr>
        <w:spacing w:before="0"/>
        <w:ind w:left="0" w:right="147" w:firstLine="0"/>
        <w:jc w:val="right"/>
        <w:rPr>
          <w:rFonts w:ascii="宋体" w:hAnsi="宋体" w:cs="宋体" w:eastAsia="宋体" w:hint="default"/>
          <w:sz w:val="24"/>
          <w:szCs w:val="24"/>
        </w:rPr>
      </w:pPr>
      <w:r>
        <w:rPr>
          <w:rFonts w:ascii="宋体" w:hAnsi="宋体" w:cs="宋体" w:eastAsia="宋体" w:hint="default"/>
          <w:b/>
          <w:bCs/>
          <w:sz w:val="24"/>
          <w:szCs w:val="24"/>
        </w:rPr>
        <w:t>东软集团股份有限公司</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pStyle w:val="Heading6"/>
        <w:spacing w:line="240" w:lineRule="auto" w:before="214"/>
        <w:ind w:left="0" w:right="148"/>
        <w:jc w:val="right"/>
        <w:rPr>
          <w:b w:val="0"/>
          <w:bCs w:val="0"/>
        </w:rPr>
      </w:pPr>
      <w:r>
        <w:rPr>
          <w:w w:val="95"/>
        </w:rPr>
        <w:t>二〇一二年三月二十九日</w:t>
      </w:r>
      <w:r>
        <w:rPr>
          <w:b w:val="0"/>
          <w:bCs w:val="0"/>
        </w:rPr>
      </w:r>
    </w:p>
    <w:sectPr>
      <w:pgSz w:w="11910" w:h="16840"/>
      <w:pgMar w:header="883" w:footer="1003" w:top="1540" w:bottom="1200" w:left="1680" w:right="8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Arial">
    <w:altName w:val="Arial"/>
    <w:charset w:val="0"/>
    <w:family w:val="swiss"/>
    <w:pitch w:val="variable"/>
  </w:font>
  <w:font w:name="黑体">
    <w:altName w:val="黑体"/>
    <w:charset w:val="86"/>
    <w:family w:val="modern"/>
    <w:pitch w:val="fixed"/>
  </w:font>
  <w:font w:name="宋体">
    <w:altName w:val="宋体"/>
    <w:charset w:val="86"/>
    <w:family w:val="auto"/>
    <w:pitch w:val="variable"/>
  </w:font>
  <w:font w:name="华文细黑">
    <w:altName w:val="华文细黑"/>
    <w:charset w:val="86"/>
    <w:family w:val="auto"/>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510.460297pt;margin-top:807.014832pt;width:15.45pt;height:11pt;mso-position-horizontal-relative:page;mso-position-vertical-relative:page;z-index:-1133560" type="#_x0000_t202" filled="false" stroked="false">
          <v:textbox inset="0,0,0,0">
            <w:txbxContent>
              <w:p>
                <w:pPr>
                  <w:spacing w:line="207" w:lineRule="exact" w:before="0"/>
                  <w:ind w:left="40" w:right="0" w:firstLine="0"/>
                  <w:jc w:val="left"/>
                  <w:rPr>
                    <w:rFonts w:ascii="Verdana" w:hAnsi="Verdana" w:cs="Verdana" w:eastAsia="Verdana" w:hint="default"/>
                    <w:sz w:val="18"/>
                    <w:szCs w:val="18"/>
                  </w:rPr>
                </w:pPr>
                <w:r>
                  <w:rPr>
                    <w:rFonts w:ascii="Verdana"/>
                    <w:sz w:val="18"/>
                  </w:rPr>
                </w:r>
                <w:r>
                  <w:rPr/>
                  <w:fldChar w:fldCharType="begin"/>
                </w:r>
                <w:r>
                  <w:rPr>
                    <w:rFonts w:ascii="Verdana"/>
                    <w:sz w:val="18"/>
                  </w:rPr>
                  <w:instrText> PAGE </w:instrText>
                </w:r>
                <w:r>
                  <w:rPr/>
                  <w:fldChar w:fldCharType="separate"/>
                </w:r>
                <w:r>
                  <w:rPr/>
                  <w:t>10</w:t>
                </w:r>
                <w:r>
                  <w:rPr/>
                  <w:fldChar w:fldCharType="end"/>
                </w:r>
                <w:r>
                  <w:rPr>
                    <w:rFonts w:ascii="Verdana"/>
                    <w:spacing w:val="-1"/>
                    <w:sz w:val="18"/>
                  </w:rPr>
                </w:r>
                <w:r>
                  <w:rPr>
                    <w:rFonts w:ascii="Verdana"/>
                    <w:sz w:val="18"/>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53.940002pt;margin-top:780.865295pt;width:91.95pt;height:11.5pt;mso-position-horizontal-relative:page;mso-position-vertical-relative:page;z-index:-113317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14</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53.940002pt;margin-top:780.865295pt;width:91.95pt;height:11.5pt;mso-position-horizontal-relative:page;mso-position-vertical-relative:page;z-index:-113315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53.940002pt;margin-top:780.865295pt;width:91.95pt;height:11.5pt;mso-position-horizontal-relative:page;mso-position-vertical-relative:page;z-index:-113312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17</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5.97049pt;margin-top:534.265503pt;width:91.95pt;height:11.5pt;mso-position-horizontal-relative:page;mso-position-vertical-relative:page;z-index:-11330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25</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57.720001pt;margin-top:780.865295pt;width:91.95pt;height:11.5pt;mso-position-horizontal-relative:page;mso-position-vertical-relative:page;z-index:-11329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37</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0.490509pt;margin-top:534.265503pt;width:91.95pt;height:11.5pt;mso-position-horizontal-relative:page;mso-position-vertical-relative:page;z-index:-11329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50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4.260010pt;margin-top:780.865295pt;width:91.95pt;height:11.5pt;mso-position-horizontal-relative:page;mso-position-vertical-relative:page;z-index:-11328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53</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4.260010pt;margin-top:780.865295pt;width:91.95pt;height:11.5pt;mso-position-horizontal-relative:page;mso-position-vertical-relative:page;z-index:-11328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57</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4.9505pt;margin-top:534.265503pt;width:91.95pt;height:11.5pt;mso-position-horizontal-relative:page;mso-position-vertical-relative:page;z-index:-113276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83</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5pt;margin-top:780.865295pt;width:91.95pt;height:11.5pt;mso-position-horizontal-relative:page;mso-position-vertical-relative:page;z-index:-113272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89</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220001pt;margin-top:780.865295pt;width:96.45pt;height:11.5pt;mso-position-horizontal-relative:page;mso-position-vertical-relative:page;z-index:-113269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220001pt;margin-top:780.865295pt;width:96.45pt;height:11.5pt;mso-position-horizontal-relative:page;mso-position-vertical-relative:page;z-index:-11326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101</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2.670502pt;margin-top:534.265503pt;width:96.45pt;height:11.5pt;mso-position-horizontal-relative:page;mso-position-vertical-relative:page;z-index:-113260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103</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7.600006pt;margin-top:780.865295pt;width:96.45pt;height:11.5pt;mso-position-horizontal-relative:page;mso-position-vertical-relative:page;z-index:-113252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106</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59.579712pt;margin-top:780.865295pt;width:69.5pt;height:11.5pt;mso-position-horizontal-relative:page;mso-position-vertical-relative:page;z-index:-11334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审计报告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w:t>
                </w:r>
                <w:r>
                  <w:rPr/>
                  <w:fldChar w:fldCharType="end"/>
                </w:r>
                <w:r>
                  <w:rPr>
                    <w:rFonts w:ascii="Times New Roman" w:hAnsi="Times New Roman" w:cs="Times New Roman" w:eastAsia="Times New Roman" w:hint="default"/>
                    <w:sz w:val="18"/>
                    <w:szCs w:val="18"/>
                  </w:rPr>
                  <w:t> </w:t>
                </w:r>
                <w:r>
                  <w:rPr>
                    <w:rFonts w:ascii="宋体" w:hAnsi="宋体" w:cs="宋体" w:eastAsia="宋体" w:hint="default"/>
                    <w:sz w:val="18"/>
                    <w:szCs w:val="18"/>
                  </w:rPr>
                  <w:t>页</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59.579712pt;margin-top:780.865295pt;width:69.5pt;height:11.5pt;mso-position-horizontal-relative:page;mso-position-vertical-relative:page;z-index:-11334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审计报告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2</w:t>
                </w:r>
                <w:r>
                  <w:rPr/>
                  <w:fldChar w:fldCharType="end"/>
                </w:r>
                <w:r>
                  <w:rPr>
                    <w:rFonts w:ascii="Times New Roman" w:hAnsi="Times New Roman" w:cs="Times New Roman" w:eastAsia="Times New Roman" w:hint="default"/>
                    <w:sz w:val="18"/>
                    <w:szCs w:val="18"/>
                  </w:rPr>
                  <w:t> </w:t>
                </w:r>
                <w:r>
                  <w:rPr>
                    <w:rFonts w:ascii="宋体" w:hAnsi="宋体" w:cs="宋体" w:eastAsia="宋体" w:hint="default"/>
                    <w:sz w:val="18"/>
                    <w:szCs w:val="18"/>
                  </w:rPr>
                  <w:t>页</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8.579712pt;margin-top:780.865295pt;width:51.45pt;height:11.5pt;mso-position-horizontal-relative:page;mso-position-vertical-relative:page;z-index:-113339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报表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4.270508pt;margin-top:534.265625pt;width:55.95pt;height:11.5pt;mso-position-horizontal-relative:page;mso-position-vertical-relative:page;z-index:-11333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报表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0.990501pt;margin-top:508.105835pt;width:101pt;height:11pt;mso-position-horizontal-relative:page;mso-position-vertical-relative:page;z-index:-113332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企业法定代表人：刘积仁</w:t>
                </w:r>
              </w:p>
            </w:txbxContent>
          </v:textbox>
          <w10:wrap type="none"/>
        </v:shape>
      </w:pict>
    </w:r>
    <w:r>
      <w:rPr/>
      <w:pict>
        <v:shape style="position:absolute;margin-left:318.490509pt;margin-top:508.105835pt;width:110pt;height:11pt;mso-position-horizontal-relative:page;mso-position-vertical-relative:page;z-index:-113329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主管会计工作负责人：王莉</w:t>
                </w:r>
              </w:p>
            </w:txbxContent>
          </v:textbox>
          <w10:wrap type="none"/>
        </v:shape>
      </w:pict>
    </w:r>
    <w:r>
      <w:rPr/>
      <w:pict>
        <v:shape style="position:absolute;margin-left:520.990479pt;margin-top:508.105835pt;width:92pt;height:11pt;mso-position-horizontal-relative:page;mso-position-vertical-relative:page;z-index:-113327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会计机构负责人：陈雷</w:t>
                </w:r>
              </w:p>
            </w:txbxContent>
          </v:textbox>
          <w10:wrap type="none"/>
        </v:shape>
      </w:pict>
    </w:r>
    <w:r>
      <w:rPr/>
      <w:pict>
        <v:shape style="position:absolute;margin-left:394.270508pt;margin-top:534.265625pt;width:55.95pt;height:11.5pt;mso-position-horizontal-relative:page;mso-position-vertical-relative:page;z-index:-11332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报表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12</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53.940002pt;margin-top:780.865295pt;width:91.95pt;height:11.5pt;mso-position-horizontal-relative:page;mso-position-vertical-relative:page;z-index:-113320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 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7.040009pt;margin-top:50.580002pt;width:141.72pt;height:17.82pt;mso-position-horizontal-relative:page;mso-position-vertical-relative:page;z-index:-1133584" type="#_x0000_t75" stroked="false">
          <v:imagedata r:id="rId1" o:titl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8.590515pt;margin-top:53.396561pt;width:107.4pt;height:12.5pt;mso-position-horizontal-relative:page;mso-position-vertical-relative:page;z-index:-1133368"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b/>
                    <w:bCs/>
                    <w:sz w:val="21"/>
                    <w:szCs w:val="21"/>
                  </w:rPr>
                  <w:t>东软集团股份有限公司</w:t>
                </w:r>
                <w:r>
                  <w:rPr>
                    <w:rFonts w:ascii="宋体" w:hAnsi="宋体" w:cs="宋体" w:eastAsia="宋体" w:hint="default"/>
                    <w:sz w:val="21"/>
                    <w:szCs w:val="21"/>
                  </w:rPr>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5pt;margin-top:43.165325pt;width:92pt;height:35.1pt;mso-position-horizontal-relative:page;mso-position-vertical-relative:page;z-index:-113322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73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79.800003pt;width:703.05pt;height:.1pt;mso-position-horizontal-relative:page;mso-position-vertical-relative:page;z-index:-1133104" coordorigin="1410,1596" coordsize="14061,2">
          <v:shape style="position:absolute;left:1410;top:1596;width:14061;height:2" coordorigin="1410,1596" coordsize="14061,0" path="m1410,1596l15470,1596e" filled="false" stroked="true" strokeweight=".48pt" strokecolor="#000000">
            <v:path arrowok="t"/>
          </v:shape>
          <w10:wrap type="none"/>
        </v:group>
      </w:pict>
    </w:r>
    <w:r>
      <w:rPr/>
      <w:pict>
        <v:shape style="position:absolute;margin-left:76.210503pt;margin-top:43.165627pt;width:92pt;height:35.1pt;mso-position-horizontal-relative:page;mso-position-vertical-relative:page;z-index:-113308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739"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pt;margin-top:79.800011pt;width:466.5pt;height:.1pt;mso-position-horizontal-relative:page;mso-position-vertical-relative:page;z-index:-1133032" coordorigin="1410,1596" coordsize="9330,2">
          <v:shape style="position:absolute;left:1410;top:1596;width:9330;height:2" coordorigin="1410,1596" coordsize="9330,0" path="m1410,1596l10740,1596e" filled="false" stroked="true" strokeweight=".47998pt" strokecolor="#000000">
            <v:path arrowok="t"/>
          </v:shape>
          <w10:wrap type="none"/>
        </v:group>
      </w:pict>
    </w:r>
    <w:r>
      <w:rPr/>
      <w:pict>
        <v:shape style="position:absolute;margin-left:71pt;margin-top:43.165325pt;width:92pt;height:35.1pt;mso-position-horizontal-relative:page;mso-position-vertical-relative:page;z-index:-113300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79.800003pt;width:732pt;height:.1pt;mso-position-horizontal-relative:page;mso-position-vertical-relative:page;z-index:-1132960" coordorigin="1410,1596" coordsize="14640,2">
          <v:shape style="position:absolute;left:1410;top:1596;width:14640;height:2" coordorigin="1410,1596" coordsize="14640,0" path="m1410,1596l16050,1596e" filled="false" stroked="true" strokeweight=".48pt" strokecolor="#000000">
            <v:path arrowok="t"/>
          </v:shape>
          <w10:wrap type="none"/>
        </v:group>
      </w:pict>
    </w:r>
    <w:r>
      <w:rPr/>
      <w:pict>
        <v:shape style="position:absolute;margin-left:70.990501pt;margin-top:43.165627pt;width:92pt;height:35.1pt;mso-position-horizontal-relative:page;mso-position-vertical-relative:page;z-index:-113293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8.879997pt;margin-top:43.165325pt;width:92pt;height:35.1pt;mso-position-horizontal-relative:page;mso-position-vertical-relative:page;z-index:-113288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79.800003pt;width:700.95pt;height:.1pt;mso-position-horizontal-relative:page;mso-position-vertical-relative:page;z-index:-1132816" coordorigin="1410,1596" coordsize="14019,2">
          <v:shape style="position:absolute;left:1410;top:1596;width:14019;height:2" coordorigin="1410,1596" coordsize="14019,0" path="m1410,1596l15428,1596e" filled="false" stroked="true" strokeweight=".48pt" strokecolor="#000000">
            <v:path arrowok="t"/>
          </v:shape>
          <w10:wrap type="none"/>
        </v:group>
      </w:pict>
    </w:r>
    <w:r>
      <w:rPr/>
      <w:pict>
        <v:shape style="position:absolute;margin-left:70.990501pt;margin-top:43.165627pt;width:92pt;height:35.1pt;mso-position-horizontal-relative:page;mso-position-vertical-relative:page;z-index:-113279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0pt;margin-top:43.165325pt;width:92pt;height:35.1pt;mso-position-horizontal-relative:page;mso-position-vertical-relative:page;z-index:-113274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79.800003pt;width:700.95pt;height:.1pt;mso-position-horizontal-relative:page;mso-position-vertical-relative:page;z-index:-1132648" coordorigin="1410,1596" coordsize="14019,2">
          <v:shape style="position:absolute;left:1410;top:1596;width:14019;height:2" coordorigin="1410,1596" coordsize="14019,0" path="m1410,1596l15428,1596e" filled="false" stroked="true" strokeweight=".48pt" strokecolor="#000000">
            <v:path arrowok="t"/>
          </v:shape>
          <w10:wrap type="none"/>
        </v:group>
      </w:pict>
    </w:r>
    <w:r>
      <w:rPr/>
      <w:pict>
        <v:shape style="position:absolute;margin-left:70.990501pt;margin-top:43.165627pt;width:92pt;height:35.1pt;mso-position-horizontal-relative:page;mso-position-vertical-relative:page;z-index:-113262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7.040009pt;margin-top:50.580002pt;width:141.72pt;height:17.82pt;mso-position-horizontal-relative:page;mso-position-vertical-relative:page;z-index:-1133536" type="#_x0000_t75" stroked="false">
          <v:imagedata r:id="rId1" o:titl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124.5pt;margin-top:79.800003pt;width:422.8pt;height:.1pt;mso-position-horizontal-relative:page;mso-position-vertical-relative:page;z-index:-1132576" coordorigin="2490,1596" coordsize="8456,2">
          <v:shape style="position:absolute;left:2490;top:1596;width:8456;height:2" coordorigin="2490,1596" coordsize="8456,0" path="m2490,1596l10945,1596e" filled="false" stroked="true" strokeweight=".48pt" strokecolor="#000000">
            <v:path arrowok="t"/>
          </v:shape>
          <w10:wrap type="none"/>
        </v:group>
      </w:pict>
    </w:r>
    <w:r>
      <w:rPr/>
      <w:pict>
        <v:shape style="position:absolute;margin-left:125pt;margin-top:43.165325pt;width:92pt;height:35.1pt;mso-position-horizontal-relative:page;mso-position-vertical-relative:page;z-index:-113255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东软集团股份有限公司</w:t>
                </w:r>
              </w:p>
              <w:p>
                <w:pPr>
                  <w:spacing w:line="242" w:lineRule="exact" w:before="21"/>
                  <w:ind w:left="20" w:right="7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7.040009pt;margin-top:50.580002pt;width:141.72pt;height:17.82pt;mso-position-horizontal-relative:page;mso-position-vertical-relative:page;z-index:-1133512" type="#_x0000_t75" stroked="false">
          <v:imagedata r:id="rId1" o:titl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7.040009pt;margin-top:50.580002pt;width:141.72pt;height:17.82pt;mso-position-horizontal-relative:page;mso-position-vertical-relative:page;z-index:-1133488" type="#_x0000_t75" stroked="false">
          <v:imagedata r:id="rId1" o:titl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43.139999pt;margin-top:51.708763pt;width:102.4pt;height:12.05pt;mso-position-horizontal-relative:page;mso-position-vertical-relative:page;z-index:-1133416" type="#_x0000_t202" filled="false" stroked="false">
          <v:textbox inset="0,0,0,0">
            <w:txbxContent>
              <w:p>
                <w:pPr>
                  <w:spacing w:line="220" w:lineRule="exact" w:before="0"/>
                  <w:ind w:left="20" w:right="0" w:firstLine="0"/>
                  <w:jc w:val="left"/>
                  <w:rPr>
                    <w:rFonts w:ascii="宋体" w:hAnsi="宋体" w:cs="宋体" w:eastAsia="宋体" w:hint="default"/>
                    <w:sz w:val="20"/>
                    <w:szCs w:val="20"/>
                  </w:rPr>
                </w:pPr>
                <w:r>
                  <w:rPr>
                    <w:rFonts w:ascii="宋体" w:hAnsi="宋体" w:cs="宋体" w:eastAsia="宋体" w:hint="default"/>
                    <w:b/>
                    <w:bCs/>
                    <w:sz w:val="20"/>
                    <w:szCs w:val="20"/>
                  </w:rPr>
                  <w:t>东软集团股份有限公司</w:t>
                </w:r>
                <w:r>
                  <w:rPr>
                    <w:rFonts w:ascii="宋体" w:hAnsi="宋体" w:cs="宋体" w:eastAsia="宋体" w:hint="default"/>
                    <w:sz w:val="20"/>
                    <w:szCs w:val="20"/>
                  </w:rPr>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76"/>
      <w:ind w:left="118"/>
    </w:pPr>
    <w:rPr>
      <w:rFonts w:ascii="宋体" w:hAnsi="宋体" w:eastAsia="宋体"/>
      <w:b/>
      <w:bCs/>
      <w:sz w:val="24"/>
      <w:szCs w:val="24"/>
    </w:rPr>
  </w:style>
  <w:style w:styleId="TOC2" w:type="paragraph">
    <w:name w:val="TOC 2"/>
    <w:basedOn w:val="Normal"/>
    <w:uiPriority w:val="1"/>
    <w:qFormat/>
    <w:pPr>
      <w:spacing w:before="76"/>
      <w:ind w:left="118"/>
    </w:pPr>
    <w:rPr>
      <w:rFonts w:ascii="宋体" w:hAnsi="宋体" w:eastAsia="宋体"/>
      <w:b/>
      <w:bCs/>
      <w:i/>
    </w:rPr>
  </w:style>
  <w:style w:styleId="BodyText" w:type="paragraph">
    <w:name w:val="Body Text"/>
    <w:basedOn w:val="Normal"/>
    <w:uiPriority w:val="1"/>
    <w:qFormat/>
    <w:pPr>
      <w:spacing w:before="35"/>
      <w:ind w:left="1405"/>
    </w:pPr>
    <w:rPr>
      <w:rFonts w:ascii="宋体" w:hAnsi="宋体" w:eastAsia="宋体"/>
      <w:sz w:val="21"/>
      <w:szCs w:val="21"/>
    </w:rPr>
  </w:style>
  <w:style w:styleId="Heading1" w:type="paragraph">
    <w:name w:val="Heading 1"/>
    <w:basedOn w:val="Normal"/>
    <w:uiPriority w:val="1"/>
    <w:qFormat/>
    <w:pPr>
      <w:spacing w:before="1"/>
      <w:ind w:left="1915"/>
      <w:outlineLvl w:val="1"/>
    </w:pPr>
    <w:rPr>
      <w:rFonts w:ascii="宋体" w:hAnsi="宋体" w:eastAsia="宋体"/>
      <w:b/>
      <w:bCs/>
      <w:sz w:val="32"/>
      <w:szCs w:val="32"/>
    </w:rPr>
  </w:style>
  <w:style w:styleId="Heading2" w:type="paragraph">
    <w:name w:val="Heading 2"/>
    <w:basedOn w:val="Normal"/>
    <w:uiPriority w:val="1"/>
    <w:qFormat/>
    <w:pPr>
      <w:spacing w:before="13"/>
      <w:ind w:left="118"/>
      <w:outlineLvl w:val="2"/>
    </w:pPr>
    <w:rPr>
      <w:rFonts w:ascii="黑体" w:hAnsi="黑体" w:eastAsia="黑体"/>
      <w:b/>
      <w:bCs/>
      <w:sz w:val="28"/>
      <w:szCs w:val="28"/>
    </w:rPr>
  </w:style>
  <w:style w:styleId="Heading3" w:type="paragraph">
    <w:name w:val="Heading 3"/>
    <w:basedOn w:val="Normal"/>
    <w:uiPriority w:val="1"/>
    <w:qFormat/>
    <w:pPr>
      <w:ind w:left="117"/>
      <w:outlineLvl w:val="3"/>
    </w:pPr>
    <w:rPr>
      <w:rFonts w:ascii="宋体" w:hAnsi="宋体" w:eastAsia="宋体"/>
      <w:sz w:val="28"/>
      <w:szCs w:val="28"/>
    </w:rPr>
  </w:style>
  <w:style w:styleId="Heading4" w:type="paragraph">
    <w:name w:val="Heading 4"/>
    <w:basedOn w:val="Normal"/>
    <w:uiPriority w:val="1"/>
    <w:qFormat/>
    <w:pPr>
      <w:spacing w:before="26"/>
      <w:ind w:left="118"/>
      <w:outlineLvl w:val="4"/>
    </w:pPr>
    <w:rPr>
      <w:rFonts w:ascii="宋体" w:hAnsi="宋体" w:eastAsia="宋体"/>
      <w:b/>
      <w:bCs/>
      <w:sz w:val="24"/>
      <w:szCs w:val="24"/>
    </w:rPr>
  </w:style>
  <w:style w:styleId="Heading5" w:type="paragraph">
    <w:name w:val="Heading 5"/>
    <w:basedOn w:val="Normal"/>
    <w:uiPriority w:val="1"/>
    <w:qFormat/>
    <w:pPr>
      <w:ind w:left="118"/>
      <w:outlineLvl w:val="5"/>
    </w:pPr>
    <w:rPr>
      <w:rFonts w:ascii="宋体" w:hAnsi="宋体" w:eastAsia="宋体"/>
      <w:sz w:val="24"/>
      <w:szCs w:val="24"/>
    </w:rPr>
  </w:style>
  <w:style w:styleId="Heading6" w:type="paragraph">
    <w:name w:val="Heading 6"/>
    <w:basedOn w:val="Normal"/>
    <w:uiPriority w:val="1"/>
    <w:qFormat/>
    <w:pPr>
      <w:spacing w:before="35"/>
      <w:ind w:left="857"/>
      <w:outlineLvl w:val="6"/>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mailto:investor@neusoft.com" TargetMode="External"/><Relationship Id="rId9" Type="http://schemas.openxmlformats.org/officeDocument/2006/relationships/hyperlink" Target="http://www.neusoft.com/" TargetMode="External"/><Relationship Id="rId10" Type="http://schemas.openxmlformats.org/officeDocument/2006/relationships/hyperlink" Target="http://www.sse.com.cn/" TargetMode="External"/><Relationship Id="rId11" Type="http://schemas.openxmlformats.org/officeDocument/2006/relationships/image" Target="media/image3.png"/><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hyperlink" Target="http://www.chinamoney.com.cn/" TargetMode="External"/><Relationship Id="rId15" Type="http://schemas.openxmlformats.org/officeDocument/2006/relationships/hyperlink" Target="http://www.chinabond.com.cn/" TargetMode="Externa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2.xml"/><Relationship Id="rId19" Type="http://schemas.openxmlformats.org/officeDocument/2006/relationships/header" Target="header6.xml"/><Relationship Id="rId20" Type="http://schemas.openxmlformats.org/officeDocument/2006/relationships/footer" Target="footer3.xml"/><Relationship Id="rId21" Type="http://schemas.openxmlformats.org/officeDocument/2006/relationships/header" Target="header7.xml"/><Relationship Id="rId22" Type="http://schemas.openxmlformats.org/officeDocument/2006/relationships/footer" Target="footer4.xml"/><Relationship Id="rId23" Type="http://schemas.openxmlformats.org/officeDocument/2006/relationships/header" Target="header8.xml"/><Relationship Id="rId24" Type="http://schemas.openxmlformats.org/officeDocument/2006/relationships/footer" Target="footer5.xml"/><Relationship Id="rId25" Type="http://schemas.openxmlformats.org/officeDocument/2006/relationships/header" Target="header9.xml"/><Relationship Id="rId26" Type="http://schemas.openxmlformats.org/officeDocument/2006/relationships/footer" Target="footer6.xml"/><Relationship Id="rId27" Type="http://schemas.openxmlformats.org/officeDocument/2006/relationships/header" Target="header10.xml"/><Relationship Id="rId28" Type="http://schemas.openxmlformats.org/officeDocument/2006/relationships/footer" Target="footer7.xml"/><Relationship Id="rId29" Type="http://schemas.openxmlformats.org/officeDocument/2006/relationships/footer" Target="footer8.xml"/><Relationship Id="rId30" Type="http://schemas.openxmlformats.org/officeDocument/2006/relationships/header" Target="header11.xml"/><Relationship Id="rId31" Type="http://schemas.openxmlformats.org/officeDocument/2006/relationships/footer" Target="footer9.xml"/><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40" Type="http://schemas.openxmlformats.org/officeDocument/2006/relationships/footer" Target="footer10.xml"/><Relationship Id="rId41" Type="http://schemas.openxmlformats.org/officeDocument/2006/relationships/footer" Target="footer11.xml"/><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footer" Target="footer12.xml"/><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header" Target="header12.xml"/><Relationship Id="rId49" Type="http://schemas.openxmlformats.org/officeDocument/2006/relationships/footer" Target="footer13.xml"/><Relationship Id="rId50" Type="http://schemas.openxmlformats.org/officeDocument/2006/relationships/image" Target="media/image17.png"/><Relationship Id="rId51" Type="http://schemas.openxmlformats.org/officeDocument/2006/relationships/image" Target="media/image18.png"/><Relationship Id="rId52" Type="http://schemas.openxmlformats.org/officeDocument/2006/relationships/image" Target="media/image19.png"/><Relationship Id="rId53" Type="http://schemas.openxmlformats.org/officeDocument/2006/relationships/image" Target="media/image20.png"/><Relationship Id="rId54" Type="http://schemas.openxmlformats.org/officeDocument/2006/relationships/image" Target="media/image21.png"/><Relationship Id="rId55" Type="http://schemas.openxmlformats.org/officeDocument/2006/relationships/image" Target="media/image22.png"/><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image" Target="media/image25.png"/><Relationship Id="rId59" Type="http://schemas.openxmlformats.org/officeDocument/2006/relationships/image" Target="media/image26.png"/><Relationship Id="rId60" Type="http://schemas.openxmlformats.org/officeDocument/2006/relationships/image" Target="media/image27.png"/><Relationship Id="rId61" Type="http://schemas.openxmlformats.org/officeDocument/2006/relationships/image" Target="media/image28.png"/><Relationship Id="rId62" Type="http://schemas.openxmlformats.org/officeDocument/2006/relationships/image" Target="media/image29.png"/><Relationship Id="rId63" Type="http://schemas.openxmlformats.org/officeDocument/2006/relationships/image" Target="media/image30.png"/><Relationship Id="rId64" Type="http://schemas.openxmlformats.org/officeDocument/2006/relationships/image" Target="media/image31.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6.png"/><Relationship Id="rId70" Type="http://schemas.openxmlformats.org/officeDocument/2006/relationships/image" Target="media/image37.png"/><Relationship Id="rId71" Type="http://schemas.openxmlformats.org/officeDocument/2006/relationships/image" Target="media/image38.png"/><Relationship Id="rId72" Type="http://schemas.openxmlformats.org/officeDocument/2006/relationships/image" Target="media/image39.png"/><Relationship Id="rId73" Type="http://schemas.openxmlformats.org/officeDocument/2006/relationships/image" Target="media/image40.png"/><Relationship Id="rId74" Type="http://schemas.openxmlformats.org/officeDocument/2006/relationships/image" Target="media/image41.png"/><Relationship Id="rId75" Type="http://schemas.openxmlformats.org/officeDocument/2006/relationships/image" Target="media/image42.png"/><Relationship Id="rId76" Type="http://schemas.openxmlformats.org/officeDocument/2006/relationships/image" Target="media/image43.png"/><Relationship Id="rId77" Type="http://schemas.openxmlformats.org/officeDocument/2006/relationships/image" Target="media/image44.png"/><Relationship Id="rId78" Type="http://schemas.openxmlformats.org/officeDocument/2006/relationships/image" Target="media/image45.png"/><Relationship Id="rId79" Type="http://schemas.openxmlformats.org/officeDocument/2006/relationships/image" Target="media/image46.png"/><Relationship Id="rId80" Type="http://schemas.openxmlformats.org/officeDocument/2006/relationships/image" Target="media/image47.png"/><Relationship Id="rId81" Type="http://schemas.openxmlformats.org/officeDocument/2006/relationships/image" Target="media/image48.png"/><Relationship Id="rId82" Type="http://schemas.openxmlformats.org/officeDocument/2006/relationships/image" Target="media/image49.png"/><Relationship Id="rId83" Type="http://schemas.openxmlformats.org/officeDocument/2006/relationships/image" Target="media/image50.png"/><Relationship Id="rId84" Type="http://schemas.openxmlformats.org/officeDocument/2006/relationships/image" Target="media/image51.png"/><Relationship Id="rId85" Type="http://schemas.openxmlformats.org/officeDocument/2006/relationships/image" Target="media/image52.png"/><Relationship Id="rId86" Type="http://schemas.openxmlformats.org/officeDocument/2006/relationships/image" Target="media/image53.png"/><Relationship Id="rId87" Type="http://schemas.openxmlformats.org/officeDocument/2006/relationships/image" Target="media/image54.png"/><Relationship Id="rId88" Type="http://schemas.openxmlformats.org/officeDocument/2006/relationships/image" Target="media/image55.png"/><Relationship Id="rId89" Type="http://schemas.openxmlformats.org/officeDocument/2006/relationships/image" Target="media/image56.png"/><Relationship Id="rId90" Type="http://schemas.openxmlformats.org/officeDocument/2006/relationships/image" Target="media/image57.png"/><Relationship Id="rId91" Type="http://schemas.openxmlformats.org/officeDocument/2006/relationships/image" Target="media/image58.png"/><Relationship Id="rId92" Type="http://schemas.openxmlformats.org/officeDocument/2006/relationships/image" Target="media/image59.png"/><Relationship Id="rId93" Type="http://schemas.openxmlformats.org/officeDocument/2006/relationships/image" Target="media/image60.png"/><Relationship Id="rId94" Type="http://schemas.openxmlformats.org/officeDocument/2006/relationships/image" Target="media/image61.png"/><Relationship Id="rId95" Type="http://schemas.openxmlformats.org/officeDocument/2006/relationships/image" Target="media/image62.png"/><Relationship Id="rId96" Type="http://schemas.openxmlformats.org/officeDocument/2006/relationships/header" Target="header13.xml"/><Relationship Id="rId97" Type="http://schemas.openxmlformats.org/officeDocument/2006/relationships/footer" Target="footer14.xml"/><Relationship Id="rId98" Type="http://schemas.openxmlformats.org/officeDocument/2006/relationships/image" Target="media/image63.png"/><Relationship Id="rId99" Type="http://schemas.openxmlformats.org/officeDocument/2006/relationships/image" Target="media/image64.png"/><Relationship Id="rId100" Type="http://schemas.openxmlformats.org/officeDocument/2006/relationships/image" Target="media/image65.png"/><Relationship Id="rId101" Type="http://schemas.openxmlformats.org/officeDocument/2006/relationships/image" Target="media/image66.png"/><Relationship Id="rId102" Type="http://schemas.openxmlformats.org/officeDocument/2006/relationships/image" Target="media/image67.png"/><Relationship Id="rId103" Type="http://schemas.openxmlformats.org/officeDocument/2006/relationships/image" Target="media/image68.png"/><Relationship Id="rId104" Type="http://schemas.openxmlformats.org/officeDocument/2006/relationships/image" Target="media/image69.png"/><Relationship Id="rId105" Type="http://schemas.openxmlformats.org/officeDocument/2006/relationships/image" Target="media/image70.png"/><Relationship Id="rId106" Type="http://schemas.openxmlformats.org/officeDocument/2006/relationships/image" Target="media/image71.png"/><Relationship Id="rId107" Type="http://schemas.openxmlformats.org/officeDocument/2006/relationships/image" Target="media/image72.png"/><Relationship Id="rId108" Type="http://schemas.openxmlformats.org/officeDocument/2006/relationships/image" Target="media/image73.png"/><Relationship Id="rId109" Type="http://schemas.openxmlformats.org/officeDocument/2006/relationships/image" Target="media/image74.png"/><Relationship Id="rId110" Type="http://schemas.openxmlformats.org/officeDocument/2006/relationships/image" Target="media/image75.png"/><Relationship Id="rId111" Type="http://schemas.openxmlformats.org/officeDocument/2006/relationships/image" Target="media/image76.png"/><Relationship Id="rId112" Type="http://schemas.openxmlformats.org/officeDocument/2006/relationships/image" Target="media/image77.png"/><Relationship Id="rId113" Type="http://schemas.openxmlformats.org/officeDocument/2006/relationships/image" Target="media/image78.png"/><Relationship Id="rId114" Type="http://schemas.openxmlformats.org/officeDocument/2006/relationships/image" Target="media/image79.png"/><Relationship Id="rId115" Type="http://schemas.openxmlformats.org/officeDocument/2006/relationships/image" Target="media/image80.png"/><Relationship Id="rId116" Type="http://schemas.openxmlformats.org/officeDocument/2006/relationships/image" Target="media/image81.png"/><Relationship Id="rId117" Type="http://schemas.openxmlformats.org/officeDocument/2006/relationships/image" Target="media/image82.png"/><Relationship Id="rId118" Type="http://schemas.openxmlformats.org/officeDocument/2006/relationships/image" Target="media/image83.png"/><Relationship Id="rId119" Type="http://schemas.openxmlformats.org/officeDocument/2006/relationships/image" Target="media/image84.png"/><Relationship Id="rId120" Type="http://schemas.openxmlformats.org/officeDocument/2006/relationships/image" Target="media/image85.png"/><Relationship Id="rId121" Type="http://schemas.openxmlformats.org/officeDocument/2006/relationships/image" Target="media/image86.png"/><Relationship Id="rId122" Type="http://schemas.openxmlformats.org/officeDocument/2006/relationships/image" Target="media/image87.png"/><Relationship Id="rId123" Type="http://schemas.openxmlformats.org/officeDocument/2006/relationships/image" Target="media/image88.png"/><Relationship Id="rId124" Type="http://schemas.openxmlformats.org/officeDocument/2006/relationships/image" Target="media/image89.png"/><Relationship Id="rId125" Type="http://schemas.openxmlformats.org/officeDocument/2006/relationships/image" Target="media/image90.png"/><Relationship Id="rId126" Type="http://schemas.openxmlformats.org/officeDocument/2006/relationships/image" Target="media/image91.png"/><Relationship Id="rId127" Type="http://schemas.openxmlformats.org/officeDocument/2006/relationships/image" Target="media/image92.png"/><Relationship Id="rId128" Type="http://schemas.openxmlformats.org/officeDocument/2006/relationships/image" Target="media/image93.png"/><Relationship Id="rId129" Type="http://schemas.openxmlformats.org/officeDocument/2006/relationships/image" Target="media/image94.png"/><Relationship Id="rId130" Type="http://schemas.openxmlformats.org/officeDocument/2006/relationships/image" Target="media/image95.png"/><Relationship Id="rId131" Type="http://schemas.openxmlformats.org/officeDocument/2006/relationships/image" Target="media/image96.png"/><Relationship Id="rId132" Type="http://schemas.openxmlformats.org/officeDocument/2006/relationships/image" Target="media/image97.png"/><Relationship Id="rId133" Type="http://schemas.openxmlformats.org/officeDocument/2006/relationships/image" Target="media/image98.png"/><Relationship Id="rId134" Type="http://schemas.openxmlformats.org/officeDocument/2006/relationships/image" Target="media/image99.png"/><Relationship Id="rId135" Type="http://schemas.openxmlformats.org/officeDocument/2006/relationships/image" Target="media/image100.png"/><Relationship Id="rId136" Type="http://schemas.openxmlformats.org/officeDocument/2006/relationships/image" Target="media/image101.png"/><Relationship Id="rId137" Type="http://schemas.openxmlformats.org/officeDocument/2006/relationships/image" Target="media/image102.png"/><Relationship Id="rId138" Type="http://schemas.openxmlformats.org/officeDocument/2006/relationships/image" Target="media/image103.png"/><Relationship Id="rId139" Type="http://schemas.openxmlformats.org/officeDocument/2006/relationships/image" Target="media/image104.png"/><Relationship Id="rId140" Type="http://schemas.openxmlformats.org/officeDocument/2006/relationships/image" Target="media/image105.png"/><Relationship Id="rId141" Type="http://schemas.openxmlformats.org/officeDocument/2006/relationships/image" Target="media/image106.png"/><Relationship Id="rId142" Type="http://schemas.openxmlformats.org/officeDocument/2006/relationships/image" Target="media/image107.png"/><Relationship Id="rId143" Type="http://schemas.openxmlformats.org/officeDocument/2006/relationships/image" Target="media/image108.png"/><Relationship Id="rId144" Type="http://schemas.openxmlformats.org/officeDocument/2006/relationships/image" Target="media/image109.png"/><Relationship Id="rId145" Type="http://schemas.openxmlformats.org/officeDocument/2006/relationships/image" Target="media/image110.png"/><Relationship Id="rId146" Type="http://schemas.openxmlformats.org/officeDocument/2006/relationships/image" Target="media/image111.png"/><Relationship Id="rId147" Type="http://schemas.openxmlformats.org/officeDocument/2006/relationships/image" Target="media/image112.png"/><Relationship Id="rId148" Type="http://schemas.openxmlformats.org/officeDocument/2006/relationships/image" Target="media/image113.png"/><Relationship Id="rId149" Type="http://schemas.openxmlformats.org/officeDocument/2006/relationships/image" Target="media/image114.png"/><Relationship Id="rId150" Type="http://schemas.openxmlformats.org/officeDocument/2006/relationships/image" Target="media/image115.png"/><Relationship Id="rId151" Type="http://schemas.openxmlformats.org/officeDocument/2006/relationships/image" Target="media/image116.png"/><Relationship Id="rId152" Type="http://schemas.openxmlformats.org/officeDocument/2006/relationships/image" Target="media/image117.png"/><Relationship Id="rId153" Type="http://schemas.openxmlformats.org/officeDocument/2006/relationships/image" Target="media/image118.png"/><Relationship Id="rId154" Type="http://schemas.openxmlformats.org/officeDocument/2006/relationships/image" Target="media/image119.png"/><Relationship Id="rId155" Type="http://schemas.openxmlformats.org/officeDocument/2006/relationships/image" Target="media/image120.png"/><Relationship Id="rId156" Type="http://schemas.openxmlformats.org/officeDocument/2006/relationships/image" Target="media/image121.png"/><Relationship Id="rId157" Type="http://schemas.openxmlformats.org/officeDocument/2006/relationships/image" Target="media/image122.png"/><Relationship Id="rId158" Type="http://schemas.openxmlformats.org/officeDocument/2006/relationships/image" Target="media/image123.png"/><Relationship Id="rId159" Type="http://schemas.openxmlformats.org/officeDocument/2006/relationships/image" Target="media/image124.png"/><Relationship Id="rId160" Type="http://schemas.openxmlformats.org/officeDocument/2006/relationships/image" Target="media/image125.png"/><Relationship Id="rId161" Type="http://schemas.openxmlformats.org/officeDocument/2006/relationships/image" Target="media/image126.png"/><Relationship Id="rId162" Type="http://schemas.openxmlformats.org/officeDocument/2006/relationships/image" Target="media/image127.png"/><Relationship Id="rId163" Type="http://schemas.openxmlformats.org/officeDocument/2006/relationships/image" Target="media/image128.png"/><Relationship Id="rId164" Type="http://schemas.openxmlformats.org/officeDocument/2006/relationships/image" Target="media/image129.png"/><Relationship Id="rId165" Type="http://schemas.openxmlformats.org/officeDocument/2006/relationships/image" Target="media/image130.png"/><Relationship Id="rId166" Type="http://schemas.openxmlformats.org/officeDocument/2006/relationships/image" Target="media/image131.png"/><Relationship Id="rId167" Type="http://schemas.openxmlformats.org/officeDocument/2006/relationships/image" Target="media/image132.png"/><Relationship Id="rId168" Type="http://schemas.openxmlformats.org/officeDocument/2006/relationships/image" Target="media/image133.png"/><Relationship Id="rId169" Type="http://schemas.openxmlformats.org/officeDocument/2006/relationships/image" Target="media/image134.png"/><Relationship Id="rId170" Type="http://schemas.openxmlformats.org/officeDocument/2006/relationships/image" Target="media/image135.png"/><Relationship Id="rId171" Type="http://schemas.openxmlformats.org/officeDocument/2006/relationships/image" Target="media/image136.png"/><Relationship Id="rId172" Type="http://schemas.openxmlformats.org/officeDocument/2006/relationships/image" Target="media/image137.png"/><Relationship Id="rId173" Type="http://schemas.openxmlformats.org/officeDocument/2006/relationships/image" Target="media/image138.png"/><Relationship Id="rId174" Type="http://schemas.openxmlformats.org/officeDocument/2006/relationships/image" Target="media/image139.png"/><Relationship Id="rId175" Type="http://schemas.openxmlformats.org/officeDocument/2006/relationships/image" Target="media/image140.png"/><Relationship Id="rId176" Type="http://schemas.openxmlformats.org/officeDocument/2006/relationships/image" Target="media/image141.png"/><Relationship Id="rId177" Type="http://schemas.openxmlformats.org/officeDocument/2006/relationships/image" Target="media/image142.png"/><Relationship Id="rId178" Type="http://schemas.openxmlformats.org/officeDocument/2006/relationships/header" Target="header14.xml"/><Relationship Id="rId179" Type="http://schemas.openxmlformats.org/officeDocument/2006/relationships/footer" Target="footer15.xml"/><Relationship Id="rId180" Type="http://schemas.openxmlformats.org/officeDocument/2006/relationships/image" Target="media/image143.png"/><Relationship Id="rId181" Type="http://schemas.openxmlformats.org/officeDocument/2006/relationships/image" Target="media/image144.png"/><Relationship Id="rId182" Type="http://schemas.openxmlformats.org/officeDocument/2006/relationships/image" Target="media/image145.png"/><Relationship Id="rId183" Type="http://schemas.openxmlformats.org/officeDocument/2006/relationships/image" Target="media/image146.png"/><Relationship Id="rId184" Type="http://schemas.openxmlformats.org/officeDocument/2006/relationships/image" Target="media/image147.png"/><Relationship Id="rId185" Type="http://schemas.openxmlformats.org/officeDocument/2006/relationships/image" Target="media/image148.png"/><Relationship Id="rId186" Type="http://schemas.openxmlformats.org/officeDocument/2006/relationships/image" Target="media/image149.png"/><Relationship Id="rId187" Type="http://schemas.openxmlformats.org/officeDocument/2006/relationships/header" Target="header15.xml"/><Relationship Id="rId188" Type="http://schemas.openxmlformats.org/officeDocument/2006/relationships/footer" Target="footer16.xml"/><Relationship Id="rId189" Type="http://schemas.openxmlformats.org/officeDocument/2006/relationships/image" Target="media/image150.png"/><Relationship Id="rId190" Type="http://schemas.openxmlformats.org/officeDocument/2006/relationships/image" Target="media/image151.png"/><Relationship Id="rId191" Type="http://schemas.openxmlformats.org/officeDocument/2006/relationships/image" Target="media/image152.png"/><Relationship Id="rId192" Type="http://schemas.openxmlformats.org/officeDocument/2006/relationships/image" Target="media/image153.png"/><Relationship Id="rId193" Type="http://schemas.openxmlformats.org/officeDocument/2006/relationships/image" Target="media/image154.png"/><Relationship Id="rId194" Type="http://schemas.openxmlformats.org/officeDocument/2006/relationships/image" Target="media/image155.png"/><Relationship Id="rId195" Type="http://schemas.openxmlformats.org/officeDocument/2006/relationships/image" Target="media/image156.png"/><Relationship Id="rId196" Type="http://schemas.openxmlformats.org/officeDocument/2006/relationships/image" Target="media/image157.png"/><Relationship Id="rId197" Type="http://schemas.openxmlformats.org/officeDocument/2006/relationships/image" Target="media/image158.png"/><Relationship Id="rId198" Type="http://schemas.openxmlformats.org/officeDocument/2006/relationships/image" Target="media/image159.png"/><Relationship Id="rId199" Type="http://schemas.openxmlformats.org/officeDocument/2006/relationships/header" Target="header16.xml"/><Relationship Id="rId200" Type="http://schemas.openxmlformats.org/officeDocument/2006/relationships/footer" Target="footer17.xml"/><Relationship Id="rId201" Type="http://schemas.openxmlformats.org/officeDocument/2006/relationships/image" Target="media/image160.png"/><Relationship Id="rId202" Type="http://schemas.openxmlformats.org/officeDocument/2006/relationships/image" Target="media/image161.png"/><Relationship Id="rId203" Type="http://schemas.openxmlformats.org/officeDocument/2006/relationships/footer" Target="footer18.xml"/><Relationship Id="rId204" Type="http://schemas.openxmlformats.org/officeDocument/2006/relationships/image" Target="media/image162.png"/><Relationship Id="rId205" Type="http://schemas.openxmlformats.org/officeDocument/2006/relationships/image" Target="media/image163.png"/><Relationship Id="rId206" Type="http://schemas.openxmlformats.org/officeDocument/2006/relationships/image" Target="media/image164.png"/><Relationship Id="rId207" Type="http://schemas.openxmlformats.org/officeDocument/2006/relationships/image" Target="media/image165.png"/><Relationship Id="rId208" Type="http://schemas.openxmlformats.org/officeDocument/2006/relationships/image" Target="media/image166.png"/><Relationship Id="rId209" Type="http://schemas.openxmlformats.org/officeDocument/2006/relationships/image" Target="media/image167.png"/><Relationship Id="rId210" Type="http://schemas.openxmlformats.org/officeDocument/2006/relationships/image" Target="media/image168.png"/><Relationship Id="rId211" Type="http://schemas.openxmlformats.org/officeDocument/2006/relationships/image" Target="media/image169.png"/><Relationship Id="rId212" Type="http://schemas.openxmlformats.org/officeDocument/2006/relationships/image" Target="media/image170.png"/><Relationship Id="rId213" Type="http://schemas.openxmlformats.org/officeDocument/2006/relationships/image" Target="media/image171.png"/><Relationship Id="rId214" Type="http://schemas.openxmlformats.org/officeDocument/2006/relationships/image" Target="media/image172.png"/><Relationship Id="rId215" Type="http://schemas.openxmlformats.org/officeDocument/2006/relationships/image" Target="media/image173.png"/><Relationship Id="rId216" Type="http://schemas.openxmlformats.org/officeDocument/2006/relationships/image" Target="media/image174.png"/><Relationship Id="rId217" Type="http://schemas.openxmlformats.org/officeDocument/2006/relationships/image" Target="media/image175.png"/><Relationship Id="rId218" Type="http://schemas.openxmlformats.org/officeDocument/2006/relationships/image" Target="media/image176.png"/><Relationship Id="rId219" Type="http://schemas.openxmlformats.org/officeDocument/2006/relationships/image" Target="media/image177.png"/><Relationship Id="rId220" Type="http://schemas.openxmlformats.org/officeDocument/2006/relationships/image" Target="media/image178.png"/><Relationship Id="rId221" Type="http://schemas.openxmlformats.org/officeDocument/2006/relationships/image" Target="media/image179.png"/><Relationship Id="rId222" Type="http://schemas.openxmlformats.org/officeDocument/2006/relationships/image" Target="media/image180.png"/><Relationship Id="rId223" Type="http://schemas.openxmlformats.org/officeDocument/2006/relationships/image" Target="media/image181.png"/><Relationship Id="rId224" Type="http://schemas.openxmlformats.org/officeDocument/2006/relationships/image" Target="media/image182.png"/><Relationship Id="rId225" Type="http://schemas.openxmlformats.org/officeDocument/2006/relationships/image" Target="media/image183.png"/><Relationship Id="rId226" Type="http://schemas.openxmlformats.org/officeDocument/2006/relationships/image" Target="media/image184.png"/><Relationship Id="rId227" Type="http://schemas.openxmlformats.org/officeDocument/2006/relationships/image" Target="media/image185.png"/><Relationship Id="rId228" Type="http://schemas.openxmlformats.org/officeDocument/2006/relationships/image" Target="media/image186.png"/><Relationship Id="rId229" Type="http://schemas.openxmlformats.org/officeDocument/2006/relationships/image" Target="media/image187.png"/><Relationship Id="rId230" Type="http://schemas.openxmlformats.org/officeDocument/2006/relationships/image" Target="media/image188.png"/><Relationship Id="rId231" Type="http://schemas.openxmlformats.org/officeDocument/2006/relationships/image" Target="media/image189.png"/><Relationship Id="rId232" Type="http://schemas.openxmlformats.org/officeDocument/2006/relationships/image" Target="media/image190.png"/><Relationship Id="rId233" Type="http://schemas.openxmlformats.org/officeDocument/2006/relationships/image" Target="media/image191.png"/><Relationship Id="rId234" Type="http://schemas.openxmlformats.org/officeDocument/2006/relationships/image" Target="media/image192.png"/><Relationship Id="rId235" Type="http://schemas.openxmlformats.org/officeDocument/2006/relationships/image" Target="media/image193.png"/><Relationship Id="rId236" Type="http://schemas.openxmlformats.org/officeDocument/2006/relationships/image" Target="media/image194.png"/><Relationship Id="rId237" Type="http://schemas.openxmlformats.org/officeDocument/2006/relationships/image" Target="media/image195.png"/><Relationship Id="rId238" Type="http://schemas.openxmlformats.org/officeDocument/2006/relationships/image" Target="media/image196.png"/><Relationship Id="rId239" Type="http://schemas.openxmlformats.org/officeDocument/2006/relationships/image" Target="media/image197.png"/><Relationship Id="rId240" Type="http://schemas.openxmlformats.org/officeDocument/2006/relationships/image" Target="media/image198.png"/><Relationship Id="rId241" Type="http://schemas.openxmlformats.org/officeDocument/2006/relationships/image" Target="media/image199.png"/><Relationship Id="rId242" Type="http://schemas.openxmlformats.org/officeDocument/2006/relationships/image" Target="media/image200.png"/><Relationship Id="rId243" Type="http://schemas.openxmlformats.org/officeDocument/2006/relationships/image" Target="media/image201.png"/><Relationship Id="rId244" Type="http://schemas.openxmlformats.org/officeDocument/2006/relationships/image" Target="media/image202.png"/><Relationship Id="rId245" Type="http://schemas.openxmlformats.org/officeDocument/2006/relationships/image" Target="media/image203.png"/><Relationship Id="rId246" Type="http://schemas.openxmlformats.org/officeDocument/2006/relationships/image" Target="media/image204.png"/><Relationship Id="rId247" Type="http://schemas.openxmlformats.org/officeDocument/2006/relationships/image" Target="media/image205.png"/><Relationship Id="rId248" Type="http://schemas.openxmlformats.org/officeDocument/2006/relationships/image" Target="media/image206.png"/><Relationship Id="rId249" Type="http://schemas.openxmlformats.org/officeDocument/2006/relationships/image" Target="media/image207.png"/><Relationship Id="rId250" Type="http://schemas.openxmlformats.org/officeDocument/2006/relationships/image" Target="media/image208.png"/><Relationship Id="rId251" Type="http://schemas.openxmlformats.org/officeDocument/2006/relationships/image" Target="media/image209.png"/><Relationship Id="rId252" Type="http://schemas.openxmlformats.org/officeDocument/2006/relationships/image" Target="media/image210.png"/><Relationship Id="rId253" Type="http://schemas.openxmlformats.org/officeDocument/2006/relationships/image" Target="media/image211.png"/><Relationship Id="rId254" Type="http://schemas.openxmlformats.org/officeDocument/2006/relationships/image" Target="media/image212.png"/><Relationship Id="rId255" Type="http://schemas.openxmlformats.org/officeDocument/2006/relationships/image" Target="media/image213.png"/><Relationship Id="rId256" Type="http://schemas.openxmlformats.org/officeDocument/2006/relationships/image" Target="media/image214.png"/><Relationship Id="rId257" Type="http://schemas.openxmlformats.org/officeDocument/2006/relationships/image" Target="media/image215.png"/><Relationship Id="rId258" Type="http://schemas.openxmlformats.org/officeDocument/2006/relationships/image" Target="media/image216.png"/><Relationship Id="rId259" Type="http://schemas.openxmlformats.org/officeDocument/2006/relationships/image" Target="media/image217.png"/><Relationship Id="rId260" Type="http://schemas.openxmlformats.org/officeDocument/2006/relationships/image" Target="media/image218.png"/><Relationship Id="rId261" Type="http://schemas.openxmlformats.org/officeDocument/2006/relationships/image" Target="media/image219.png"/><Relationship Id="rId262" Type="http://schemas.openxmlformats.org/officeDocument/2006/relationships/image" Target="media/image220.png"/><Relationship Id="rId263" Type="http://schemas.openxmlformats.org/officeDocument/2006/relationships/image" Target="media/image221.png"/><Relationship Id="rId264" Type="http://schemas.openxmlformats.org/officeDocument/2006/relationships/image" Target="media/image222.png"/><Relationship Id="rId265" Type="http://schemas.openxmlformats.org/officeDocument/2006/relationships/image" Target="media/image223.png"/><Relationship Id="rId266" Type="http://schemas.openxmlformats.org/officeDocument/2006/relationships/image" Target="media/image224.png"/><Relationship Id="rId267" Type="http://schemas.openxmlformats.org/officeDocument/2006/relationships/image" Target="media/image225.png"/><Relationship Id="rId268" Type="http://schemas.openxmlformats.org/officeDocument/2006/relationships/image" Target="media/image226.png"/><Relationship Id="rId269" Type="http://schemas.openxmlformats.org/officeDocument/2006/relationships/image" Target="media/image227.png"/><Relationship Id="rId270" Type="http://schemas.openxmlformats.org/officeDocument/2006/relationships/image" Target="media/image228.png"/><Relationship Id="rId271" Type="http://schemas.openxmlformats.org/officeDocument/2006/relationships/image" Target="media/image229.png"/><Relationship Id="rId272" Type="http://schemas.openxmlformats.org/officeDocument/2006/relationships/image" Target="media/image230.png"/><Relationship Id="rId273" Type="http://schemas.openxmlformats.org/officeDocument/2006/relationships/image" Target="media/image231.png"/><Relationship Id="rId274" Type="http://schemas.openxmlformats.org/officeDocument/2006/relationships/image" Target="media/image232.png"/><Relationship Id="rId275" Type="http://schemas.openxmlformats.org/officeDocument/2006/relationships/image" Target="media/image233.png"/><Relationship Id="rId276" Type="http://schemas.openxmlformats.org/officeDocument/2006/relationships/image" Target="media/image234.png"/><Relationship Id="rId277" Type="http://schemas.openxmlformats.org/officeDocument/2006/relationships/image" Target="media/image235.png"/><Relationship Id="rId278" Type="http://schemas.openxmlformats.org/officeDocument/2006/relationships/image" Target="media/image236.png"/><Relationship Id="rId279" Type="http://schemas.openxmlformats.org/officeDocument/2006/relationships/image" Target="media/image237.png"/><Relationship Id="rId280" Type="http://schemas.openxmlformats.org/officeDocument/2006/relationships/image" Target="media/image238.png"/><Relationship Id="rId281" Type="http://schemas.openxmlformats.org/officeDocument/2006/relationships/image" Target="media/image239.png"/><Relationship Id="rId282" Type="http://schemas.openxmlformats.org/officeDocument/2006/relationships/image" Target="media/image240.png"/><Relationship Id="rId283" Type="http://schemas.openxmlformats.org/officeDocument/2006/relationships/image" Target="media/image241.png"/><Relationship Id="rId284" Type="http://schemas.openxmlformats.org/officeDocument/2006/relationships/image" Target="media/image242.png"/><Relationship Id="rId285" Type="http://schemas.openxmlformats.org/officeDocument/2006/relationships/image" Target="media/image243.png"/><Relationship Id="rId286" Type="http://schemas.openxmlformats.org/officeDocument/2006/relationships/image" Target="media/image244.png"/><Relationship Id="rId287" Type="http://schemas.openxmlformats.org/officeDocument/2006/relationships/image" Target="media/image245.png"/><Relationship Id="rId288" Type="http://schemas.openxmlformats.org/officeDocument/2006/relationships/image" Target="media/image246.png"/><Relationship Id="rId289" Type="http://schemas.openxmlformats.org/officeDocument/2006/relationships/image" Target="media/image247.png"/><Relationship Id="rId290" Type="http://schemas.openxmlformats.org/officeDocument/2006/relationships/image" Target="media/image248.png"/><Relationship Id="rId291" Type="http://schemas.openxmlformats.org/officeDocument/2006/relationships/image" Target="media/image249.png"/><Relationship Id="rId292" Type="http://schemas.openxmlformats.org/officeDocument/2006/relationships/image" Target="media/image250.png"/><Relationship Id="rId293" Type="http://schemas.openxmlformats.org/officeDocument/2006/relationships/image" Target="media/image251.png"/><Relationship Id="rId294" Type="http://schemas.openxmlformats.org/officeDocument/2006/relationships/image" Target="media/image252.png"/><Relationship Id="rId295" Type="http://schemas.openxmlformats.org/officeDocument/2006/relationships/image" Target="media/image253.png"/><Relationship Id="rId296" Type="http://schemas.openxmlformats.org/officeDocument/2006/relationships/image" Target="media/image254.png"/><Relationship Id="rId297" Type="http://schemas.openxmlformats.org/officeDocument/2006/relationships/image" Target="media/image255.png"/><Relationship Id="rId298" Type="http://schemas.openxmlformats.org/officeDocument/2006/relationships/image" Target="media/image256.png"/><Relationship Id="rId299" Type="http://schemas.openxmlformats.org/officeDocument/2006/relationships/image" Target="media/image257.png"/><Relationship Id="rId300" Type="http://schemas.openxmlformats.org/officeDocument/2006/relationships/image" Target="media/image258.png"/><Relationship Id="rId301" Type="http://schemas.openxmlformats.org/officeDocument/2006/relationships/image" Target="media/image259.png"/><Relationship Id="rId302" Type="http://schemas.openxmlformats.org/officeDocument/2006/relationships/image" Target="media/image260.png"/><Relationship Id="rId303" Type="http://schemas.openxmlformats.org/officeDocument/2006/relationships/image" Target="media/image261.png"/><Relationship Id="rId304" Type="http://schemas.openxmlformats.org/officeDocument/2006/relationships/image" Target="media/image262.png"/><Relationship Id="rId305" Type="http://schemas.openxmlformats.org/officeDocument/2006/relationships/image" Target="media/image263.png"/><Relationship Id="rId306" Type="http://schemas.openxmlformats.org/officeDocument/2006/relationships/image" Target="media/image264.png"/><Relationship Id="rId307" Type="http://schemas.openxmlformats.org/officeDocument/2006/relationships/image" Target="media/image265.png"/><Relationship Id="rId308" Type="http://schemas.openxmlformats.org/officeDocument/2006/relationships/image" Target="media/image266.png"/><Relationship Id="rId309" Type="http://schemas.openxmlformats.org/officeDocument/2006/relationships/image" Target="media/image267.png"/><Relationship Id="rId310" Type="http://schemas.openxmlformats.org/officeDocument/2006/relationships/image" Target="media/image268.png"/><Relationship Id="rId311" Type="http://schemas.openxmlformats.org/officeDocument/2006/relationships/image" Target="media/image269.png"/><Relationship Id="rId312" Type="http://schemas.openxmlformats.org/officeDocument/2006/relationships/image" Target="media/image270.png"/><Relationship Id="rId313" Type="http://schemas.openxmlformats.org/officeDocument/2006/relationships/image" Target="media/image271.png"/><Relationship Id="rId314" Type="http://schemas.openxmlformats.org/officeDocument/2006/relationships/image" Target="media/image272.png"/><Relationship Id="rId315" Type="http://schemas.openxmlformats.org/officeDocument/2006/relationships/image" Target="media/image273.png"/><Relationship Id="rId316" Type="http://schemas.openxmlformats.org/officeDocument/2006/relationships/image" Target="media/image274.png"/><Relationship Id="rId317" Type="http://schemas.openxmlformats.org/officeDocument/2006/relationships/image" Target="media/image275.png"/><Relationship Id="rId318" Type="http://schemas.openxmlformats.org/officeDocument/2006/relationships/image" Target="media/image276.png"/><Relationship Id="rId319" Type="http://schemas.openxmlformats.org/officeDocument/2006/relationships/image" Target="media/image277.png"/><Relationship Id="rId320" Type="http://schemas.openxmlformats.org/officeDocument/2006/relationships/image" Target="media/image278.png"/><Relationship Id="rId321" Type="http://schemas.openxmlformats.org/officeDocument/2006/relationships/image" Target="media/image279.png"/><Relationship Id="rId322" Type="http://schemas.openxmlformats.org/officeDocument/2006/relationships/image" Target="media/image280.png"/><Relationship Id="rId323" Type="http://schemas.openxmlformats.org/officeDocument/2006/relationships/image" Target="media/image281.png"/><Relationship Id="rId324" Type="http://schemas.openxmlformats.org/officeDocument/2006/relationships/image" Target="media/image282.png"/><Relationship Id="rId325" Type="http://schemas.openxmlformats.org/officeDocument/2006/relationships/image" Target="media/image283.png"/><Relationship Id="rId326" Type="http://schemas.openxmlformats.org/officeDocument/2006/relationships/image" Target="media/image284.png"/><Relationship Id="rId327" Type="http://schemas.openxmlformats.org/officeDocument/2006/relationships/image" Target="media/image285.png"/><Relationship Id="rId328" Type="http://schemas.openxmlformats.org/officeDocument/2006/relationships/header" Target="header17.xml"/><Relationship Id="rId329" Type="http://schemas.openxmlformats.org/officeDocument/2006/relationships/footer" Target="footer19.xml"/><Relationship Id="rId330" Type="http://schemas.openxmlformats.org/officeDocument/2006/relationships/image" Target="media/image286.png"/><Relationship Id="rId331" Type="http://schemas.openxmlformats.org/officeDocument/2006/relationships/image" Target="media/image287.png"/><Relationship Id="rId332" Type="http://schemas.openxmlformats.org/officeDocument/2006/relationships/image" Target="media/image288.png"/><Relationship Id="rId333" Type="http://schemas.openxmlformats.org/officeDocument/2006/relationships/image" Target="media/image289.png"/><Relationship Id="rId334" Type="http://schemas.openxmlformats.org/officeDocument/2006/relationships/image" Target="media/image290.png"/><Relationship Id="rId335" Type="http://schemas.openxmlformats.org/officeDocument/2006/relationships/image" Target="media/image291.png"/><Relationship Id="rId336" Type="http://schemas.openxmlformats.org/officeDocument/2006/relationships/image" Target="media/image292.png"/><Relationship Id="rId337" Type="http://schemas.openxmlformats.org/officeDocument/2006/relationships/image" Target="media/image293.png"/><Relationship Id="rId338" Type="http://schemas.openxmlformats.org/officeDocument/2006/relationships/image" Target="media/image294.png"/><Relationship Id="rId339" Type="http://schemas.openxmlformats.org/officeDocument/2006/relationships/image" Target="media/image295.png"/><Relationship Id="rId340" Type="http://schemas.openxmlformats.org/officeDocument/2006/relationships/image" Target="media/image296.png"/><Relationship Id="rId341" Type="http://schemas.openxmlformats.org/officeDocument/2006/relationships/image" Target="media/image297.png"/><Relationship Id="rId342" Type="http://schemas.openxmlformats.org/officeDocument/2006/relationships/image" Target="media/image298.png"/><Relationship Id="rId343" Type="http://schemas.openxmlformats.org/officeDocument/2006/relationships/image" Target="media/image299.png"/><Relationship Id="rId344" Type="http://schemas.openxmlformats.org/officeDocument/2006/relationships/image" Target="media/image300.png"/><Relationship Id="rId345" Type="http://schemas.openxmlformats.org/officeDocument/2006/relationships/header" Target="header18.xml"/><Relationship Id="rId346" Type="http://schemas.openxmlformats.org/officeDocument/2006/relationships/footer" Target="footer20.xml"/><Relationship Id="rId347" Type="http://schemas.openxmlformats.org/officeDocument/2006/relationships/image" Target="media/image301.png"/><Relationship Id="rId348" Type="http://schemas.openxmlformats.org/officeDocument/2006/relationships/image" Target="media/image302.png"/><Relationship Id="rId349" Type="http://schemas.openxmlformats.org/officeDocument/2006/relationships/image" Target="media/image303.png"/><Relationship Id="rId350" Type="http://schemas.openxmlformats.org/officeDocument/2006/relationships/image" Target="media/image304.png"/><Relationship Id="rId351" Type="http://schemas.openxmlformats.org/officeDocument/2006/relationships/image" Target="media/image305.png"/><Relationship Id="rId352" Type="http://schemas.openxmlformats.org/officeDocument/2006/relationships/image" Target="media/image306.png"/><Relationship Id="rId353" Type="http://schemas.openxmlformats.org/officeDocument/2006/relationships/image" Target="media/image307.png"/><Relationship Id="rId354" Type="http://schemas.openxmlformats.org/officeDocument/2006/relationships/image" Target="media/image308.png"/><Relationship Id="rId355" Type="http://schemas.openxmlformats.org/officeDocument/2006/relationships/image" Target="media/image309.png"/><Relationship Id="rId356" Type="http://schemas.openxmlformats.org/officeDocument/2006/relationships/image" Target="media/image310.png"/><Relationship Id="rId357" Type="http://schemas.openxmlformats.org/officeDocument/2006/relationships/image" Target="media/image311.png"/><Relationship Id="rId358" Type="http://schemas.openxmlformats.org/officeDocument/2006/relationships/image" Target="media/image312.png"/><Relationship Id="rId359" Type="http://schemas.openxmlformats.org/officeDocument/2006/relationships/image" Target="media/image313.png"/><Relationship Id="rId360" Type="http://schemas.openxmlformats.org/officeDocument/2006/relationships/image" Target="media/image314.png"/><Relationship Id="rId361" Type="http://schemas.openxmlformats.org/officeDocument/2006/relationships/image" Target="media/image315.png"/><Relationship Id="rId362" Type="http://schemas.openxmlformats.org/officeDocument/2006/relationships/image" Target="media/image316.png"/><Relationship Id="rId363" Type="http://schemas.openxmlformats.org/officeDocument/2006/relationships/image" Target="media/image317.png"/><Relationship Id="rId364" Type="http://schemas.openxmlformats.org/officeDocument/2006/relationships/image" Target="media/image318.png"/><Relationship Id="rId365" Type="http://schemas.openxmlformats.org/officeDocument/2006/relationships/image" Target="media/image319.png"/><Relationship Id="rId366" Type="http://schemas.openxmlformats.org/officeDocument/2006/relationships/image" Target="media/image320.png"/><Relationship Id="rId367" Type="http://schemas.openxmlformats.org/officeDocument/2006/relationships/image" Target="media/image321.png"/><Relationship Id="rId368" Type="http://schemas.openxmlformats.org/officeDocument/2006/relationships/image" Target="media/image322.png"/><Relationship Id="rId369" Type="http://schemas.openxmlformats.org/officeDocument/2006/relationships/image" Target="media/image323.png"/><Relationship Id="rId370" Type="http://schemas.openxmlformats.org/officeDocument/2006/relationships/image" Target="media/image324.png"/><Relationship Id="rId371" Type="http://schemas.openxmlformats.org/officeDocument/2006/relationships/image" Target="media/image325.png"/><Relationship Id="rId372" Type="http://schemas.openxmlformats.org/officeDocument/2006/relationships/image" Target="media/image326.png"/><Relationship Id="rId373" Type="http://schemas.openxmlformats.org/officeDocument/2006/relationships/image" Target="media/image327.png"/><Relationship Id="rId374" Type="http://schemas.openxmlformats.org/officeDocument/2006/relationships/image" Target="media/image328.png"/><Relationship Id="rId375" Type="http://schemas.openxmlformats.org/officeDocument/2006/relationships/image" Target="media/image329.png"/><Relationship Id="rId376" Type="http://schemas.openxmlformats.org/officeDocument/2006/relationships/image" Target="media/image330.png"/><Relationship Id="rId377" Type="http://schemas.openxmlformats.org/officeDocument/2006/relationships/image" Target="media/image331.png"/><Relationship Id="rId378" Type="http://schemas.openxmlformats.org/officeDocument/2006/relationships/image" Target="media/image332.png"/><Relationship Id="rId379" Type="http://schemas.openxmlformats.org/officeDocument/2006/relationships/image" Target="media/image333.png"/><Relationship Id="rId380" Type="http://schemas.openxmlformats.org/officeDocument/2006/relationships/image" Target="media/image334.png"/><Relationship Id="rId381" Type="http://schemas.openxmlformats.org/officeDocument/2006/relationships/image" Target="media/image335.png"/><Relationship Id="rId382" Type="http://schemas.openxmlformats.org/officeDocument/2006/relationships/image" Target="media/image336.png"/><Relationship Id="rId383" Type="http://schemas.openxmlformats.org/officeDocument/2006/relationships/image" Target="media/image337.png"/><Relationship Id="rId384" Type="http://schemas.openxmlformats.org/officeDocument/2006/relationships/image" Target="media/image338.png"/><Relationship Id="rId385" Type="http://schemas.openxmlformats.org/officeDocument/2006/relationships/image" Target="media/image339.png"/><Relationship Id="rId386" Type="http://schemas.openxmlformats.org/officeDocument/2006/relationships/image" Target="media/image340.png"/><Relationship Id="rId387" Type="http://schemas.openxmlformats.org/officeDocument/2006/relationships/image" Target="media/image341.png"/><Relationship Id="rId388" Type="http://schemas.openxmlformats.org/officeDocument/2006/relationships/image" Target="media/image342.png"/><Relationship Id="rId389" Type="http://schemas.openxmlformats.org/officeDocument/2006/relationships/image" Target="media/image343.png"/><Relationship Id="rId390" Type="http://schemas.openxmlformats.org/officeDocument/2006/relationships/image" Target="media/image344.png"/><Relationship Id="rId391" Type="http://schemas.openxmlformats.org/officeDocument/2006/relationships/image" Target="media/image345.png"/><Relationship Id="rId392" Type="http://schemas.openxmlformats.org/officeDocument/2006/relationships/image" Target="media/image346.png"/><Relationship Id="rId393" Type="http://schemas.openxmlformats.org/officeDocument/2006/relationships/image" Target="media/image347.png"/><Relationship Id="rId394" Type="http://schemas.openxmlformats.org/officeDocument/2006/relationships/image" Target="media/image348.png"/><Relationship Id="rId395" Type="http://schemas.openxmlformats.org/officeDocument/2006/relationships/image" Target="media/image349.png"/><Relationship Id="rId396" Type="http://schemas.openxmlformats.org/officeDocument/2006/relationships/image" Target="media/image350.png"/><Relationship Id="rId397" Type="http://schemas.openxmlformats.org/officeDocument/2006/relationships/footer" Target="footer21.xml"/><Relationship Id="rId398" Type="http://schemas.openxmlformats.org/officeDocument/2006/relationships/image" Target="media/image351.png"/><Relationship Id="rId399" Type="http://schemas.openxmlformats.org/officeDocument/2006/relationships/image" Target="media/image352.png"/><Relationship Id="rId400" Type="http://schemas.openxmlformats.org/officeDocument/2006/relationships/image" Target="media/image353.png"/><Relationship Id="rId401" Type="http://schemas.openxmlformats.org/officeDocument/2006/relationships/image" Target="media/image354.png"/><Relationship Id="rId402" Type="http://schemas.openxmlformats.org/officeDocument/2006/relationships/footer" Target="footer22.xml"/><Relationship Id="rId403" Type="http://schemas.openxmlformats.org/officeDocument/2006/relationships/image" Target="media/image355.png"/><Relationship Id="rId404" Type="http://schemas.openxmlformats.org/officeDocument/2006/relationships/image" Target="media/image356.png"/><Relationship Id="rId405" Type="http://schemas.openxmlformats.org/officeDocument/2006/relationships/image" Target="media/image357.png"/><Relationship Id="rId406" Type="http://schemas.openxmlformats.org/officeDocument/2006/relationships/image" Target="media/image358.png"/><Relationship Id="rId407" Type="http://schemas.openxmlformats.org/officeDocument/2006/relationships/image" Target="media/image359.png"/><Relationship Id="rId408" Type="http://schemas.openxmlformats.org/officeDocument/2006/relationships/image" Target="media/image360.png"/><Relationship Id="rId409" Type="http://schemas.openxmlformats.org/officeDocument/2006/relationships/image" Target="media/image361.png"/><Relationship Id="rId410" Type="http://schemas.openxmlformats.org/officeDocument/2006/relationships/image" Target="media/image362.png"/><Relationship Id="rId411" Type="http://schemas.openxmlformats.org/officeDocument/2006/relationships/image" Target="media/image363.png"/><Relationship Id="rId412" Type="http://schemas.openxmlformats.org/officeDocument/2006/relationships/image" Target="media/image364.png"/><Relationship Id="rId413" Type="http://schemas.openxmlformats.org/officeDocument/2006/relationships/image" Target="media/image365.png"/><Relationship Id="rId414" Type="http://schemas.openxmlformats.org/officeDocument/2006/relationships/image" Target="media/image366.png"/><Relationship Id="rId415" Type="http://schemas.openxmlformats.org/officeDocument/2006/relationships/image" Target="media/image367.png"/><Relationship Id="rId416" Type="http://schemas.openxmlformats.org/officeDocument/2006/relationships/image" Target="media/image368.png"/><Relationship Id="rId417" Type="http://schemas.openxmlformats.org/officeDocument/2006/relationships/header" Target="header19.xml"/><Relationship Id="rId418" Type="http://schemas.openxmlformats.org/officeDocument/2006/relationships/footer" Target="footer23.xml"/><Relationship Id="rId419" Type="http://schemas.openxmlformats.org/officeDocument/2006/relationships/image" Target="media/image369.png"/><Relationship Id="rId420" Type="http://schemas.openxmlformats.org/officeDocument/2006/relationships/image" Target="media/image370.png"/><Relationship Id="rId421" Type="http://schemas.openxmlformats.org/officeDocument/2006/relationships/image" Target="media/image371.png"/><Relationship Id="rId422" Type="http://schemas.openxmlformats.org/officeDocument/2006/relationships/image" Target="media/image372.png"/><Relationship Id="rId423" Type="http://schemas.openxmlformats.org/officeDocument/2006/relationships/image" Target="media/image373.png"/><Relationship Id="rId424" Type="http://schemas.openxmlformats.org/officeDocument/2006/relationships/header" Target="header20.xml"/><Relationship Id="rId425" Type="http://schemas.openxmlformats.org/officeDocument/2006/relationships/footer" Target="footer24.xml"/><Relationship Id="rId426" Type="http://schemas.openxmlformats.org/officeDocument/2006/relationships/image" Target="media/image374.png"/><Relationship Id="rId427" Type="http://schemas.openxmlformats.org/officeDocument/2006/relationships/image" Target="media/image375.png"/><Relationship Id="rId428" Type="http://schemas.openxmlformats.org/officeDocument/2006/relationships/image" Target="media/image376.png"/><Relationship Id="rId429" Type="http://schemas.openxmlformats.org/officeDocument/2006/relationships/image" Target="media/image377.png"/><Relationship Id="rId430" Type="http://schemas.openxmlformats.org/officeDocument/2006/relationships/image" Target="media/image378.png"/><Relationship Id="rId431" Type="http://schemas.openxmlformats.org/officeDocument/2006/relationships/image" Target="media/image379.png"/><Relationship Id="rId432" Type="http://schemas.openxmlformats.org/officeDocument/2006/relationships/image" Target="media/image380.png"/><Relationship Id="rId433" Type="http://schemas.openxmlformats.org/officeDocument/2006/relationships/image" Target="media/image381.png"/><Relationship Id="rId434" Type="http://schemas.openxmlformats.org/officeDocument/2006/relationships/image" Target="media/image382.png"/><Relationship Id="rId435" Type="http://schemas.openxmlformats.org/officeDocument/2006/relationships/image" Target="media/image383.png"/><Relationship Id="rId436" Type="http://schemas.openxmlformats.org/officeDocument/2006/relationships/image" Target="media/image384.png"/><Relationship Id="rId437" Type="http://schemas.openxmlformats.org/officeDocument/2006/relationships/image" Target="media/image385.png"/><Relationship Id="rId438" Type="http://schemas.openxmlformats.org/officeDocument/2006/relationships/image" Target="media/image386.png"/><Relationship Id="rId439" Type="http://schemas.openxmlformats.org/officeDocument/2006/relationships/image" Target="media/image387.png"/><Relationship Id="rId440" Type="http://schemas.openxmlformats.org/officeDocument/2006/relationships/image" Target="media/image388.png"/><Relationship Id="rId441" Type="http://schemas.openxmlformats.org/officeDocument/2006/relationships/image" Target="media/image389.png"/><Relationship Id="rId442" Type="http://schemas.openxmlformats.org/officeDocument/2006/relationships/image" Target="media/image390.png"/><Relationship Id="rId443" Type="http://schemas.openxmlformats.org/officeDocument/2006/relationships/image" Target="media/image391.png"/><Relationship Id="rId444" Type="http://schemas.openxmlformats.org/officeDocument/2006/relationships/image" Target="media/image392.png"/><Relationship Id="rId445" Type="http://schemas.openxmlformats.org/officeDocument/2006/relationships/image" Target="media/image393.png"/><Relationship Id="rId446" Type="http://schemas.openxmlformats.org/officeDocument/2006/relationships/image" Target="media/image394.png"/><Relationship Id="rId447" Type="http://schemas.openxmlformats.org/officeDocument/2006/relationships/image" Target="media/image395.png"/><Relationship Id="rId448" Type="http://schemas.openxmlformats.org/officeDocument/2006/relationships/image" Target="media/image396.png"/><Relationship Id="rId449" Type="http://schemas.openxmlformats.org/officeDocument/2006/relationships/image" Target="media/image397.png"/><Relationship Id="rId450" Type="http://schemas.openxmlformats.org/officeDocument/2006/relationships/image" Target="media/image398.png"/><Relationship Id="rId451" Type="http://schemas.openxmlformats.org/officeDocument/2006/relationships/image" Target="media/image399.png"/><Relationship Id="rId452" Type="http://schemas.openxmlformats.org/officeDocument/2006/relationships/image" Target="media/image400.png"/><Relationship Id="rId453" Type="http://schemas.openxmlformats.org/officeDocument/2006/relationships/image" Target="media/image401.png"/><Relationship Id="rId454" Type="http://schemas.openxmlformats.org/officeDocument/2006/relationships/image" Target="media/image402.png"/><Relationship Id="rId455" Type="http://schemas.openxmlformats.org/officeDocument/2006/relationships/image" Target="media/image403.png"/><Relationship Id="rId456" Type="http://schemas.openxmlformats.org/officeDocument/2006/relationships/image" Target="media/image404.png"/><Relationship Id="rId457" Type="http://schemas.openxmlformats.org/officeDocument/2006/relationships/image" Target="media/image405.png"/><Relationship Id="rId458" Type="http://schemas.openxmlformats.org/officeDocument/2006/relationships/image" Target="media/image406.png"/><Relationship Id="rId459" Type="http://schemas.openxmlformats.org/officeDocument/2006/relationships/image" Target="media/image40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itle>Microsoft Word - 600718_2011_n.doc</dc:title>
  <dcterms:created xsi:type="dcterms:W3CDTF">2020-05-03T18:39:05Z</dcterms:created>
  <dcterms:modified xsi:type="dcterms:W3CDTF">2020-05-03T18:39:05Z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2012-03-30T00:00:00Z</vt:filetime>
  </property>
  <property fmtid="{D5CDD505-2E9C-101B-9397-08002B2CF9AE}" pid="3" name="Creator">
    <vt:lpwstr>PScript5.dll Version 5.2.2</vt:lpwstr>
  </property>
  <property fmtid="{D5CDD505-2E9C-101B-9397-08002B2CF9AE}" pid="4" name="LastSaved">
    <vt:filetime>2020-05-03T00:00:00Z</vt:filetime>
  </property>
</Properties>
</file>